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Cs w:val="21"/>
          <w:highlight w:val="none"/>
        </w:rPr>
      </w:pPr>
    </w:p>
    <w:p>
      <w:pPr>
        <w:adjustRightInd/>
        <w:spacing w:line="360" w:lineRule="auto"/>
        <w:jc w:val="center"/>
        <w:rPr>
          <w:rFonts w:ascii="宋体" w:hAnsi="宋体" w:cs="宋体"/>
          <w:b/>
          <w:bCs/>
          <w:color w:val="auto"/>
          <w:szCs w:val="21"/>
          <w:highlight w:val="none"/>
        </w:rPr>
      </w:pPr>
    </w:p>
    <w:p>
      <w:pPr>
        <w:pStyle w:val="23"/>
        <w:rPr>
          <w:rFonts w:ascii="宋体" w:hAnsi="宋体" w:cs="宋体"/>
          <w:b/>
          <w:bCs/>
          <w:color w:val="auto"/>
          <w:szCs w:val="21"/>
          <w:highlight w:val="none"/>
        </w:rPr>
      </w:pPr>
    </w:p>
    <w:p>
      <w:pPr>
        <w:pStyle w:val="24"/>
        <w:rPr>
          <w:color w:val="auto"/>
          <w:highlight w:val="none"/>
        </w:rPr>
      </w:pPr>
    </w:p>
    <w:p>
      <w:pPr>
        <w:adjustRightInd/>
        <w:spacing w:line="360" w:lineRule="auto"/>
        <w:jc w:val="center"/>
        <w:rPr>
          <w:rFonts w:ascii="宋体" w:hAnsi="宋体" w:cs="宋体"/>
          <w:b/>
          <w:bCs/>
          <w:color w:val="auto"/>
          <w:spacing w:val="-17"/>
          <w:sz w:val="48"/>
          <w:szCs w:val="48"/>
          <w:highlight w:val="none"/>
        </w:rPr>
      </w:pPr>
      <w:r>
        <w:rPr>
          <w:rFonts w:hint="eastAsia" w:ascii="宋体" w:hAnsi="宋体" w:cs="宋体"/>
          <w:b/>
          <w:bCs/>
          <w:color w:val="auto"/>
          <w:spacing w:val="-17"/>
          <w:sz w:val="48"/>
          <w:szCs w:val="48"/>
          <w:highlight w:val="none"/>
          <w:lang w:eastAsia="zh-CN"/>
        </w:rPr>
        <w:t>2024年塘栖镇养老电子津贴政府采购</w:t>
      </w:r>
      <w:r>
        <w:rPr>
          <w:rFonts w:hint="eastAsia" w:ascii="宋体" w:hAnsi="宋体" w:cs="宋体"/>
          <w:b/>
          <w:bCs/>
          <w:color w:val="auto"/>
          <w:spacing w:val="-17"/>
          <w:sz w:val="48"/>
          <w:szCs w:val="48"/>
          <w:highlight w:val="none"/>
        </w:rPr>
        <w:t>项目</w:t>
      </w:r>
    </w:p>
    <w:p>
      <w:pPr>
        <w:adjustRightInd/>
        <w:spacing w:line="360" w:lineRule="auto"/>
        <w:jc w:val="center"/>
        <w:rPr>
          <w:rFonts w:ascii="宋体" w:hAnsi="宋体" w:cs="宋体"/>
          <w:b/>
          <w:bCs/>
          <w:color w:val="auto"/>
          <w:szCs w:val="21"/>
          <w:highlight w:val="none"/>
        </w:rPr>
      </w:pPr>
    </w:p>
    <w:p>
      <w:pPr>
        <w:pStyle w:val="23"/>
        <w:rPr>
          <w:rFonts w:ascii="宋体" w:hAnsi="宋体" w:cs="宋体"/>
          <w:b/>
          <w:bCs/>
          <w:color w:val="auto"/>
          <w:szCs w:val="21"/>
          <w:highlight w:val="none"/>
        </w:rPr>
      </w:pPr>
    </w:p>
    <w:p>
      <w:pPr>
        <w:pStyle w:val="24"/>
        <w:rPr>
          <w:color w:val="auto"/>
          <w:highlight w:val="none"/>
        </w:rPr>
      </w:pPr>
    </w:p>
    <w:p>
      <w:pPr>
        <w:adjustRightInd/>
        <w:spacing w:line="360" w:lineRule="auto"/>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招标文件</w:t>
      </w:r>
    </w:p>
    <w:p>
      <w:pPr>
        <w:adjustRightInd/>
        <w:spacing w:line="360" w:lineRule="auto"/>
        <w:jc w:val="center"/>
        <w:rPr>
          <w:rFonts w:cs="Calibri"/>
          <w:color w:val="auto"/>
          <w:szCs w:val="21"/>
          <w:highlight w:val="none"/>
        </w:rPr>
      </w:pPr>
    </w:p>
    <w:p>
      <w:pPr>
        <w:spacing w:line="360" w:lineRule="auto"/>
        <w:rPr>
          <w:color w:val="auto"/>
          <w:sz w:val="44"/>
          <w:szCs w:val="44"/>
          <w:highlight w:val="none"/>
        </w:rPr>
      </w:pPr>
    </w:p>
    <w:p>
      <w:pPr>
        <w:adjustRightInd/>
        <w:spacing w:line="360" w:lineRule="auto"/>
        <w:jc w:val="center"/>
        <w:rPr>
          <w:rFonts w:ascii="宋体" w:hAnsi="宋体" w:cs="宋体"/>
          <w:b/>
          <w:color w:val="auto"/>
          <w:szCs w:val="21"/>
          <w:highlight w:val="none"/>
        </w:rPr>
      </w:pPr>
      <w:r>
        <w:rPr>
          <w:rFonts w:hint="eastAsia" w:ascii="宋体" w:hAnsi="宋体" w:cs="宋体"/>
          <w:b/>
          <w:color w:val="auto"/>
          <w:sz w:val="44"/>
          <w:szCs w:val="44"/>
          <w:highlight w:val="none"/>
        </w:rPr>
        <w:t>（电子招投标）</w:t>
      </w:r>
    </w:p>
    <w:p>
      <w:pPr>
        <w:snapToGrid w:val="0"/>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CFZB-20240715-TXZF1</w:t>
      </w:r>
    </w:p>
    <w:p>
      <w:pPr>
        <w:adjustRightInd/>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napToGrid w:val="0"/>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杭州市临平区塘栖镇人民政府</w:t>
      </w:r>
    </w:p>
    <w:p>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杭州创丰招标代理有限公司</w:t>
      </w:r>
    </w:p>
    <w:p>
      <w:pPr>
        <w:spacing w:line="360" w:lineRule="auto"/>
        <w:rPr>
          <w:color w:val="auto"/>
          <w:sz w:val="32"/>
          <w:szCs w:val="32"/>
          <w:highlight w:val="none"/>
        </w:rPr>
      </w:pP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二〇二四年</w:t>
      </w:r>
      <w:r>
        <w:rPr>
          <w:rFonts w:hint="eastAsia" w:ascii="宋体" w:hAnsi="宋体" w:cs="宋体"/>
          <w:b/>
          <w:bCs/>
          <w:color w:val="auto"/>
          <w:sz w:val="32"/>
          <w:szCs w:val="32"/>
          <w:highlight w:val="none"/>
          <w:lang w:val="en-US" w:eastAsia="zh-CN"/>
        </w:rPr>
        <w:t>八</w:t>
      </w:r>
      <w:r>
        <w:rPr>
          <w:rFonts w:hint="eastAsia" w:ascii="宋体" w:hAnsi="宋体" w:cs="宋体"/>
          <w:b/>
          <w:bCs/>
          <w:color w:val="auto"/>
          <w:sz w:val="32"/>
          <w:szCs w:val="32"/>
          <w:highlight w:val="none"/>
        </w:rPr>
        <w:t>月</w:t>
      </w:r>
    </w:p>
    <w:p>
      <w:pPr>
        <w:spacing w:line="360" w:lineRule="auto"/>
        <w:jc w:val="center"/>
        <w:rPr>
          <w:rFonts w:ascii="宋体" w:hAnsi="宋体" w:cs="宋体"/>
          <w:color w:val="auto"/>
          <w:szCs w:val="21"/>
          <w:highlight w:val="none"/>
        </w:rPr>
        <w:sectPr>
          <w:headerReference r:id="rId4" w:type="first"/>
          <w:headerReference r:id="rId3" w:type="default"/>
          <w:footerReference r:id="rId5" w:type="even"/>
          <w:pgSz w:w="11906" w:h="16838"/>
          <w:pgMar w:top="680" w:right="1418" w:bottom="468" w:left="1418" w:header="851" w:footer="992" w:gutter="0"/>
          <w:pgBorders>
            <w:top w:val="none" w:sz="0" w:space="0"/>
            <w:left w:val="none" w:sz="0" w:space="0"/>
            <w:bottom w:val="none" w:sz="0" w:space="0"/>
            <w:right w:val="none" w:sz="0" w:space="0"/>
          </w:pgBorders>
          <w:cols w:space="720" w:num="1"/>
          <w:docGrid w:linePitch="312" w:charSpace="0"/>
        </w:sectPr>
      </w:pPr>
    </w:p>
    <w:p>
      <w:pPr>
        <w:spacing w:line="360" w:lineRule="auto"/>
        <w:rPr>
          <w:color w:val="auto"/>
          <w:szCs w:val="21"/>
          <w:highlight w:val="none"/>
        </w:rPr>
      </w:pPr>
      <w:bookmarkStart w:id="0" w:name="_Toc3116"/>
    </w:p>
    <w:p>
      <w:pPr>
        <w:pStyle w:val="3"/>
        <w:rPr>
          <w:rFonts w:ascii="宋体" w:hAnsi="宋体" w:cs="宋体"/>
          <w:color w:val="auto"/>
          <w:sz w:val="30"/>
          <w:szCs w:val="30"/>
          <w:highlight w:val="none"/>
        </w:rPr>
      </w:pPr>
      <w:bookmarkStart w:id="1" w:name="_Toc28848"/>
      <w:r>
        <w:rPr>
          <w:rFonts w:hint="eastAsia" w:ascii="宋体" w:hAnsi="宋体" w:cs="宋体"/>
          <w:color w:val="auto"/>
          <w:sz w:val="30"/>
          <w:szCs w:val="30"/>
          <w:highlight w:val="none"/>
        </w:rPr>
        <w:t>目  录</w:t>
      </w:r>
      <w:bookmarkEnd w:id="0"/>
      <w:bookmarkEnd w:id="1"/>
    </w:p>
    <w:sdt>
      <w:sdtPr>
        <w:rPr>
          <w:rFonts w:ascii="宋体" w:hAnsi="宋体"/>
          <w:color w:val="auto"/>
          <w:szCs w:val="21"/>
          <w:highlight w:val="none"/>
        </w:rPr>
        <w:id w:val="147476306"/>
        <w15:color w:val="DBDBDB"/>
        <w:docPartObj>
          <w:docPartGallery w:val="Table of Contents"/>
          <w:docPartUnique/>
        </w:docPartObj>
      </w:sdtPr>
      <w:sdtEndPr>
        <w:rPr>
          <w:rFonts w:hint="eastAsia" w:ascii="宋体" w:hAnsi="宋体" w:cs="宋体"/>
          <w:b/>
          <w:bCs/>
          <w:color w:val="auto"/>
          <w:szCs w:val="21"/>
          <w:highlight w:val="none"/>
        </w:rPr>
      </w:sdtEndPr>
      <w:sdtContent>
        <w:p>
          <w:pPr>
            <w:spacing w:line="360" w:lineRule="auto"/>
            <w:jc w:val="center"/>
            <w:rPr>
              <w:color w:val="auto"/>
              <w:szCs w:val="21"/>
              <w:highlight w:val="none"/>
            </w:rPr>
          </w:pPr>
        </w:p>
        <w:p>
          <w:pPr>
            <w:pStyle w:val="44"/>
            <w:tabs>
              <w:tab w:val="right" w:leader="dot" w:pos="9070"/>
            </w:tabs>
            <w:spacing w:line="360" w:lineRule="auto"/>
            <w:rPr>
              <w:b/>
              <w:bCs/>
              <w:color w:val="auto"/>
              <w:szCs w:val="21"/>
              <w:highlight w:val="none"/>
            </w:rPr>
          </w:pP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TOC \o "1-1" \h \u </w:instrText>
          </w:r>
          <w:r>
            <w:rPr>
              <w:rFonts w:hint="eastAsia" w:ascii="宋体" w:hAnsi="宋体" w:cs="宋体"/>
              <w:b/>
              <w:bCs/>
              <w:color w:val="auto"/>
              <w:szCs w:val="21"/>
              <w:highlight w:val="none"/>
            </w:rPr>
            <w:fldChar w:fldCharType="separate"/>
          </w:r>
          <w:r>
            <w:rPr>
              <w:color w:val="auto"/>
              <w:highlight w:val="none"/>
            </w:rPr>
            <w:fldChar w:fldCharType="begin"/>
          </w:r>
          <w:r>
            <w:rPr>
              <w:color w:val="auto"/>
              <w:highlight w:val="none"/>
            </w:rPr>
            <w:instrText xml:space="preserve"> HYPERLINK \l "_Toc32009" </w:instrText>
          </w:r>
          <w:r>
            <w:rPr>
              <w:color w:val="auto"/>
              <w:highlight w:val="none"/>
            </w:rPr>
            <w:fldChar w:fldCharType="separate"/>
          </w:r>
          <w:r>
            <w:rPr>
              <w:rFonts w:hint="eastAsia" w:ascii="宋体" w:hAnsi="宋体" w:cs="宋体"/>
              <w:b/>
              <w:bCs/>
              <w:color w:val="auto"/>
              <w:szCs w:val="21"/>
              <w:highlight w:val="none"/>
            </w:rPr>
            <w:t>第一部分 招标公告</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_Toc32009 \h </w:instrText>
          </w:r>
          <w:r>
            <w:rPr>
              <w:b/>
              <w:bCs/>
              <w:color w:val="auto"/>
              <w:szCs w:val="21"/>
              <w:highlight w:val="none"/>
            </w:rPr>
            <w:fldChar w:fldCharType="separate"/>
          </w:r>
          <w:r>
            <w:rPr>
              <w:b/>
              <w:bCs/>
              <w:color w:val="auto"/>
              <w:szCs w:val="21"/>
              <w:highlight w:val="none"/>
            </w:rPr>
            <w:t>3</w:t>
          </w:r>
          <w:r>
            <w:rPr>
              <w:b/>
              <w:bCs/>
              <w:color w:val="auto"/>
              <w:szCs w:val="21"/>
              <w:highlight w:val="none"/>
            </w:rPr>
            <w:fldChar w:fldCharType="end"/>
          </w:r>
          <w:r>
            <w:rPr>
              <w:b/>
              <w:bCs/>
              <w:color w:val="auto"/>
              <w:szCs w:val="21"/>
              <w:highlight w:val="none"/>
            </w:rPr>
            <w:fldChar w:fldCharType="end"/>
          </w:r>
        </w:p>
        <w:p>
          <w:pPr>
            <w:pStyle w:val="44"/>
            <w:tabs>
              <w:tab w:val="right" w:leader="dot" w:pos="9070"/>
            </w:tabs>
            <w:spacing w:line="360" w:lineRule="auto"/>
            <w:rPr>
              <w:b/>
              <w:bCs/>
              <w:color w:val="auto"/>
              <w:szCs w:val="21"/>
              <w:highlight w:val="none"/>
            </w:rPr>
          </w:pPr>
          <w:r>
            <w:rPr>
              <w:color w:val="auto"/>
              <w:highlight w:val="none"/>
            </w:rPr>
            <w:fldChar w:fldCharType="begin"/>
          </w:r>
          <w:r>
            <w:rPr>
              <w:color w:val="auto"/>
              <w:highlight w:val="none"/>
            </w:rPr>
            <w:instrText xml:space="preserve"> HYPERLINK \l "_Toc27473" </w:instrText>
          </w:r>
          <w:r>
            <w:rPr>
              <w:color w:val="auto"/>
              <w:highlight w:val="none"/>
            </w:rPr>
            <w:fldChar w:fldCharType="separate"/>
          </w:r>
          <w:r>
            <w:rPr>
              <w:rFonts w:hint="eastAsia" w:ascii="宋体" w:hAnsi="宋体" w:cs="宋体"/>
              <w:b/>
              <w:bCs/>
              <w:color w:val="auto"/>
              <w:szCs w:val="21"/>
              <w:highlight w:val="none"/>
            </w:rPr>
            <w:t>第二部分 投标人须知</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_Toc27473 \h </w:instrText>
          </w:r>
          <w:r>
            <w:rPr>
              <w:b/>
              <w:bCs/>
              <w:color w:val="auto"/>
              <w:szCs w:val="21"/>
              <w:highlight w:val="none"/>
            </w:rPr>
            <w:fldChar w:fldCharType="separate"/>
          </w:r>
          <w:r>
            <w:rPr>
              <w:b/>
              <w:bCs/>
              <w:color w:val="auto"/>
              <w:szCs w:val="21"/>
              <w:highlight w:val="none"/>
            </w:rPr>
            <w:t>8</w:t>
          </w:r>
          <w:r>
            <w:rPr>
              <w:b/>
              <w:bCs/>
              <w:color w:val="auto"/>
              <w:szCs w:val="21"/>
              <w:highlight w:val="none"/>
            </w:rPr>
            <w:fldChar w:fldCharType="end"/>
          </w:r>
          <w:r>
            <w:rPr>
              <w:b/>
              <w:bCs/>
              <w:color w:val="auto"/>
              <w:szCs w:val="21"/>
              <w:highlight w:val="none"/>
            </w:rPr>
            <w:fldChar w:fldCharType="end"/>
          </w:r>
        </w:p>
        <w:p>
          <w:pPr>
            <w:pStyle w:val="44"/>
            <w:tabs>
              <w:tab w:val="right" w:leader="dot" w:pos="9070"/>
            </w:tabs>
            <w:spacing w:line="360" w:lineRule="auto"/>
            <w:rPr>
              <w:b/>
              <w:bCs/>
              <w:color w:val="auto"/>
              <w:szCs w:val="21"/>
              <w:highlight w:val="none"/>
            </w:rPr>
          </w:pPr>
          <w:r>
            <w:rPr>
              <w:color w:val="auto"/>
              <w:highlight w:val="none"/>
            </w:rPr>
            <w:fldChar w:fldCharType="begin"/>
          </w:r>
          <w:r>
            <w:rPr>
              <w:color w:val="auto"/>
              <w:highlight w:val="none"/>
            </w:rPr>
            <w:instrText xml:space="preserve"> HYPERLINK \l "_Toc19952" </w:instrText>
          </w:r>
          <w:r>
            <w:rPr>
              <w:color w:val="auto"/>
              <w:highlight w:val="none"/>
            </w:rPr>
            <w:fldChar w:fldCharType="separate"/>
          </w:r>
          <w:r>
            <w:rPr>
              <w:rFonts w:hint="eastAsia" w:ascii="宋体" w:hAnsi="宋体" w:cs="宋体"/>
              <w:b/>
              <w:bCs/>
              <w:color w:val="auto"/>
              <w:szCs w:val="21"/>
              <w:highlight w:val="none"/>
            </w:rPr>
            <w:t>第三部分 采购需求</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_Toc19952 \h </w:instrText>
          </w:r>
          <w:r>
            <w:rPr>
              <w:b/>
              <w:bCs/>
              <w:color w:val="auto"/>
              <w:szCs w:val="21"/>
              <w:highlight w:val="none"/>
            </w:rPr>
            <w:fldChar w:fldCharType="separate"/>
          </w:r>
          <w:r>
            <w:rPr>
              <w:b/>
              <w:bCs/>
              <w:color w:val="auto"/>
              <w:szCs w:val="21"/>
              <w:highlight w:val="none"/>
            </w:rPr>
            <w:t>23</w:t>
          </w:r>
          <w:r>
            <w:rPr>
              <w:b/>
              <w:bCs/>
              <w:color w:val="auto"/>
              <w:szCs w:val="21"/>
              <w:highlight w:val="none"/>
            </w:rPr>
            <w:fldChar w:fldCharType="end"/>
          </w:r>
          <w:r>
            <w:rPr>
              <w:b/>
              <w:bCs/>
              <w:color w:val="auto"/>
              <w:szCs w:val="21"/>
              <w:highlight w:val="none"/>
            </w:rPr>
            <w:fldChar w:fldCharType="end"/>
          </w:r>
        </w:p>
        <w:p>
          <w:pPr>
            <w:pStyle w:val="44"/>
            <w:tabs>
              <w:tab w:val="right" w:leader="dot" w:pos="9070"/>
            </w:tabs>
            <w:spacing w:line="360" w:lineRule="auto"/>
            <w:rPr>
              <w:b/>
              <w:bCs/>
              <w:color w:val="auto"/>
              <w:szCs w:val="21"/>
              <w:highlight w:val="none"/>
            </w:rPr>
          </w:pPr>
          <w:r>
            <w:rPr>
              <w:color w:val="auto"/>
              <w:highlight w:val="none"/>
            </w:rPr>
            <w:fldChar w:fldCharType="begin"/>
          </w:r>
          <w:r>
            <w:rPr>
              <w:color w:val="auto"/>
              <w:highlight w:val="none"/>
            </w:rPr>
            <w:instrText xml:space="preserve"> HYPERLINK \l "_Toc10078" </w:instrText>
          </w:r>
          <w:r>
            <w:rPr>
              <w:color w:val="auto"/>
              <w:highlight w:val="none"/>
            </w:rPr>
            <w:fldChar w:fldCharType="separate"/>
          </w:r>
          <w:r>
            <w:rPr>
              <w:rFonts w:hint="eastAsia" w:ascii="宋体" w:hAnsi="宋体" w:cs="宋体"/>
              <w:b/>
              <w:bCs/>
              <w:color w:val="auto"/>
              <w:szCs w:val="21"/>
              <w:highlight w:val="none"/>
            </w:rPr>
            <w:t>第四部分 评标办法</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_Toc10078 \h </w:instrText>
          </w:r>
          <w:r>
            <w:rPr>
              <w:b/>
              <w:bCs/>
              <w:color w:val="auto"/>
              <w:szCs w:val="21"/>
              <w:highlight w:val="none"/>
            </w:rPr>
            <w:fldChar w:fldCharType="separate"/>
          </w:r>
          <w:r>
            <w:rPr>
              <w:b/>
              <w:bCs/>
              <w:color w:val="auto"/>
              <w:szCs w:val="21"/>
              <w:highlight w:val="none"/>
            </w:rPr>
            <w:t>30</w:t>
          </w:r>
          <w:r>
            <w:rPr>
              <w:b/>
              <w:bCs/>
              <w:color w:val="auto"/>
              <w:szCs w:val="21"/>
              <w:highlight w:val="none"/>
            </w:rPr>
            <w:fldChar w:fldCharType="end"/>
          </w:r>
          <w:r>
            <w:rPr>
              <w:b/>
              <w:bCs/>
              <w:color w:val="auto"/>
              <w:szCs w:val="21"/>
              <w:highlight w:val="none"/>
            </w:rPr>
            <w:fldChar w:fldCharType="end"/>
          </w:r>
        </w:p>
        <w:p>
          <w:pPr>
            <w:pStyle w:val="44"/>
            <w:tabs>
              <w:tab w:val="right" w:leader="dot" w:pos="9070"/>
            </w:tabs>
            <w:spacing w:line="360" w:lineRule="auto"/>
            <w:rPr>
              <w:b/>
              <w:bCs/>
              <w:color w:val="auto"/>
              <w:szCs w:val="21"/>
              <w:highlight w:val="none"/>
            </w:rPr>
          </w:pPr>
          <w:r>
            <w:rPr>
              <w:color w:val="auto"/>
              <w:highlight w:val="none"/>
            </w:rPr>
            <w:fldChar w:fldCharType="begin"/>
          </w:r>
          <w:r>
            <w:rPr>
              <w:color w:val="auto"/>
              <w:highlight w:val="none"/>
            </w:rPr>
            <w:instrText xml:space="preserve"> HYPERLINK \l "_Toc14882" </w:instrText>
          </w:r>
          <w:r>
            <w:rPr>
              <w:color w:val="auto"/>
              <w:highlight w:val="none"/>
            </w:rPr>
            <w:fldChar w:fldCharType="separate"/>
          </w:r>
          <w:r>
            <w:rPr>
              <w:rFonts w:hint="eastAsia"/>
              <w:b/>
              <w:bCs/>
              <w:color w:val="auto"/>
              <w:szCs w:val="21"/>
              <w:highlight w:val="none"/>
            </w:rPr>
            <w:t>第五部分 拟签订的合同文本</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_Toc14882 \h </w:instrText>
          </w:r>
          <w:r>
            <w:rPr>
              <w:b/>
              <w:bCs/>
              <w:color w:val="auto"/>
              <w:szCs w:val="21"/>
              <w:highlight w:val="none"/>
            </w:rPr>
            <w:fldChar w:fldCharType="separate"/>
          </w:r>
          <w:r>
            <w:rPr>
              <w:b/>
              <w:bCs/>
              <w:color w:val="auto"/>
              <w:szCs w:val="21"/>
              <w:highlight w:val="none"/>
            </w:rPr>
            <w:t>40</w:t>
          </w:r>
          <w:r>
            <w:rPr>
              <w:b/>
              <w:bCs/>
              <w:color w:val="auto"/>
              <w:szCs w:val="21"/>
              <w:highlight w:val="none"/>
            </w:rPr>
            <w:fldChar w:fldCharType="end"/>
          </w:r>
          <w:r>
            <w:rPr>
              <w:b/>
              <w:bCs/>
              <w:color w:val="auto"/>
              <w:szCs w:val="21"/>
              <w:highlight w:val="none"/>
            </w:rPr>
            <w:fldChar w:fldCharType="end"/>
          </w:r>
        </w:p>
        <w:p>
          <w:pPr>
            <w:pStyle w:val="44"/>
            <w:tabs>
              <w:tab w:val="right" w:leader="dot" w:pos="9070"/>
            </w:tabs>
            <w:spacing w:line="360" w:lineRule="auto"/>
            <w:rPr>
              <w:b/>
              <w:bCs/>
              <w:color w:val="auto"/>
              <w:szCs w:val="21"/>
              <w:highlight w:val="none"/>
            </w:rPr>
          </w:pPr>
          <w:r>
            <w:rPr>
              <w:color w:val="auto"/>
              <w:highlight w:val="none"/>
            </w:rPr>
            <w:fldChar w:fldCharType="begin"/>
          </w:r>
          <w:r>
            <w:rPr>
              <w:color w:val="auto"/>
              <w:highlight w:val="none"/>
            </w:rPr>
            <w:instrText xml:space="preserve"> HYPERLINK \l "_Toc31714" </w:instrText>
          </w:r>
          <w:r>
            <w:rPr>
              <w:color w:val="auto"/>
              <w:highlight w:val="none"/>
            </w:rPr>
            <w:fldChar w:fldCharType="separate"/>
          </w:r>
          <w:r>
            <w:rPr>
              <w:rFonts w:hint="eastAsia"/>
              <w:b/>
              <w:bCs/>
              <w:color w:val="auto"/>
              <w:szCs w:val="21"/>
              <w:highlight w:val="none"/>
            </w:rPr>
            <w:t>第六部分 应提交的有关格式范例</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_Toc31714 \h </w:instrText>
          </w:r>
          <w:r>
            <w:rPr>
              <w:b/>
              <w:bCs/>
              <w:color w:val="auto"/>
              <w:szCs w:val="21"/>
              <w:highlight w:val="none"/>
            </w:rPr>
            <w:fldChar w:fldCharType="separate"/>
          </w:r>
          <w:r>
            <w:rPr>
              <w:b/>
              <w:bCs/>
              <w:color w:val="auto"/>
              <w:szCs w:val="21"/>
              <w:highlight w:val="none"/>
            </w:rPr>
            <w:t>51</w:t>
          </w:r>
          <w:r>
            <w:rPr>
              <w:b/>
              <w:bCs/>
              <w:color w:val="auto"/>
              <w:szCs w:val="21"/>
              <w:highlight w:val="none"/>
            </w:rPr>
            <w:fldChar w:fldCharType="end"/>
          </w:r>
          <w:r>
            <w:rPr>
              <w:b/>
              <w:bCs/>
              <w:color w:val="auto"/>
              <w:szCs w:val="21"/>
              <w:highlight w:val="none"/>
            </w:rPr>
            <w:fldChar w:fldCharType="end"/>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fldChar w:fldCharType="end"/>
          </w:r>
        </w:p>
      </w:sdtContent>
    </w:sdt>
    <w:p>
      <w:pPr>
        <w:spacing w:line="360" w:lineRule="auto"/>
        <w:rPr>
          <w:rFonts w:ascii="宋体" w:hAnsi="宋体" w:cs="宋体"/>
          <w:color w:val="auto"/>
          <w:szCs w:val="21"/>
          <w:highlight w:val="none"/>
        </w:rPr>
      </w:pPr>
    </w:p>
    <w:p>
      <w:pPr>
        <w:spacing w:line="360" w:lineRule="auto"/>
        <w:ind w:firstLine="480" w:firstLineChars="229"/>
        <w:rPr>
          <w:rFonts w:ascii="宋体" w:hAnsi="宋体" w:cs="宋体"/>
          <w:color w:val="auto"/>
          <w:szCs w:val="21"/>
          <w:highlight w:val="none"/>
        </w:rPr>
      </w:pPr>
      <w:bookmarkStart w:id="2" w:name="_Hlt91233176"/>
      <w:bookmarkEnd w:id="2"/>
      <w:bookmarkStart w:id="3" w:name="_Toc91899869"/>
    </w:p>
    <w:p>
      <w:pPr>
        <w:spacing w:line="360" w:lineRule="auto"/>
        <w:ind w:firstLine="480" w:firstLineChars="229"/>
        <w:rPr>
          <w:rFonts w:ascii="宋体" w:hAnsi="宋体" w:cs="宋体"/>
          <w:color w:val="auto"/>
          <w:szCs w:val="21"/>
          <w:highlight w:val="none"/>
        </w:rPr>
      </w:pPr>
    </w:p>
    <w:p>
      <w:pPr>
        <w:spacing w:line="360" w:lineRule="auto"/>
        <w:ind w:firstLine="480" w:firstLineChars="229"/>
        <w:rPr>
          <w:rFonts w:ascii="宋体" w:hAnsi="宋体" w:cs="宋体"/>
          <w:color w:val="auto"/>
          <w:szCs w:val="21"/>
          <w:highlight w:val="none"/>
        </w:rPr>
      </w:pPr>
    </w:p>
    <w:p>
      <w:pPr>
        <w:spacing w:line="360" w:lineRule="auto"/>
        <w:ind w:firstLine="480" w:firstLineChars="229"/>
        <w:rPr>
          <w:rFonts w:ascii="宋体" w:hAnsi="宋体" w:cs="宋体"/>
          <w:color w:val="auto"/>
          <w:szCs w:val="21"/>
          <w:highlight w:val="none"/>
        </w:rPr>
      </w:pPr>
    </w:p>
    <w:p>
      <w:pPr>
        <w:spacing w:line="360" w:lineRule="auto"/>
        <w:ind w:firstLine="480" w:firstLineChars="229"/>
        <w:rPr>
          <w:rFonts w:ascii="宋体" w:hAnsi="宋体" w:cs="宋体"/>
          <w:color w:val="auto"/>
          <w:szCs w:val="21"/>
          <w:highlight w:val="none"/>
        </w:rPr>
      </w:pPr>
    </w:p>
    <w:p>
      <w:pPr>
        <w:spacing w:line="360" w:lineRule="auto"/>
        <w:ind w:firstLine="480" w:firstLineChars="229"/>
        <w:rPr>
          <w:rFonts w:ascii="宋体" w:hAnsi="宋体" w:cs="宋体"/>
          <w:color w:val="auto"/>
          <w:szCs w:val="21"/>
          <w:highlight w:val="none"/>
        </w:rPr>
      </w:pPr>
    </w:p>
    <w:p>
      <w:pPr>
        <w:spacing w:line="360" w:lineRule="auto"/>
        <w:ind w:firstLine="480" w:firstLineChars="229"/>
        <w:rPr>
          <w:rFonts w:ascii="宋体" w:hAnsi="宋体" w:cs="宋体"/>
          <w:color w:val="auto"/>
          <w:szCs w:val="21"/>
          <w:highlight w:val="none"/>
        </w:rPr>
      </w:pPr>
    </w:p>
    <w:p>
      <w:pPr>
        <w:spacing w:line="360" w:lineRule="auto"/>
        <w:ind w:firstLine="480" w:firstLineChars="229"/>
        <w:rPr>
          <w:rFonts w:ascii="宋体" w:hAnsi="宋体" w:cs="宋体"/>
          <w:color w:val="auto"/>
          <w:szCs w:val="21"/>
          <w:highlight w:val="none"/>
        </w:rPr>
      </w:pPr>
    </w:p>
    <w:p>
      <w:pPr>
        <w:spacing w:line="360" w:lineRule="auto"/>
        <w:ind w:firstLine="480" w:firstLineChars="229"/>
        <w:rPr>
          <w:rFonts w:ascii="宋体" w:hAnsi="宋体" w:cs="宋体"/>
          <w:color w:val="auto"/>
          <w:szCs w:val="21"/>
          <w:highlight w:val="none"/>
        </w:rPr>
      </w:pPr>
    </w:p>
    <w:p>
      <w:pPr>
        <w:spacing w:line="360" w:lineRule="auto"/>
        <w:ind w:firstLine="480" w:firstLineChars="229"/>
        <w:rPr>
          <w:rFonts w:ascii="宋体" w:hAnsi="宋体" w:cs="宋体"/>
          <w:color w:val="auto"/>
          <w:szCs w:val="21"/>
          <w:highlight w:val="none"/>
        </w:rPr>
      </w:pPr>
    </w:p>
    <w:p>
      <w:pPr>
        <w:spacing w:line="360" w:lineRule="auto"/>
        <w:ind w:firstLine="480" w:firstLineChars="229"/>
        <w:rPr>
          <w:rFonts w:ascii="宋体" w:hAnsi="宋体" w:cs="宋体"/>
          <w:color w:val="auto"/>
          <w:szCs w:val="21"/>
          <w:highlight w:val="none"/>
        </w:rPr>
      </w:pPr>
    </w:p>
    <w:p>
      <w:pPr>
        <w:spacing w:line="360" w:lineRule="auto"/>
        <w:ind w:firstLine="480" w:firstLineChars="229"/>
        <w:rPr>
          <w:rFonts w:ascii="宋体" w:hAnsi="宋体" w:cs="宋体"/>
          <w:color w:val="auto"/>
          <w:szCs w:val="21"/>
          <w:highlight w:val="none"/>
        </w:rPr>
      </w:pPr>
    </w:p>
    <w:p>
      <w:pPr>
        <w:spacing w:line="360" w:lineRule="auto"/>
        <w:ind w:firstLine="480" w:firstLineChars="229"/>
        <w:rPr>
          <w:rFonts w:ascii="宋体" w:hAnsi="宋体" w:cs="宋体"/>
          <w:color w:val="auto"/>
          <w:szCs w:val="21"/>
          <w:highlight w:val="none"/>
        </w:rPr>
      </w:pPr>
    </w:p>
    <w:p>
      <w:pPr>
        <w:spacing w:line="360" w:lineRule="auto"/>
        <w:rPr>
          <w:rFonts w:ascii="宋体" w:hAnsi="宋体" w:cs="宋体"/>
          <w:color w:val="auto"/>
          <w:szCs w:val="21"/>
          <w:highlight w:val="none"/>
        </w:rPr>
      </w:pPr>
    </w:p>
    <w:p>
      <w:pPr>
        <w:adjustRightInd/>
        <w:spacing w:line="360" w:lineRule="auto"/>
        <w:jc w:val="center"/>
        <w:outlineLvl w:val="0"/>
        <w:rPr>
          <w:rFonts w:ascii="宋体" w:hAnsi="宋体" w:cs="宋体"/>
          <w:b/>
          <w:color w:val="auto"/>
          <w:szCs w:val="21"/>
          <w:highlight w:val="none"/>
        </w:rPr>
      </w:pPr>
      <w:bookmarkStart w:id="4" w:name="第一部分"/>
      <w:r>
        <w:rPr>
          <w:rFonts w:hint="eastAsia" w:ascii="宋体" w:hAnsi="宋体" w:cs="宋体"/>
          <w:b/>
          <w:color w:val="auto"/>
          <w:szCs w:val="21"/>
          <w:highlight w:val="none"/>
        </w:rPr>
        <w:br w:type="page"/>
      </w:r>
      <w:bookmarkEnd w:id="3"/>
      <w:bookmarkEnd w:id="4"/>
      <w:bookmarkStart w:id="5" w:name="_Hlt74649545"/>
      <w:bookmarkEnd w:id="5"/>
      <w:bookmarkStart w:id="6" w:name="_Hlt74729822"/>
      <w:bookmarkEnd w:id="6"/>
      <w:bookmarkStart w:id="7" w:name="_Hlt74728647"/>
      <w:bookmarkEnd w:id="7"/>
      <w:bookmarkStart w:id="8" w:name="_Hlt74707423"/>
      <w:bookmarkEnd w:id="8"/>
      <w:bookmarkStart w:id="9" w:name="_Toc32009"/>
      <w:bookmarkStart w:id="10" w:name="第二部分"/>
      <w:bookmarkStart w:id="11" w:name="_Toc91899870"/>
      <w:bookmarkStart w:id="12" w:name="_Toc91899871"/>
      <w:r>
        <w:rPr>
          <w:rStyle w:val="87"/>
          <w:rFonts w:hint="eastAsia" w:ascii="宋体" w:hAnsi="宋体" w:cs="宋体"/>
          <w:color w:val="auto"/>
          <w:sz w:val="28"/>
          <w:szCs w:val="28"/>
          <w:highlight w:val="none"/>
        </w:rPr>
        <w:t>第一部分 招标公告</w:t>
      </w:r>
      <w:bookmarkEnd w:id="9"/>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lang w:eastAsia="zh-CN"/>
        </w:rPr>
        <w:t>2024年塘栖镇养老电子津贴政府采购</w:t>
      </w:r>
      <w:r>
        <w:rPr>
          <w:rFonts w:hint="eastAsia" w:ascii="宋体" w:hAnsi="宋体" w:cs="宋体"/>
          <w:color w:val="auto"/>
          <w:szCs w:val="21"/>
          <w:highlight w:val="none"/>
          <w:u w:val="single"/>
        </w:rPr>
        <w:t>项目</w:t>
      </w:r>
      <w:r>
        <w:rPr>
          <w:rFonts w:hint="eastAsia" w:ascii="宋体" w:hAnsi="宋体" w:cs="宋体"/>
          <w:color w:val="auto"/>
          <w:szCs w:val="21"/>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0分</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00秒</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一、项目基本情况</w:t>
      </w:r>
    </w:p>
    <w:p>
      <w:pPr>
        <w:spacing w:line="360" w:lineRule="auto"/>
        <w:ind w:firstLine="420" w:firstLineChars="200"/>
        <w:rPr>
          <w:rFonts w:hint="eastAsia" w:ascii="宋体" w:hAnsi="宋体" w:eastAsia="宋体" w:cs="宋体"/>
          <w:b/>
          <w:bCs w:val="0"/>
          <w:color w:val="auto"/>
          <w:szCs w:val="21"/>
          <w:highlight w:val="none"/>
          <w:lang w:eastAsia="zh-CN"/>
        </w:rPr>
      </w:pPr>
      <w:r>
        <w:rPr>
          <w:rFonts w:hint="eastAsia" w:ascii="宋体" w:hAnsi="宋体" w:cs="宋体"/>
          <w:b/>
          <w:color w:val="auto"/>
          <w:szCs w:val="21"/>
          <w:highlight w:val="none"/>
        </w:rPr>
        <w:t>项目编号：</w:t>
      </w:r>
      <w:r>
        <w:rPr>
          <w:rFonts w:hint="eastAsia" w:ascii="宋体" w:hAnsi="宋体" w:cs="宋体"/>
          <w:b/>
          <w:bCs w:val="0"/>
          <w:color w:val="auto"/>
          <w:szCs w:val="21"/>
          <w:highlight w:val="none"/>
          <w:lang w:eastAsia="zh-CN"/>
        </w:rPr>
        <w:t>CFZB-20240715-TXZF1</w:t>
      </w:r>
    </w:p>
    <w:p>
      <w:pPr>
        <w:spacing w:line="360" w:lineRule="auto"/>
        <w:ind w:firstLine="420" w:firstLineChars="200"/>
        <w:rPr>
          <w:rFonts w:hint="eastAsia" w:ascii="宋体" w:hAnsi="宋体" w:cs="宋体"/>
          <w:b/>
          <w:bCs w:val="0"/>
          <w:color w:val="auto"/>
          <w:szCs w:val="21"/>
          <w:highlight w:val="none"/>
        </w:rPr>
      </w:pPr>
      <w:r>
        <w:rPr>
          <w:rFonts w:hint="eastAsia" w:ascii="宋体" w:hAnsi="宋体" w:cs="宋体"/>
          <w:b/>
          <w:color w:val="auto"/>
          <w:szCs w:val="21"/>
          <w:highlight w:val="none"/>
        </w:rPr>
        <w:t>项目名称：</w:t>
      </w:r>
      <w:r>
        <w:rPr>
          <w:rFonts w:hint="eastAsia" w:ascii="宋体" w:hAnsi="宋体" w:cs="宋体"/>
          <w:b/>
          <w:bCs w:val="0"/>
          <w:color w:val="auto"/>
          <w:szCs w:val="21"/>
          <w:highlight w:val="none"/>
          <w:lang w:eastAsia="zh-CN"/>
        </w:rPr>
        <w:t>2024年塘栖镇养老电子津贴政府采购</w:t>
      </w:r>
      <w:r>
        <w:rPr>
          <w:rFonts w:hint="eastAsia" w:ascii="宋体" w:hAnsi="宋体" w:cs="宋体"/>
          <w:b/>
          <w:bCs w:val="0"/>
          <w:color w:val="auto"/>
          <w:szCs w:val="21"/>
          <w:highlight w:val="none"/>
        </w:rPr>
        <w:t>项目</w:t>
      </w:r>
    </w:p>
    <w:p>
      <w:pPr>
        <w:spacing w:line="360" w:lineRule="auto"/>
        <w:ind w:firstLine="420" w:firstLineChars="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预算金额（元）</w:t>
      </w:r>
      <w:r>
        <w:rPr>
          <w:rFonts w:hint="eastAsia" w:ascii="宋体" w:hAnsi="宋体" w:cs="宋体"/>
          <w:b/>
          <w:bCs w:val="0"/>
          <w:color w:val="auto"/>
          <w:szCs w:val="21"/>
          <w:highlight w:val="none"/>
        </w:rPr>
        <w:t>：</w:t>
      </w:r>
      <w:r>
        <w:rPr>
          <w:rFonts w:hint="eastAsia" w:ascii="宋体" w:hAnsi="宋体" w:cs="宋体"/>
          <w:b/>
          <w:color w:val="auto"/>
          <w:sz w:val="21"/>
          <w:szCs w:val="21"/>
          <w:highlight w:val="none"/>
          <w:lang w:val="en-US" w:eastAsia="zh-CN"/>
        </w:rPr>
        <w:t>10000000</w:t>
      </w:r>
    </w:p>
    <w:p>
      <w:pPr>
        <w:spacing w:line="360" w:lineRule="auto"/>
        <w:ind w:firstLine="420" w:firstLineChars="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最高限价（元）</w:t>
      </w:r>
      <w:r>
        <w:rPr>
          <w:rFonts w:hint="eastAsia" w:ascii="宋体" w:hAnsi="宋体" w:cs="宋体"/>
          <w:b/>
          <w:bCs w:val="0"/>
          <w:color w:val="auto"/>
          <w:szCs w:val="21"/>
          <w:highlight w:val="none"/>
        </w:rPr>
        <w:t>：</w:t>
      </w:r>
      <w:r>
        <w:rPr>
          <w:rFonts w:hint="eastAsia" w:ascii="宋体" w:hAnsi="宋体" w:cs="宋体"/>
          <w:b/>
          <w:bCs w:val="0"/>
          <w:color w:val="auto"/>
          <w:szCs w:val="21"/>
          <w:highlight w:val="none"/>
          <w:lang w:val="en-US" w:eastAsia="zh-CN"/>
        </w:rPr>
        <w:t>2020000，1980000，1940000，2060000，2000000</w:t>
      </w:r>
    </w:p>
    <w:p>
      <w:pPr>
        <w:spacing w:line="360" w:lineRule="auto"/>
        <w:ind w:firstLine="420" w:firstLineChars="200"/>
        <w:rPr>
          <w:rFonts w:hint="eastAsia" w:ascii="宋体" w:hAnsi="宋体" w:eastAsia="宋体" w:cs="宋体"/>
          <w:b/>
          <w:bCs w:val="0"/>
          <w:color w:val="auto"/>
          <w:kern w:val="2"/>
          <w:sz w:val="21"/>
          <w:szCs w:val="21"/>
          <w:highlight w:val="none"/>
          <w:u w:val="none"/>
          <w:lang w:val="en-US" w:eastAsia="zh-CN" w:bidi="ar-SA"/>
        </w:rPr>
      </w:pPr>
      <w:r>
        <w:rPr>
          <w:rFonts w:hint="eastAsia" w:ascii="宋体" w:hAnsi="宋体" w:eastAsia="宋体" w:cs="宋体"/>
          <w:b/>
          <w:color w:val="auto"/>
          <w:sz w:val="21"/>
          <w:szCs w:val="21"/>
          <w:highlight w:val="none"/>
        </w:rPr>
        <w:t>采购需求：</w:t>
      </w:r>
      <w:r>
        <w:rPr>
          <w:rFonts w:hint="eastAsia" w:ascii="宋体" w:hAnsi="宋体" w:cs="宋体"/>
          <w:b w:val="0"/>
          <w:bCs/>
          <w:color w:val="auto"/>
          <w:szCs w:val="21"/>
          <w:highlight w:val="none"/>
          <w:lang w:eastAsia="zh-CN"/>
        </w:rPr>
        <w:t>塘栖镇养老电子津贴政府采购</w:t>
      </w:r>
      <w:r>
        <w:rPr>
          <w:rFonts w:hint="eastAsia" w:ascii="宋体" w:hAnsi="宋体" w:cs="宋体"/>
          <w:b w:val="0"/>
          <w:bCs/>
          <w:color w:val="auto"/>
          <w:szCs w:val="21"/>
          <w:highlight w:val="none"/>
        </w:rPr>
        <w:t>项目</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具体以招标文件第三部分采购需求为准，供应商可点击本公告下方“浏览采购文件”查看采购需求。</w:t>
      </w:r>
    </w:p>
    <w:p>
      <w:pPr>
        <w:adjustRightInd w:val="0"/>
        <w:snapToGrid w:val="0"/>
        <w:spacing w:line="360" w:lineRule="auto"/>
        <w:ind w:firstLine="422"/>
        <w:rPr>
          <w:rFonts w:hint="eastAsia" w:ascii="宋体" w:hAnsi="宋体" w:eastAsia="宋体" w:cs="宋体"/>
          <w:b/>
          <w:color w:val="auto"/>
          <w:szCs w:val="21"/>
          <w:highlight w:val="none"/>
        </w:rPr>
      </w:pPr>
    </w:p>
    <w:p>
      <w:pPr>
        <w:adjustRightInd w:val="0"/>
        <w:snapToGrid w:val="0"/>
        <w:spacing w:line="360"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标项一</w:t>
      </w:r>
    </w:p>
    <w:p>
      <w:pPr>
        <w:adjustRightInd w:val="0"/>
        <w:snapToGrid w:val="0"/>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标项名称: </w:t>
      </w:r>
      <w:r>
        <w:rPr>
          <w:rFonts w:hint="eastAsia" w:ascii="宋体" w:hAnsi="宋体" w:cs="宋体"/>
          <w:b w:val="0"/>
          <w:bCs/>
          <w:color w:val="auto"/>
          <w:szCs w:val="21"/>
          <w:highlight w:val="none"/>
          <w:lang w:eastAsia="zh-CN"/>
        </w:rPr>
        <w:t>2024年塘栖镇养老电子津贴政府采购</w:t>
      </w:r>
      <w:r>
        <w:rPr>
          <w:rFonts w:hint="eastAsia" w:ascii="宋体" w:hAnsi="宋体" w:eastAsia="宋体" w:cs="宋体"/>
          <w:b w:val="0"/>
          <w:bCs/>
          <w:color w:val="auto"/>
          <w:szCs w:val="21"/>
          <w:highlight w:val="none"/>
        </w:rPr>
        <w:t>项目标项一</w:t>
      </w:r>
    </w:p>
    <w:p>
      <w:pPr>
        <w:adjustRightInd w:val="0"/>
        <w:snapToGrid w:val="0"/>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数量：1</w:t>
      </w:r>
    </w:p>
    <w:p>
      <w:pPr>
        <w:adjustRightInd w:val="0"/>
        <w:snapToGrid w:val="0"/>
        <w:spacing w:line="360" w:lineRule="auto"/>
        <w:ind w:firstLine="422"/>
        <w:rPr>
          <w:rFonts w:hint="default" w:ascii="宋体" w:hAnsi="宋体" w:eastAsia="宋体" w:cs="宋体"/>
          <w:b w:val="0"/>
          <w:bCs/>
          <w:color w:val="auto"/>
          <w:szCs w:val="21"/>
          <w:highlight w:val="none"/>
        </w:rPr>
      </w:pPr>
      <w:r>
        <w:rPr>
          <w:rFonts w:hint="eastAsia" w:ascii="宋体" w:hAnsi="宋体" w:eastAsia="宋体" w:cs="宋体"/>
          <w:b w:val="0"/>
          <w:bCs/>
          <w:color w:val="auto"/>
          <w:szCs w:val="21"/>
          <w:highlight w:val="none"/>
        </w:rPr>
        <w:t>预算金额（元）：</w:t>
      </w:r>
      <w:r>
        <w:rPr>
          <w:rFonts w:hint="eastAsia" w:ascii="宋体" w:hAnsi="宋体" w:cs="宋体"/>
          <w:b w:val="0"/>
          <w:bCs/>
          <w:color w:val="auto"/>
          <w:szCs w:val="21"/>
          <w:highlight w:val="none"/>
          <w:lang w:val="en-US" w:eastAsia="zh-CN"/>
        </w:rPr>
        <w:t>2020000</w:t>
      </w:r>
    </w:p>
    <w:p>
      <w:pPr>
        <w:adjustRightInd w:val="0"/>
        <w:snapToGrid w:val="0"/>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单位：项</w:t>
      </w:r>
    </w:p>
    <w:p>
      <w:pPr>
        <w:adjustRightInd w:val="0"/>
        <w:snapToGrid w:val="0"/>
        <w:spacing w:line="360" w:lineRule="auto"/>
        <w:ind w:firstLine="422"/>
        <w:rPr>
          <w:rFonts w:hint="eastAsia" w:ascii="宋体" w:hAnsi="宋体" w:cs="宋体"/>
          <w:b w:val="0"/>
          <w:bCs/>
          <w:color w:val="auto"/>
          <w:szCs w:val="21"/>
          <w:highlight w:val="none"/>
          <w:lang w:eastAsia="zh-CN"/>
        </w:rPr>
      </w:pPr>
      <w:r>
        <w:rPr>
          <w:rFonts w:hint="eastAsia" w:ascii="宋体" w:hAnsi="宋体" w:eastAsia="宋体" w:cs="宋体"/>
          <w:b w:val="0"/>
          <w:bCs/>
          <w:color w:val="auto"/>
          <w:szCs w:val="21"/>
          <w:highlight w:val="none"/>
        </w:rPr>
        <w:t>简要规格描述：服务内容主要为生活照料：为老年人提供助餐、助洁、助浴、助行、助急、助聊等生活服务；康复护理服务；精神慰藉服务等。服务范围：柴家坞村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超丁村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泰山村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丁河村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莲花社区</w:t>
      </w:r>
      <w:r>
        <w:rPr>
          <w:rFonts w:hint="eastAsia" w:ascii="宋体" w:hAnsi="宋体" w:cs="宋体"/>
          <w:b w:val="0"/>
          <w:bCs/>
          <w:color w:val="auto"/>
          <w:szCs w:val="21"/>
          <w:highlight w:val="none"/>
          <w:lang w:eastAsia="zh-CN"/>
        </w:rPr>
        <w:t>。</w:t>
      </w:r>
    </w:p>
    <w:p>
      <w:pPr>
        <w:adjustRightInd w:val="0"/>
        <w:snapToGrid w:val="0"/>
        <w:spacing w:line="360" w:lineRule="auto"/>
        <w:ind w:firstLine="422"/>
        <w:rPr>
          <w:rFonts w:hint="eastAsia"/>
          <w:color w:val="auto"/>
          <w:highlight w:val="none"/>
        </w:rPr>
      </w:pPr>
      <w:r>
        <w:rPr>
          <w:rFonts w:hint="eastAsia" w:ascii="宋体" w:hAnsi="宋体" w:eastAsia="宋体" w:cs="宋体"/>
          <w:b w:val="0"/>
          <w:bCs/>
          <w:color w:val="auto"/>
          <w:szCs w:val="21"/>
          <w:highlight w:val="none"/>
        </w:rPr>
        <w:t>备注：详见采购文件第三部分“</w:t>
      </w:r>
      <w:r>
        <w:rPr>
          <w:rFonts w:hint="eastAsia" w:ascii="宋体" w:hAnsi="宋体" w:cs="宋体"/>
          <w:b w:val="0"/>
          <w:bCs/>
          <w:color w:val="auto"/>
          <w:szCs w:val="21"/>
          <w:highlight w:val="none"/>
          <w:lang w:val="en-US" w:eastAsia="zh-CN"/>
        </w:rPr>
        <w:t>采购需求</w:t>
      </w:r>
      <w:r>
        <w:rPr>
          <w:rFonts w:hint="eastAsia" w:ascii="宋体" w:hAnsi="宋体" w:eastAsia="宋体" w:cs="宋体"/>
          <w:b w:val="0"/>
          <w:bCs/>
          <w:color w:val="auto"/>
          <w:szCs w:val="21"/>
          <w:highlight w:val="none"/>
        </w:rPr>
        <w:t>”</w:t>
      </w:r>
      <w:r>
        <w:rPr>
          <w:rFonts w:hint="eastAsia" w:ascii="宋体" w:hAnsi="宋体" w:cs="宋体"/>
          <w:b w:val="0"/>
          <w:bCs/>
          <w:color w:val="auto"/>
          <w:szCs w:val="21"/>
          <w:highlight w:val="none"/>
          <w:lang w:eastAsia="zh-CN"/>
        </w:rPr>
        <w:t>。</w:t>
      </w:r>
    </w:p>
    <w:p>
      <w:pPr>
        <w:adjustRightInd w:val="0"/>
        <w:snapToGrid w:val="0"/>
        <w:spacing w:line="360" w:lineRule="auto"/>
        <w:ind w:firstLine="422"/>
        <w:rPr>
          <w:rFonts w:hint="eastAsia" w:ascii="宋体" w:hAnsi="宋体" w:eastAsia="宋体" w:cs="宋体"/>
          <w:b/>
          <w:color w:val="auto"/>
          <w:szCs w:val="21"/>
          <w:highlight w:val="none"/>
        </w:rPr>
      </w:pPr>
    </w:p>
    <w:p>
      <w:pPr>
        <w:adjustRightInd w:val="0"/>
        <w:snapToGrid w:val="0"/>
        <w:spacing w:line="360"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标项二</w:t>
      </w:r>
    </w:p>
    <w:p>
      <w:pPr>
        <w:adjustRightInd w:val="0"/>
        <w:snapToGrid w:val="0"/>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标项名称:</w:t>
      </w:r>
      <w:r>
        <w:rPr>
          <w:rFonts w:hint="eastAsia" w:ascii="宋体" w:hAnsi="宋体" w:cs="宋体"/>
          <w:b w:val="0"/>
          <w:bCs/>
          <w:color w:val="auto"/>
          <w:szCs w:val="21"/>
          <w:highlight w:val="none"/>
          <w:lang w:eastAsia="zh-CN"/>
        </w:rPr>
        <w:t>2024年塘栖镇养老电子津贴政府采购</w:t>
      </w:r>
      <w:r>
        <w:rPr>
          <w:rFonts w:hint="eastAsia" w:ascii="宋体" w:hAnsi="宋体" w:eastAsia="宋体" w:cs="宋体"/>
          <w:b w:val="0"/>
          <w:bCs/>
          <w:color w:val="auto"/>
          <w:szCs w:val="21"/>
          <w:highlight w:val="none"/>
        </w:rPr>
        <w:t>项目标项二</w:t>
      </w:r>
    </w:p>
    <w:p>
      <w:pPr>
        <w:adjustRightInd w:val="0"/>
        <w:snapToGrid w:val="0"/>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数量：1</w:t>
      </w:r>
    </w:p>
    <w:p>
      <w:pPr>
        <w:adjustRightInd w:val="0"/>
        <w:snapToGrid w:val="0"/>
        <w:spacing w:line="360" w:lineRule="auto"/>
        <w:ind w:firstLine="422"/>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预算金额（元）：</w:t>
      </w:r>
      <w:r>
        <w:rPr>
          <w:rFonts w:hint="eastAsia" w:ascii="宋体" w:hAnsi="宋体" w:cs="宋体"/>
          <w:b w:val="0"/>
          <w:bCs/>
          <w:color w:val="auto"/>
          <w:szCs w:val="21"/>
          <w:highlight w:val="none"/>
          <w:lang w:val="en-US" w:eastAsia="zh-CN"/>
        </w:rPr>
        <w:t>1980000</w:t>
      </w:r>
    </w:p>
    <w:p>
      <w:pPr>
        <w:adjustRightInd w:val="0"/>
        <w:snapToGrid w:val="0"/>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单位：项 </w:t>
      </w:r>
    </w:p>
    <w:p>
      <w:pPr>
        <w:adjustRightInd w:val="0"/>
        <w:snapToGrid w:val="0"/>
        <w:spacing w:line="360" w:lineRule="auto"/>
        <w:ind w:firstLine="422"/>
        <w:rPr>
          <w:rFonts w:hint="eastAsia" w:ascii="宋体" w:hAnsi="宋体" w:cs="宋体"/>
          <w:b w:val="0"/>
          <w:bCs/>
          <w:color w:val="auto"/>
          <w:szCs w:val="21"/>
          <w:highlight w:val="none"/>
          <w:lang w:eastAsia="zh-CN"/>
        </w:rPr>
      </w:pPr>
      <w:r>
        <w:rPr>
          <w:rFonts w:hint="eastAsia" w:ascii="宋体" w:hAnsi="宋体" w:eastAsia="宋体" w:cs="宋体"/>
          <w:b w:val="0"/>
          <w:bCs/>
          <w:color w:val="auto"/>
          <w:szCs w:val="21"/>
          <w:highlight w:val="none"/>
        </w:rPr>
        <w:t>简要规格描述：服务内容主要为生活照料：为老年人提供助餐、助洁、助浴、助行、助急、助聊等生活服务；康复护理服务；精神慰藉服务等。服务范围：华城社区</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酒店埭社区</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河西埭村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宏磻村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莫家桥村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三星村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唐家埭村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西河村</w:t>
      </w:r>
      <w:r>
        <w:rPr>
          <w:rFonts w:hint="eastAsia" w:ascii="宋体" w:hAnsi="宋体" w:cs="宋体"/>
          <w:b w:val="0"/>
          <w:bCs/>
          <w:color w:val="auto"/>
          <w:szCs w:val="21"/>
          <w:highlight w:val="none"/>
          <w:lang w:eastAsia="zh-CN"/>
        </w:rPr>
        <w:t>。</w:t>
      </w:r>
    </w:p>
    <w:p>
      <w:pPr>
        <w:adjustRightInd w:val="0"/>
        <w:snapToGrid w:val="0"/>
        <w:spacing w:line="360" w:lineRule="auto"/>
        <w:ind w:firstLine="422"/>
        <w:rPr>
          <w:rFonts w:hint="eastAsia"/>
          <w:color w:val="auto"/>
          <w:highlight w:val="none"/>
          <w:lang w:eastAsia="zh-CN"/>
        </w:rPr>
      </w:pPr>
      <w:r>
        <w:rPr>
          <w:rFonts w:hint="eastAsia" w:ascii="宋体" w:hAnsi="宋体" w:eastAsia="宋体" w:cs="宋体"/>
          <w:b w:val="0"/>
          <w:bCs/>
          <w:color w:val="auto"/>
          <w:szCs w:val="21"/>
          <w:highlight w:val="none"/>
        </w:rPr>
        <w:t>备注：详见采购文件第三部分“</w:t>
      </w:r>
      <w:r>
        <w:rPr>
          <w:rFonts w:hint="eastAsia" w:ascii="宋体" w:hAnsi="宋体" w:cs="宋体"/>
          <w:b w:val="0"/>
          <w:bCs/>
          <w:color w:val="auto"/>
          <w:szCs w:val="21"/>
          <w:highlight w:val="none"/>
          <w:lang w:val="en-US" w:eastAsia="zh-CN"/>
        </w:rPr>
        <w:t>采购需求</w:t>
      </w:r>
      <w:r>
        <w:rPr>
          <w:rFonts w:hint="eastAsia" w:ascii="宋体" w:hAnsi="宋体" w:eastAsia="宋体" w:cs="宋体"/>
          <w:b w:val="0"/>
          <w:bCs/>
          <w:color w:val="auto"/>
          <w:szCs w:val="21"/>
          <w:highlight w:val="none"/>
        </w:rPr>
        <w:t>”</w:t>
      </w:r>
      <w:r>
        <w:rPr>
          <w:rFonts w:hint="eastAsia" w:ascii="宋体" w:hAnsi="宋体" w:cs="宋体"/>
          <w:b w:val="0"/>
          <w:bCs/>
          <w:color w:val="auto"/>
          <w:szCs w:val="21"/>
          <w:highlight w:val="none"/>
          <w:lang w:eastAsia="zh-CN"/>
        </w:rPr>
        <w:t>。</w:t>
      </w:r>
    </w:p>
    <w:p>
      <w:pPr>
        <w:adjustRightInd w:val="0"/>
        <w:snapToGrid w:val="0"/>
        <w:spacing w:line="360" w:lineRule="auto"/>
        <w:ind w:firstLine="422"/>
        <w:rPr>
          <w:rFonts w:hint="eastAsia" w:ascii="宋体" w:hAnsi="宋体" w:eastAsia="宋体" w:cs="宋体"/>
          <w:b/>
          <w:color w:val="auto"/>
          <w:szCs w:val="21"/>
          <w:highlight w:val="none"/>
        </w:rPr>
      </w:pPr>
    </w:p>
    <w:p>
      <w:pPr>
        <w:adjustRightInd w:val="0"/>
        <w:snapToGrid w:val="0"/>
        <w:spacing w:line="360"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标项三</w:t>
      </w:r>
    </w:p>
    <w:p>
      <w:pPr>
        <w:adjustRightInd w:val="0"/>
        <w:snapToGrid w:val="0"/>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标项名称: </w:t>
      </w:r>
      <w:r>
        <w:rPr>
          <w:rFonts w:hint="eastAsia" w:ascii="宋体" w:hAnsi="宋体" w:cs="宋体"/>
          <w:b w:val="0"/>
          <w:bCs/>
          <w:color w:val="auto"/>
          <w:szCs w:val="21"/>
          <w:highlight w:val="none"/>
          <w:lang w:eastAsia="zh-CN"/>
        </w:rPr>
        <w:t>2024年塘栖镇养老电子津贴政府采购</w:t>
      </w:r>
      <w:r>
        <w:rPr>
          <w:rFonts w:hint="eastAsia" w:ascii="宋体" w:hAnsi="宋体" w:eastAsia="宋体" w:cs="宋体"/>
          <w:b w:val="0"/>
          <w:bCs/>
          <w:color w:val="auto"/>
          <w:szCs w:val="21"/>
          <w:highlight w:val="none"/>
        </w:rPr>
        <w:t>项目标项三</w:t>
      </w:r>
    </w:p>
    <w:p>
      <w:pPr>
        <w:adjustRightInd w:val="0"/>
        <w:snapToGrid w:val="0"/>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数量：1</w:t>
      </w:r>
    </w:p>
    <w:p>
      <w:pPr>
        <w:adjustRightInd w:val="0"/>
        <w:snapToGrid w:val="0"/>
        <w:spacing w:line="360" w:lineRule="auto"/>
        <w:ind w:firstLine="422"/>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预算金额（元）：</w:t>
      </w:r>
      <w:r>
        <w:rPr>
          <w:rFonts w:hint="eastAsia" w:ascii="宋体" w:hAnsi="宋体" w:cs="宋体"/>
          <w:b w:val="0"/>
          <w:bCs/>
          <w:color w:val="auto"/>
          <w:szCs w:val="21"/>
          <w:highlight w:val="none"/>
          <w:lang w:val="en-US" w:eastAsia="zh-CN"/>
        </w:rPr>
        <w:t>1940000</w:t>
      </w:r>
    </w:p>
    <w:p>
      <w:pPr>
        <w:adjustRightInd w:val="0"/>
        <w:snapToGrid w:val="0"/>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单位：项 </w:t>
      </w:r>
    </w:p>
    <w:p>
      <w:pPr>
        <w:adjustRightInd w:val="0"/>
        <w:snapToGrid w:val="0"/>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简要规格描述：服务内容主要为生活照料：为老年人提供助餐、助洁、助浴、助行、助急、助聊等生活服务；康复护理服务；精神慰藉服务等。服务范围：广济路社区</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水北社区</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邵家坝村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塘北村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三文村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西界河村。</w:t>
      </w:r>
    </w:p>
    <w:p>
      <w:pPr>
        <w:adjustRightInd w:val="0"/>
        <w:snapToGrid w:val="0"/>
        <w:spacing w:line="360" w:lineRule="auto"/>
        <w:ind w:firstLine="422"/>
        <w:rPr>
          <w:rFonts w:hint="eastAsia"/>
          <w:color w:val="auto"/>
          <w:highlight w:val="none"/>
        </w:rPr>
      </w:pPr>
      <w:r>
        <w:rPr>
          <w:rFonts w:hint="eastAsia" w:ascii="宋体" w:hAnsi="宋体" w:eastAsia="宋体" w:cs="宋体"/>
          <w:b w:val="0"/>
          <w:bCs/>
          <w:color w:val="auto"/>
          <w:szCs w:val="21"/>
          <w:highlight w:val="none"/>
        </w:rPr>
        <w:t>备注：详见采购文件第三部分“</w:t>
      </w:r>
      <w:r>
        <w:rPr>
          <w:rFonts w:hint="eastAsia" w:ascii="宋体" w:hAnsi="宋体" w:cs="宋体"/>
          <w:b w:val="0"/>
          <w:bCs/>
          <w:color w:val="auto"/>
          <w:szCs w:val="21"/>
          <w:highlight w:val="none"/>
          <w:lang w:val="en-US" w:eastAsia="zh-CN"/>
        </w:rPr>
        <w:t>采购需求</w:t>
      </w:r>
      <w:r>
        <w:rPr>
          <w:rFonts w:hint="eastAsia" w:ascii="宋体" w:hAnsi="宋体" w:eastAsia="宋体" w:cs="宋体"/>
          <w:b w:val="0"/>
          <w:bCs/>
          <w:color w:val="auto"/>
          <w:szCs w:val="21"/>
          <w:highlight w:val="none"/>
        </w:rPr>
        <w:t>”</w:t>
      </w:r>
      <w:r>
        <w:rPr>
          <w:rFonts w:hint="eastAsia" w:ascii="宋体" w:hAnsi="宋体" w:cs="宋体"/>
          <w:b w:val="0"/>
          <w:bCs/>
          <w:color w:val="auto"/>
          <w:szCs w:val="21"/>
          <w:highlight w:val="none"/>
          <w:lang w:eastAsia="zh-CN"/>
        </w:rPr>
        <w:t>。</w:t>
      </w:r>
    </w:p>
    <w:p>
      <w:pPr>
        <w:adjustRightInd w:val="0"/>
        <w:snapToGrid w:val="0"/>
        <w:spacing w:line="360" w:lineRule="auto"/>
        <w:ind w:firstLine="422"/>
        <w:rPr>
          <w:rFonts w:hint="eastAsia" w:ascii="宋体" w:hAnsi="宋体" w:eastAsia="宋体" w:cs="宋体"/>
          <w:b/>
          <w:color w:val="auto"/>
          <w:szCs w:val="21"/>
          <w:highlight w:val="none"/>
        </w:rPr>
      </w:pPr>
    </w:p>
    <w:p>
      <w:pPr>
        <w:adjustRightInd w:val="0"/>
        <w:snapToGrid w:val="0"/>
        <w:spacing w:line="360" w:lineRule="auto"/>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标项四</w:t>
      </w:r>
    </w:p>
    <w:p>
      <w:pPr>
        <w:adjustRightInd w:val="0"/>
        <w:snapToGrid w:val="0"/>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标项名称:</w:t>
      </w:r>
      <w:r>
        <w:rPr>
          <w:rFonts w:hint="eastAsia" w:ascii="宋体" w:hAnsi="宋体" w:cs="宋体"/>
          <w:b w:val="0"/>
          <w:bCs/>
          <w:color w:val="auto"/>
          <w:szCs w:val="21"/>
          <w:highlight w:val="none"/>
          <w:lang w:eastAsia="zh-CN"/>
        </w:rPr>
        <w:t>2024年塘栖镇养老电子津贴政府采购</w:t>
      </w:r>
      <w:r>
        <w:rPr>
          <w:rFonts w:hint="eastAsia" w:ascii="宋体" w:hAnsi="宋体" w:eastAsia="宋体" w:cs="宋体"/>
          <w:b w:val="0"/>
          <w:bCs/>
          <w:color w:val="auto"/>
          <w:szCs w:val="21"/>
          <w:highlight w:val="none"/>
        </w:rPr>
        <w:t>项目标项四</w:t>
      </w:r>
    </w:p>
    <w:p>
      <w:pPr>
        <w:adjustRightInd w:val="0"/>
        <w:snapToGrid w:val="0"/>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数量：1</w:t>
      </w:r>
    </w:p>
    <w:p>
      <w:pPr>
        <w:adjustRightInd w:val="0"/>
        <w:snapToGrid w:val="0"/>
        <w:spacing w:line="360" w:lineRule="auto"/>
        <w:ind w:firstLine="422"/>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预算金额（元）：</w:t>
      </w:r>
      <w:r>
        <w:rPr>
          <w:rFonts w:hint="eastAsia" w:ascii="宋体" w:hAnsi="宋体" w:cs="宋体"/>
          <w:b w:val="0"/>
          <w:bCs/>
          <w:color w:val="auto"/>
          <w:szCs w:val="21"/>
          <w:highlight w:val="none"/>
          <w:lang w:val="en-US" w:eastAsia="zh-CN"/>
        </w:rPr>
        <w:t>2060000</w:t>
      </w:r>
    </w:p>
    <w:p>
      <w:pPr>
        <w:adjustRightInd w:val="0"/>
        <w:snapToGrid w:val="0"/>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单位：项 </w:t>
      </w:r>
    </w:p>
    <w:p>
      <w:pPr>
        <w:adjustRightInd w:val="0"/>
        <w:snapToGrid w:val="0"/>
        <w:spacing w:line="360" w:lineRule="auto"/>
        <w:ind w:firstLine="422"/>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简要规格描述：服务内容主要为生活照料：为老年人提供助餐、助洁、助浴、助行、助急、助聊等生活服务；康复护理服务；精神慰藉服务等。服务范围：塘栖村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西苑村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枇杷湾社区</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乐苑社区</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丁山河村</w:t>
      </w:r>
      <w:r>
        <w:rPr>
          <w:rFonts w:hint="eastAsia" w:ascii="宋体" w:hAnsi="宋体" w:cs="宋体"/>
          <w:b w:val="0"/>
          <w:bCs/>
          <w:color w:val="auto"/>
          <w:szCs w:val="21"/>
          <w:highlight w:val="none"/>
          <w:lang w:eastAsia="zh-CN"/>
        </w:rPr>
        <w:t>。</w:t>
      </w:r>
    </w:p>
    <w:p>
      <w:pPr>
        <w:adjustRightInd w:val="0"/>
        <w:snapToGrid w:val="0"/>
        <w:spacing w:line="360" w:lineRule="auto"/>
        <w:ind w:firstLine="422"/>
        <w:rPr>
          <w:rFonts w:hint="eastAsia" w:ascii="宋体" w:hAnsi="宋体" w:cs="宋体"/>
          <w:b w:val="0"/>
          <w:bCs/>
          <w:color w:val="auto"/>
          <w:szCs w:val="21"/>
          <w:highlight w:val="none"/>
          <w:lang w:eastAsia="zh-CN"/>
        </w:rPr>
      </w:pPr>
      <w:r>
        <w:rPr>
          <w:rFonts w:hint="eastAsia" w:ascii="宋体" w:hAnsi="宋体" w:eastAsia="宋体" w:cs="宋体"/>
          <w:b w:val="0"/>
          <w:bCs/>
          <w:color w:val="auto"/>
          <w:szCs w:val="21"/>
          <w:highlight w:val="none"/>
        </w:rPr>
        <w:t>备注：详见采购文件第三部分“</w:t>
      </w:r>
      <w:r>
        <w:rPr>
          <w:rFonts w:hint="eastAsia" w:ascii="宋体" w:hAnsi="宋体" w:cs="宋体"/>
          <w:b w:val="0"/>
          <w:bCs/>
          <w:color w:val="auto"/>
          <w:szCs w:val="21"/>
          <w:highlight w:val="none"/>
          <w:lang w:val="en-US" w:eastAsia="zh-CN"/>
        </w:rPr>
        <w:t>采购需求</w:t>
      </w:r>
      <w:r>
        <w:rPr>
          <w:rFonts w:hint="eastAsia" w:ascii="宋体" w:hAnsi="宋体" w:eastAsia="宋体" w:cs="宋体"/>
          <w:b w:val="0"/>
          <w:bCs/>
          <w:color w:val="auto"/>
          <w:szCs w:val="21"/>
          <w:highlight w:val="none"/>
        </w:rPr>
        <w:t>”</w:t>
      </w:r>
      <w:r>
        <w:rPr>
          <w:rFonts w:hint="eastAsia" w:ascii="宋体" w:hAnsi="宋体" w:cs="宋体"/>
          <w:b w:val="0"/>
          <w:bCs/>
          <w:color w:val="auto"/>
          <w:szCs w:val="21"/>
          <w:highlight w:val="none"/>
          <w:lang w:eastAsia="zh-CN"/>
        </w:rPr>
        <w:t>。</w:t>
      </w:r>
    </w:p>
    <w:p>
      <w:pPr>
        <w:pStyle w:val="23"/>
        <w:rPr>
          <w:rFonts w:hint="eastAsia"/>
          <w:color w:val="auto"/>
          <w:highlight w:val="none"/>
        </w:rPr>
      </w:pPr>
    </w:p>
    <w:p>
      <w:pPr>
        <w:adjustRightInd w:val="0"/>
        <w:snapToGrid w:val="0"/>
        <w:spacing w:line="360" w:lineRule="auto"/>
        <w:ind w:firstLine="422"/>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标项</w:t>
      </w:r>
      <w:r>
        <w:rPr>
          <w:rFonts w:hint="eastAsia" w:ascii="宋体" w:hAnsi="宋体" w:eastAsia="宋体" w:cs="宋体"/>
          <w:b/>
          <w:color w:val="auto"/>
          <w:szCs w:val="21"/>
          <w:highlight w:val="none"/>
          <w:lang w:val="en-US" w:eastAsia="zh-CN"/>
        </w:rPr>
        <w:t>五</w:t>
      </w:r>
    </w:p>
    <w:p>
      <w:pPr>
        <w:adjustRightInd w:val="0"/>
        <w:snapToGrid w:val="0"/>
        <w:spacing w:line="360" w:lineRule="auto"/>
        <w:ind w:firstLine="422"/>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标项名称:</w:t>
      </w:r>
      <w:r>
        <w:rPr>
          <w:rFonts w:hint="eastAsia" w:ascii="宋体" w:hAnsi="宋体" w:cs="宋体"/>
          <w:b w:val="0"/>
          <w:bCs/>
          <w:color w:val="auto"/>
          <w:szCs w:val="21"/>
          <w:highlight w:val="none"/>
          <w:lang w:eastAsia="zh-CN"/>
        </w:rPr>
        <w:t>2024年塘栖镇养老电子津贴政府采购</w:t>
      </w:r>
      <w:r>
        <w:rPr>
          <w:rFonts w:hint="eastAsia" w:ascii="宋体" w:hAnsi="宋体" w:eastAsia="宋体" w:cs="宋体"/>
          <w:b w:val="0"/>
          <w:bCs/>
          <w:color w:val="auto"/>
          <w:szCs w:val="21"/>
          <w:highlight w:val="none"/>
        </w:rPr>
        <w:t>项目标项</w:t>
      </w:r>
      <w:r>
        <w:rPr>
          <w:rFonts w:hint="eastAsia" w:ascii="宋体" w:hAnsi="宋体" w:eastAsia="宋体" w:cs="宋体"/>
          <w:b w:val="0"/>
          <w:bCs/>
          <w:color w:val="auto"/>
          <w:szCs w:val="21"/>
          <w:highlight w:val="none"/>
          <w:lang w:val="en-US" w:eastAsia="zh-CN"/>
        </w:rPr>
        <w:t>五</w:t>
      </w:r>
    </w:p>
    <w:p>
      <w:pPr>
        <w:adjustRightInd w:val="0"/>
        <w:snapToGrid w:val="0"/>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数量：1</w:t>
      </w:r>
    </w:p>
    <w:p>
      <w:pPr>
        <w:adjustRightInd w:val="0"/>
        <w:snapToGrid w:val="0"/>
        <w:spacing w:line="360" w:lineRule="auto"/>
        <w:ind w:firstLine="422"/>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预算金额（元）：</w:t>
      </w:r>
      <w:r>
        <w:rPr>
          <w:rFonts w:hint="eastAsia" w:ascii="宋体" w:hAnsi="宋体" w:cs="宋体"/>
          <w:b w:val="0"/>
          <w:bCs/>
          <w:color w:val="auto"/>
          <w:szCs w:val="21"/>
          <w:highlight w:val="none"/>
          <w:lang w:val="en-US" w:eastAsia="zh-CN"/>
        </w:rPr>
        <w:t>2000000</w:t>
      </w:r>
    </w:p>
    <w:p>
      <w:pPr>
        <w:adjustRightInd w:val="0"/>
        <w:snapToGrid w:val="0"/>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单位：项 </w:t>
      </w:r>
    </w:p>
    <w:p>
      <w:pPr>
        <w:adjustRightInd w:val="0"/>
        <w:snapToGrid w:val="0"/>
        <w:spacing w:line="360" w:lineRule="auto"/>
        <w:ind w:firstLine="422"/>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简要规格描述：服务内容主要为生活照料：为老年人提供助餐、助洁、助浴、助行、助急、助聊等生活服务；康复护理服务；精神慰藉服务等。服务范围：超山村</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西小河社区</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东小河社区</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南苑社区</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锦兰社区</w:t>
      </w:r>
      <w:r>
        <w:rPr>
          <w:rFonts w:hint="eastAsia" w:ascii="宋体" w:hAnsi="宋体" w:eastAsia="宋体" w:cs="宋体"/>
          <w:b w:val="0"/>
          <w:bCs/>
          <w:color w:val="auto"/>
          <w:szCs w:val="21"/>
          <w:highlight w:val="none"/>
          <w:lang w:eastAsia="zh-CN"/>
        </w:rPr>
        <w:t>。</w:t>
      </w:r>
    </w:p>
    <w:p>
      <w:pPr>
        <w:adjustRightInd w:val="0"/>
        <w:snapToGrid w:val="0"/>
        <w:spacing w:line="360" w:lineRule="auto"/>
        <w:ind w:firstLine="422"/>
        <w:rPr>
          <w:rFonts w:hint="eastAsia" w:ascii="宋体" w:hAnsi="宋体" w:cs="宋体"/>
          <w:b w:val="0"/>
          <w:bCs/>
          <w:color w:val="auto"/>
          <w:szCs w:val="21"/>
          <w:highlight w:val="none"/>
          <w:lang w:eastAsia="zh-CN"/>
        </w:rPr>
      </w:pPr>
      <w:r>
        <w:rPr>
          <w:rFonts w:hint="eastAsia" w:ascii="宋体" w:hAnsi="宋体" w:eastAsia="宋体" w:cs="宋体"/>
          <w:b w:val="0"/>
          <w:bCs/>
          <w:color w:val="auto"/>
          <w:szCs w:val="21"/>
          <w:highlight w:val="none"/>
        </w:rPr>
        <w:t>备注：详见采购文件第三部分“</w:t>
      </w:r>
      <w:r>
        <w:rPr>
          <w:rFonts w:hint="eastAsia" w:ascii="宋体" w:hAnsi="宋体" w:cs="宋体"/>
          <w:b w:val="0"/>
          <w:bCs/>
          <w:color w:val="auto"/>
          <w:szCs w:val="21"/>
          <w:highlight w:val="none"/>
          <w:lang w:val="en-US" w:eastAsia="zh-CN"/>
        </w:rPr>
        <w:t>采购需求</w:t>
      </w:r>
      <w:r>
        <w:rPr>
          <w:rFonts w:hint="eastAsia" w:ascii="宋体" w:hAnsi="宋体" w:eastAsia="宋体" w:cs="宋体"/>
          <w:b w:val="0"/>
          <w:bCs/>
          <w:color w:val="auto"/>
          <w:szCs w:val="21"/>
          <w:highlight w:val="none"/>
        </w:rPr>
        <w:t>”</w:t>
      </w:r>
      <w:r>
        <w:rPr>
          <w:rFonts w:hint="eastAsia" w:ascii="宋体" w:hAnsi="宋体" w:cs="宋体"/>
          <w:b w:val="0"/>
          <w:bCs/>
          <w:color w:val="auto"/>
          <w:szCs w:val="21"/>
          <w:highlight w:val="none"/>
          <w:lang w:eastAsia="zh-CN"/>
        </w:rPr>
        <w:t>。</w:t>
      </w:r>
    </w:p>
    <w:p>
      <w:pPr>
        <w:pStyle w:val="24"/>
        <w:rPr>
          <w:rFonts w:hint="eastAsia"/>
          <w:color w:val="auto"/>
          <w:highlight w:val="none"/>
        </w:rPr>
      </w:pPr>
    </w:p>
    <w:p>
      <w:pPr>
        <w:snapToGrid w:val="0"/>
        <w:spacing w:line="360" w:lineRule="auto"/>
        <w:ind w:firstLine="422" w:firstLineChars="0"/>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rPr>
        <w:t>合同履约期限：详见招标文件第三部分采购需求</w:t>
      </w:r>
      <w:r>
        <w:rPr>
          <w:rFonts w:hint="eastAsia" w:ascii="宋体" w:hAnsi="宋体" w:cs="宋体"/>
          <w:b w:val="0"/>
          <w:bCs/>
          <w:color w:val="auto"/>
          <w:szCs w:val="21"/>
          <w:highlight w:val="none"/>
          <w:lang w:eastAsia="zh-CN"/>
        </w:rPr>
        <w:t>。</w:t>
      </w:r>
    </w:p>
    <w:p>
      <w:pPr>
        <w:pStyle w:val="15"/>
        <w:spacing w:line="360" w:lineRule="auto"/>
        <w:ind w:firstLine="420" w:firstLineChars="200"/>
        <w:rPr>
          <w:rFonts w:hAnsi="宋体" w:cs="宋体"/>
          <w:bCs/>
          <w:color w:val="auto"/>
          <w:sz w:val="21"/>
          <w:szCs w:val="21"/>
          <w:highlight w:val="none"/>
        </w:rPr>
      </w:pPr>
      <w:r>
        <w:rPr>
          <w:rFonts w:hint="eastAsia" w:hAnsi="宋体" w:cs="宋体"/>
          <w:b/>
          <w:snapToGrid/>
          <w:color w:val="auto"/>
          <w:kern w:val="2"/>
          <w:sz w:val="21"/>
          <w:szCs w:val="21"/>
          <w:highlight w:val="none"/>
        </w:rPr>
        <w:t>本项目接受联合体投标：</w:t>
      </w:r>
      <w:sdt>
        <w:sdtPr>
          <w:rPr>
            <w:rFonts w:hint="eastAsia" w:hAnsi="宋体" w:cs="宋体"/>
            <w:b/>
            <w:snapToGrid/>
            <w:color w:val="auto"/>
            <w:kern w:val="2"/>
            <w:sz w:val="21"/>
            <w:szCs w:val="21"/>
            <w:highlight w:val="none"/>
          </w:rPr>
          <w:id w:val="2035453831"/>
          <w14:checkbox>
            <w14:checked w14:val="1"/>
            <w14:checkedState w14:val="00FE" w14:font="Wingdings"/>
            <w14:uncheckedState w14:val="2610" w14:font="MS Gothic"/>
          </w14:checkbox>
        </w:sdtPr>
        <w:sdtEndPr>
          <w:rPr>
            <w:rFonts w:hint="eastAsia" w:hAnsi="宋体" w:cs="宋体"/>
            <w:b w:val="0"/>
            <w:bCs/>
            <w:snapToGrid/>
            <w:color w:val="auto"/>
            <w:kern w:val="0"/>
            <w:sz w:val="21"/>
            <w:szCs w:val="21"/>
            <w:highlight w:val="none"/>
          </w:rPr>
        </w:sdtEndPr>
        <w:sdtContent>
          <w:r>
            <w:rPr>
              <w:rFonts w:ascii="Wingdings" w:hAnsi="Wingdings" w:cs="宋体"/>
              <w:bCs/>
              <w:color w:val="auto"/>
              <w:kern w:val="0"/>
              <w:sz w:val="21"/>
              <w:szCs w:val="21"/>
              <w:highlight w:val="none"/>
            </w:rPr>
            <w:t></w:t>
          </w:r>
        </w:sdtContent>
      </w:sdt>
      <w:r>
        <w:rPr>
          <w:rFonts w:hint="eastAsia" w:hAnsi="宋体" w:cs="宋体"/>
          <w:bCs/>
          <w:color w:val="auto"/>
          <w:sz w:val="21"/>
          <w:szCs w:val="21"/>
          <w:highlight w:val="none"/>
        </w:rPr>
        <w:t>是，</w:t>
      </w:r>
      <w:sdt>
        <w:sdtPr>
          <w:rPr>
            <w:rFonts w:hint="eastAsia" w:hAnsi="宋体" w:cs="宋体"/>
            <w:bCs/>
            <w:color w:val="auto"/>
            <w:kern w:val="0"/>
            <w:sz w:val="21"/>
            <w:szCs w:val="21"/>
            <w:highlight w:val="none"/>
          </w:rPr>
          <w:id w:val="-1"/>
          <w14:checkbox>
            <w14:checked w14:val="0"/>
            <w14:checkedState w14:val="00FE" w14:font="Wingdings"/>
            <w14:uncheckedState w14:val="2610" w14:font="MS Gothic"/>
          </w14:checkbox>
        </w:sdtPr>
        <w:sdtEndPr>
          <w:rPr>
            <w:rFonts w:hint="eastAsia" w:hAnsi="宋体" w:cs="宋体"/>
            <w:bCs/>
            <w:color w:val="auto"/>
            <w:kern w:val="0"/>
            <w:sz w:val="21"/>
            <w:szCs w:val="21"/>
            <w:highlight w:val="none"/>
          </w:rPr>
        </w:sdtEndPr>
        <w:sdtContent>
          <w:r>
            <w:rPr>
              <w:rFonts w:hint="eastAsia" w:hAnsi="宋体" w:cs="宋体"/>
              <w:bCs/>
              <w:color w:val="auto"/>
              <w:kern w:val="0"/>
              <w:sz w:val="21"/>
              <w:szCs w:val="21"/>
              <w:highlight w:val="none"/>
            </w:rPr>
            <w:t>☐</w:t>
          </w:r>
        </w:sdtContent>
      </w:sdt>
      <w:r>
        <w:rPr>
          <w:rFonts w:hint="eastAsia" w:hAnsi="宋体" w:cs="宋体"/>
          <w:bCs/>
          <w:color w:val="auto"/>
          <w:sz w:val="21"/>
          <w:szCs w:val="21"/>
          <w:highlight w:val="none"/>
        </w:rPr>
        <w:t>否</w:t>
      </w:r>
      <w:r>
        <w:rPr>
          <w:rFonts w:hint="eastAsia" w:hAnsi="宋体" w:cs="宋体"/>
          <w:bCs/>
          <w:color w:val="auto"/>
          <w:kern w:val="0"/>
          <w:sz w:val="21"/>
          <w:szCs w:val="21"/>
          <w:highlight w:val="none"/>
        </w:rPr>
        <w:t>。</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二、申请人的资格要求：</w:t>
      </w:r>
    </w:p>
    <w:p>
      <w:pPr>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2.以联合体形式投标的，提供联合协议(本项目不接受联合体投标或者投标人不以联合体形式投标的，则不需要提供)；</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3.落实政府采购政策需满足的资格要求：</w:t>
      </w:r>
    </w:p>
    <w:p>
      <w:pPr>
        <w:spacing w:line="360" w:lineRule="auto"/>
        <w:ind w:firstLine="420" w:firstLineChars="200"/>
        <w:rPr>
          <w:rFonts w:hint="eastAsia" w:ascii="宋体" w:hAnsi="宋体" w:cs="宋体"/>
          <w:color w:val="auto"/>
          <w:kern w:val="0"/>
          <w:szCs w:val="21"/>
          <w:highlight w:val="none"/>
          <w:lang w:eastAsia="zh-CN"/>
        </w:rPr>
      </w:pPr>
      <w:sdt>
        <w:sdtPr>
          <w:rPr>
            <w:rFonts w:hint="eastAsia" w:ascii="宋体" w:hAnsi="宋体" w:cs="宋体"/>
            <w:color w:val="auto"/>
            <w:kern w:val="0"/>
            <w:szCs w:val="21"/>
            <w:highlight w:val="none"/>
            <w:lang w:eastAsia="zh-CN"/>
          </w:rPr>
          <w:id w:val="1928616923"/>
          <w14:checkbox>
            <w14:checked w14:val="1"/>
            <w14:checkedState w14:val="00FE" w14:font="Wingdings"/>
            <w14:uncheckedState w14:val="2610" w14:font="MS Gothic"/>
          </w14:checkbox>
        </w:sdtPr>
        <w:sdtEndPr>
          <w:rPr>
            <w:rFonts w:hint="eastAsia" w:ascii="宋体" w:hAnsi="宋体" w:cs="宋体"/>
            <w:color w:val="auto"/>
            <w:kern w:val="0"/>
            <w:szCs w:val="21"/>
            <w:highlight w:val="none"/>
            <w:lang w:eastAsia="zh-CN"/>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Cs w:val="21"/>
          <w:highlight w:val="none"/>
          <w:lang w:eastAsia="zh-CN"/>
        </w:rPr>
        <w:t>无（注：不得限制大中型企业与小微企业组成联合体参与投标）；</w:t>
      </w:r>
    </w:p>
    <w:p>
      <w:pPr>
        <w:spacing w:line="360" w:lineRule="auto"/>
        <w:ind w:firstLine="420" w:firstLineChars="200"/>
        <w:rPr>
          <w:rFonts w:hint="eastAsia" w:ascii="宋体" w:hAnsi="宋体" w:cs="宋体"/>
          <w:color w:val="auto"/>
          <w:kern w:val="0"/>
          <w:szCs w:val="21"/>
          <w:highlight w:val="none"/>
          <w:lang w:eastAsia="zh-CN"/>
        </w:rPr>
      </w:pPr>
      <w:sdt>
        <w:sdtPr>
          <w:rPr>
            <w:rFonts w:hint="eastAsia" w:ascii="宋体" w:hAnsi="宋体" w:cs="宋体"/>
            <w:color w:val="auto"/>
            <w:kern w:val="0"/>
            <w:szCs w:val="21"/>
            <w:highlight w:val="none"/>
            <w:lang w:eastAsia="zh-CN"/>
          </w:rPr>
          <w:id w:val="-1"/>
          <w14:checkbox>
            <w14:checked w14:val="0"/>
            <w14:checkedState w14:val="00FE" w14:font="Wingdings"/>
            <w14:uncheckedState w14:val="2610" w14:font="MS Gothic"/>
          </w14:checkbox>
        </w:sdtPr>
        <w:sdtEndPr>
          <w:rPr>
            <w:rFonts w:hint="eastAsia" w:ascii="宋体" w:hAnsi="宋体" w:cs="宋体"/>
            <w:color w:val="auto"/>
            <w:kern w:val="0"/>
            <w:szCs w:val="21"/>
            <w:highlight w:val="none"/>
            <w:lang w:eastAsia="zh-CN"/>
          </w:rPr>
        </w:sdtEndPr>
        <w:sdtContent>
          <w:r>
            <w:rPr>
              <w:rFonts w:hint="eastAsia" w:ascii="宋体" w:hAnsi="宋体" w:cs="宋体"/>
              <w:color w:val="auto"/>
              <w:kern w:val="0"/>
              <w:szCs w:val="21"/>
              <w:highlight w:val="none"/>
              <w:lang w:eastAsia="zh-CN"/>
            </w:rPr>
            <w:t>☐</w:t>
          </w:r>
        </w:sdtContent>
      </w:sdt>
      <w:r>
        <w:rPr>
          <w:rFonts w:hint="eastAsia" w:ascii="宋体" w:hAnsi="宋体" w:cs="宋体"/>
          <w:color w:val="auto"/>
          <w:kern w:val="0"/>
          <w:szCs w:val="21"/>
          <w:highlight w:val="none"/>
          <w:lang w:eastAsia="zh-CN"/>
        </w:rPr>
        <w:t>专门面向中小企业</w:t>
      </w:r>
    </w:p>
    <w:p>
      <w:pPr>
        <w:spacing w:line="360" w:lineRule="auto"/>
        <w:ind w:leftChars="100" w:firstLine="420" w:firstLineChars="200"/>
        <w:rPr>
          <w:rFonts w:hint="eastAsia" w:ascii="宋体" w:hAnsi="宋体" w:cs="宋体"/>
          <w:color w:val="auto"/>
          <w:kern w:val="0"/>
          <w:szCs w:val="21"/>
          <w:highlight w:val="none"/>
          <w:lang w:eastAsia="zh-CN"/>
        </w:rPr>
      </w:pPr>
      <w:sdt>
        <w:sdtPr>
          <w:rPr>
            <w:rFonts w:hint="eastAsia" w:ascii="宋体" w:hAnsi="宋体" w:cs="宋体"/>
            <w:color w:val="auto"/>
            <w:kern w:val="0"/>
            <w:szCs w:val="21"/>
            <w:highlight w:val="none"/>
            <w:lang w:eastAsia="zh-CN"/>
          </w:rPr>
          <w:id w:val="-1"/>
          <w14:checkbox>
            <w14:checked w14:val="0"/>
            <w14:checkedState w14:val="00FE" w14:font="Wingdings"/>
            <w14:uncheckedState w14:val="2610" w14:font="MS Gothic"/>
          </w14:checkbox>
        </w:sdtPr>
        <w:sdtEndPr>
          <w:rPr>
            <w:rFonts w:hint="eastAsia" w:ascii="宋体" w:hAnsi="宋体" w:cs="宋体"/>
            <w:color w:val="auto"/>
            <w:kern w:val="0"/>
            <w:szCs w:val="21"/>
            <w:highlight w:val="none"/>
            <w:lang w:eastAsia="zh-CN"/>
          </w:rPr>
        </w:sdtEndPr>
        <w:sdtContent>
          <w:r>
            <w:rPr>
              <w:rFonts w:hint="eastAsia" w:ascii="宋体" w:hAnsi="宋体" w:cs="宋体"/>
              <w:color w:val="auto"/>
              <w:kern w:val="0"/>
              <w:szCs w:val="21"/>
              <w:highlight w:val="none"/>
              <w:lang w:eastAsia="zh-CN"/>
            </w:rPr>
            <w:t>☐</w:t>
          </w:r>
        </w:sdtContent>
      </w:sdt>
      <w:r>
        <w:rPr>
          <w:rFonts w:hint="eastAsia" w:ascii="宋体" w:hAnsi="宋体" w:cs="宋体"/>
          <w:color w:val="auto"/>
          <w:kern w:val="0"/>
          <w:szCs w:val="21"/>
          <w:highlight w:val="none"/>
          <w:lang w:eastAsia="zh-CN"/>
        </w:rPr>
        <w:t>服务全部由符合政策要求的中小企业承接，提供中小企业声明函；</w:t>
      </w:r>
    </w:p>
    <w:p>
      <w:pPr>
        <w:spacing w:line="360" w:lineRule="auto"/>
        <w:ind w:leftChars="100" w:firstLine="420" w:firstLineChars="200"/>
        <w:rPr>
          <w:rFonts w:hint="eastAsia" w:ascii="宋体" w:hAnsi="宋体" w:cs="宋体"/>
          <w:color w:val="auto"/>
          <w:kern w:val="0"/>
          <w:szCs w:val="21"/>
          <w:highlight w:val="none"/>
          <w:lang w:eastAsia="zh-CN"/>
        </w:rPr>
      </w:pPr>
      <w:sdt>
        <w:sdtPr>
          <w:rPr>
            <w:rFonts w:hint="eastAsia" w:ascii="宋体" w:hAnsi="宋体" w:cs="宋体"/>
            <w:color w:val="auto"/>
            <w:kern w:val="0"/>
            <w:szCs w:val="21"/>
            <w:highlight w:val="none"/>
            <w:lang w:eastAsia="zh-CN"/>
          </w:rPr>
          <w:id w:val="-1"/>
          <w14:checkbox>
            <w14:checked w14:val="0"/>
            <w14:checkedState w14:val="00FE" w14:font="Wingdings"/>
            <w14:uncheckedState w14:val="2610" w14:font="MS Gothic"/>
          </w14:checkbox>
        </w:sdtPr>
        <w:sdtEndPr>
          <w:rPr>
            <w:rFonts w:hint="eastAsia" w:ascii="宋体" w:hAnsi="宋体" w:cs="宋体"/>
            <w:color w:val="auto"/>
            <w:kern w:val="0"/>
            <w:szCs w:val="21"/>
            <w:highlight w:val="none"/>
            <w:lang w:eastAsia="zh-CN"/>
          </w:rPr>
        </w:sdtEndPr>
        <w:sdtContent>
          <w:r>
            <w:rPr>
              <w:rFonts w:hint="eastAsia" w:ascii="宋体" w:hAnsi="宋体" w:cs="宋体"/>
              <w:color w:val="auto"/>
              <w:kern w:val="0"/>
              <w:szCs w:val="21"/>
              <w:highlight w:val="none"/>
              <w:lang w:eastAsia="zh-CN"/>
            </w:rPr>
            <w:t>☐</w:t>
          </w:r>
        </w:sdtContent>
      </w:sdt>
      <w:r>
        <w:rPr>
          <w:rFonts w:hint="eastAsia" w:ascii="宋体" w:hAnsi="宋体" w:cs="宋体"/>
          <w:color w:val="auto"/>
          <w:kern w:val="0"/>
          <w:szCs w:val="21"/>
          <w:highlight w:val="none"/>
          <w:lang w:eastAsia="zh-CN"/>
        </w:rPr>
        <w:t>服务全部由符合政策要求的小微企业承接，提供中小企业声明函；</w:t>
      </w:r>
    </w:p>
    <w:p>
      <w:pPr>
        <w:spacing w:line="360" w:lineRule="auto"/>
        <w:ind w:firstLine="420" w:firstLineChars="200"/>
        <w:rPr>
          <w:rFonts w:hint="eastAsia" w:ascii="宋体" w:hAnsi="宋体" w:cs="宋体"/>
          <w:color w:val="auto"/>
          <w:kern w:val="0"/>
          <w:szCs w:val="21"/>
          <w:highlight w:val="none"/>
          <w:lang w:eastAsia="zh-CN"/>
        </w:rPr>
      </w:pPr>
      <w:sdt>
        <w:sdtPr>
          <w:rPr>
            <w:rFonts w:hint="eastAsia" w:ascii="宋体" w:hAnsi="宋体" w:cs="宋体"/>
            <w:color w:val="auto"/>
            <w:kern w:val="0"/>
            <w:szCs w:val="21"/>
            <w:highlight w:val="none"/>
            <w:lang w:eastAsia="zh-CN"/>
          </w:rPr>
          <w:id w:val="-1"/>
          <w14:checkbox>
            <w14:checked w14:val="0"/>
            <w14:checkedState w14:val="00FE" w14:font="Wingdings"/>
            <w14:uncheckedState w14:val="2610" w14:font="MS Gothic"/>
          </w14:checkbox>
        </w:sdtPr>
        <w:sdtEndPr>
          <w:rPr>
            <w:rFonts w:hint="eastAsia" w:ascii="宋体" w:hAnsi="宋体" w:cs="宋体"/>
            <w:color w:val="auto"/>
            <w:kern w:val="0"/>
            <w:szCs w:val="21"/>
            <w:highlight w:val="none"/>
            <w:lang w:eastAsia="zh-CN"/>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Cs w:val="21"/>
          <w:highlight w:val="none"/>
          <w:lang w:eastAsia="zh-CN"/>
        </w:rPr>
        <w:t>要求以联合体形式参加，提供联合协议和中小企业声明函，联合协议中中小企业合同金额应当达到</w:t>
      </w:r>
      <w:r>
        <w:rPr>
          <w:rFonts w:hint="eastAsia" w:ascii="宋体" w:hAnsi="宋体" w:cs="宋体"/>
          <w:color w:val="auto"/>
          <w:kern w:val="0"/>
          <w:szCs w:val="21"/>
          <w:highlight w:val="none"/>
          <w:lang w:val="en-US" w:eastAsia="zh-CN"/>
        </w:rPr>
        <w:t>40</w:t>
      </w:r>
      <w:r>
        <w:rPr>
          <w:rFonts w:hint="eastAsia" w:ascii="宋体" w:hAnsi="宋体" w:cs="宋体"/>
          <w:color w:val="auto"/>
          <w:kern w:val="0"/>
          <w:szCs w:val="21"/>
          <w:highlight w:val="none"/>
          <w:lang w:eastAsia="zh-CN"/>
        </w:rPr>
        <w:t>%，其中小微企业合同金额应当达到</w:t>
      </w:r>
      <w:r>
        <w:rPr>
          <w:rFonts w:hint="eastAsia" w:ascii="宋体" w:hAnsi="宋体" w:cs="宋体"/>
          <w:color w:val="auto"/>
          <w:kern w:val="0"/>
          <w:szCs w:val="21"/>
          <w:highlight w:val="none"/>
          <w:lang w:val="en-US" w:eastAsia="zh-CN"/>
        </w:rPr>
        <w:t>40</w:t>
      </w:r>
      <w:r>
        <w:rPr>
          <w:rFonts w:hint="eastAsia" w:ascii="宋体" w:hAnsi="宋体" w:cs="宋体"/>
          <w:color w:val="auto"/>
          <w:kern w:val="0"/>
          <w:szCs w:val="21"/>
          <w:highlight w:val="none"/>
          <w:lang w:eastAsia="zh-CN"/>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20" w:firstLineChars="200"/>
        <w:rPr>
          <w:rFonts w:hint="eastAsia" w:ascii="宋体" w:hAnsi="宋体" w:cs="宋体"/>
          <w:color w:val="auto"/>
          <w:kern w:val="0"/>
          <w:szCs w:val="21"/>
          <w:highlight w:val="none"/>
          <w:lang w:eastAsia="zh-CN"/>
        </w:rPr>
      </w:pPr>
      <w:sdt>
        <w:sdtPr>
          <w:rPr>
            <w:rFonts w:hint="eastAsia" w:ascii="宋体" w:hAnsi="宋体" w:cs="宋体"/>
            <w:color w:val="auto"/>
            <w:kern w:val="0"/>
            <w:szCs w:val="21"/>
            <w:highlight w:val="none"/>
            <w:lang w:eastAsia="zh-CN"/>
          </w:rPr>
          <w:id w:val="34630645"/>
          <w14:checkbox>
            <w14:checked w14:val="0"/>
            <w14:checkedState w14:val="00FE" w14:font="Wingdings"/>
            <w14:uncheckedState w14:val="2610" w14:font="MS Gothic"/>
          </w14:checkbox>
        </w:sdtPr>
        <w:sdtEndPr>
          <w:rPr>
            <w:rFonts w:hint="eastAsia" w:ascii="宋体" w:hAnsi="宋体" w:cs="宋体"/>
            <w:color w:val="auto"/>
            <w:kern w:val="0"/>
            <w:szCs w:val="21"/>
            <w:highlight w:val="none"/>
            <w:lang w:eastAsia="zh-CN"/>
          </w:rPr>
        </w:sdtEndPr>
        <w:sdtContent>
          <w:r>
            <w:rPr>
              <w:rFonts w:hint="eastAsia" w:ascii="宋体" w:hAnsi="宋体" w:cs="宋体"/>
              <w:color w:val="auto"/>
              <w:kern w:val="0"/>
              <w:szCs w:val="21"/>
              <w:highlight w:val="none"/>
              <w:lang w:eastAsia="zh-CN"/>
            </w:rPr>
            <w:t>☐</w:t>
          </w:r>
        </w:sdtContent>
      </w:sdt>
      <w:r>
        <w:rPr>
          <w:rFonts w:hint="eastAsia" w:ascii="宋体" w:hAnsi="宋体" w:cs="宋体"/>
          <w:color w:val="auto"/>
          <w:kern w:val="0"/>
          <w:szCs w:val="21"/>
          <w:highlight w:val="none"/>
          <w:lang w:eastAsia="zh-CN"/>
        </w:rPr>
        <w:t>要求合同分包，提供分包意向协议和中小企业声明函，分包意向协议中中小企业合同金额应当达到达到</w:t>
      </w:r>
      <w:r>
        <w:rPr>
          <w:rFonts w:hint="eastAsia" w:ascii="宋体" w:hAnsi="宋体" w:cs="宋体"/>
          <w:color w:val="auto"/>
          <w:kern w:val="0"/>
          <w:szCs w:val="21"/>
          <w:highlight w:val="none"/>
          <w:u w:val="single"/>
          <w:lang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eastAsia="zh-CN"/>
        </w:rPr>
        <w:t xml:space="preserve"> </w:t>
      </w:r>
      <w:r>
        <w:rPr>
          <w:rFonts w:hint="eastAsia" w:ascii="宋体" w:hAnsi="宋体" w:cs="宋体"/>
          <w:color w:val="auto"/>
          <w:kern w:val="0"/>
          <w:szCs w:val="21"/>
          <w:highlight w:val="none"/>
          <w:lang w:eastAsia="zh-CN"/>
        </w:rPr>
        <w:t>% ，其中小微企业合同金额应当达到</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eastAsia="zh-CN"/>
        </w:rPr>
        <w:t xml:space="preserve"> </w:t>
      </w:r>
      <w:r>
        <w:rPr>
          <w:rFonts w:hint="eastAsia" w:ascii="宋体" w:hAnsi="宋体" w:cs="宋体"/>
          <w:color w:val="auto"/>
          <w:kern w:val="0"/>
          <w:szCs w:val="21"/>
          <w:highlight w:val="none"/>
          <w:lang w:eastAsia="zh-CN"/>
        </w:rPr>
        <w:t>% ;如果供应商本身提供所有标的均由中小企业制造、承建或承接，并相应达到了前述比例要求，视同符合了资格条件，无需再向中小企业分包，无需提供分包意向协议；</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4.本项目的特定资格要求：无</w:t>
      </w:r>
      <w:r>
        <w:rPr>
          <w:rFonts w:hint="eastAsia" w:ascii="宋体" w:hAnsi="宋体" w:cs="宋体"/>
          <w:color w:val="auto"/>
          <w:kern w:val="0"/>
          <w:szCs w:val="21"/>
          <w:highlight w:val="none"/>
          <w:lang w:eastAsia="zh-CN"/>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三、获取招标文件</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时间：/</w:t>
      </w:r>
      <w:r>
        <w:rPr>
          <w:rFonts w:hint="eastAsia" w:ascii="宋体" w:hAnsi="宋体" w:cs="宋体"/>
          <w:color w:val="auto"/>
          <w:szCs w:val="21"/>
          <w:highlight w:val="none"/>
        </w:rPr>
        <w:t>至</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，每天上午00:00至12:00 ，下午12:00至23:59（北京时间，线上获取法定节假日均可，线下获取文件法定节假日除外）</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地点（网址）：</w:t>
      </w:r>
      <w:r>
        <w:rPr>
          <w:rFonts w:hint="eastAsia" w:ascii="宋体" w:hAnsi="宋体" w:cs="宋体"/>
          <w:color w:val="auto"/>
          <w:szCs w:val="21"/>
          <w:highlight w:val="none"/>
        </w:rPr>
        <w:t>政采云平台（https://www.zcygov.cn/）</w:t>
      </w:r>
      <w:r>
        <w:rPr>
          <w:rFonts w:hint="eastAsia" w:ascii="宋体" w:hAnsi="宋体" w:cs="宋体"/>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供应商登录政采云平台https://www.zcygov.cn/在线申请获取采购文件（进入“项目采购”应用，在获取采购文件菜单中选择项目，申请获取采购文件）。</w:t>
      </w:r>
    </w:p>
    <w:p>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分00秒</w:t>
      </w:r>
      <w:r>
        <w:rPr>
          <w:rFonts w:hint="eastAsia" w:ascii="宋体" w:hAnsi="宋体" w:cs="宋体"/>
          <w:color w:val="auto"/>
          <w:szCs w:val="21"/>
          <w:highlight w:val="none"/>
        </w:rPr>
        <w:t>（北京时间）；</w:t>
      </w:r>
    </w:p>
    <w:p>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政采云平台（https://www.zcygov.cn/）； </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0分00秒</w:t>
      </w:r>
      <w:r>
        <w:rPr>
          <w:rFonts w:hint="eastAsia" w:ascii="宋体" w:hAnsi="宋体" w:cs="宋体"/>
          <w:bCs/>
          <w:color w:val="auto"/>
          <w:szCs w:val="21"/>
          <w:highlight w:val="none"/>
          <w:u w:val="single"/>
        </w:rPr>
        <w:t>；</w:t>
      </w:r>
    </w:p>
    <w:p>
      <w:pPr>
        <w:spacing w:line="360" w:lineRule="auto"/>
        <w:ind w:firstLine="420" w:firstLineChars="200"/>
        <w:rPr>
          <w:rFonts w:ascii="宋体" w:hAnsi="宋体" w:cs="宋体"/>
          <w:color w:val="auto"/>
          <w:szCs w:val="21"/>
          <w:highlight w:val="non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五、公告期限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六、其他补充事宜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1.采购人信息</w:t>
      </w:r>
    </w:p>
    <w:p>
      <w:pPr>
        <w:spacing w:line="360" w:lineRule="auto"/>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杭州市临平区塘栖镇人民政府</w:t>
      </w:r>
    </w:p>
    <w:p>
      <w:pPr>
        <w:spacing w:line="360" w:lineRule="auto"/>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杭州市临平区塘栖镇人民路300号</w:t>
      </w:r>
    </w:p>
    <w:p>
      <w:pPr>
        <w:spacing w:line="360" w:lineRule="auto"/>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郑弘磊</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项目联系方式（询问）：0571-89025926</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质疑联系人：黄慧</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质疑联系方式：0571-86371500</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2.采购代理机构信息</w:t>
      </w:r>
    </w:p>
    <w:p>
      <w:pPr>
        <w:spacing w:line="360" w:lineRule="auto"/>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杭州创丰招标代理有限公司</w:t>
      </w:r>
    </w:p>
    <w:p>
      <w:pPr>
        <w:spacing w:line="360" w:lineRule="auto"/>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杭州市余杭区仓前街道欧美金融城美国中心T4-507</w:t>
      </w:r>
    </w:p>
    <w:p>
      <w:pPr>
        <w:spacing w:line="360" w:lineRule="auto"/>
        <w:ind w:left="420" w:left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郑女生</w:t>
      </w:r>
    </w:p>
    <w:p>
      <w:pPr>
        <w:spacing w:line="360" w:lineRule="auto"/>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eastAsia="zh-CN"/>
        </w:rPr>
        <w:t>13858165902</w:t>
      </w:r>
    </w:p>
    <w:p>
      <w:pPr>
        <w:spacing w:line="360" w:lineRule="auto"/>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丁先生</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质疑联系方式：13581938417 </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3.同级政府采购监督管理部门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名称：杭州市临平区财政局、浙江省政府采购行政裁决服务中心（杭州）</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地址：杭州市上城区四季青街道新业路市民之家G03办公室（快递仅限ems或顺丰）</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传真：</w:t>
      </w:r>
      <w:r>
        <w:rPr>
          <w:rFonts w:hint="eastAsia" w:ascii="宋体" w:hAnsi="宋体" w:cs="宋体"/>
          <w:color w:val="auto"/>
          <w:szCs w:val="21"/>
          <w:highlight w:val="none"/>
          <w:lang w:val="en-US"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联系人：朱女士、王女士</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监督投诉电话：0571-85252453</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CA问题联系电话（人工）：汇信CA 400-888-4636；天谷CA 400-087-8198。</w:t>
      </w:r>
      <w:r>
        <w:rPr>
          <w:rFonts w:hint="eastAsia" w:ascii="宋体" w:hAnsi="宋体" w:cs="宋体"/>
          <w:b/>
          <w:color w:val="auto"/>
          <w:szCs w:val="21"/>
          <w:highlight w:val="none"/>
        </w:rPr>
        <w:br w:type="page"/>
      </w:r>
    </w:p>
    <w:p>
      <w:pPr>
        <w:pStyle w:val="3"/>
        <w:rPr>
          <w:color w:val="auto"/>
          <w:highlight w:val="none"/>
        </w:rPr>
      </w:pPr>
      <w:bookmarkStart w:id="13" w:name="_Toc27473"/>
      <w:r>
        <w:rPr>
          <w:rFonts w:hint="eastAsia"/>
          <w:color w:val="auto"/>
          <w:highlight w:val="none"/>
        </w:rPr>
        <w:t>第二部分</w:t>
      </w:r>
      <w:bookmarkEnd w:id="10"/>
      <w:r>
        <w:rPr>
          <w:rFonts w:hint="eastAsia"/>
          <w:color w:val="auto"/>
          <w:highlight w:val="none"/>
        </w:rPr>
        <w:t xml:space="preserve"> 投标人须知</w:t>
      </w:r>
      <w:bookmarkEnd w:id="11"/>
      <w:bookmarkEnd w:id="13"/>
    </w:p>
    <w:p>
      <w:pPr>
        <w:pStyle w:val="2"/>
        <w:ind w:firstLine="0" w:firstLineChars="0"/>
        <w:jc w:val="center"/>
        <w:rPr>
          <w:color w:val="auto"/>
          <w:sz w:val="24"/>
          <w:szCs w:val="24"/>
          <w:highlight w:val="none"/>
        </w:rPr>
      </w:pPr>
      <w:r>
        <w:rPr>
          <w:rFonts w:hint="eastAsia"/>
          <w:color w:val="auto"/>
          <w:sz w:val="24"/>
          <w:szCs w:val="24"/>
          <w:highlight w:val="none"/>
        </w:rPr>
        <w:t>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0"/>
        <w:gridCol w:w="1964"/>
        <w:gridCol w:w="6492"/>
      </w:tblGrid>
      <w:tr>
        <w:trPr>
          <w:trHeight w:val="479" w:hRule="atLeast"/>
        </w:trPr>
        <w:tc>
          <w:tcPr>
            <w:tcW w:w="367" w:type="pct"/>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076" w:type="pc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事项</w:t>
            </w:r>
          </w:p>
        </w:tc>
        <w:tc>
          <w:tcPr>
            <w:tcW w:w="3556" w:type="pc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本项目的特别规定</w:t>
            </w:r>
          </w:p>
        </w:tc>
      </w:tr>
      <w:tr>
        <w:trPr>
          <w:trHeight w:val="620" w:hRule="atLeast"/>
        </w:trPr>
        <w:tc>
          <w:tcPr>
            <w:tcW w:w="367" w:type="pc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076" w:type="pc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项目属性</w:t>
            </w:r>
          </w:p>
        </w:tc>
        <w:tc>
          <w:tcPr>
            <w:tcW w:w="3556" w:type="pct"/>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服务类。</w:t>
            </w:r>
          </w:p>
        </w:tc>
      </w:tr>
      <w:tr>
        <w:trPr>
          <w:trHeight w:val="1245" w:hRule="atLeast"/>
        </w:trPr>
        <w:tc>
          <w:tcPr>
            <w:tcW w:w="367" w:type="pc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076" w:type="pc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采购标的及其对应的中小企业划分标准所属行业</w:t>
            </w:r>
          </w:p>
        </w:tc>
        <w:tc>
          <w:tcPr>
            <w:tcW w:w="3556" w:type="pct"/>
            <w:vAlign w:val="center"/>
          </w:tcPr>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（1）标的</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eastAsia="zh-CN"/>
              </w:rPr>
              <w:t>2024年塘栖镇养老电子津贴政府采购</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lang w:eastAsia="zh-CN"/>
              </w:rPr>
              <w:t>其他未列明行业</w:t>
            </w:r>
            <w:r>
              <w:rPr>
                <w:rFonts w:hint="eastAsia" w:ascii="宋体" w:hAnsi="宋体" w:cs="宋体"/>
                <w:color w:val="auto"/>
                <w:kern w:val="0"/>
                <w:szCs w:val="21"/>
                <w:highlight w:val="none"/>
              </w:rPr>
              <w:t>；</w:t>
            </w:r>
          </w:p>
          <w:p>
            <w:pPr>
              <w:spacing w:line="360" w:lineRule="auto"/>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lang w:eastAsia="zh-CN"/>
              </w:rPr>
              <w:t>其他未列明行业。从业人员300人以下的为中小微型企业。其中，从业人员100人及以上的为中型企业；从业人员10人及以上的为小型企业；从业人员10人以下的为微型企业。</w:t>
            </w:r>
          </w:p>
        </w:tc>
      </w:tr>
      <w:tr>
        <w:trPr>
          <w:trHeight w:val="1150" w:hRule="atLeast"/>
        </w:trPr>
        <w:tc>
          <w:tcPr>
            <w:tcW w:w="367" w:type="pc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076" w:type="pc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3556" w:type="pct"/>
            <w:vAlign w:val="center"/>
          </w:tcPr>
          <w:p>
            <w:pPr>
              <w:spacing w:line="360" w:lineRule="auto"/>
              <w:rPr>
                <w:rFonts w:ascii="宋体" w:hAnsi="宋体" w:cs="宋体"/>
                <w:color w:val="auto"/>
                <w:kern w:val="0"/>
                <w:szCs w:val="21"/>
                <w:highlight w:val="none"/>
              </w:rPr>
            </w:pPr>
            <w:sdt>
              <w:sdtPr>
                <w:rPr>
                  <w:rFonts w:hint="eastAsia" w:ascii="宋体" w:hAnsi="宋体" w:cs="宋体"/>
                  <w:color w:val="auto"/>
                  <w:kern w:val="0"/>
                  <w:szCs w:val="21"/>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本项目不允许采购进口产品。</w:t>
            </w:r>
          </w:p>
          <w:p>
            <w:pPr>
              <w:spacing w:line="360" w:lineRule="auto"/>
              <w:rPr>
                <w:rFonts w:ascii="宋体" w:hAnsi="宋体" w:cs="宋体"/>
                <w:color w:val="auto"/>
                <w:szCs w:val="21"/>
                <w:highlight w:val="none"/>
              </w:rPr>
            </w:pPr>
            <w:sdt>
              <w:sdtPr>
                <w:rPr>
                  <w:rFonts w:hint="eastAsia" w:ascii="宋体" w:hAnsi="宋体" w:cs="宋体"/>
                  <w:color w:val="auto"/>
                  <w:kern w:val="0"/>
                  <w:szCs w:val="21"/>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cs="宋体"/>
                    <w:color w:val="auto"/>
                    <w:kern w:val="0"/>
                    <w:szCs w:val="21"/>
                    <w:highlight w:val="none"/>
                  </w:rPr>
                  <w:t>☐</w:t>
                </w:r>
              </w:sdtContent>
            </w:sdt>
            <w:r>
              <w:rPr>
                <w:rFonts w:hint="eastAsia" w:ascii="宋体" w:hAnsi="宋体" w:cs="宋体"/>
                <w:color w:val="auto"/>
                <w:kern w:val="0"/>
                <w:szCs w:val="21"/>
                <w:highlight w:val="none"/>
              </w:rPr>
              <w:t>可以就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采购进口产品。</w:t>
            </w:r>
          </w:p>
        </w:tc>
      </w:tr>
      <w:tr>
        <w:trPr>
          <w:trHeight w:val="1135" w:hRule="atLeast"/>
        </w:trPr>
        <w:tc>
          <w:tcPr>
            <w:tcW w:w="367" w:type="pc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076" w:type="pc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分包</w:t>
            </w:r>
          </w:p>
        </w:tc>
        <w:tc>
          <w:tcPr>
            <w:tcW w:w="3556" w:type="pct"/>
            <w:vAlign w:val="center"/>
          </w:tcPr>
          <w:p>
            <w:pPr>
              <w:spacing w:line="360" w:lineRule="auto"/>
              <w:rPr>
                <w:rFonts w:ascii="宋体" w:hAnsi="宋体" w:cs="宋体"/>
                <w:color w:val="auto"/>
                <w:szCs w:val="21"/>
                <w:highlight w:val="none"/>
              </w:rPr>
            </w:pPr>
            <w:sdt>
              <w:sdtPr>
                <w:rPr>
                  <w:rFonts w:hint="eastAsia" w:ascii="宋体" w:hAnsi="宋体" w:cs="宋体"/>
                  <w:color w:val="auto"/>
                  <w:kern w:val="0"/>
                  <w:szCs w:val="21"/>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同意将非主体、非关键性的工作分包。</w:t>
            </w:r>
            <w:sdt>
              <w:sdtPr>
                <w:rPr>
                  <w:rFonts w:hint="eastAsia" w:ascii="宋体" w:hAnsi="宋体" w:cs="宋体"/>
                  <w:color w:val="auto"/>
                  <w:kern w:val="0"/>
                  <w:szCs w:val="21"/>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Cs w:val="21"/>
                <w:highlight w:val="none"/>
              </w:rPr>
              <w:t xml:space="preserve"> B</w:t>
            </w:r>
            <w:r>
              <w:rPr>
                <w:rFonts w:hint="eastAsia" w:ascii="宋体" w:hAnsi="宋体" w:cs="宋体"/>
                <w:color w:val="auto"/>
                <w:szCs w:val="21"/>
                <w:highlight w:val="none"/>
              </w:rPr>
              <w:t>不同意分包。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注：不得限制大中型企业向小微企业合理分包。</w:t>
            </w:r>
          </w:p>
        </w:tc>
      </w:tr>
      <w:tr>
        <w:trPr>
          <w:trHeight w:val="1090" w:hRule="atLeast"/>
        </w:trPr>
        <w:tc>
          <w:tcPr>
            <w:tcW w:w="367" w:type="pc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076" w:type="pc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开标前答疑会或现场考察</w:t>
            </w:r>
          </w:p>
        </w:tc>
        <w:tc>
          <w:tcPr>
            <w:tcW w:w="3556" w:type="pct"/>
            <w:vAlign w:val="center"/>
          </w:tcPr>
          <w:p>
            <w:pPr>
              <w:spacing w:line="360" w:lineRule="auto"/>
              <w:rPr>
                <w:rFonts w:ascii="宋体" w:hAnsi="宋体" w:cs="宋体"/>
                <w:color w:val="auto"/>
                <w:szCs w:val="21"/>
                <w:highlight w:val="none"/>
              </w:rPr>
            </w:pPr>
            <w:sdt>
              <w:sdtPr>
                <w:rPr>
                  <w:rFonts w:hint="eastAsia" w:ascii="宋体" w:hAnsi="宋体" w:cs="宋体"/>
                  <w:color w:val="auto"/>
                  <w:kern w:val="0"/>
                  <w:szCs w:val="21"/>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pPr>
              <w:spacing w:line="360" w:lineRule="auto"/>
              <w:rPr>
                <w:rFonts w:ascii="宋体" w:hAnsi="宋体" w:cs="宋体"/>
                <w:color w:val="auto"/>
                <w:szCs w:val="21"/>
                <w:highlight w:val="none"/>
              </w:rPr>
            </w:pPr>
            <w:sdt>
              <w:sdtPr>
                <w:rPr>
                  <w:rFonts w:hint="eastAsia" w:ascii="宋体" w:hAnsi="宋体" w:cs="宋体"/>
                  <w:color w:val="auto"/>
                  <w:kern w:val="0"/>
                  <w:szCs w:val="21"/>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B组织，</w:t>
            </w: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r>
        <w:trPr>
          <w:trHeight w:val="90" w:hRule="atLeast"/>
        </w:trPr>
        <w:tc>
          <w:tcPr>
            <w:tcW w:w="367" w:type="pc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076" w:type="pc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样品提供</w:t>
            </w:r>
          </w:p>
        </w:tc>
        <w:tc>
          <w:tcPr>
            <w:tcW w:w="3556" w:type="pct"/>
            <w:vAlign w:val="center"/>
          </w:tcPr>
          <w:p>
            <w:pPr>
              <w:spacing w:line="360" w:lineRule="auto"/>
              <w:rPr>
                <w:rFonts w:ascii="宋体" w:hAnsi="宋体" w:cs="宋体"/>
                <w:color w:val="auto"/>
                <w:szCs w:val="21"/>
                <w:highlight w:val="none"/>
              </w:rPr>
            </w:pPr>
            <w:sdt>
              <w:sdtPr>
                <w:rPr>
                  <w:rFonts w:hint="eastAsia" w:ascii="宋体" w:hAnsi="宋体" w:cs="宋体"/>
                  <w:color w:val="auto"/>
                  <w:kern w:val="0"/>
                  <w:szCs w:val="21"/>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pPr>
              <w:spacing w:line="360" w:lineRule="auto"/>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B要求提供，</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样品制作的标准和要求：</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sdt>
              <w:sdtPr>
                <w:rPr>
                  <w:rFonts w:hint="eastAsia" w:ascii="宋体" w:hAnsi="宋体" w:cs="宋体"/>
                  <w:color w:val="auto"/>
                  <w:kern w:val="0"/>
                  <w:szCs w:val="21"/>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；联系人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w:t>（7）制作、运输、安装和保管样品所发生的一切费用由投标人自理。</w:t>
            </w:r>
          </w:p>
        </w:tc>
      </w:tr>
      <w:tr>
        <w:trPr>
          <w:trHeight w:val="1019" w:hRule="atLeast"/>
        </w:trPr>
        <w:tc>
          <w:tcPr>
            <w:tcW w:w="367" w:type="pc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076" w:type="pct"/>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
                <w:color w:val="auto"/>
                <w:szCs w:val="21"/>
                <w:highlight w:val="none"/>
              </w:rPr>
              <w:t>方案讲解演示</w:t>
            </w:r>
          </w:p>
        </w:tc>
        <w:tc>
          <w:tcPr>
            <w:tcW w:w="3556" w:type="pct"/>
            <w:vAlign w:val="center"/>
          </w:tcPr>
          <w:p>
            <w:pPr>
              <w:spacing w:line="360" w:lineRule="auto"/>
              <w:rPr>
                <w:rFonts w:ascii="宋体" w:hAnsi="宋体" w:cs="宋体"/>
                <w:color w:val="auto"/>
                <w:szCs w:val="21"/>
                <w:highlight w:val="none"/>
              </w:rPr>
            </w:pPr>
            <w:sdt>
              <w:sdtPr>
                <w:rPr>
                  <w:rFonts w:hint="eastAsia" w:ascii="宋体" w:hAnsi="宋体" w:cs="宋体"/>
                  <w:color w:val="auto"/>
                  <w:kern w:val="0"/>
                  <w:szCs w:val="21"/>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Wingdings" w:hAnsi="Wingdings" w:cs="宋体"/>
                    <w:color w:val="auto"/>
                    <w:kern w:val="0"/>
                    <w:szCs w:val="21"/>
                    <w:highlight w:val="none"/>
                  </w:rPr>
                  <w:t>þ</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pPr>
              <w:spacing w:line="360" w:lineRule="auto"/>
              <w:rPr>
                <w:rFonts w:ascii="宋体" w:hAnsi="宋体" w:cs="宋体"/>
                <w:b/>
                <w:color w:val="auto"/>
                <w:kern w:val="0"/>
                <w:szCs w:val="21"/>
                <w:highlight w:val="none"/>
                <w:lang w:val="zh-CN"/>
              </w:rPr>
            </w:pPr>
            <w:sdt>
              <w:sdtPr>
                <w:rPr>
                  <w:rFonts w:hint="eastAsia" w:ascii="宋体" w:hAnsi="宋体" w:cs="宋体"/>
                  <w:color w:val="auto"/>
                  <w:kern w:val="0"/>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MS Gothic" w:hAnsi="MS Gothic" w:cs="宋体"/>
                    <w:color w:val="auto"/>
                    <w:kern w:val="0"/>
                    <w:szCs w:val="21"/>
                    <w:highlight w:val="none"/>
                  </w:rPr>
                  <w:t>☐</w:t>
                </w:r>
              </w:sdtContent>
            </w:sdt>
            <w:r>
              <w:rPr>
                <w:rFonts w:hint="eastAsia" w:ascii="宋体" w:hAnsi="宋体" w:cs="宋体"/>
                <w:color w:val="auto"/>
                <w:kern w:val="0"/>
                <w:szCs w:val="21"/>
                <w:highlight w:val="none"/>
              </w:rPr>
              <w:t>B组织。</w:t>
            </w:r>
            <w:r>
              <w:rPr>
                <w:rFonts w:hint="eastAsia" w:ascii="宋体" w:hAnsi="宋体" w:cs="宋体"/>
                <w:color w:val="auto"/>
                <w:kern w:val="0"/>
                <w:szCs w:val="21"/>
                <w:highlight w:val="none"/>
                <w:lang w:val="zh-CN"/>
              </w:rPr>
              <w:t>详细要求见招标文件第三部“采购需求”。</w:t>
            </w:r>
          </w:p>
        </w:tc>
      </w:tr>
      <w:tr>
        <w:trPr>
          <w:trHeight w:val="461" w:hRule="atLeast"/>
        </w:trPr>
        <w:tc>
          <w:tcPr>
            <w:tcW w:w="367" w:type="pct"/>
            <w:vMerge w:val="restar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076" w:type="pct"/>
            <w:vMerge w:val="restar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投标人应当提供的资格、资信证明文件</w:t>
            </w:r>
          </w:p>
        </w:tc>
        <w:tc>
          <w:tcPr>
            <w:tcW w:w="3556" w:type="pct"/>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Cs w:val="21"/>
                <w:highlight w:val="none"/>
                <w:lang w:val="zh-CN"/>
              </w:rPr>
              <w:t>投标人未提供有效的资格证明文件的，视为投标人不具备招标文件中规定的资格要求，投标无效。</w:t>
            </w:r>
          </w:p>
        </w:tc>
      </w:tr>
      <w:tr>
        <w:trPr>
          <w:trHeight w:val="788" w:hRule="atLeast"/>
        </w:trPr>
        <w:tc>
          <w:tcPr>
            <w:tcW w:w="367" w:type="pct"/>
            <w:vMerge w:val="continue"/>
          </w:tcPr>
          <w:p>
            <w:pPr>
              <w:snapToGrid w:val="0"/>
              <w:spacing w:line="360" w:lineRule="auto"/>
              <w:jc w:val="center"/>
              <w:rPr>
                <w:rFonts w:ascii="宋体" w:hAnsi="宋体" w:cs="宋体"/>
                <w:color w:val="auto"/>
                <w:szCs w:val="21"/>
                <w:highlight w:val="none"/>
              </w:rPr>
            </w:pPr>
          </w:p>
        </w:tc>
        <w:tc>
          <w:tcPr>
            <w:tcW w:w="1076" w:type="pct"/>
            <w:vMerge w:val="continue"/>
            <w:vAlign w:val="center"/>
          </w:tcPr>
          <w:p>
            <w:pPr>
              <w:snapToGrid w:val="0"/>
              <w:spacing w:line="360" w:lineRule="auto"/>
              <w:jc w:val="center"/>
              <w:rPr>
                <w:rFonts w:ascii="宋体" w:hAnsi="宋体" w:cs="宋体"/>
                <w:b/>
                <w:color w:val="auto"/>
                <w:szCs w:val="21"/>
                <w:highlight w:val="none"/>
              </w:rPr>
            </w:pPr>
          </w:p>
        </w:tc>
        <w:tc>
          <w:tcPr>
            <w:tcW w:w="3556" w:type="pct"/>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（2）资信证明文件：根据招标文件第四部分评标标准提供。</w:t>
            </w:r>
          </w:p>
        </w:tc>
      </w:tr>
      <w:tr>
        <w:trPr>
          <w:trHeight w:val="686" w:hRule="atLeast"/>
        </w:trPr>
        <w:tc>
          <w:tcPr>
            <w:tcW w:w="367" w:type="pc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076" w:type="pc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节能产品、环境标志产品</w:t>
            </w:r>
          </w:p>
        </w:tc>
        <w:tc>
          <w:tcPr>
            <w:tcW w:w="3556" w:type="pct"/>
            <w:vAlign w:val="center"/>
          </w:tcPr>
          <w:p>
            <w:pPr>
              <w:snapToGrid w:val="0"/>
              <w:spacing w:line="360" w:lineRule="auto"/>
              <w:rPr>
                <w:rFonts w:ascii="宋体" w:hAnsi="宋体" w:cs="宋体"/>
                <w:color w:val="auto"/>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rPr>
          <w:trHeight w:val="686" w:hRule="atLeast"/>
        </w:trPr>
        <w:tc>
          <w:tcPr>
            <w:tcW w:w="367" w:type="pc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76" w:type="pc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报价要求</w:t>
            </w:r>
          </w:p>
        </w:tc>
        <w:tc>
          <w:tcPr>
            <w:tcW w:w="3556" w:type="pct"/>
            <w:vAlign w:val="center"/>
          </w:tcPr>
          <w:p>
            <w:pPr>
              <w:snapToGrid w:val="0"/>
              <w:spacing w:line="360" w:lineRule="auto"/>
              <w:jc w:val="left"/>
              <w:rPr>
                <w:rFonts w:hint="eastAsia" w:ascii="宋体" w:hAnsi="宋体" w:eastAsia="宋体" w:cs="宋体"/>
                <w:b/>
                <w:bCs w:val="0"/>
                <w:color w:val="auto"/>
                <w:kern w:val="0"/>
                <w:sz w:val="21"/>
                <w:szCs w:val="21"/>
                <w:highlight w:val="none"/>
                <w:u w:val="single"/>
                <w:lang w:val="zh-CN"/>
              </w:rPr>
            </w:pPr>
            <w:r>
              <w:rPr>
                <w:rFonts w:hint="eastAsia" w:ascii="宋体" w:hAnsi="宋体" w:cs="宋体"/>
                <w:color w:val="auto"/>
                <w:szCs w:val="21"/>
                <w:highlight w:val="none"/>
                <w:u w:val="single"/>
              </w:rPr>
              <w:t>▲</w:t>
            </w:r>
            <w:r>
              <w:rPr>
                <w:rFonts w:hint="eastAsia" w:ascii="宋体" w:hAnsi="宋体" w:eastAsia="宋体" w:cs="宋体"/>
                <w:b/>
                <w:bCs w:val="0"/>
                <w:color w:val="auto"/>
                <w:kern w:val="0"/>
                <w:sz w:val="21"/>
                <w:szCs w:val="21"/>
                <w:highlight w:val="none"/>
                <w:u w:val="single"/>
                <w:lang w:val="zh-CN"/>
              </w:rPr>
              <w:t>报价特别说明：根据《杭州市临平区养老服务电子津贴实施办法（试行）》 (临民〔2021〕42号)文件精神（详见附件</w:t>
            </w:r>
            <w:r>
              <w:rPr>
                <w:rFonts w:hint="eastAsia" w:ascii="宋体" w:hAnsi="宋体" w:cs="宋体"/>
                <w:b/>
                <w:bCs w:val="0"/>
                <w:color w:val="auto"/>
                <w:kern w:val="0"/>
                <w:sz w:val="21"/>
                <w:szCs w:val="21"/>
                <w:highlight w:val="none"/>
                <w:u w:val="single"/>
                <w:lang w:val="en-US" w:eastAsia="zh-CN"/>
              </w:rPr>
              <w:t>8</w:t>
            </w:r>
            <w:r>
              <w:rPr>
                <w:rFonts w:hint="eastAsia" w:ascii="宋体" w:hAnsi="宋体" w:eastAsia="宋体" w:cs="宋体"/>
                <w:b/>
                <w:bCs w:val="0"/>
                <w:color w:val="auto"/>
                <w:kern w:val="0"/>
                <w:sz w:val="21"/>
                <w:szCs w:val="21"/>
                <w:highlight w:val="none"/>
                <w:u w:val="single"/>
                <w:lang w:val="zh-CN"/>
              </w:rPr>
              <w:t>）</w:t>
            </w:r>
            <w:r>
              <w:rPr>
                <w:rFonts w:hint="eastAsia" w:ascii="宋体" w:hAnsi="宋体" w:eastAsia="宋体" w:cs="宋体"/>
                <w:b/>
                <w:bCs w:val="0"/>
                <w:color w:val="auto"/>
                <w:kern w:val="0"/>
                <w:sz w:val="21"/>
                <w:szCs w:val="21"/>
                <w:highlight w:val="none"/>
                <w:u w:val="single"/>
                <w:lang w:val="zh-CN"/>
              </w:rPr>
              <w:t>，</w:t>
            </w:r>
            <w:r>
              <w:rPr>
                <w:rFonts w:hint="eastAsia" w:ascii="宋体" w:hAnsi="宋体" w:eastAsia="宋体" w:cs="宋体"/>
                <w:b/>
                <w:bCs w:val="0"/>
                <w:color w:val="auto"/>
                <w:kern w:val="0"/>
                <w:sz w:val="21"/>
                <w:szCs w:val="21"/>
                <w:highlight w:val="none"/>
                <w:u w:val="single"/>
                <w:lang w:val="zh-CN"/>
              </w:rPr>
              <w:t>中标人最终执行价格按《杭州市临平区养老服务电子津贴实施办法（试行）》 (临 民〔2021〕42 号)文件（详见附件</w:t>
            </w:r>
            <w:r>
              <w:rPr>
                <w:rFonts w:hint="eastAsia" w:ascii="宋体" w:hAnsi="宋体" w:cs="宋体"/>
                <w:b/>
                <w:bCs w:val="0"/>
                <w:color w:val="auto"/>
                <w:kern w:val="0"/>
                <w:sz w:val="21"/>
                <w:szCs w:val="21"/>
                <w:highlight w:val="none"/>
                <w:u w:val="single"/>
                <w:lang w:val="en-US" w:eastAsia="zh-CN"/>
              </w:rPr>
              <w:t>9</w:t>
            </w:r>
            <w:r>
              <w:rPr>
                <w:rFonts w:hint="eastAsia" w:ascii="宋体" w:hAnsi="宋体" w:eastAsia="宋体" w:cs="宋体"/>
                <w:b/>
                <w:bCs w:val="0"/>
                <w:color w:val="auto"/>
                <w:kern w:val="0"/>
                <w:sz w:val="21"/>
                <w:szCs w:val="21"/>
                <w:highlight w:val="none"/>
                <w:u w:val="single"/>
                <w:lang w:val="zh-CN"/>
              </w:rPr>
              <w:t>）按实际服务进行结算，投标人在政采云系统填报投标价格时请统一填写标项预算价格，如投标人填写的报价与预算不符，由评标委员会进行修正，投标人不接受修正的，做无效标处理。本项目</w:t>
            </w:r>
            <w:r>
              <w:rPr>
                <w:rFonts w:hint="eastAsia" w:ascii="宋体" w:hAnsi="宋体" w:cs="宋体"/>
                <w:b/>
                <w:bCs w:val="0"/>
                <w:color w:val="auto"/>
                <w:kern w:val="0"/>
                <w:sz w:val="21"/>
                <w:szCs w:val="21"/>
                <w:highlight w:val="none"/>
                <w:u w:val="single"/>
                <w:lang w:val="en-US" w:eastAsia="zh-CN"/>
              </w:rPr>
              <w:t>每个标项</w:t>
            </w:r>
            <w:r>
              <w:rPr>
                <w:rFonts w:hint="eastAsia" w:ascii="宋体" w:hAnsi="宋体" w:eastAsia="宋体" w:cs="宋体"/>
                <w:b/>
                <w:bCs w:val="0"/>
                <w:color w:val="auto"/>
                <w:kern w:val="0"/>
                <w:sz w:val="21"/>
                <w:szCs w:val="21"/>
                <w:highlight w:val="none"/>
                <w:u w:val="single"/>
                <w:lang w:val="zh-CN"/>
              </w:rPr>
              <w:t>预算为采购人根据上年度资金使用和本年度需要扩面的所需预估金额，最终结算根据具体根据实际服务进行结算，投标人自行考虑相关风险</w:t>
            </w:r>
            <w:r>
              <w:rPr>
                <w:rFonts w:hint="eastAsia" w:ascii="宋体" w:hAnsi="宋体" w:eastAsia="宋体" w:cs="宋体"/>
                <w:b/>
                <w:bCs w:val="0"/>
                <w:color w:val="auto"/>
                <w:kern w:val="0"/>
                <w:sz w:val="21"/>
                <w:szCs w:val="21"/>
                <w:highlight w:val="none"/>
                <w:u w:val="none"/>
                <w:lang w:val="zh-CN"/>
              </w:rPr>
              <w:t>。</w:t>
            </w:r>
            <w:r>
              <w:rPr>
                <w:rFonts w:hint="eastAsia" w:ascii="宋体" w:hAnsi="宋体" w:cs="宋体"/>
                <w:b/>
                <w:bCs/>
                <w:color w:val="auto"/>
                <w:kern w:val="0"/>
                <w:szCs w:val="21"/>
                <w:highlight w:val="none"/>
                <w:lang w:val="en-US" w:eastAsia="zh-CN"/>
              </w:rPr>
              <w:t>价格分由评审小组统一一致计算。</w:t>
            </w:r>
          </w:p>
          <w:p>
            <w:pPr>
              <w:snapToGrid w:val="0"/>
              <w:spacing w:line="360" w:lineRule="auto"/>
              <w:jc w:val="left"/>
              <w:rPr>
                <w:rFonts w:hint="eastAsia" w:ascii="宋体" w:hAnsi="宋体" w:cs="宋体"/>
                <w:b/>
                <w:color w:val="auto"/>
                <w:kern w:val="0"/>
                <w:szCs w:val="21"/>
                <w:highlight w:val="none"/>
                <w:lang w:val="zh-CN"/>
              </w:rPr>
            </w:pP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b/>
                <w:bCs/>
                <w:color w:val="auto"/>
                <w:kern w:val="0"/>
                <w:szCs w:val="21"/>
                <w:highlight w:val="none"/>
                <w:lang w:val="zh-CN"/>
              </w:rPr>
              <w:t>投标文件</w:t>
            </w:r>
            <w:r>
              <w:rPr>
                <w:rFonts w:hint="eastAsia" w:ascii="宋体" w:hAnsi="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Cs w:val="21"/>
                <w:highlight w:val="none"/>
                <w:lang w:val="zh-CN"/>
              </w:rPr>
              <w:t>投标文件中价格全部采用人民币报价。招标文件未列明，而投标人认为必需的费用也需列入报价。</w:t>
            </w:r>
            <w:r>
              <w:rPr>
                <w:rFonts w:hint="eastAsia" w:ascii="宋体" w:hAnsi="宋体" w:cs="宋体"/>
                <w:b/>
                <w:color w:val="auto"/>
                <w:kern w:val="0"/>
                <w:szCs w:val="21"/>
                <w:highlight w:val="none"/>
              </w:rPr>
              <w:t>1.</w:t>
            </w:r>
            <w:r>
              <w:rPr>
                <w:rFonts w:hint="eastAsia" w:ascii="宋体" w:hAnsi="宋体" w:cs="宋体"/>
                <w:b/>
                <w:color w:val="auto"/>
                <w:kern w:val="0"/>
                <w:szCs w:val="21"/>
                <w:highlight w:val="none"/>
                <w:lang w:val="zh-CN"/>
              </w:rPr>
              <w:t>提醒：验收时检测费用由采购人承担，不包含在投标总价中。</w:t>
            </w:r>
          </w:p>
          <w:p>
            <w:pPr>
              <w:snapToGrid w:val="0"/>
              <w:spacing w:line="360" w:lineRule="auto"/>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pPr>
              <w:snapToGrid w:val="0"/>
              <w:spacing w:line="360" w:lineRule="auto"/>
              <w:ind w:firstLine="0" w:firstLineChars="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pPr>
              <w:snapToGrid w:val="0"/>
              <w:spacing w:line="360" w:lineRule="auto"/>
              <w:ind w:firstLine="0" w:firstLineChars="0"/>
              <w:jc w:val="lef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投标报价超过招标文件中规定的预算金额或者最高限价的;</w:t>
            </w:r>
          </w:p>
          <w:p>
            <w:pPr>
              <w:spacing w:line="360" w:lineRule="auto"/>
              <w:ind w:firstLine="0" w:firstLineChars="0"/>
              <w:rPr>
                <w:rFonts w:ascii="宋体" w:hAnsi="宋体" w:cs="宋体"/>
                <w:color w:val="auto"/>
                <w:szCs w:val="21"/>
                <w:highlight w:val="none"/>
              </w:rPr>
            </w:pPr>
            <w:r>
              <w:rPr>
                <w:rFonts w:hint="eastAsia" w:ascii="宋体" w:hAnsi="宋体" w:cs="宋体"/>
                <w:b/>
                <w:color w:val="auto"/>
                <w:kern w:val="0"/>
                <w:szCs w:val="21"/>
                <w:highlight w:val="none"/>
              </w:rPr>
              <w:t>投标人对根据修正原则修正后的报价不确认的</w:t>
            </w:r>
            <w:r>
              <w:rPr>
                <w:rFonts w:hint="eastAsia" w:ascii="宋体" w:hAnsi="宋体" w:cs="宋体"/>
                <w:b/>
                <w:color w:val="auto"/>
                <w:szCs w:val="21"/>
                <w:highlight w:val="none"/>
              </w:rPr>
              <w:t>。</w:t>
            </w:r>
          </w:p>
        </w:tc>
      </w:tr>
      <w:tr>
        <w:trPr>
          <w:trHeight w:val="686" w:hRule="atLeast"/>
        </w:trPr>
        <w:tc>
          <w:tcPr>
            <w:tcW w:w="367" w:type="pc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1076" w:type="pc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▲推荐中标候选人</w:t>
            </w:r>
          </w:p>
        </w:tc>
        <w:tc>
          <w:tcPr>
            <w:tcW w:w="3556" w:type="pct"/>
            <w:vAlign w:val="center"/>
          </w:tcPr>
          <w:p>
            <w:pPr>
              <w:adjustRightInd/>
              <w:spacing w:line="360" w:lineRule="auto"/>
              <w:ind w:firstLine="0" w:firstLineChars="0"/>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（1）推荐数量：每个标项</w:t>
            </w:r>
            <w:r>
              <w:rPr>
                <w:rFonts w:hint="eastAsia" w:ascii="宋体" w:hAnsi="宋体" w:cs="宋体"/>
                <w:b/>
                <w:color w:val="auto"/>
                <w:kern w:val="0"/>
                <w:szCs w:val="21"/>
                <w:highlight w:val="none"/>
              </w:rPr>
              <w:t>推荐1名中标候选人</w:t>
            </w:r>
            <w:r>
              <w:rPr>
                <w:rFonts w:hint="eastAsia" w:ascii="宋体" w:hAnsi="宋体" w:cs="宋体"/>
                <w:b/>
                <w:color w:val="auto"/>
                <w:kern w:val="0"/>
                <w:szCs w:val="21"/>
                <w:highlight w:val="none"/>
                <w:lang w:eastAsia="zh-CN"/>
              </w:rPr>
              <w:t>；</w:t>
            </w:r>
          </w:p>
          <w:p>
            <w:pPr>
              <w:adjustRightInd/>
              <w:spacing w:line="360" w:lineRule="auto"/>
              <w:ind w:firstLine="0" w:firstLineChars="0"/>
              <w:rPr>
                <w:rFonts w:hint="eastAsia" w:ascii="宋体" w:hAnsi="宋体" w:cs="宋体"/>
                <w:b/>
                <w:color w:val="auto"/>
                <w:kern w:val="0"/>
                <w:szCs w:val="21"/>
                <w:highlight w:val="none"/>
              </w:rPr>
            </w:pP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2</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rPr>
              <w:t>因塘栖镇老年人口众多，老年人约2.6万人。且全镇有29个村社，辖区地域较为分散，范围大，村社之间距离间隔较远，并存在一定的文化差异。</w:t>
            </w:r>
            <w:r>
              <w:rPr>
                <w:rFonts w:hint="eastAsia" w:ascii="宋体" w:hAnsi="宋体" w:cs="宋体"/>
                <w:b/>
                <w:color w:val="auto"/>
                <w:kern w:val="0"/>
                <w:szCs w:val="21"/>
                <w:highlight w:val="none"/>
                <w:lang w:val="en-US" w:eastAsia="zh-CN"/>
              </w:rPr>
              <w:t>为保障各个标项的服务人数、服务质量、服务响应等达到本项目要求，故某一标项的中标人候选人不再做为其他标项的中标候选人。</w:t>
            </w:r>
          </w:p>
          <w:p>
            <w:pPr>
              <w:adjustRightInd/>
              <w:spacing w:line="360" w:lineRule="auto"/>
              <w:ind w:firstLine="0" w:firstLineChars="0"/>
              <w:outlineLvl w:val="9"/>
              <w:rPr>
                <w:rFonts w:hint="eastAsia"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（3）具体中标候选人推荐原则如下：</w:t>
            </w:r>
          </w:p>
          <w:p>
            <w:pPr>
              <w:adjustRightInd/>
              <w:spacing w:line="360" w:lineRule="auto"/>
              <w:ind w:firstLine="0" w:firstLineChars="0"/>
              <w:outlineLvl w:val="9"/>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1）</w:t>
            </w:r>
            <w:r>
              <w:rPr>
                <w:rFonts w:hint="eastAsia" w:ascii="宋体" w:hAnsi="宋体" w:eastAsia="宋体" w:cs="宋体"/>
                <w:b/>
                <w:color w:val="auto"/>
                <w:kern w:val="0"/>
                <w:sz w:val="21"/>
                <w:szCs w:val="21"/>
                <w:highlight w:val="none"/>
              </w:rPr>
              <w:t>本项目共有</w:t>
            </w:r>
            <w:r>
              <w:rPr>
                <w:rFonts w:hint="eastAsia" w:ascii="宋体" w:hAnsi="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个标项，供应商可选择其中一个或多个标项进行投标，但只能在一个标项中被推荐为第一中标候选人，顺序按标项一、标项二、标项三、标项四</w:t>
            </w:r>
            <w:r>
              <w:rPr>
                <w:rFonts w:hint="eastAsia" w:ascii="宋体" w:hAnsi="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标项</w:t>
            </w:r>
            <w:r>
              <w:rPr>
                <w:rFonts w:hint="eastAsia" w:ascii="宋体" w:hAnsi="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进行确定；如供应商前一个标项已经被确定为该标项的第一中标候选人，则后续标项将不被推荐为第一中标候选人。</w:t>
            </w:r>
          </w:p>
          <w:p>
            <w:pPr>
              <w:adjustRightInd/>
              <w:spacing w:line="360" w:lineRule="auto"/>
              <w:ind w:firstLine="0" w:firstLineChars="0"/>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rPr>
              <w:t>如标项一，A单位单独投标，并被推荐为第一中标候选人，则标项二、标项三、标项四</w:t>
            </w:r>
            <w:r>
              <w:rPr>
                <w:rFonts w:hint="eastAsia" w:ascii="宋体" w:hAnsi="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标项</w:t>
            </w:r>
            <w:r>
              <w:rPr>
                <w:rFonts w:hint="eastAsia" w:ascii="宋体" w:hAnsi="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中，无论A单位是单独投标，还是采用联合体投标（即：联合体中包含A单位），均不被推荐为第一中标候选人，以此类推。</w:t>
            </w:r>
          </w:p>
          <w:p>
            <w:pPr>
              <w:adjustRightInd/>
              <w:spacing w:line="360" w:lineRule="auto"/>
              <w:ind w:firstLine="0" w:firstLineChars="0"/>
              <w:rPr>
                <w:color w:val="auto"/>
                <w:highlight w:val="none"/>
              </w:rPr>
            </w:pPr>
            <w:r>
              <w:rPr>
                <w:rFonts w:hint="eastAsia" w:ascii="宋体" w:hAnsi="宋体" w:cs="宋体"/>
                <w:b/>
                <w:color w:val="auto"/>
                <w:kern w:val="0"/>
                <w:sz w:val="21"/>
                <w:szCs w:val="21"/>
                <w:highlight w:val="none"/>
                <w:lang w:val="en-US" w:eastAsia="zh-CN"/>
              </w:rPr>
              <w:t>3）</w:t>
            </w:r>
            <w:r>
              <w:rPr>
                <w:rFonts w:hint="eastAsia" w:ascii="宋体" w:hAnsi="宋体" w:eastAsia="宋体" w:cs="宋体"/>
                <w:b/>
                <w:color w:val="auto"/>
                <w:kern w:val="0"/>
                <w:sz w:val="21"/>
                <w:szCs w:val="21"/>
                <w:highlight w:val="none"/>
              </w:rPr>
              <w:t>如标项一，A、B等多家单位组成联合体“Q”投标，“Q”被推荐为第一中标候选人，则标项二、标项三、标项四</w:t>
            </w:r>
            <w:r>
              <w:rPr>
                <w:rFonts w:hint="eastAsia" w:ascii="宋体" w:hAnsi="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标项</w:t>
            </w:r>
            <w:r>
              <w:rPr>
                <w:rFonts w:hint="eastAsia" w:ascii="宋体" w:hAnsi="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中：“Q”不再被推荐为第一中标候选人；A、B等多家单位单独投标，均不被推荐为第一中标候选人；以联合体形式投标，联合体成员中包含“Q”中任一成员的，均不被推荐为第一中标候选人，以此类推。</w:t>
            </w:r>
          </w:p>
        </w:tc>
      </w:tr>
      <w:tr>
        <w:trPr>
          <w:trHeight w:val="1246" w:hRule="atLeast"/>
        </w:trPr>
        <w:tc>
          <w:tcPr>
            <w:tcW w:w="367" w:type="pc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1076" w:type="pc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中小企业信用融资</w:t>
            </w:r>
          </w:p>
        </w:tc>
        <w:tc>
          <w:tcPr>
            <w:tcW w:w="3556" w:type="pct"/>
            <w:vAlign w:val="center"/>
          </w:tcPr>
          <w:p>
            <w:pPr>
              <w:spacing w:line="360" w:lineRule="auto"/>
              <w:ind w:firstLine="0" w:firstLineChars="0"/>
              <w:rPr>
                <w:rFonts w:hint="eastAsia" w:ascii="宋体" w:hAnsi="宋体" w:eastAsia="宋体" w:cs="宋体"/>
                <w:bCs/>
                <w:snapToGrid/>
                <w:color w:val="auto"/>
                <w:kern w:val="0"/>
                <w:sz w:val="21"/>
                <w:szCs w:val="21"/>
                <w:highlight w:val="none"/>
              </w:rPr>
            </w:pPr>
            <w:r>
              <w:rPr>
                <w:rFonts w:hint="eastAsia" w:ascii="宋体" w:hAnsi="宋体" w:eastAsia="宋体" w:cs="宋体"/>
                <w:bCs/>
                <w:snapToGrid/>
                <w:color w:val="auto"/>
                <w:kern w:val="0"/>
                <w:sz w:val="21"/>
                <w:szCs w:val="21"/>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0" w:firstLineChars="0"/>
              <w:rPr>
                <w:rFonts w:ascii="宋体" w:hAnsi="宋体" w:cs="宋体"/>
                <w:color w:val="auto"/>
                <w:szCs w:val="21"/>
                <w:highlight w:val="none"/>
              </w:rPr>
            </w:pPr>
            <w:r>
              <w:rPr>
                <w:rFonts w:hint="eastAsia" w:ascii="宋体" w:hAnsi="宋体" w:cs="宋体"/>
                <w:bCs/>
                <w:color w:val="auto"/>
                <w:kern w:val="0"/>
                <w:szCs w:val="21"/>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rPr>
          <w:trHeight w:val="1184" w:hRule="atLeast"/>
        </w:trPr>
        <w:tc>
          <w:tcPr>
            <w:tcW w:w="367" w:type="pc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1076" w:type="pc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备份投标文件送达地点和签收人员</w:t>
            </w:r>
          </w:p>
        </w:tc>
        <w:tc>
          <w:tcPr>
            <w:tcW w:w="3556" w:type="pct"/>
            <w:vAlign w:val="center"/>
          </w:tcPr>
          <w:p>
            <w:pPr>
              <w:pStyle w:val="34"/>
              <w:spacing w:line="360" w:lineRule="auto"/>
              <w:rPr>
                <w:rFonts w:hAnsi="宋体" w:cs="宋体"/>
                <w:color w:val="auto"/>
                <w:kern w:val="28"/>
                <w:highlight w:val="none"/>
              </w:rPr>
            </w:pPr>
            <w:r>
              <w:rPr>
                <w:rFonts w:hint="eastAsia" w:hAnsi="宋体" w:cs="宋体"/>
                <w:color w:val="auto"/>
                <w:kern w:val="28"/>
                <w:highlight w:val="none"/>
              </w:rPr>
              <w:t>备份投标文件送达地点：</w:t>
            </w:r>
            <w:r>
              <w:rPr>
                <w:rFonts w:hint="eastAsia" w:hAnsi="宋体" w:cs="宋体"/>
                <w:color w:val="auto"/>
                <w:highlight w:val="none"/>
                <w:u w:val="single"/>
                <w:lang w:eastAsia="zh-CN"/>
              </w:rPr>
              <w:t>杭州市余杭区仓前街道欧美金融城美国中心T4-507</w:t>
            </w:r>
            <w:r>
              <w:rPr>
                <w:rFonts w:hint="eastAsia" w:hAnsi="宋体" w:cs="宋体"/>
                <w:color w:val="auto"/>
                <w:highlight w:val="none"/>
                <w:u w:val="single"/>
              </w:rPr>
              <w:t>室</w:t>
            </w:r>
            <w:r>
              <w:rPr>
                <w:rFonts w:hint="eastAsia" w:hAnsi="宋体" w:cs="宋体"/>
                <w:color w:val="auto"/>
                <w:kern w:val="28"/>
                <w:highlight w:val="none"/>
              </w:rPr>
              <w:t>；备份投标文件签收人员联系电话：</w:t>
            </w:r>
            <w:r>
              <w:rPr>
                <w:rFonts w:hint="eastAsia" w:hAnsi="宋体" w:cs="宋体"/>
                <w:color w:val="auto"/>
                <w:kern w:val="28"/>
                <w:highlight w:val="none"/>
                <w:u w:val="single"/>
                <w:lang w:eastAsia="zh-CN"/>
              </w:rPr>
              <w:t>周力</w:t>
            </w:r>
            <w:r>
              <w:rPr>
                <w:rFonts w:hint="eastAsia" w:hAnsi="宋体" w:cs="宋体"/>
                <w:color w:val="auto"/>
                <w:kern w:val="28"/>
                <w:highlight w:val="none"/>
                <w:u w:val="single"/>
              </w:rPr>
              <w:t>，</w:t>
            </w:r>
            <w:r>
              <w:rPr>
                <w:rFonts w:hint="eastAsia" w:hAnsi="宋体" w:cs="宋体"/>
                <w:color w:val="auto"/>
                <w:kern w:val="28"/>
                <w:highlight w:val="none"/>
                <w:u w:val="single"/>
                <w:lang w:eastAsia="zh-CN"/>
              </w:rPr>
              <w:t>18968180906</w:t>
            </w:r>
            <w:r>
              <w:rPr>
                <w:rFonts w:hint="eastAsia" w:hAnsi="宋体" w:cs="宋体"/>
                <w:color w:val="auto"/>
                <w:highlight w:val="none"/>
              </w:rPr>
              <w:t>。</w:t>
            </w:r>
          </w:p>
        </w:tc>
      </w:tr>
      <w:tr>
        <w:trPr>
          <w:trHeight w:val="935" w:hRule="atLeast"/>
        </w:trPr>
        <w:tc>
          <w:tcPr>
            <w:tcW w:w="367" w:type="pct"/>
            <w:vMerge w:val="restar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1076" w:type="pct"/>
            <w:vMerge w:val="restar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特别说明</w:t>
            </w:r>
          </w:p>
        </w:tc>
        <w:tc>
          <w:tcPr>
            <w:tcW w:w="3556" w:type="pct"/>
            <w:vAlign w:val="center"/>
          </w:tcPr>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联合体投标的，联合体各方分别提供与联合体协议中规定的分工内容相应的业绩证明材料，业绩数量以提供材料较少的一方为准。</w:t>
            </w:r>
          </w:p>
        </w:tc>
      </w:tr>
      <w:tr>
        <w:trPr>
          <w:trHeight w:val="935" w:hRule="atLeast"/>
        </w:trPr>
        <w:tc>
          <w:tcPr>
            <w:tcW w:w="367" w:type="pct"/>
            <w:vMerge w:val="continue"/>
            <w:vAlign w:val="center"/>
          </w:tcPr>
          <w:p>
            <w:pPr>
              <w:snapToGrid w:val="0"/>
              <w:spacing w:line="360" w:lineRule="auto"/>
              <w:jc w:val="center"/>
              <w:rPr>
                <w:rFonts w:ascii="宋体" w:hAnsi="宋体" w:cs="宋体"/>
                <w:color w:val="auto"/>
                <w:szCs w:val="21"/>
                <w:highlight w:val="none"/>
              </w:rPr>
            </w:pPr>
          </w:p>
        </w:tc>
        <w:tc>
          <w:tcPr>
            <w:tcW w:w="1076" w:type="pct"/>
            <w:vMerge w:val="continue"/>
            <w:vAlign w:val="center"/>
          </w:tcPr>
          <w:p>
            <w:pPr>
              <w:snapToGrid w:val="0"/>
              <w:spacing w:line="360" w:lineRule="auto"/>
              <w:jc w:val="center"/>
              <w:rPr>
                <w:rFonts w:ascii="宋体" w:hAnsi="宋体" w:cs="宋体"/>
                <w:b/>
                <w:color w:val="auto"/>
                <w:szCs w:val="21"/>
                <w:highlight w:val="none"/>
              </w:rPr>
            </w:pPr>
          </w:p>
        </w:tc>
        <w:tc>
          <w:tcPr>
            <w:tcW w:w="3556" w:type="pct"/>
            <w:vAlign w:val="center"/>
          </w:tcPr>
          <w:p>
            <w:pPr>
              <w:spacing w:line="360" w:lineRule="auto"/>
              <w:rPr>
                <w:rFonts w:ascii="宋体" w:hAnsi="宋体" w:cs="宋体"/>
                <w:snapToGrid w:val="0"/>
                <w:color w:val="auto"/>
                <w:kern w:val="28"/>
                <w:szCs w:val="21"/>
                <w:highlight w:val="none"/>
              </w:rPr>
            </w:pPr>
            <w:sdt>
              <w:sdtPr>
                <w:rPr>
                  <w:rFonts w:hint="eastAsia" w:ascii="宋体" w:hAnsi="宋体" w:cs="宋体"/>
                  <w:color w:val="auto"/>
                  <w:kern w:val="0"/>
                  <w:szCs w:val="21"/>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snapToGrid w:val="0"/>
                <w:color w:val="auto"/>
                <w:kern w:val="28"/>
                <w:szCs w:val="21"/>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Cs w:val="21"/>
                <w:highlight w:val="none"/>
              </w:rPr>
            </w:pPr>
            <w:sdt>
              <w:sdtPr>
                <w:rPr>
                  <w:rFonts w:hint="eastAsia" w:ascii="宋体" w:hAnsi="宋体" w:cs="宋体"/>
                  <w:color w:val="auto"/>
                  <w:kern w:val="0"/>
                  <w:szCs w:val="21"/>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snapToGrid w:val="0"/>
                <w:color w:val="auto"/>
                <w:kern w:val="28"/>
                <w:szCs w:val="21"/>
                <w:highlight w:val="none"/>
              </w:rPr>
              <w:t>联合体投标的，联合体中有一方或者联合体成员根据分工按招标文件第四部分评标标准要求提供资信证明文件的，视为符合了相关要求。</w:t>
            </w:r>
          </w:p>
        </w:tc>
      </w:tr>
      <w:tr>
        <w:trPr>
          <w:trHeight w:val="935" w:hRule="atLeast"/>
        </w:trPr>
        <w:tc>
          <w:tcPr>
            <w:tcW w:w="367" w:type="pc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1076" w:type="pct"/>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招标代理机构</w:t>
            </w:r>
          </w:p>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代理费用</w:t>
            </w:r>
          </w:p>
        </w:tc>
        <w:tc>
          <w:tcPr>
            <w:tcW w:w="3556" w:type="pct"/>
            <w:vAlign w:val="center"/>
          </w:tcPr>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w:t>
            </w:r>
            <w:r>
              <w:rPr>
                <w:rFonts w:hint="eastAsia" w:ascii="宋体" w:hAnsi="宋体" w:cs="宋体"/>
                <w:snapToGrid w:val="0"/>
                <w:color w:val="auto"/>
                <w:kern w:val="28"/>
                <w:szCs w:val="21"/>
                <w:highlight w:val="none"/>
                <w:lang w:val="en-US" w:eastAsia="zh-CN"/>
              </w:rPr>
              <w:t>每个标项</w:t>
            </w:r>
            <w:r>
              <w:rPr>
                <w:rFonts w:hint="eastAsia" w:ascii="宋体" w:hAnsi="宋体" w:cs="宋体"/>
                <w:snapToGrid w:val="0"/>
                <w:color w:val="auto"/>
                <w:kern w:val="28"/>
                <w:szCs w:val="21"/>
                <w:highlight w:val="none"/>
              </w:rPr>
              <w:t>采购代理服务费：由中标（成交）供应商支付，受托人应在采购文件中明示代理费用收取方式及标准，随中标、成交结果一并公开本项目收费情况，包括具体收费标准及收费金额；</w:t>
            </w:r>
          </w:p>
          <w:p>
            <w:pPr>
              <w:spacing w:line="360" w:lineRule="auto"/>
              <w:rPr>
                <w:rFonts w:hint="default" w:ascii="宋体" w:hAnsi="宋体" w:eastAsia="宋体" w:cs="宋体"/>
                <w:snapToGrid w:val="0"/>
                <w:color w:val="auto"/>
                <w:kern w:val="28"/>
                <w:szCs w:val="21"/>
                <w:highlight w:val="none"/>
                <w:lang w:val="en-US" w:eastAsia="zh-CN"/>
              </w:rPr>
            </w:pPr>
            <w:r>
              <w:rPr>
                <w:rFonts w:hint="eastAsia" w:ascii="宋体" w:hAnsi="宋体" w:cs="宋体"/>
                <w:snapToGrid w:val="0"/>
                <w:color w:val="auto"/>
                <w:kern w:val="28"/>
                <w:szCs w:val="21"/>
                <w:highlight w:val="none"/>
              </w:rPr>
              <w:t>2、</w:t>
            </w:r>
            <w:r>
              <w:rPr>
                <w:rFonts w:hint="eastAsia" w:ascii="宋体" w:hAnsi="宋体" w:cs="宋体"/>
                <w:snapToGrid w:val="0"/>
                <w:color w:val="auto"/>
                <w:kern w:val="28"/>
                <w:szCs w:val="21"/>
                <w:highlight w:val="none"/>
                <w:lang w:val="en-US" w:eastAsia="zh-CN"/>
              </w:rPr>
              <w:t>每个标项</w:t>
            </w:r>
            <w:r>
              <w:rPr>
                <w:rFonts w:hint="eastAsia" w:ascii="宋体" w:hAnsi="宋体" w:cs="宋体"/>
                <w:snapToGrid w:val="0"/>
                <w:color w:val="auto"/>
                <w:kern w:val="28"/>
                <w:szCs w:val="21"/>
                <w:highlight w:val="none"/>
              </w:rPr>
              <w:t>收费标准或金额为：</w:t>
            </w:r>
            <w:r>
              <w:rPr>
                <w:rFonts w:hint="eastAsia" w:ascii="宋体" w:hAnsi="宋体" w:cs="宋体"/>
                <w:snapToGrid w:val="0"/>
                <w:color w:val="auto"/>
                <w:kern w:val="28"/>
                <w:szCs w:val="21"/>
                <w:highlight w:val="none"/>
                <w:lang w:val="en-US" w:eastAsia="zh-CN"/>
              </w:rPr>
              <w:t>代理费用付款参照《招标代理服务收费管理暂行办法》的通知(计价格[2002]1980号)文件8折收取，投标人在报价时应综合考虑该笔费用，但不单列进投标总价。</w:t>
            </w:r>
          </w:p>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3、结算方式及时间为：中标（成交）供应商在领取中标（成交）通知书时向受托人（采购代理机构）支付。</w:t>
            </w:r>
          </w:p>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收款单位（户名）：</w:t>
            </w:r>
            <w:r>
              <w:rPr>
                <w:rFonts w:hint="eastAsia" w:ascii="宋体" w:hAnsi="宋体" w:cs="宋体"/>
                <w:snapToGrid w:val="0"/>
                <w:color w:val="auto"/>
                <w:kern w:val="28"/>
                <w:szCs w:val="21"/>
                <w:highlight w:val="none"/>
                <w:lang w:eastAsia="zh-CN"/>
              </w:rPr>
              <w:t>杭州创丰招标代理有限公司</w:t>
            </w:r>
            <w:r>
              <w:rPr>
                <w:rFonts w:hint="eastAsia" w:ascii="宋体" w:hAnsi="宋体" w:cs="宋体"/>
                <w:snapToGrid w:val="0"/>
                <w:color w:val="auto"/>
                <w:kern w:val="28"/>
                <w:szCs w:val="21"/>
                <w:highlight w:val="none"/>
              </w:rPr>
              <w:t>；</w:t>
            </w:r>
          </w:p>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开户银行：</w:t>
            </w:r>
            <w:r>
              <w:rPr>
                <w:rFonts w:hint="eastAsia" w:ascii="宋体" w:hAnsi="宋体" w:cs="宋体"/>
                <w:snapToGrid w:val="0"/>
                <w:color w:val="auto"/>
                <w:kern w:val="28"/>
                <w:szCs w:val="21"/>
                <w:highlight w:val="none"/>
                <w:lang w:eastAsia="zh-CN"/>
              </w:rPr>
              <w:t>中国工商银行股份有限公司杭州分行业务处理中心</w:t>
            </w:r>
            <w:r>
              <w:rPr>
                <w:rFonts w:hint="eastAsia" w:ascii="宋体" w:hAnsi="宋体" w:cs="宋体"/>
                <w:snapToGrid w:val="0"/>
                <w:color w:val="auto"/>
                <w:kern w:val="28"/>
                <w:szCs w:val="21"/>
                <w:highlight w:val="none"/>
              </w:rPr>
              <w:t>；</w:t>
            </w:r>
          </w:p>
          <w:p>
            <w:pPr>
              <w:spacing w:line="360" w:lineRule="auto"/>
              <w:rPr>
                <w:rFonts w:hint="eastAsia" w:ascii="宋体" w:hAnsi="宋体" w:eastAsia="宋体" w:cs="宋体"/>
                <w:color w:val="auto"/>
                <w:kern w:val="0"/>
                <w:szCs w:val="21"/>
                <w:highlight w:val="none"/>
                <w:lang w:eastAsia="zh-CN"/>
              </w:rPr>
            </w:pPr>
            <w:r>
              <w:rPr>
                <w:rFonts w:hint="eastAsia" w:ascii="宋体" w:hAnsi="宋体" w:cs="宋体"/>
                <w:snapToGrid w:val="0"/>
                <w:color w:val="auto"/>
                <w:kern w:val="28"/>
                <w:szCs w:val="21"/>
                <w:highlight w:val="none"/>
              </w:rPr>
              <w:t>银行账号：</w:t>
            </w:r>
            <w:r>
              <w:rPr>
                <w:rFonts w:hint="eastAsia" w:ascii="宋体" w:hAnsi="宋体" w:cs="宋体"/>
                <w:snapToGrid w:val="0"/>
                <w:color w:val="auto"/>
                <w:kern w:val="28"/>
                <w:szCs w:val="21"/>
                <w:highlight w:val="none"/>
                <w:lang w:eastAsia="zh-CN"/>
              </w:rPr>
              <w:t>1202024509800075256</w:t>
            </w:r>
          </w:p>
        </w:tc>
      </w:tr>
    </w:tbl>
    <w:p>
      <w:pPr>
        <w:spacing w:line="360" w:lineRule="auto"/>
        <w:rPr>
          <w:rFonts w:ascii="宋体" w:hAnsi="宋体" w:cs="宋体"/>
          <w:color w:val="auto"/>
          <w:szCs w:val="21"/>
          <w:highlight w:val="none"/>
        </w:rPr>
      </w:pPr>
      <w:r>
        <w:rPr>
          <w:rFonts w:hint="eastAsia" w:ascii="宋体" w:hAnsi="宋体" w:cs="宋体"/>
          <w:b/>
          <w:color w:val="auto"/>
          <w:szCs w:val="21"/>
          <w:highlight w:val="none"/>
        </w:rPr>
        <w:br w:type="page"/>
      </w:r>
    </w:p>
    <w:bookmarkEnd w:id="12"/>
    <w:p>
      <w:pPr>
        <w:pStyle w:val="2"/>
        <w:rPr>
          <w:color w:val="auto"/>
          <w:szCs w:val="21"/>
          <w:highlight w:val="none"/>
        </w:rPr>
      </w:pPr>
      <w:bookmarkStart w:id="14" w:name="_Toc164416483"/>
      <w:bookmarkStart w:id="15" w:name="第三部分"/>
      <w:r>
        <w:rPr>
          <w:rFonts w:hint="eastAsia"/>
          <w:color w:val="auto"/>
          <w:szCs w:val="21"/>
          <w:highlight w:val="none"/>
        </w:rPr>
        <w:t>一、总则</w:t>
      </w:r>
    </w:p>
    <w:p>
      <w:pPr>
        <w:pStyle w:val="4"/>
        <w:rPr>
          <w:rFonts w:ascii="宋体" w:hAnsi="宋体" w:cs="宋体"/>
          <w:color w:val="auto"/>
          <w:szCs w:val="21"/>
          <w:highlight w:val="none"/>
        </w:rPr>
      </w:pPr>
      <w:r>
        <w:rPr>
          <w:rFonts w:hint="eastAsia" w:ascii="宋体" w:hAnsi="宋体" w:cs="宋体"/>
          <w:color w:val="auto"/>
          <w:szCs w:val="21"/>
          <w:highlight w:val="none"/>
        </w:rPr>
        <w:t>1.适用范围</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pPr>
        <w:pStyle w:val="4"/>
        <w:rPr>
          <w:rFonts w:ascii="宋体" w:hAnsi="宋体" w:cs="宋体"/>
          <w:color w:val="auto"/>
          <w:szCs w:val="21"/>
          <w:highlight w:val="none"/>
        </w:rPr>
      </w:pPr>
      <w:r>
        <w:rPr>
          <w:rFonts w:hint="eastAsia" w:ascii="宋体" w:hAnsi="宋体" w:cs="宋体"/>
          <w:color w:val="auto"/>
          <w:szCs w:val="21"/>
          <w:highlight w:val="none"/>
        </w:rPr>
        <w:t>2.定义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2.1“采购人”系指招标公告中载明的本项目的采购人。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2.2“采购代理机构”系指招标公告中载明的本项目的采购代理机构。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2.3“投标人”系指是指响应招标、参加投标竞争的法人、其他组织或者自然人。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2.4“负责人”系指法人企业的法定负责人，或其他组织为法律、行政法规规定代表单位行使职权的主要负责人，或自然人本人。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2.6“电子交易平台”是指本项目政府采购活动所依托的政府采购云平台（https://www.zcygov.cn/）。</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系指实质性要求条款，“</w:t>
      </w:r>
      <w:sdt>
        <w:sdtPr>
          <w:rPr>
            <w:rFonts w:hint="eastAsia" w:ascii="宋体" w:hAnsi="宋体" w:cs="宋体"/>
            <w:color w:val="auto"/>
            <w:kern w:val="0"/>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szCs w:val="21"/>
          <w:highlight w:val="none"/>
        </w:rPr>
        <w:t>”系指适用本项目的要求，“</w:t>
      </w:r>
      <w:sdt>
        <w:sdtPr>
          <w:rPr>
            <w:rFonts w:hint="eastAsia" w:ascii="宋体" w:hAnsi="宋体" w:cs="宋体"/>
            <w:color w:val="auto"/>
            <w:kern w:val="0"/>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”系指不适用本项目的要求。</w:t>
      </w:r>
    </w:p>
    <w:p>
      <w:pPr>
        <w:pStyle w:val="4"/>
        <w:rPr>
          <w:rFonts w:ascii="宋体" w:hAnsi="宋体" w:cs="宋体"/>
          <w:color w:val="auto"/>
          <w:szCs w:val="21"/>
          <w:highlight w:val="none"/>
        </w:rPr>
      </w:pPr>
      <w:r>
        <w:rPr>
          <w:rFonts w:hint="eastAsia" w:ascii="宋体" w:hAnsi="宋体" w:cs="宋体"/>
          <w:color w:val="auto"/>
          <w:szCs w:val="21"/>
          <w:highlight w:val="none"/>
        </w:rPr>
        <w:t>3.采购项目需要落实的政府采购政策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3.2支持绿色发展</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Cs w:val="21"/>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3.2.2修缮、装修类项目采购建材的，采购人应将绿色建筑和绿色建材性能、指标等作为实质性条件纳入招标文件和合同。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3.3支持中小企业发展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在政府采购活动中，投标人提供的货物、工程或者服务符合下列情形的，享受中小企业扶持政策：</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3.3.2.1在货物采购项目中，货物由中小企业制造，即货物由中小企业生产且使用该中小企业商号或者注册商标；</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3.3.2.2在工程采购项目中，工程由中小企业承建，即工程施工单位为中小企业；</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3.3.2.3在服务采购项目中，服务由中小企业承接，即提供服务的人员为中小企业依照《中华人民共和国劳动合同法》订立劳动合同的从业人员。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在货物采购项目中，投标人提供的货物既有中小企业制造货物，也有大型企业制造货物的，不享受中小企业扶持政策。</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color w:val="auto"/>
          <w:szCs w:val="21"/>
          <w:highlight w:val="none"/>
        </w:rPr>
        <w:t>10%</w:t>
      </w:r>
      <w:r>
        <w:rPr>
          <w:rFonts w:hint="eastAsia" w:ascii="宋体" w:hAnsi="宋体" w:cs="宋体"/>
          <w:color w:val="auto"/>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color w:val="auto"/>
          <w:szCs w:val="21"/>
          <w:highlight w:val="none"/>
        </w:rPr>
        <w:t>4%</w:t>
      </w:r>
      <w:r>
        <w:rPr>
          <w:rFonts w:hint="eastAsia" w:ascii="宋体" w:hAnsi="宋体" w:cs="宋体"/>
          <w:color w:val="auto"/>
          <w:szCs w:val="21"/>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3.4.1采购人优先采购被认定为首台套产品和“制造精品”的自主创新产品。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3.4.2首台套产品</w:t>
      </w:r>
      <w:r>
        <w:rPr>
          <w:rFonts w:hint="eastAsia" w:ascii="宋体" w:hAnsi="宋体" w:cs="宋体"/>
          <w:color w:val="auto"/>
          <w:szCs w:val="21"/>
          <w:highlight w:val="none"/>
        </w:rPr>
        <w:tab/>
      </w:r>
      <w:r>
        <w:rPr>
          <w:rFonts w:hint="eastAsia" w:ascii="宋体" w:hAnsi="宋体" w:cs="宋体"/>
          <w:color w:val="auto"/>
          <w:szCs w:val="21"/>
          <w:highlight w:val="none"/>
        </w:rPr>
        <w:t>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采购人应当贯彻落实知识产权保护相关法律法规，应当采购使用正版软件。</w:t>
      </w:r>
    </w:p>
    <w:p>
      <w:pPr>
        <w:pStyle w:val="4"/>
        <w:rPr>
          <w:color w:val="auto"/>
          <w:szCs w:val="21"/>
          <w:highlight w:val="none"/>
        </w:rPr>
      </w:pPr>
      <w:r>
        <w:rPr>
          <w:rFonts w:hint="eastAsia"/>
          <w:color w:val="auto"/>
          <w:szCs w:val="21"/>
          <w:highlight w:val="none"/>
        </w:rPr>
        <w:t>4.询问、质疑、投诉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4.1在线询问、质疑、投诉。根据《浙江省财政厅</w:t>
      </w:r>
      <w:r>
        <w:rPr>
          <w:rFonts w:hint="eastAsia" w:ascii="宋体" w:hAnsi="宋体" w:cs="宋体"/>
          <w:color w:val="auto"/>
          <w:szCs w:val="21"/>
          <w:highlight w:val="none"/>
        </w:rPr>
        <w:t>关于</w:t>
      </w:r>
      <w:r>
        <w:rPr>
          <w:rFonts w:hint="eastAsia" w:ascii="宋体" w:hAnsi="宋体" w:cs="宋体"/>
          <w:color w:val="auto"/>
          <w:szCs w:val="21"/>
          <w:highlight w:val="none"/>
          <w:lang w:val="zh-CN"/>
        </w:rPr>
        <w:t>进一步促进</w:t>
      </w:r>
      <w:r>
        <w:rPr>
          <w:rFonts w:hint="eastAsia" w:ascii="宋体" w:hAnsi="宋体" w:cs="宋体"/>
          <w:color w:val="auto"/>
          <w:szCs w:val="21"/>
          <w:highlight w:val="none"/>
        </w:rPr>
        <w:t>政府采购</w:t>
      </w:r>
      <w:r>
        <w:rPr>
          <w:rFonts w:hint="eastAsia" w:ascii="宋体" w:hAnsi="宋体" w:cs="宋体"/>
          <w:color w:val="auto"/>
          <w:szCs w:val="21"/>
          <w:highlight w:val="none"/>
          <w:lang w:val="zh-CN"/>
        </w:rPr>
        <w:t>公平竞争打造最优营商环境</w:t>
      </w:r>
      <w:r>
        <w:rPr>
          <w:rFonts w:hint="eastAsia" w:ascii="宋体" w:hAnsi="宋体" w:cs="宋体"/>
          <w:color w:val="auto"/>
          <w:szCs w:val="21"/>
          <w:highlight w:val="none"/>
        </w:rPr>
        <w:t>的通知》</w:t>
      </w:r>
      <w:r>
        <w:rPr>
          <w:rFonts w:hint="eastAsia" w:ascii="宋体" w:hAnsi="宋体" w:cs="宋体"/>
          <w:color w:val="auto"/>
          <w:szCs w:val="21"/>
          <w:highlight w:val="none"/>
          <w:lang w:val="zh-CN"/>
        </w:rPr>
        <w:t>（浙财采监（2021）22号）文件关于“健全行政裁决机制”要求，鼓励</w:t>
      </w:r>
      <w:r>
        <w:rPr>
          <w:rFonts w:hint="eastAsia" w:ascii="宋体" w:hAnsi="宋体" w:cs="宋体"/>
          <w:color w:val="auto"/>
          <w:szCs w:val="21"/>
          <w:highlight w:val="none"/>
        </w:rPr>
        <w:t>供应商</w:t>
      </w:r>
      <w:r>
        <w:rPr>
          <w:rFonts w:hint="eastAsia" w:ascii="宋体" w:hAnsi="宋体" w:cs="宋体"/>
          <w:color w:val="auto"/>
          <w:szCs w:val="21"/>
          <w:highlight w:val="none"/>
          <w:lang w:val="zh-CN"/>
        </w:rPr>
        <w:t>在线提起询问，路径为：政采云-项目</w:t>
      </w:r>
      <w:r>
        <w:rPr>
          <w:rFonts w:hint="eastAsia" w:ascii="宋体" w:hAnsi="宋体" w:cs="宋体"/>
          <w:color w:val="auto"/>
          <w:szCs w:val="21"/>
          <w:highlight w:val="none"/>
        </w:rPr>
        <w:t>采购</w:t>
      </w:r>
      <w:r>
        <w:rPr>
          <w:rFonts w:hint="eastAsia" w:ascii="宋体" w:hAnsi="宋体" w:cs="宋体"/>
          <w:color w:val="auto"/>
          <w:szCs w:val="21"/>
          <w:highlight w:val="none"/>
          <w:lang w:val="zh-CN"/>
        </w:rPr>
        <w:t>-询问质疑投诉-询问列表；鼓励供应商在线提起质疑，路径为：政采云-项目采购-询问质疑投诉-质疑列表。质疑供应商对在线</w:t>
      </w:r>
      <w:r>
        <w:rPr>
          <w:rFonts w:hint="eastAsia" w:ascii="宋体" w:hAnsi="宋体" w:cs="宋体"/>
          <w:color w:val="auto"/>
          <w:szCs w:val="21"/>
          <w:highlight w:val="none"/>
        </w:rPr>
        <w:t>质疑</w:t>
      </w:r>
      <w:r>
        <w:rPr>
          <w:rFonts w:hint="eastAsia" w:ascii="宋体" w:hAnsi="宋体" w:cs="宋体"/>
          <w:color w:val="auto"/>
          <w:szCs w:val="21"/>
          <w:highlight w:val="none"/>
          <w:lang w:val="zh-CN"/>
        </w:rPr>
        <w:t>答复不满意的，可在线提起投诉，路径为：浙江政府服务网-政府采购</w:t>
      </w:r>
      <w:r>
        <w:rPr>
          <w:rFonts w:hint="eastAsia" w:ascii="宋体" w:hAnsi="宋体" w:cs="宋体"/>
          <w:color w:val="auto"/>
          <w:szCs w:val="21"/>
          <w:highlight w:val="none"/>
        </w:rPr>
        <w:t>投诉</w:t>
      </w:r>
      <w:r>
        <w:rPr>
          <w:rFonts w:hint="eastAsia" w:ascii="宋体" w:hAnsi="宋体" w:cs="宋体"/>
          <w:color w:val="auto"/>
          <w:szCs w:val="21"/>
          <w:highlight w:val="none"/>
          <w:lang w:val="zh-CN"/>
        </w:rPr>
        <w:t>处理-在线办理。</w:t>
      </w:r>
    </w:p>
    <w:p>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供应商询问</w:t>
      </w:r>
    </w:p>
    <w:p>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zh-CN"/>
        </w:rPr>
        <w:t>供应商质疑</w:t>
      </w:r>
    </w:p>
    <w:p>
      <w:pPr>
        <w:pStyle w:val="34"/>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pPr>
        <w:pStyle w:val="34"/>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pPr>
        <w:pStyle w:val="34"/>
        <w:spacing w:line="360" w:lineRule="auto"/>
        <w:ind w:firstLine="420" w:firstLineChars="200"/>
        <w:rPr>
          <w:rFonts w:hAnsi="宋体" w:cs="宋体"/>
          <w:color w:val="auto"/>
          <w:highlight w:val="none"/>
        </w:rPr>
      </w:pPr>
      <w:r>
        <w:rPr>
          <w:rFonts w:hint="eastAsia" w:hAnsi="宋体" w:cs="宋体"/>
          <w:color w:val="auto"/>
          <w:highlight w:val="none"/>
        </w:rPr>
        <w:t>4.3.2.2对采购过程提出质疑的，质疑期限为各采购程序环节结束之日起计算。对同一采购程序环节的质疑，供应商须一次性提出。</w:t>
      </w:r>
    </w:p>
    <w:p>
      <w:pPr>
        <w:pStyle w:val="34"/>
        <w:spacing w:line="360" w:lineRule="auto"/>
        <w:ind w:firstLine="420" w:firstLineChars="200"/>
        <w:rPr>
          <w:rFonts w:hAnsi="宋体" w:cs="宋体"/>
          <w:color w:val="auto"/>
          <w:highlight w:val="none"/>
        </w:rPr>
      </w:pPr>
      <w:r>
        <w:rPr>
          <w:rFonts w:hint="eastAsia" w:hAnsi="宋体" w:cs="宋体"/>
          <w:color w:val="auto"/>
          <w:highlight w:val="none"/>
        </w:rPr>
        <w:t>4.2.2.3对采购结果提出质疑的，质疑期限自采购结果公告期限届满之日起计算。</w:t>
      </w:r>
    </w:p>
    <w:p>
      <w:pPr>
        <w:pStyle w:val="34"/>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w:t>
      </w:r>
      <w:r>
        <w:rPr>
          <w:rFonts w:hint="eastAsia" w:hAnsi="宋体" w:cs="宋体"/>
          <w:color w:val="auto"/>
          <w:highlight w:val="none"/>
        </w:rPr>
        <w:t>供应商提出质疑应当提交质疑函和必要的证明材料。质疑函应当包括下列内容：</w:t>
      </w:r>
    </w:p>
    <w:p>
      <w:pPr>
        <w:pStyle w:val="34"/>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.3.1供应商的姓名或者名称、地址、邮编、联系人及联系电话；</w:t>
      </w:r>
    </w:p>
    <w:p>
      <w:pPr>
        <w:pStyle w:val="34"/>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.3.2质疑项目的名称、编号；</w:t>
      </w:r>
    </w:p>
    <w:p>
      <w:pPr>
        <w:pStyle w:val="34"/>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.3.3具体、明确的质疑事项和与质疑事项相关的请求；</w:t>
      </w:r>
    </w:p>
    <w:p>
      <w:pPr>
        <w:pStyle w:val="34"/>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.3.4事实依据；</w:t>
      </w:r>
    </w:p>
    <w:p>
      <w:pPr>
        <w:pStyle w:val="34"/>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.3.5必要的法律依据；</w:t>
      </w:r>
    </w:p>
    <w:p>
      <w:pPr>
        <w:pStyle w:val="34"/>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.3.6提出质疑的日期。</w:t>
      </w:r>
    </w:p>
    <w:p>
      <w:pPr>
        <w:pStyle w:val="34"/>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质疑函范本及制作说明详见附件2。</w:t>
      </w:r>
    </w:p>
    <w:p>
      <w:pPr>
        <w:pStyle w:val="136"/>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lang w:val="zh-CN"/>
        </w:rPr>
        <w:t>4.</w:t>
      </w:r>
      <w:r>
        <w:rPr>
          <w:rFonts w:hint="eastAsia" w:ascii="宋体" w:hAnsi="宋体" w:cs="宋体"/>
          <w:color w:val="auto"/>
          <w:sz w:val="21"/>
          <w:szCs w:val="21"/>
          <w:highlight w:val="none"/>
        </w:rPr>
        <w:t>3</w:t>
      </w:r>
      <w:r>
        <w:rPr>
          <w:rFonts w:ascii="宋体" w:hAnsi="宋体" w:cs="宋体"/>
          <w:color w:val="auto"/>
          <w:sz w:val="21"/>
          <w:szCs w:val="21"/>
          <w:highlight w:val="none"/>
        </w:rPr>
        <w:t>.4</w:t>
      </w:r>
      <w:r>
        <w:rPr>
          <w:rFonts w:hint="eastAsia" w:ascii="宋体" w:hAnsi="宋体" w:cs="宋体"/>
          <w:color w:val="auto"/>
          <w:sz w:val="21"/>
          <w:szCs w:val="21"/>
          <w:highlight w:val="none"/>
        </w:rPr>
        <w:t>对同一采购程序环节的质疑，供应商须在法定质疑期内一次性提出。</w:t>
      </w:r>
    </w:p>
    <w:p>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lang w:val="zh-CN"/>
        </w:rPr>
        <w:t>4.3</w:t>
      </w:r>
      <w:r>
        <w:rPr>
          <w:rFonts w:hint="eastAsia" w:ascii="宋体" w:hAnsi="宋体" w:cs="宋体"/>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宋体" w:hAnsi="宋体" w:cs="宋体"/>
          <w:color w:val="auto"/>
          <w:sz w:val="21"/>
          <w:szCs w:val="21"/>
          <w:highlight w:val="none"/>
        </w:rPr>
        <w:t>2021〕17号）,</w:t>
      </w:r>
      <w:r>
        <w:rPr>
          <w:rFonts w:hint="eastAsia" w:ascii="宋体" w:hAnsi="宋体" w:cs="宋体"/>
          <w:color w:val="auto"/>
          <w:sz w:val="21"/>
          <w:szCs w:val="21"/>
          <w:highlight w:val="none"/>
        </w:rPr>
        <w:t>采购人或者采购代理机构在质疑回复后</w:t>
      </w:r>
      <w:r>
        <w:rPr>
          <w:rFonts w:ascii="宋体" w:hAnsi="宋体" w:cs="宋体"/>
          <w:color w:val="auto"/>
          <w:sz w:val="21"/>
          <w:szCs w:val="21"/>
          <w:highlight w:val="none"/>
        </w:rPr>
        <w:t>5个工作日内，在浙江政府采购网的“其他公告”栏目公开质疑答复，答复内容应当完整。质疑</w:t>
      </w:r>
      <w:r>
        <w:rPr>
          <w:rFonts w:hint="eastAsia" w:ascii="宋体" w:hAnsi="宋体" w:cs="宋体"/>
          <w:color w:val="auto"/>
          <w:sz w:val="21"/>
          <w:szCs w:val="21"/>
          <w:highlight w:val="none"/>
        </w:rPr>
        <w:t>函作为附件上传。</w:t>
      </w:r>
    </w:p>
    <w:p>
      <w:pPr>
        <w:pStyle w:val="136"/>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lang w:val="zh-CN"/>
        </w:rPr>
        <w:t>4.</w:t>
      </w:r>
      <w:r>
        <w:rPr>
          <w:rFonts w:hint="eastAsia" w:ascii="宋体" w:hAnsi="宋体" w:cs="宋体"/>
          <w:color w:val="auto"/>
          <w:sz w:val="21"/>
          <w:szCs w:val="21"/>
          <w:highlight w:val="none"/>
          <w:lang w:val="zh-CN"/>
        </w:rPr>
        <w:t>3</w:t>
      </w:r>
      <w:r>
        <w:rPr>
          <w:rFonts w:hint="eastAsia" w:ascii="宋体" w:hAnsi="宋体" w:cs="宋体"/>
          <w:color w:val="auto"/>
          <w:sz w:val="21"/>
          <w:szCs w:val="21"/>
          <w:highlight w:val="none"/>
        </w:rPr>
        <w:t>.6</w:t>
      </w:r>
      <w:r>
        <w:rPr>
          <w:rFonts w:ascii="宋体" w:hAnsi="宋体" w:cs="宋体"/>
          <w:color w:val="auto"/>
          <w:sz w:val="21"/>
          <w:szCs w:val="21"/>
          <w:highlight w:val="none"/>
        </w:rPr>
        <w:t>询问或者质疑事项可能影响采购结果的，采购人应当暂停签订合同，已经签订合同的，应当中止履行合同。</w:t>
      </w:r>
    </w:p>
    <w:p>
      <w:pPr>
        <w:pStyle w:val="136"/>
        <w:snapToGrid w:val="0"/>
        <w:spacing w:before="0"/>
        <w:ind w:firstLine="420"/>
        <w:rPr>
          <w:rFonts w:ascii="宋体" w:hAnsi="宋体" w:cs="宋体"/>
          <w:color w:val="auto"/>
          <w:sz w:val="21"/>
          <w:szCs w:val="21"/>
          <w:highlight w:val="none"/>
          <w:lang w:val="zh-CN"/>
        </w:rPr>
      </w:pPr>
      <w:r>
        <w:rPr>
          <w:rFonts w:ascii="宋体" w:hAnsi="宋体" w:cs="宋体"/>
          <w:color w:val="auto"/>
          <w:sz w:val="21"/>
          <w:szCs w:val="21"/>
          <w:highlight w:val="none"/>
          <w:lang w:val="zh-CN"/>
        </w:rPr>
        <w:t>4.</w:t>
      </w:r>
      <w:r>
        <w:rPr>
          <w:rFonts w:hint="eastAsia" w:ascii="宋体" w:hAnsi="宋体" w:cs="宋体"/>
          <w:color w:val="auto"/>
          <w:sz w:val="21"/>
          <w:szCs w:val="21"/>
          <w:highlight w:val="none"/>
          <w:lang w:val="zh-CN"/>
        </w:rPr>
        <w:t>4</w:t>
      </w:r>
      <w:r>
        <w:rPr>
          <w:rFonts w:ascii="宋体" w:hAnsi="宋体" w:cs="宋体"/>
          <w:color w:val="auto"/>
          <w:sz w:val="21"/>
          <w:szCs w:val="21"/>
          <w:highlight w:val="none"/>
          <w:lang w:val="zh-CN"/>
        </w:rPr>
        <w:t>供应商投诉</w:t>
      </w:r>
    </w:p>
    <w:p>
      <w:pPr>
        <w:pStyle w:val="136"/>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w:t>
      </w:r>
      <w:r>
        <w:rPr>
          <w:rFonts w:ascii="宋体" w:hAnsi="宋体" w:cs="宋体"/>
          <w:color w:val="auto"/>
          <w:sz w:val="21"/>
          <w:szCs w:val="21"/>
          <w:highlight w:val="none"/>
        </w:rPr>
        <w:t>.1质疑供应商对采购人、采购代理机构的答复不满意或者采购人、采购代理机构未在规定的时间内</w:t>
      </w:r>
      <w:r>
        <w:rPr>
          <w:rFonts w:hint="eastAsia" w:ascii="宋体" w:hAnsi="宋体" w:cs="宋体"/>
          <w:color w:val="auto"/>
          <w:sz w:val="21"/>
          <w:szCs w:val="21"/>
          <w:highlight w:val="none"/>
        </w:rPr>
        <w:t>作出答复的，可以在答复期满后十五个工作日内向同级政府采购监督管理部门提出投诉。</w:t>
      </w:r>
    </w:p>
    <w:p>
      <w:pPr>
        <w:pStyle w:val="136"/>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w:t>
      </w:r>
      <w:r>
        <w:rPr>
          <w:rFonts w:ascii="宋体" w:hAnsi="宋体" w:cs="宋体"/>
          <w:color w:val="auto"/>
          <w:sz w:val="21"/>
          <w:szCs w:val="21"/>
          <w:highlight w:val="none"/>
        </w:rPr>
        <w:t>.</w:t>
      </w:r>
      <w:r>
        <w:rPr>
          <w:rFonts w:ascii="宋体" w:hAnsi="宋体" w:cs="宋体"/>
          <w:color w:val="auto"/>
          <w:sz w:val="21"/>
          <w:szCs w:val="21"/>
          <w:highlight w:val="none"/>
          <w:lang w:val="zh-CN"/>
        </w:rPr>
        <w:t>2</w:t>
      </w:r>
      <w:r>
        <w:rPr>
          <w:rFonts w:hint="eastAsia" w:ascii="宋体" w:hAnsi="宋体" w:cs="宋体"/>
          <w:color w:val="auto"/>
          <w:sz w:val="21"/>
          <w:szCs w:val="21"/>
          <w:highlight w:val="none"/>
        </w:rPr>
        <w:t>供应商投诉的事项不得超出已质疑事项的范围，基于质疑答复内容提出的投诉事项除外。</w:t>
      </w:r>
    </w:p>
    <w:p>
      <w:pPr>
        <w:pStyle w:val="136"/>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4.3供应商投诉应当有明确的请求和必要的证明材料。</w:t>
      </w:r>
    </w:p>
    <w:p>
      <w:pPr>
        <w:pStyle w:val="136"/>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4.4以联合体形式参加政府采购活动的，其投诉应当由组成联合体的所有供应商共同提出。</w:t>
      </w:r>
    </w:p>
    <w:p>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4.4.5根据政府采购行政裁决省市区三级联动试点工作安排，杭州市本级、拱墅区、富阳区政府采购项目投诉材料可寄送至浙江省政府采购行政裁决服务中心（杭州），</w:t>
      </w:r>
      <w:r>
        <w:rPr>
          <w:rFonts w:hint="eastAsia" w:ascii="宋体" w:hAnsi="宋体" w:cs="宋体"/>
          <w:color w:val="auto"/>
          <w:sz w:val="21"/>
          <w:szCs w:val="21"/>
          <w:highlight w:val="none"/>
          <w:lang w:val="en-US" w:eastAsia="zh-CN"/>
        </w:rPr>
        <w:t>本项目</w:t>
      </w:r>
      <w:r>
        <w:rPr>
          <w:rFonts w:hint="eastAsia" w:ascii="宋体" w:hAnsi="宋体" w:cs="宋体"/>
          <w:color w:val="auto"/>
          <w:sz w:val="21"/>
          <w:szCs w:val="21"/>
          <w:highlight w:val="none"/>
        </w:rPr>
        <w:t>收件人：</w:t>
      </w:r>
      <w:r>
        <w:rPr>
          <w:rFonts w:hint="eastAsia" w:ascii="宋体" w:hAnsi="宋体" w:cs="宋体"/>
          <w:color w:val="auto"/>
          <w:sz w:val="21"/>
          <w:szCs w:val="21"/>
          <w:highlight w:val="none"/>
          <w:lang w:eastAsia="zh-CN"/>
        </w:rPr>
        <w:t>俞征</w:t>
      </w:r>
      <w:r>
        <w:rPr>
          <w:rFonts w:hint="eastAsia" w:ascii="宋体" w:hAnsi="宋体" w:cs="宋体"/>
          <w:color w:val="auto"/>
          <w:sz w:val="21"/>
          <w:szCs w:val="21"/>
          <w:highlight w:val="none"/>
        </w:rPr>
        <w:t>，电话：</w:t>
      </w:r>
      <w:r>
        <w:rPr>
          <w:rFonts w:hint="eastAsia" w:ascii="宋体" w:hAnsi="宋体" w:cs="宋体"/>
          <w:color w:val="auto"/>
          <w:sz w:val="21"/>
          <w:szCs w:val="21"/>
          <w:highlight w:val="none"/>
          <w:lang w:eastAsia="zh-CN"/>
        </w:rPr>
        <w:t xml:space="preserve">0571-89185312 </w:t>
      </w:r>
      <w:r>
        <w:rPr>
          <w:rFonts w:hint="eastAsia" w:ascii="宋体" w:hAnsi="宋体" w:cs="宋体"/>
          <w:color w:val="auto"/>
          <w:sz w:val="21"/>
          <w:szCs w:val="21"/>
          <w:highlight w:val="none"/>
        </w:rPr>
        <w:t>。</w:t>
      </w:r>
    </w:p>
    <w:p>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投诉书范本及制作说明详见附件</w:t>
      </w:r>
      <w:r>
        <w:rPr>
          <w:rFonts w:ascii="宋体" w:hAnsi="宋体" w:cs="宋体"/>
          <w:color w:val="auto"/>
          <w:sz w:val="21"/>
          <w:szCs w:val="21"/>
          <w:highlight w:val="none"/>
        </w:rPr>
        <w:t>3。</w:t>
      </w:r>
    </w:p>
    <w:p>
      <w:pPr>
        <w:pStyle w:val="136"/>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rPr>
        <w:t>4.5 补偿救济。采购人（行政机关）因政策变化、规划调整而不履行政府采购合同的，供应商可依据《杭州市涉企补偿救济实施办法（试行）》向采购人（行政机关）提起补偿申请。</w:t>
      </w:r>
    </w:p>
    <w:p>
      <w:pPr>
        <w:pStyle w:val="2"/>
        <w:rPr>
          <w:rFonts w:ascii="宋体" w:hAnsi="宋体" w:cs="宋体"/>
          <w:color w:val="auto"/>
          <w:szCs w:val="21"/>
          <w:highlight w:val="none"/>
        </w:rPr>
      </w:pPr>
      <w:r>
        <w:rPr>
          <w:rStyle w:val="962"/>
          <w:rFonts w:hint="eastAsia" w:ascii="宋体" w:hAnsi="宋体" w:cs="宋体"/>
          <w:b/>
          <w:bCs/>
          <w:color w:val="auto"/>
          <w:szCs w:val="21"/>
          <w:highlight w:val="none"/>
        </w:rPr>
        <w:t>二、招标文件的构成、澄清、修改</w:t>
      </w:r>
    </w:p>
    <w:p>
      <w:pPr>
        <w:pStyle w:val="34"/>
        <w:spacing w:line="360" w:lineRule="auto"/>
        <w:ind w:firstLine="420" w:firstLineChars="200"/>
        <w:outlineLvl w:val="2"/>
        <w:rPr>
          <w:rFonts w:hAnsi="宋体" w:cs="宋体"/>
          <w:b/>
          <w:color w:val="auto"/>
          <w:highlight w:val="none"/>
        </w:rPr>
      </w:pPr>
      <w:r>
        <w:rPr>
          <w:rFonts w:hint="eastAsia" w:hAnsi="宋体" w:cs="宋体"/>
          <w:b/>
          <w:color w:val="auto"/>
          <w:highlight w:val="none"/>
        </w:rPr>
        <w:t>5．招标文件的构成</w:t>
      </w:r>
    </w:p>
    <w:p>
      <w:pPr>
        <w:pStyle w:val="34"/>
        <w:spacing w:line="360" w:lineRule="auto"/>
        <w:ind w:firstLine="420" w:firstLineChars="200"/>
        <w:rPr>
          <w:rFonts w:hAnsi="宋体" w:cs="宋体"/>
          <w:color w:val="auto"/>
          <w:highlight w:val="none"/>
        </w:rPr>
      </w:pPr>
      <w:r>
        <w:rPr>
          <w:rFonts w:hint="eastAsia" w:hAnsi="宋体" w:cs="宋体"/>
          <w:color w:val="auto"/>
          <w:highlight w:val="none"/>
        </w:rPr>
        <w:t>5.1招标文件包括下列文件及附件：</w:t>
      </w:r>
    </w:p>
    <w:p>
      <w:pPr>
        <w:pStyle w:val="34"/>
        <w:tabs>
          <w:tab w:val="left" w:pos="840"/>
        </w:tabs>
        <w:spacing w:line="360" w:lineRule="auto"/>
        <w:ind w:firstLine="420" w:firstLineChars="200"/>
        <w:rPr>
          <w:rFonts w:hAnsi="宋体" w:cs="宋体"/>
          <w:color w:val="auto"/>
          <w:highlight w:val="none"/>
        </w:rPr>
      </w:pPr>
      <w:r>
        <w:rPr>
          <w:rFonts w:hint="eastAsia" w:hAnsi="宋体" w:cs="宋体"/>
          <w:color w:val="auto"/>
          <w:highlight w:val="none"/>
        </w:rPr>
        <w:t>5.1.1招标公告；</w:t>
      </w:r>
    </w:p>
    <w:p>
      <w:pPr>
        <w:pStyle w:val="34"/>
        <w:tabs>
          <w:tab w:val="left" w:pos="840"/>
        </w:tabs>
        <w:spacing w:line="360" w:lineRule="auto"/>
        <w:ind w:firstLine="420" w:firstLineChars="200"/>
        <w:rPr>
          <w:rFonts w:hAnsi="宋体" w:cs="宋体"/>
          <w:color w:val="auto"/>
          <w:highlight w:val="none"/>
        </w:rPr>
      </w:pPr>
      <w:r>
        <w:rPr>
          <w:rFonts w:hint="eastAsia" w:hAnsi="宋体" w:cs="宋体"/>
          <w:color w:val="auto"/>
          <w:highlight w:val="none"/>
        </w:rPr>
        <w:t>5.1.2投标人须知；</w:t>
      </w:r>
    </w:p>
    <w:p>
      <w:pPr>
        <w:pStyle w:val="34"/>
        <w:tabs>
          <w:tab w:val="left" w:pos="840"/>
        </w:tabs>
        <w:spacing w:line="360" w:lineRule="auto"/>
        <w:ind w:firstLine="420" w:firstLineChars="200"/>
        <w:rPr>
          <w:rFonts w:hAnsi="宋体" w:cs="宋体"/>
          <w:color w:val="auto"/>
          <w:highlight w:val="none"/>
        </w:rPr>
      </w:pPr>
      <w:r>
        <w:rPr>
          <w:rFonts w:hint="eastAsia" w:hAnsi="宋体" w:cs="宋体"/>
          <w:color w:val="auto"/>
          <w:highlight w:val="none"/>
        </w:rPr>
        <w:t>5.1.3采购需求；</w:t>
      </w:r>
    </w:p>
    <w:p>
      <w:pPr>
        <w:pStyle w:val="34"/>
        <w:tabs>
          <w:tab w:val="left" w:pos="840"/>
        </w:tabs>
        <w:spacing w:line="360" w:lineRule="auto"/>
        <w:ind w:firstLine="420" w:firstLineChars="200"/>
        <w:rPr>
          <w:rFonts w:hAnsi="宋体" w:cs="宋体"/>
          <w:color w:val="auto"/>
          <w:highlight w:val="none"/>
        </w:rPr>
      </w:pPr>
      <w:r>
        <w:rPr>
          <w:rFonts w:hint="eastAsia" w:hAnsi="宋体" w:cs="宋体"/>
          <w:color w:val="auto"/>
          <w:highlight w:val="none"/>
        </w:rPr>
        <w:t>5.1.4评标办法；</w:t>
      </w:r>
    </w:p>
    <w:p>
      <w:pPr>
        <w:pStyle w:val="34"/>
        <w:tabs>
          <w:tab w:val="left" w:pos="840"/>
        </w:tabs>
        <w:spacing w:line="360" w:lineRule="auto"/>
        <w:ind w:firstLine="420" w:firstLineChars="200"/>
        <w:rPr>
          <w:rFonts w:hAnsi="宋体" w:cs="宋体"/>
          <w:color w:val="auto"/>
          <w:highlight w:val="none"/>
        </w:rPr>
      </w:pPr>
      <w:r>
        <w:rPr>
          <w:rFonts w:hint="eastAsia" w:hAnsi="宋体" w:cs="宋体"/>
          <w:color w:val="auto"/>
          <w:highlight w:val="none"/>
        </w:rPr>
        <w:t>5.1.5拟签订的合同文本；</w:t>
      </w:r>
    </w:p>
    <w:p>
      <w:pPr>
        <w:pStyle w:val="34"/>
        <w:tabs>
          <w:tab w:val="left" w:pos="840"/>
        </w:tabs>
        <w:spacing w:line="360" w:lineRule="auto"/>
        <w:ind w:firstLine="420" w:firstLineChars="200"/>
        <w:rPr>
          <w:rFonts w:hAnsi="宋体" w:cs="宋体"/>
          <w:color w:val="auto"/>
          <w:highlight w:val="none"/>
        </w:rPr>
      </w:pPr>
      <w:r>
        <w:rPr>
          <w:rFonts w:hint="eastAsia" w:hAnsi="宋体" w:cs="宋体"/>
          <w:color w:val="auto"/>
          <w:highlight w:val="none"/>
        </w:rPr>
        <w:t>5.1.6应提交的有关格式范例。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pPr>
        <w:pStyle w:val="34"/>
        <w:spacing w:line="360" w:lineRule="auto"/>
        <w:ind w:firstLine="420" w:firstLineChars="200"/>
        <w:outlineLvl w:val="2"/>
        <w:rPr>
          <w:rFonts w:hAnsi="宋体" w:cs="宋体"/>
          <w:b/>
          <w:color w:val="auto"/>
          <w:highlight w:val="none"/>
        </w:rPr>
      </w:pPr>
      <w:r>
        <w:rPr>
          <w:rFonts w:hint="eastAsia" w:hAnsi="宋体" w:cs="宋体"/>
          <w:b/>
          <w:color w:val="auto"/>
          <w:highlight w:val="none"/>
        </w:rPr>
        <w:t>6.招标文件的澄清、修改</w:t>
      </w:r>
    </w:p>
    <w:p>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pPr>
        <w:pStyle w:val="136"/>
        <w:snapToGrid w:val="0"/>
        <w:spacing w:before="0"/>
        <w:ind w:firstLine="420"/>
        <w:rPr>
          <w:rFonts w:hAnsi="宋体" w:cs="宋体"/>
          <w:color w:val="auto"/>
          <w:sz w:val="21"/>
          <w:szCs w:val="21"/>
          <w:highlight w:val="none"/>
        </w:rPr>
      </w:pPr>
      <w:r>
        <w:rPr>
          <w:rFonts w:hint="eastAsia" w:ascii="宋体" w:hAnsi="宋体" w:cs="宋体"/>
          <w:color w:val="auto"/>
          <w:sz w:val="21"/>
          <w:szCs w:val="21"/>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color w:val="auto"/>
          <w:szCs w:val="21"/>
          <w:highlight w:val="none"/>
        </w:rPr>
      </w:pPr>
      <w:r>
        <w:rPr>
          <w:rFonts w:hint="eastAsia"/>
          <w:color w:val="auto"/>
          <w:szCs w:val="21"/>
          <w:highlight w:val="none"/>
        </w:rPr>
        <w:t>三、投标</w:t>
      </w:r>
    </w:p>
    <w:p>
      <w:pPr>
        <w:pStyle w:val="34"/>
        <w:spacing w:line="360" w:lineRule="auto"/>
        <w:ind w:firstLine="420" w:firstLineChars="200"/>
        <w:outlineLvl w:val="2"/>
        <w:rPr>
          <w:rFonts w:hAnsi="宋体" w:cs="宋体"/>
          <w:b/>
          <w:color w:val="auto"/>
          <w:highlight w:val="none"/>
        </w:rPr>
      </w:pPr>
      <w:r>
        <w:rPr>
          <w:rFonts w:hint="eastAsia" w:hAnsi="宋体" w:cs="宋体"/>
          <w:b/>
          <w:color w:val="auto"/>
          <w:highlight w:val="none"/>
        </w:rPr>
        <w:t>7.招标文件的获取</w:t>
      </w:r>
    </w:p>
    <w:p>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pPr>
        <w:pStyle w:val="34"/>
        <w:spacing w:line="360" w:lineRule="auto"/>
        <w:ind w:firstLine="420" w:firstLineChars="200"/>
        <w:outlineLvl w:val="2"/>
        <w:rPr>
          <w:rFonts w:hAnsi="宋体" w:cs="宋体"/>
          <w:b/>
          <w:color w:val="auto"/>
          <w:highlight w:val="none"/>
        </w:rPr>
      </w:pPr>
      <w:r>
        <w:rPr>
          <w:rFonts w:hint="eastAsia" w:hAnsi="宋体" w:cs="宋体"/>
          <w:b/>
          <w:color w:val="auto"/>
          <w:highlight w:val="none"/>
        </w:rPr>
        <w:t>8.开标前答疑会或现场考察</w:t>
      </w:r>
    </w:p>
    <w:p>
      <w:pPr>
        <w:pStyle w:val="34"/>
        <w:spacing w:line="360" w:lineRule="auto"/>
        <w:ind w:firstLine="420" w:firstLineChars="200"/>
        <w:rPr>
          <w:rFonts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pPr>
        <w:pStyle w:val="34"/>
        <w:spacing w:line="360" w:lineRule="auto"/>
        <w:ind w:firstLine="420" w:firstLineChars="200"/>
        <w:outlineLvl w:val="2"/>
        <w:rPr>
          <w:rFonts w:hAnsi="宋体" w:cs="宋体"/>
          <w:b/>
          <w:color w:val="auto"/>
          <w:highlight w:val="none"/>
        </w:rPr>
      </w:pPr>
      <w:r>
        <w:rPr>
          <w:rFonts w:hint="eastAsia" w:hAnsi="宋体" w:cs="宋体"/>
          <w:b/>
          <w:color w:val="auto"/>
          <w:kern w:val="28"/>
          <w:highlight w:val="none"/>
        </w:rPr>
        <w:t>9.投标保证金</w:t>
      </w:r>
    </w:p>
    <w:p>
      <w:pPr>
        <w:pStyle w:val="1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本项目不需缴纳投标保证金。</w:t>
      </w:r>
    </w:p>
    <w:p>
      <w:pPr>
        <w:pStyle w:val="34"/>
        <w:spacing w:line="360" w:lineRule="auto"/>
        <w:ind w:firstLine="420" w:firstLineChars="200"/>
        <w:outlineLvl w:val="2"/>
        <w:rPr>
          <w:rFonts w:hAnsi="宋体" w:cs="宋体"/>
          <w:b/>
          <w:color w:val="auto"/>
          <w:highlight w:val="none"/>
        </w:rPr>
      </w:pPr>
      <w:r>
        <w:rPr>
          <w:rFonts w:hint="eastAsia" w:hAnsi="宋体" w:cs="宋体"/>
          <w:b/>
          <w:color w:val="auto"/>
          <w:highlight w:val="none"/>
        </w:rPr>
        <w:t>10.投标文件的语言</w:t>
      </w:r>
    </w:p>
    <w:p>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pPr>
        <w:pStyle w:val="34"/>
        <w:spacing w:line="360" w:lineRule="auto"/>
        <w:ind w:firstLine="420" w:firstLineChars="200"/>
        <w:outlineLvl w:val="2"/>
        <w:rPr>
          <w:rFonts w:hAnsi="宋体" w:cs="宋体"/>
          <w:b/>
          <w:color w:val="auto"/>
          <w:highlight w:val="none"/>
        </w:rPr>
      </w:pPr>
      <w:r>
        <w:rPr>
          <w:rFonts w:hint="eastAsia" w:hAnsi="宋体" w:cs="宋体"/>
          <w:b/>
          <w:color w:val="auto"/>
          <w:highlight w:val="none"/>
        </w:rPr>
        <w:t>11.投标文件的组成</w:t>
      </w:r>
    </w:p>
    <w:p>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11.1资格文件：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11.1.1符合参加政府采购活动应当具备的一般条件的承诺函；</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11.1.2联合协议（如果有)；</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11.1.3落实政府采购政策需满足的资格要求（如果有)；</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11.1.4本项目的特定资格要求（如果有)。</w:t>
      </w:r>
    </w:p>
    <w:p>
      <w:pPr>
        <w:spacing w:line="360" w:lineRule="auto"/>
        <w:ind w:firstLine="420" w:firstLineChars="200"/>
        <w:rPr>
          <w:rFonts w:ascii="宋体" w:hAnsi="宋体" w:cs="宋体"/>
          <w:b/>
          <w:color w:val="auto"/>
          <w:szCs w:val="21"/>
          <w:highlight w:val="none"/>
          <w:lang w:val="zh-CN"/>
        </w:rPr>
      </w:pPr>
      <w:r>
        <w:rPr>
          <w:rFonts w:hint="eastAsia" w:ascii="宋体" w:hAnsi="宋体" w:cs="宋体"/>
          <w:b/>
          <w:color w:val="auto"/>
          <w:szCs w:val="21"/>
          <w:highlight w:val="none"/>
          <w:lang w:val="zh-CN"/>
        </w:rPr>
        <w:t>11.</w:t>
      </w:r>
      <w:r>
        <w:rPr>
          <w:rFonts w:hint="eastAsia" w:ascii="宋体" w:hAnsi="宋体" w:cs="宋体"/>
          <w:b/>
          <w:color w:val="auto"/>
          <w:szCs w:val="21"/>
          <w:highlight w:val="none"/>
        </w:rPr>
        <w:t>2商务技术</w:t>
      </w:r>
      <w:r>
        <w:rPr>
          <w:rFonts w:hint="eastAsia" w:ascii="宋体" w:hAnsi="宋体" w:cs="宋体"/>
          <w:b/>
          <w:color w:val="auto"/>
          <w:szCs w:val="21"/>
          <w:highlight w:val="none"/>
          <w:lang w:val="zh-CN"/>
        </w:rPr>
        <w:t>文件：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11.2.1投标函；</w:t>
      </w:r>
      <w:r>
        <w:rPr>
          <w:rFonts w:hint="eastAsia" w:ascii="宋体" w:hAnsi="宋体" w:cs="宋体"/>
          <w:bCs/>
          <w:color w:val="auto"/>
          <w:szCs w:val="21"/>
          <w:highlight w:val="none"/>
          <w:lang w:val="zh-CN"/>
        </w:rPr>
        <w:t xml:space="preserve">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11.2.2授权委托书或法定代表人（单位负责人、自然人本人）身份证明；</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11.2.3分包意向协议（如果有)；</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11.2.4符合性审查资料；</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11.2.5评标标准相应的商务技术资料；</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11.2.6投标标的清单；</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11.2.7商务技术偏离表；</w:t>
      </w:r>
    </w:p>
    <w:p>
      <w:pPr>
        <w:spacing w:line="360" w:lineRule="auto"/>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11.</w:t>
      </w:r>
      <w:r>
        <w:rPr>
          <w:rFonts w:hint="eastAsia" w:ascii="宋体" w:hAnsi="宋体" w:cs="宋体"/>
          <w:bCs/>
          <w:color w:val="auto"/>
          <w:szCs w:val="21"/>
          <w:highlight w:val="none"/>
        </w:rPr>
        <w:t>2</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8</w:t>
      </w:r>
      <w:r>
        <w:rPr>
          <w:rFonts w:hint="eastAsia" w:ascii="宋体" w:hAnsi="宋体" w:cs="宋体"/>
          <w:bCs/>
          <w:color w:val="auto"/>
          <w:szCs w:val="21"/>
          <w:highlight w:val="none"/>
          <w:lang w:val="zh-CN"/>
        </w:rPr>
        <w:t>政府采购供应商廉洁自律承诺书；</w:t>
      </w:r>
    </w:p>
    <w:p>
      <w:pPr>
        <w:spacing w:line="360" w:lineRule="auto"/>
        <w:ind w:firstLine="420" w:firstLineChars="200"/>
        <w:rPr>
          <w:rFonts w:ascii="宋体" w:hAnsi="宋体" w:cs="宋体"/>
          <w:bCs/>
          <w:color w:val="auto"/>
          <w:szCs w:val="21"/>
          <w:highlight w:val="none"/>
          <w:lang w:val="zh-CN"/>
        </w:rPr>
      </w:pPr>
      <w:r>
        <w:rPr>
          <w:rFonts w:hint="eastAsia" w:ascii="宋体" w:hAnsi="宋体" w:cs="宋体"/>
          <w:b/>
          <w:color w:val="auto"/>
          <w:szCs w:val="21"/>
          <w:highlight w:val="none"/>
          <w:lang w:val="zh-CN"/>
        </w:rPr>
        <w:t>11.</w:t>
      </w:r>
      <w:r>
        <w:rPr>
          <w:rFonts w:hint="eastAsia" w:ascii="宋体" w:hAnsi="宋体" w:cs="宋体"/>
          <w:b/>
          <w:color w:val="auto"/>
          <w:szCs w:val="21"/>
          <w:highlight w:val="none"/>
        </w:rPr>
        <w:t>3报价文件：</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11.3.1开标一览表（报价表）；</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11.3.1中小企业声明函（如果有）；</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11.3.2 报价情况说明（如供应商报价低于项目预算50%的，应当提交本文档，详细阐述不影响产品质量或者诚信履约的具体原因）。</w:t>
      </w:r>
    </w:p>
    <w:p>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投标文件含有采购人不能接受的附加条件的，投标无效；</w:t>
      </w:r>
    </w:p>
    <w:p>
      <w:pPr>
        <w:spacing w:line="360" w:lineRule="auto"/>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投标人提供虚假材料投标的，投标无效。</w:t>
      </w:r>
    </w:p>
    <w:p>
      <w:pPr>
        <w:spacing w:line="360" w:lineRule="auto"/>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投标人应对投标文件中材料的真实性、合法性负责。</w:t>
      </w:r>
    </w:p>
    <w:p>
      <w:pPr>
        <w:pStyle w:val="136"/>
        <w:snapToGrid w:val="0"/>
        <w:spacing w:before="0"/>
        <w:ind w:firstLine="422"/>
        <w:outlineLvl w:val="2"/>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w:t>
      </w:r>
      <w:r>
        <w:rPr>
          <w:rFonts w:hint="eastAsia" w:ascii="宋体" w:hAnsi="宋体" w:cs="宋体"/>
          <w:b/>
          <w:color w:val="auto"/>
          <w:sz w:val="21"/>
          <w:szCs w:val="21"/>
          <w:highlight w:val="none"/>
        </w:rPr>
        <w:t>投标文件的编制</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20" w:firstLineChars="200"/>
        <w:outlineLvl w:val="2"/>
        <w:rPr>
          <w:rFonts w:ascii="宋体" w:hAnsi="宋体" w:cs="宋体"/>
          <w:b/>
          <w:color w:val="auto"/>
          <w:szCs w:val="21"/>
          <w:highlight w:val="none"/>
        </w:rPr>
      </w:pPr>
      <w:r>
        <w:rPr>
          <w:rFonts w:hint="eastAsia" w:ascii="宋体" w:hAnsi="宋体" w:cs="宋体"/>
          <w:b/>
          <w:color w:val="auto"/>
          <w:szCs w:val="21"/>
          <w:highlight w:val="none"/>
        </w:rPr>
        <w:t>13.投标文件的签署、盖章</w:t>
      </w:r>
    </w:p>
    <w:p>
      <w:pPr>
        <w:pStyle w:val="136"/>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pPr>
        <w:pStyle w:val="136"/>
        <w:numPr>
          <w:ilvl w:val="0"/>
          <w:numId w:val="0"/>
        </w:numPr>
        <w:spacing w:before="0"/>
        <w:ind w:firstLine="420" w:firstLineChars="200"/>
        <w:outlineLvl w:val="2"/>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14.</w:t>
      </w:r>
      <w:r>
        <w:rPr>
          <w:rFonts w:hint="eastAsia" w:ascii="宋体" w:hAnsi="宋体" w:cs="宋体"/>
          <w:b/>
          <w:color w:val="auto"/>
          <w:sz w:val="21"/>
          <w:szCs w:val="21"/>
          <w:highlight w:val="none"/>
        </w:rPr>
        <w:t>投标文件的提交、补充、修改、撤回</w:t>
      </w:r>
    </w:p>
    <w:p>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ind w:firstLine="420" w:firstLineChars="200"/>
        <w:outlineLvl w:val="2"/>
        <w:rPr>
          <w:rFonts w:hAnsi="宋体" w:cs="宋体"/>
          <w:b/>
          <w:color w:val="auto"/>
          <w:highlight w:val="none"/>
        </w:rPr>
      </w:pPr>
      <w:r>
        <w:rPr>
          <w:rFonts w:hint="eastAsia" w:hAnsi="宋体" w:cs="宋体"/>
          <w:b/>
          <w:color w:val="auto"/>
          <w:highlight w:val="none"/>
        </w:rPr>
        <w:t>15.备份投标文件</w:t>
      </w:r>
    </w:p>
    <w:p>
      <w:pPr>
        <w:pStyle w:val="34"/>
        <w:spacing w:line="360" w:lineRule="auto"/>
        <w:ind w:firstLine="420" w:firstLineChars="200"/>
        <w:rPr>
          <w:rFonts w:hAnsi="宋体" w:cs="宋体"/>
          <w:b/>
          <w:color w:val="auto"/>
          <w:highlight w:val="none"/>
        </w:rPr>
      </w:pPr>
      <w:r>
        <w:rPr>
          <w:rFonts w:hint="eastAsia" w:hAnsi="宋体" w:cs="宋体"/>
          <w:color w:val="auto"/>
          <w:highlight w:val="none"/>
        </w:rPr>
        <w:t>15.1投标人在电子交易平台传输递交投标文件后，还可以在投标截止时间前直接提交或者以邮政快递方式递交备份投标文件1份，</w:t>
      </w:r>
      <w:r>
        <w:rPr>
          <w:rFonts w:hint="eastAsia" w:hAnsi="宋体" w:cs="宋体"/>
          <w:b/>
          <w:color w:val="auto"/>
          <w:highlight w:val="none"/>
        </w:rPr>
        <w:t>但采购人、采购代理机构不强制或变相强制投标人提交备份投标文件。</w:t>
      </w:r>
    </w:p>
    <w:p>
      <w:pPr>
        <w:pStyle w:val="34"/>
        <w:spacing w:line="360" w:lineRule="auto"/>
        <w:ind w:firstLine="420" w:firstLineChars="200"/>
        <w:rPr>
          <w:rFonts w:hAnsi="宋体" w:cs="宋体"/>
          <w:b/>
          <w:color w:val="auto"/>
          <w:highlight w:val="none"/>
        </w:rPr>
      </w:pPr>
      <w:r>
        <w:rPr>
          <w:rFonts w:hint="eastAsia" w:hAnsi="宋体" w:cs="宋体"/>
          <w:color w:val="auto"/>
          <w:highlight w:val="none"/>
        </w:rPr>
        <w:t>15.2备份投标文件须在“政采云投标客户端”制作生成，并储存在光盘/U盘等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不符合上述制作、存储、密封规定的备份投标文件将被视为无效或者被拒绝接收。</w:t>
      </w:r>
    </w:p>
    <w:p>
      <w:pPr>
        <w:pStyle w:val="34"/>
        <w:spacing w:line="360" w:lineRule="auto"/>
        <w:ind w:firstLine="420" w:firstLineChars="200"/>
        <w:rPr>
          <w:rFonts w:hAnsi="宋体" w:cs="宋体"/>
          <w:color w:val="auto"/>
          <w:highlight w:val="none"/>
        </w:rPr>
      </w:pPr>
      <w:r>
        <w:rPr>
          <w:rFonts w:hint="eastAsia" w:hAnsi="宋体" w:cs="宋体"/>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20" w:firstLineChars="200"/>
        <w:rPr>
          <w:rFonts w:hAnsi="宋体" w:cs="宋体"/>
          <w:color w:val="auto"/>
          <w:highlight w:val="none"/>
        </w:rPr>
      </w:pPr>
      <w:r>
        <w:rPr>
          <w:rFonts w:hint="eastAsia" w:hAnsi="宋体" w:cs="宋体"/>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20" w:firstLineChars="200"/>
        <w:rPr>
          <w:rFonts w:hAnsi="宋体" w:cs="宋体"/>
          <w:b/>
          <w:color w:val="auto"/>
          <w:highlight w:val="none"/>
        </w:rPr>
      </w:pPr>
      <w:r>
        <w:rPr>
          <w:rFonts w:hint="eastAsia" w:hAnsi="宋体" w:cs="宋体"/>
          <w:b/>
          <w:color w:val="auto"/>
          <w:highlight w:val="none"/>
        </w:rPr>
        <w:t>15.5投标人仅提交备份投标文件，未在电子交易平台传输递交投标文件的，投标无效。</w:t>
      </w:r>
    </w:p>
    <w:p>
      <w:pPr>
        <w:pStyle w:val="136"/>
        <w:spacing w:before="0"/>
        <w:ind w:firstLine="422"/>
        <w:outlineLvl w:val="2"/>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pPr>
        <w:pStyle w:val="26"/>
        <w:spacing w:line="360" w:lineRule="auto"/>
        <w:ind w:firstLine="420"/>
        <w:rPr>
          <w:rFonts w:cs="宋体"/>
          <w:color w:val="auto"/>
          <w:sz w:val="21"/>
          <w:szCs w:val="21"/>
          <w:highlight w:val="none"/>
        </w:rPr>
      </w:pPr>
      <w:r>
        <w:rPr>
          <w:rFonts w:hint="eastAsia" w:cs="宋体"/>
          <w:color w:val="auto"/>
          <w:sz w:val="21"/>
          <w:szCs w:val="21"/>
          <w:highlight w:val="none"/>
        </w:rPr>
        <w:t>有招标文件第四部分第4.2项规定的情形之一的，投标无效：</w:t>
      </w:r>
    </w:p>
    <w:p>
      <w:pPr>
        <w:pStyle w:val="136"/>
        <w:spacing w:before="0"/>
        <w:ind w:firstLine="422"/>
        <w:outlineLvl w:val="2"/>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17.1投标有效期为从提交投标文件的截止之日起90天。</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投标人的投标文件中承诺的投标有效期少于招标文件中载明的投标有效期的，投标无效。</w:t>
      </w:r>
    </w:p>
    <w:p>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2"/>
        <w:rPr>
          <w:color w:val="auto"/>
          <w:szCs w:val="21"/>
          <w:highlight w:val="none"/>
        </w:rPr>
      </w:pPr>
      <w:r>
        <w:rPr>
          <w:rFonts w:hint="eastAsia"/>
          <w:color w:val="auto"/>
          <w:szCs w:val="21"/>
          <w:highlight w:val="none"/>
        </w:rPr>
        <w:t>四、开标、资格审查与信用信息查询</w:t>
      </w:r>
    </w:p>
    <w:p>
      <w:pPr>
        <w:pStyle w:val="557"/>
        <w:spacing w:before="0" w:line="360" w:lineRule="auto"/>
        <w:ind w:left="0" w:firstLine="420" w:firstLineChars="200"/>
        <w:contextualSpacing/>
        <w:outlineLvl w:val="2"/>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pPr>
        <w:pStyle w:val="557"/>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w:t>
      </w:r>
      <w:r>
        <w:rPr>
          <w:rFonts w:hint="eastAsia" w:ascii="宋体" w:hAnsi="宋体" w:cs="宋体"/>
          <w:color w:val="auto"/>
          <w:sz w:val="21"/>
          <w:szCs w:val="21"/>
          <w:highlight w:val="none"/>
          <w:lang w:val="en-US" w:eastAsia="zh-CN"/>
        </w:rPr>
        <w:t>每个</w:t>
      </w:r>
      <w:r>
        <w:rPr>
          <w:rFonts w:hint="eastAsia" w:ascii="宋体" w:hAnsi="宋体" w:cs="宋体"/>
          <w:color w:val="auto"/>
          <w:sz w:val="21"/>
          <w:szCs w:val="21"/>
          <w:highlight w:val="none"/>
        </w:rPr>
        <w:t>投标人不足3家的，不得开标。</w:t>
      </w:r>
    </w:p>
    <w:p>
      <w:pPr>
        <w:pStyle w:val="557"/>
        <w:spacing w:before="0" w:line="360" w:lineRule="auto"/>
        <w:ind w:left="0" w:firstLine="420" w:firstLineChars="200"/>
        <w:contextualSpacing/>
        <w:rPr>
          <w:rFonts w:ascii="宋体" w:hAnsi="宋体" w:cs="宋体"/>
          <w:b/>
          <w:bCs/>
          <w:color w:val="auto"/>
          <w:sz w:val="21"/>
          <w:szCs w:val="21"/>
          <w:highlight w:val="none"/>
        </w:rPr>
      </w:pPr>
      <w:r>
        <w:rPr>
          <w:rFonts w:hint="eastAsia" w:ascii="宋体" w:hAnsi="宋体" w:cs="宋体"/>
          <w:b/>
          <w:bCs/>
          <w:color w:val="auto"/>
          <w:sz w:val="21"/>
          <w:szCs w:val="21"/>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420" w:firstLineChars="200"/>
        <w:contextualSpacing/>
        <w:rPr>
          <w:rFonts w:ascii="宋体" w:hAnsi="宋体" w:cs="宋体"/>
          <w:b/>
          <w:color w:val="auto"/>
          <w:sz w:val="21"/>
          <w:szCs w:val="21"/>
          <w:highlight w:val="none"/>
        </w:rPr>
      </w:pPr>
      <w:r>
        <w:rPr>
          <w:rFonts w:hint="eastAsia" w:ascii="宋体" w:hAnsi="宋体" w:cs="宋体"/>
          <w:color w:val="auto"/>
          <w:sz w:val="21"/>
          <w:szCs w:val="21"/>
          <w:highlight w:val="none"/>
        </w:rPr>
        <w:t>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pPr>
        <w:pStyle w:val="557"/>
        <w:spacing w:before="0" w:line="360" w:lineRule="auto"/>
        <w:ind w:left="0" w:firstLine="420" w:firstLineChars="200"/>
        <w:contextualSpacing/>
        <w:outlineLvl w:val="2"/>
        <w:rPr>
          <w:rFonts w:ascii="宋体" w:hAnsi="宋体" w:cs="宋体"/>
          <w:b/>
          <w:color w:val="auto"/>
          <w:sz w:val="21"/>
          <w:szCs w:val="21"/>
          <w:highlight w:val="none"/>
        </w:rPr>
      </w:pPr>
      <w:r>
        <w:rPr>
          <w:rFonts w:hint="eastAsia" w:ascii="宋体" w:hAnsi="宋体" w:cs="宋体"/>
          <w:b/>
          <w:color w:val="auto"/>
          <w:sz w:val="21"/>
          <w:szCs w:val="21"/>
          <w:highlight w:val="none"/>
        </w:rPr>
        <w:t>19.资格审查</w:t>
      </w:r>
    </w:p>
    <w:p>
      <w:pPr>
        <w:pStyle w:val="136"/>
        <w:ind w:firstLine="420"/>
        <w:rPr>
          <w:rFonts w:ascii="宋体" w:hAnsi="宋体" w:cs="宋体"/>
          <w:color w:val="auto"/>
          <w:sz w:val="21"/>
          <w:szCs w:val="21"/>
          <w:highlight w:val="none"/>
        </w:rPr>
      </w:pPr>
      <w:r>
        <w:rPr>
          <w:rFonts w:hint="eastAsia" w:ascii="宋体" w:hAnsi="宋体" w:cs="宋体"/>
          <w:color w:val="auto"/>
          <w:sz w:val="21"/>
          <w:szCs w:val="21"/>
          <w:highlight w:val="none"/>
        </w:rPr>
        <w:t>19.1采购人或采购代理机构依据法律法规和招标文件的规定，对投标人的资格进行审查。</w:t>
      </w:r>
    </w:p>
    <w:p>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19.2投标人未按照招标文件要求提供与资格条件相应的有效资格证明材料的，视为投标人不具备招标文件中规定的资格要求，其投标无效。</w:t>
      </w:r>
    </w:p>
    <w:p>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19.3对未通过资格审查的投标人，采购人或采购代理机构告知其未通过的原因。</w:t>
      </w:r>
    </w:p>
    <w:p>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19.4合格投标人不足3家的，不再评标。</w:t>
      </w:r>
    </w:p>
    <w:p>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6"/>
        <w:spacing w:before="0"/>
        <w:ind w:firstLine="422"/>
        <w:outlineLvl w:val="2"/>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pPr>
        <w:pStyle w:val="136"/>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20.1信用信息查询渠道及截止时间：采购代理机构将在资格审查时通过“信用中国”网站(www.creditchina.gov.cn)、中国政府采购网(www.ccgp.gov.cn)等渠道查询投标人接受资格时的信用记录。</w:t>
      </w:r>
    </w:p>
    <w:p>
      <w:pPr>
        <w:pStyle w:val="136"/>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pPr>
        <w:pStyle w:val="136"/>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pPr>
        <w:pStyle w:val="136"/>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pPr>
        <w:pStyle w:val="2"/>
        <w:rPr>
          <w:color w:val="auto"/>
          <w:szCs w:val="21"/>
          <w:highlight w:val="none"/>
        </w:rPr>
      </w:pPr>
      <w:r>
        <w:rPr>
          <w:rFonts w:hint="eastAsia"/>
          <w:color w:val="auto"/>
          <w:szCs w:val="21"/>
          <w:highlight w:val="none"/>
        </w:rPr>
        <w:t>五、评标</w:t>
      </w:r>
    </w:p>
    <w:p>
      <w:pPr>
        <w:spacing w:line="360" w:lineRule="auto"/>
        <w:ind w:firstLine="420" w:firstLineChars="200"/>
        <w:rPr>
          <w:rFonts w:ascii="宋体" w:hAnsi="宋体" w:cs="宋体"/>
          <w:b/>
          <w:color w:val="auto"/>
          <w:szCs w:val="21"/>
          <w:highlight w:val="none"/>
        </w:rPr>
      </w:pPr>
      <w:bookmarkStart w:id="16" w:name="_Toc91899903"/>
      <w:r>
        <w:rPr>
          <w:rFonts w:hint="eastAsia" w:ascii="宋体" w:hAnsi="宋体" w:cs="宋体"/>
          <w:b/>
          <w:color w:val="auto"/>
          <w:szCs w:val="21"/>
          <w:highlight w:val="none"/>
        </w:rPr>
        <w:t>21.</w:t>
      </w:r>
      <w:r>
        <w:rPr>
          <w:rFonts w:hint="eastAsia" w:ascii="宋体" w:hAnsi="宋体" w:cs="宋体"/>
          <w:color w:val="auto"/>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Cs w:val="21"/>
          <w:highlight w:val="none"/>
        </w:rPr>
        <w:t>详见招标文件第四部分评标办法。</w:t>
      </w:r>
    </w:p>
    <w:p>
      <w:pPr>
        <w:pStyle w:val="2"/>
        <w:rPr>
          <w:color w:val="auto"/>
          <w:szCs w:val="21"/>
          <w:highlight w:val="none"/>
        </w:rPr>
      </w:pPr>
      <w:r>
        <w:rPr>
          <w:rFonts w:hint="eastAsia"/>
          <w:color w:val="auto"/>
          <w:szCs w:val="21"/>
          <w:highlight w:val="none"/>
        </w:rPr>
        <w:t>六、定标</w:t>
      </w:r>
    </w:p>
    <w:p>
      <w:pPr>
        <w:widowControl/>
        <w:shd w:val="clear" w:color="auto" w:fill="FFFFFF"/>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22.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6"/>
        <w:snapToGrid w:val="0"/>
        <w:spacing w:before="0"/>
        <w:ind w:firstLine="422"/>
        <w:outlineLvl w:val="2"/>
        <w:rPr>
          <w:rFonts w:ascii="宋体" w:hAnsi="宋体" w:cs="宋体"/>
          <w:b/>
          <w:color w:val="auto"/>
          <w:sz w:val="21"/>
          <w:szCs w:val="21"/>
          <w:highlight w:val="none"/>
        </w:rPr>
      </w:pPr>
      <w:r>
        <w:rPr>
          <w:rFonts w:hint="eastAsia" w:ascii="宋体" w:hAnsi="宋体" w:cs="宋体"/>
          <w:b/>
          <w:color w:val="auto"/>
          <w:sz w:val="21"/>
          <w:szCs w:val="21"/>
          <w:highlight w:val="none"/>
        </w:rPr>
        <w:t>23.中标通知与中标结果公告</w:t>
      </w:r>
    </w:p>
    <w:p>
      <w:pPr>
        <w:widowControl/>
        <w:shd w:val="clear" w:color="auto" w:fill="FFFFFF"/>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23.1自中标人确定之日起1个工作日内，采购代理机构通过电子交易平台向中标人发出中标通知书，同时编制发布采购结果公告。采购代理机构也可以以纸质形式进行中标通知。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23.2中标结果公告内容包括采购人及其委托的</w:t>
      </w:r>
      <w:r>
        <w:rPr>
          <w:rFonts w:hint="eastAsia" w:ascii="宋体" w:hAnsi="宋体" w:cs="宋体"/>
          <w:color w:val="auto"/>
          <w:szCs w:val="21"/>
          <w:highlight w:val="none"/>
        </w:rPr>
        <w:t>采购代理机构</w:t>
      </w:r>
      <w:r>
        <w:rPr>
          <w:rFonts w:ascii="宋体" w:hAnsi="宋体" w:cs="宋体"/>
          <w:color w:val="auto"/>
          <w:szCs w:val="21"/>
          <w:highlight w:val="none"/>
        </w:rPr>
        <w:t>的名称、地址、联系方式，项目名称和项目编号，中标人名称、地址和中标金额，主要中标标的</w:t>
      </w:r>
      <w:r>
        <w:rPr>
          <w:rFonts w:hint="eastAsia" w:ascii="宋体" w:hAnsi="宋体" w:cs="宋体"/>
          <w:color w:val="auto"/>
          <w:szCs w:val="21"/>
          <w:highlight w:val="none"/>
        </w:rPr>
        <w:t>的名称、规格型号、数量、单价、服务要求，开标记录、</w:t>
      </w:r>
      <w:bookmarkStart w:id="17" w:name="_Hlk101184471"/>
      <w:r>
        <w:rPr>
          <w:rFonts w:hint="eastAsia" w:ascii="宋体" w:hAnsi="宋体" w:cs="宋体"/>
          <w:color w:val="auto"/>
          <w:szCs w:val="21"/>
          <w:highlight w:val="none"/>
        </w:rPr>
        <w:t>资格审查情况、评审专家抽取规则、符合性审查情况、</w:t>
      </w:r>
      <w:bookmarkEnd w:id="17"/>
      <w:r>
        <w:rPr>
          <w:rFonts w:hint="eastAsia" w:ascii="宋体" w:hAnsi="宋体" w:cs="宋体"/>
          <w:color w:val="auto"/>
          <w:szCs w:val="21"/>
          <w:highlight w:val="none"/>
        </w:rPr>
        <w:t>未中标情况说明、中标公告期限以及评审专家名单、评分汇总及明细。</w:t>
      </w:r>
    </w:p>
    <w:p>
      <w:pPr>
        <w:widowControl/>
        <w:shd w:val="clear" w:color="auto" w:fill="FFFFFF"/>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23.3公告期限为1个工作日。</w:t>
      </w:r>
    </w:p>
    <w:p>
      <w:pPr>
        <w:widowControl/>
        <w:shd w:val="clear" w:color="auto" w:fill="FFFFFF"/>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24.由于中标、成交供应商原因导致重新采购的，应当承担支付代理费和专家评审费等费用在内的赔偿责任。</w:t>
      </w:r>
    </w:p>
    <w:p>
      <w:pPr>
        <w:pStyle w:val="2"/>
        <w:rPr>
          <w:color w:val="auto"/>
          <w:szCs w:val="21"/>
          <w:highlight w:val="none"/>
        </w:rPr>
      </w:pPr>
      <w:r>
        <w:rPr>
          <w:rFonts w:hint="eastAsia"/>
          <w:color w:val="auto"/>
          <w:szCs w:val="21"/>
          <w:highlight w:val="none"/>
        </w:rPr>
        <w:t>七、合同授予</w:t>
      </w:r>
    </w:p>
    <w:p>
      <w:pPr>
        <w:pStyle w:val="26"/>
        <w:spacing w:line="360" w:lineRule="auto"/>
        <w:outlineLvl w:val="2"/>
        <w:rPr>
          <w:rFonts w:cs="宋体"/>
          <w:b/>
          <w:color w:val="auto"/>
          <w:sz w:val="21"/>
          <w:szCs w:val="21"/>
          <w:highlight w:val="none"/>
        </w:rPr>
      </w:pPr>
      <w:r>
        <w:rPr>
          <w:rFonts w:hint="eastAsia" w:cs="宋体"/>
          <w:b/>
          <w:color w:val="auto"/>
          <w:sz w:val="21"/>
          <w:szCs w:val="21"/>
          <w:highlight w:val="none"/>
        </w:rPr>
        <w:t>24.</w:t>
      </w:r>
      <w:r>
        <w:rPr>
          <w:rFonts w:hint="eastAsia" w:cs="宋体"/>
          <w:color w:val="auto"/>
          <w:sz w:val="21"/>
          <w:szCs w:val="21"/>
          <w:highlight w:val="none"/>
        </w:rPr>
        <w:t>合同主要条款详见第五部分拟签订的合同文本。</w:t>
      </w:r>
    </w:p>
    <w:p>
      <w:pPr>
        <w:pStyle w:val="26"/>
        <w:spacing w:line="360" w:lineRule="auto"/>
        <w:outlineLvl w:val="2"/>
        <w:rPr>
          <w:rFonts w:cs="宋体"/>
          <w:b/>
          <w:color w:val="auto"/>
          <w:sz w:val="21"/>
          <w:szCs w:val="21"/>
          <w:highlight w:val="none"/>
        </w:rPr>
      </w:pPr>
      <w:r>
        <w:rPr>
          <w:rFonts w:hint="eastAsia" w:cs="宋体"/>
          <w:b/>
          <w:color w:val="auto"/>
          <w:sz w:val="21"/>
          <w:szCs w:val="21"/>
          <w:highlight w:val="none"/>
        </w:rPr>
        <w:t>25.合同的签订</w:t>
      </w:r>
    </w:p>
    <w:p>
      <w:pPr>
        <w:widowControl/>
        <w:shd w:val="clear" w:color="auto" w:fill="FFFFFF"/>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25.1采购人与中标人应当通过电子交易平台在中标通知书发出之日起十日内，按照招标文件确定的事项签订政府采购合同，并在</w:t>
      </w:r>
      <w:r>
        <w:rPr>
          <w:rFonts w:hint="eastAsia" w:ascii="宋体" w:hAnsi="宋体" w:cs="宋体"/>
          <w:color w:val="auto"/>
          <w:kern w:val="0"/>
          <w:szCs w:val="21"/>
          <w:highlight w:val="none"/>
        </w:rPr>
        <w:t>签订之日起2个工作日内将政府采购</w:t>
      </w:r>
      <w:r>
        <w:rPr>
          <w:rFonts w:ascii="宋体" w:hAnsi="宋体" w:cs="宋体"/>
          <w:color w:val="auto"/>
          <w:kern w:val="0"/>
          <w:szCs w:val="21"/>
          <w:highlight w:val="none"/>
        </w:rPr>
        <w:t>合同</w:t>
      </w:r>
      <w:r>
        <w:rPr>
          <w:rFonts w:hint="eastAsia" w:ascii="宋体" w:hAnsi="宋体" w:cs="宋体"/>
          <w:color w:val="auto"/>
          <w:kern w:val="0"/>
          <w:szCs w:val="21"/>
          <w:highlight w:val="none"/>
        </w:rPr>
        <w:t>在浙江政府采购网上</w:t>
      </w:r>
      <w:r>
        <w:rPr>
          <w:rFonts w:ascii="宋体" w:hAnsi="宋体" w:cs="宋体"/>
          <w:color w:val="auto"/>
          <w:kern w:val="0"/>
          <w:szCs w:val="21"/>
          <w:highlight w:val="none"/>
        </w:rPr>
        <w:t>公告</w:t>
      </w:r>
      <w:r>
        <w:rPr>
          <w:rFonts w:hint="eastAsia" w:ascii="宋体" w:hAnsi="宋体" w:cs="宋体"/>
          <w:color w:val="auto"/>
          <w:kern w:val="0"/>
          <w:szCs w:val="21"/>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ascii="宋体" w:hAnsi="宋体" w:cs="宋体"/>
          <w:color w:val="auto"/>
          <w:kern w:val="0"/>
          <w:szCs w:val="21"/>
          <w:highlight w:val="none"/>
        </w:rPr>
        <w:t>。</w:t>
      </w:r>
    </w:p>
    <w:p>
      <w:pPr>
        <w:pStyle w:val="136"/>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pPr>
        <w:pStyle w:val="136"/>
        <w:snapToGrid w:val="0"/>
        <w:spacing w:before="0" w:after="12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pPr>
        <w:pStyle w:val="136"/>
        <w:snapToGrid w:val="0"/>
        <w:spacing w:before="0" w:after="120"/>
        <w:ind w:firstLine="42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25.6 合同签订依据为相关法律法规文件、招标文件、乙方投标文件等，合同条款有与前者冲突的，以前者为准。</w:t>
      </w:r>
    </w:p>
    <w:p>
      <w:pPr>
        <w:pStyle w:val="26"/>
        <w:spacing w:line="360" w:lineRule="auto"/>
        <w:outlineLvl w:val="2"/>
        <w:rPr>
          <w:rFonts w:cs="宋体"/>
          <w:b/>
          <w:color w:val="auto"/>
          <w:sz w:val="21"/>
          <w:szCs w:val="21"/>
          <w:highlight w:val="none"/>
        </w:rPr>
      </w:pPr>
      <w:r>
        <w:rPr>
          <w:rFonts w:hint="eastAsia" w:cs="宋体"/>
          <w:b/>
          <w:color w:val="auto"/>
          <w:sz w:val="21"/>
          <w:szCs w:val="21"/>
          <w:highlight w:val="none"/>
        </w:rPr>
        <w:t>26.履约保证金</w:t>
      </w:r>
    </w:p>
    <w:p>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拟签订的合同文本要求中标供应商提交履约保证金的，供应商应当以金融机构、担保机构出具的保函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szCs w:val="21"/>
          <w:highlight w:val="none"/>
        </w:rPr>
      </w:pPr>
      <w:r>
        <w:rPr>
          <w:rFonts w:hint="eastAsia"/>
          <w:color w:val="auto"/>
          <w:szCs w:val="21"/>
          <w:highlight w:val="none"/>
        </w:rPr>
        <w:t>27.预付款</w:t>
      </w:r>
    </w:p>
    <w:p>
      <w:pPr>
        <w:pStyle w:val="136"/>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pPr>
        <w:pStyle w:val="2"/>
        <w:rPr>
          <w:color w:val="auto"/>
          <w:szCs w:val="21"/>
          <w:highlight w:val="none"/>
        </w:rPr>
      </w:pPr>
      <w:r>
        <w:rPr>
          <w:rFonts w:hint="eastAsia"/>
          <w:color w:val="auto"/>
          <w:szCs w:val="21"/>
          <w:highlight w:val="none"/>
        </w:rPr>
        <w:t>八、电子交易活动的中止</w:t>
      </w:r>
    </w:p>
    <w:p>
      <w:pPr>
        <w:pStyle w:val="136"/>
        <w:snapToGrid w:val="0"/>
        <w:spacing w:before="0"/>
        <w:ind w:firstLine="422"/>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28.电子交易活动的中止</w:t>
      </w:r>
    </w:p>
    <w:p>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pPr>
        <w:pStyle w:val="136"/>
        <w:snapToGrid w:val="0"/>
        <w:spacing w:before="0"/>
        <w:ind w:firstLine="420"/>
        <w:outlineLvl w:val="2"/>
        <w:rPr>
          <w:rFonts w:ascii="宋体" w:hAnsi="宋体" w:cs="宋体"/>
          <w:color w:val="auto"/>
          <w:sz w:val="21"/>
          <w:szCs w:val="21"/>
          <w:highlight w:val="none"/>
        </w:rPr>
      </w:pPr>
      <w:r>
        <w:rPr>
          <w:rFonts w:hint="eastAsia" w:ascii="宋体" w:hAnsi="宋体" w:cs="宋体"/>
          <w:color w:val="auto"/>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pPr>
        <w:pStyle w:val="2"/>
        <w:rPr>
          <w:color w:val="auto"/>
          <w:szCs w:val="21"/>
          <w:highlight w:val="none"/>
        </w:rPr>
      </w:pPr>
      <w:r>
        <w:rPr>
          <w:rFonts w:hint="eastAsia"/>
          <w:color w:val="auto"/>
          <w:szCs w:val="21"/>
          <w:highlight w:val="none"/>
        </w:rPr>
        <w:t>九、验收</w:t>
      </w:r>
    </w:p>
    <w:p>
      <w:pPr>
        <w:pStyle w:val="26"/>
        <w:spacing w:line="360" w:lineRule="auto"/>
        <w:ind w:firstLine="422"/>
        <w:outlineLvl w:val="2"/>
        <w:rPr>
          <w:rFonts w:cs="宋体"/>
          <w:b/>
          <w:color w:val="auto"/>
          <w:sz w:val="21"/>
          <w:szCs w:val="21"/>
          <w:highlight w:val="none"/>
        </w:rPr>
      </w:pPr>
      <w:r>
        <w:rPr>
          <w:rFonts w:hint="eastAsia" w:cs="宋体"/>
          <w:b/>
          <w:color w:val="auto"/>
          <w:sz w:val="21"/>
          <w:szCs w:val="21"/>
          <w:highlight w:val="none"/>
        </w:rPr>
        <w:t>30.验收</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6"/>
    <w:p>
      <w:pPr>
        <w:tabs>
          <w:tab w:val="left" w:pos="0"/>
        </w:tabs>
        <w:spacing w:line="360" w:lineRule="auto"/>
        <w:ind w:firstLine="480"/>
        <w:rPr>
          <w:rFonts w:ascii="宋体" w:hAnsi="宋体" w:cs="宋体"/>
          <w:color w:val="auto"/>
          <w:kern w:val="0"/>
          <w:szCs w:val="21"/>
          <w:highlight w:val="none"/>
        </w:rPr>
        <w:sectPr>
          <w:footerReference r:id="rId8" w:type="first"/>
          <w:headerReference r:id="rId6" w:type="default"/>
          <w:footerReference r:id="rId7" w:type="default"/>
          <w:pgSz w:w="11906" w:h="16838"/>
          <w:pgMar w:top="680" w:right="1418" w:bottom="468" w:left="1418" w:header="851" w:footer="992" w:gutter="0"/>
          <w:pgBorders>
            <w:top w:val="none" w:sz="0" w:space="0"/>
            <w:left w:val="none" w:sz="0" w:space="0"/>
            <w:bottom w:val="none" w:sz="0" w:space="0"/>
            <w:right w:val="none" w:sz="0" w:space="0"/>
          </w:pgBorders>
          <w:pgNumType w:fmt="decimal" w:start="2"/>
          <w:cols w:space="720" w:num="1"/>
          <w:docGrid w:linePitch="312" w:charSpace="0"/>
        </w:sectPr>
      </w:pPr>
      <w:bookmarkStart w:id="18" w:name="_Hlt75236011"/>
      <w:bookmarkEnd w:id="18"/>
      <w:bookmarkStart w:id="19" w:name="_Hlt74707468"/>
      <w:bookmarkEnd w:id="19"/>
      <w:bookmarkStart w:id="20" w:name="_Hlt74729768"/>
      <w:bookmarkEnd w:id="20"/>
      <w:bookmarkStart w:id="21" w:name="_Hlt74730295"/>
      <w:bookmarkEnd w:id="21"/>
      <w:bookmarkStart w:id="22" w:name="_Hlt75236101"/>
      <w:bookmarkEnd w:id="22"/>
      <w:bookmarkStart w:id="23" w:name="_Hlt68073093"/>
      <w:bookmarkEnd w:id="23"/>
      <w:bookmarkStart w:id="24" w:name="_Hlt68072998"/>
      <w:bookmarkEnd w:id="24"/>
      <w:bookmarkStart w:id="25" w:name="_Hlt68072990"/>
      <w:bookmarkEnd w:id="25"/>
      <w:bookmarkStart w:id="26" w:name="_Hlt75236290"/>
      <w:bookmarkEnd w:id="26"/>
      <w:bookmarkStart w:id="27" w:name="_Hlt68057669"/>
      <w:bookmarkEnd w:id="27"/>
      <w:bookmarkStart w:id="28" w:name="_Hlt74714665"/>
      <w:bookmarkEnd w:id="28"/>
      <w:bookmarkStart w:id="29" w:name="_Hlt68403820"/>
      <w:bookmarkEnd w:id="29"/>
    </w:p>
    <w:bookmarkEnd w:id="14"/>
    <w:bookmarkEnd w:id="15"/>
    <w:p>
      <w:pPr>
        <w:pStyle w:val="3"/>
        <w:rPr>
          <w:color w:val="auto"/>
          <w:highlight w:val="none"/>
        </w:rPr>
      </w:pPr>
      <w:bookmarkStart w:id="568" w:name="_GoBack"/>
      <w:bookmarkEnd w:id="568"/>
      <w:bookmarkStart w:id="30" w:name="_Toc19952"/>
      <w:bookmarkStart w:id="31" w:name="第四部分"/>
      <w:r>
        <w:rPr>
          <w:rFonts w:hint="eastAsia"/>
          <w:color w:val="auto"/>
          <w:highlight w:val="none"/>
        </w:rPr>
        <w:t>第三部分 采购需求</w:t>
      </w:r>
      <w:bookmarkEnd w:id="30"/>
    </w:p>
    <w:p>
      <w:pPr>
        <w:pStyle w:val="2"/>
        <w:numPr>
          <w:ilvl w:val="0"/>
          <w:numId w:val="1"/>
        </w:numPr>
        <w:ind w:left="0" w:leftChars="0" w:firstLine="420" w:firstLineChars="0"/>
        <w:rPr>
          <w:rFonts w:hint="eastAsia" w:ascii="宋体" w:hAnsi="宋体" w:eastAsia="宋体" w:cs="宋体"/>
          <w:color w:val="auto"/>
          <w:kern w:val="0"/>
          <w:szCs w:val="21"/>
          <w:highlight w:val="none"/>
          <w:lang w:val="en-US" w:eastAsia="zh-CN"/>
        </w:rPr>
      </w:pPr>
      <w:bookmarkStart w:id="32" w:name="_Toc127197966"/>
      <w:bookmarkStart w:id="33" w:name="_Toc16971"/>
      <w:bookmarkStart w:id="34" w:name="_Toc24940"/>
      <w:bookmarkStart w:id="35" w:name="_Toc4113"/>
      <w:bookmarkStart w:id="36" w:name="_Toc24056"/>
      <w:bookmarkStart w:id="37" w:name="_Toc19274"/>
      <w:bookmarkStart w:id="38" w:name="_Toc5589"/>
      <w:bookmarkStart w:id="39" w:name="_Toc13313"/>
      <w:r>
        <w:rPr>
          <w:rFonts w:hint="eastAsia" w:ascii="宋体" w:hAnsi="宋体" w:eastAsia="宋体" w:cs="宋体"/>
          <w:color w:val="auto"/>
          <w:kern w:val="0"/>
          <w:szCs w:val="21"/>
          <w:highlight w:val="none"/>
        </w:rPr>
        <w:t>项目</w:t>
      </w:r>
      <w:bookmarkEnd w:id="32"/>
      <w:r>
        <w:rPr>
          <w:rFonts w:hint="eastAsia" w:ascii="宋体" w:hAnsi="宋体" w:cs="宋体"/>
          <w:color w:val="auto"/>
          <w:kern w:val="0"/>
          <w:szCs w:val="21"/>
          <w:highlight w:val="none"/>
          <w:lang w:val="en-US" w:eastAsia="zh-CN"/>
        </w:rPr>
        <w:t>说明</w:t>
      </w:r>
    </w:p>
    <w:p>
      <w:pPr>
        <w:tabs>
          <w:tab w:val="left" w:pos="0"/>
        </w:tabs>
        <w:spacing w:before="0" w:beforeLines="-2147483648" w:after="0" w:afterLines="-2147483648"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随着我国人口老龄化程度日趋严重，居家养老服务成为了养老服务产业的迫切需要。通过第三方评估机构对老年人能力的评估，继而开展居家养老服务，旨在推进养老服务事业发展，繁荣养老服务产业，营造更加充满活力的养老服务市场环境，在更高层次上贴近老年人实际需要，解决老年人最迫切、最期盼的养老问题和生活问题。</w:t>
      </w:r>
    </w:p>
    <w:p>
      <w:pPr>
        <w:tabs>
          <w:tab w:val="left" w:pos="0"/>
        </w:tabs>
        <w:spacing w:before="0" w:beforeLines="-2147483648" w:after="0" w:afterLines="-2147483648"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为落实上级部门购买居家养老服务项目，推进政府购买居家养老服务工作的规范化、专业化，满足老年人个性化、多样化定制服务需求，按照“政府主导、社区参与、实体服务、机构运作”的工作思路，根据上级部门相关要求，结合塘栖镇现有实际情况，对本次居家养老服务项目组织政府采购</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采购内容为</w:t>
      </w:r>
      <w:r>
        <w:rPr>
          <w:rFonts w:hint="eastAsia" w:ascii="宋体" w:hAnsi="宋体" w:cs="宋体"/>
          <w:b w:val="0"/>
          <w:bCs/>
          <w:color w:val="auto"/>
          <w:szCs w:val="21"/>
          <w:highlight w:val="none"/>
          <w:lang w:eastAsia="zh-CN"/>
        </w:rPr>
        <w:t>塘栖镇养老电子津贴政府采购</w:t>
      </w:r>
      <w:r>
        <w:rPr>
          <w:rFonts w:hint="eastAsia" w:ascii="宋体" w:hAnsi="宋体" w:cs="宋体"/>
          <w:b w:val="0"/>
          <w:bCs/>
          <w:color w:val="auto"/>
          <w:szCs w:val="21"/>
          <w:highlight w:val="none"/>
        </w:rPr>
        <w:t>项目</w:t>
      </w:r>
      <w:r>
        <w:rPr>
          <w:rFonts w:hint="eastAsia" w:ascii="宋体" w:hAnsi="宋体" w:cs="宋体"/>
          <w:b w:val="0"/>
          <w:bCs/>
          <w:color w:val="auto"/>
          <w:szCs w:val="21"/>
          <w:highlight w:val="none"/>
          <w:lang w:eastAsia="zh-CN"/>
        </w:rPr>
        <w:t>。</w:t>
      </w:r>
    </w:p>
    <w:p>
      <w:pPr>
        <w:pStyle w:val="2"/>
        <w:numPr>
          <w:ilvl w:val="0"/>
          <w:numId w:val="1"/>
        </w:numPr>
        <w:ind w:left="0" w:leftChars="0" w:firstLine="420" w:firstLineChars="0"/>
        <w:rPr>
          <w:rFonts w:hint="eastAsia" w:ascii="宋体" w:hAnsi="宋体" w:eastAsia="宋体" w:cs="宋体"/>
          <w:color w:val="auto"/>
          <w:kern w:val="0"/>
          <w:szCs w:val="21"/>
          <w:highlight w:val="none"/>
        </w:rPr>
      </w:pPr>
      <w:bookmarkStart w:id="40" w:name="_Toc127197967"/>
      <w:r>
        <w:rPr>
          <w:rFonts w:hint="eastAsia" w:ascii="宋体" w:hAnsi="宋体" w:eastAsia="宋体" w:cs="宋体"/>
          <w:b/>
          <w:color w:val="auto"/>
          <w:kern w:val="0"/>
          <w:sz w:val="21"/>
          <w:szCs w:val="21"/>
          <w:highlight w:val="none"/>
        </w:rPr>
        <w:t>招标项目概况（内容、用途、数量、简要技术要求等）</w:t>
      </w:r>
    </w:p>
    <w:tbl>
      <w:tblPr>
        <w:tblStyle w:val="62"/>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23"/>
        <w:gridCol w:w="777"/>
        <w:gridCol w:w="1873"/>
        <w:gridCol w:w="3236"/>
        <w:gridCol w:w="1846"/>
      </w:tblGrid>
      <w:tr>
        <w:trPr>
          <w:trHeight w:val="707" w:hRule="atLeast"/>
        </w:trPr>
        <w:tc>
          <w:tcPr>
            <w:tcW w:w="67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标项</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数量</w:t>
            </w:r>
          </w:p>
        </w:tc>
        <w:tc>
          <w:tcPr>
            <w:tcW w:w="77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单位</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预算金额</w:t>
            </w:r>
          </w:p>
        </w:tc>
        <w:tc>
          <w:tcPr>
            <w:tcW w:w="3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简要技术要求、用途</w:t>
            </w:r>
          </w:p>
        </w:tc>
        <w:tc>
          <w:tcPr>
            <w:tcW w:w="1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备注</w:t>
            </w:r>
          </w:p>
        </w:tc>
      </w:tr>
      <w:tr>
        <w:trPr>
          <w:trHeight w:val="1136" w:hRule="atLeast"/>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一</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7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1873" w:type="dxa"/>
            <w:tcBorders>
              <w:top w:val="single" w:color="auto" w:sz="4" w:space="0"/>
              <w:left w:val="single" w:color="auto" w:sz="4" w:space="0"/>
              <w:bottom w:val="single" w:color="auto" w:sz="4" w:space="0"/>
              <w:right w:val="single" w:color="auto" w:sz="4" w:space="0"/>
            </w:tcBorders>
            <w:vAlign w:val="center"/>
          </w:tcPr>
          <w:p>
            <w:pPr>
              <w:pStyle w:val="136"/>
              <w:snapToGrid w:val="0"/>
              <w:spacing w:before="0"/>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预算总金额：</w:t>
            </w:r>
            <w:r>
              <w:rPr>
                <w:rFonts w:hint="eastAsia" w:ascii="宋体" w:hAnsi="宋体" w:cs="宋体"/>
                <w:color w:val="auto"/>
                <w:kern w:val="0"/>
                <w:sz w:val="21"/>
                <w:szCs w:val="21"/>
                <w:highlight w:val="none"/>
                <w:lang w:val="en-US" w:eastAsia="zh-CN"/>
              </w:rPr>
              <w:t>202</w:t>
            </w:r>
            <w:r>
              <w:rPr>
                <w:rFonts w:hint="eastAsia" w:ascii="宋体" w:hAnsi="宋体" w:eastAsia="宋体" w:cs="宋体"/>
                <w:color w:val="auto"/>
                <w:kern w:val="0"/>
                <w:sz w:val="21"/>
                <w:szCs w:val="21"/>
                <w:highlight w:val="none"/>
              </w:rPr>
              <w:t>万元（两年）</w:t>
            </w:r>
            <w:r>
              <w:rPr>
                <w:rFonts w:hint="eastAsia" w:ascii="宋体" w:hAnsi="宋体" w:eastAsia="宋体" w:cs="宋体"/>
                <w:color w:val="auto"/>
                <w:sz w:val="21"/>
                <w:szCs w:val="21"/>
                <w:highlight w:val="none"/>
              </w:rPr>
              <w:t>。</w:t>
            </w:r>
          </w:p>
        </w:tc>
        <w:tc>
          <w:tcPr>
            <w:tcW w:w="3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服务范围：柴家坞村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超丁村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泰山村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丁河村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莲花社区</w:t>
            </w:r>
            <w:r>
              <w:rPr>
                <w:rFonts w:hint="eastAsia" w:ascii="宋体" w:hAnsi="宋体" w:eastAsia="宋体" w:cs="宋体"/>
                <w:color w:val="auto"/>
                <w:sz w:val="21"/>
                <w:szCs w:val="21"/>
                <w:highlight w:val="none"/>
                <w:lang w:eastAsia="zh-CN"/>
              </w:rPr>
              <w:t>。</w:t>
            </w:r>
          </w:p>
        </w:tc>
        <w:tc>
          <w:tcPr>
            <w:tcW w:w="1846"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本项目预算为采购人根据上年度资金使用和本年度需要扩面的所需预估金额，最终结算根据具体根据实际服务进行结算，投标人自行考虑相关风险。</w:t>
            </w:r>
          </w:p>
        </w:tc>
      </w:tr>
      <w:tr>
        <w:trPr>
          <w:trHeight w:val="1512" w:hRule="atLeast"/>
        </w:trPr>
        <w:tc>
          <w:tcPr>
            <w:tcW w:w="6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7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预算总</w:t>
            </w:r>
            <w:r>
              <w:rPr>
                <w:rFonts w:hint="eastAsia" w:ascii="宋体" w:hAnsi="宋体" w:eastAsia="宋体" w:cs="宋体"/>
                <w:color w:val="auto"/>
                <w:kern w:val="0"/>
                <w:sz w:val="21"/>
                <w:szCs w:val="21"/>
                <w:highlight w:val="none"/>
              </w:rPr>
              <w:t>金额：</w:t>
            </w:r>
            <w:r>
              <w:rPr>
                <w:rFonts w:hint="eastAsia" w:ascii="宋体" w:hAnsi="宋体" w:cs="宋体"/>
                <w:color w:val="auto"/>
                <w:sz w:val="21"/>
                <w:szCs w:val="21"/>
                <w:highlight w:val="none"/>
                <w:lang w:val="en-US" w:eastAsia="zh-CN"/>
              </w:rPr>
              <w:t>198</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rPr>
              <w:t>（两年）</w:t>
            </w:r>
            <w:r>
              <w:rPr>
                <w:rFonts w:hint="eastAsia" w:ascii="宋体" w:hAnsi="宋体" w:eastAsia="宋体" w:cs="宋体"/>
                <w:color w:val="auto"/>
                <w:sz w:val="21"/>
                <w:szCs w:val="21"/>
                <w:highlight w:val="none"/>
              </w:rPr>
              <w:t>。</w:t>
            </w:r>
          </w:p>
        </w:tc>
        <w:tc>
          <w:tcPr>
            <w:tcW w:w="32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服务范围：</w:t>
            </w:r>
            <w:r>
              <w:rPr>
                <w:rFonts w:hint="eastAsia" w:ascii="宋体" w:hAnsi="宋体" w:eastAsia="宋体" w:cs="宋体"/>
                <w:b w:val="0"/>
                <w:bCs/>
                <w:color w:val="auto"/>
                <w:szCs w:val="21"/>
                <w:highlight w:val="none"/>
              </w:rPr>
              <w:t>华城社区</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酒店埭社区</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河西埭村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宏磻村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莫家桥村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三星村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唐家埭村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西河村</w:t>
            </w:r>
            <w:r>
              <w:rPr>
                <w:rFonts w:hint="eastAsia" w:ascii="宋体" w:hAnsi="宋体" w:cs="宋体"/>
                <w:b w:val="0"/>
                <w:bCs/>
                <w:color w:val="auto"/>
                <w:szCs w:val="21"/>
                <w:highlight w:val="none"/>
                <w:lang w:eastAsia="zh-CN"/>
              </w:rPr>
              <w:t>。</w:t>
            </w:r>
          </w:p>
        </w:tc>
        <w:tc>
          <w:tcPr>
            <w:tcW w:w="1846"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sz w:val="21"/>
                <w:szCs w:val="21"/>
                <w:highlight w:val="none"/>
              </w:rPr>
            </w:pPr>
          </w:p>
        </w:tc>
      </w:tr>
      <w:tr>
        <w:trPr>
          <w:trHeight w:val="1323" w:hRule="atLeast"/>
        </w:trPr>
        <w:tc>
          <w:tcPr>
            <w:tcW w:w="67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三</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77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w:t>
            </w:r>
          </w:p>
        </w:tc>
        <w:tc>
          <w:tcPr>
            <w:tcW w:w="1873" w:type="dxa"/>
            <w:tcBorders>
              <w:top w:val="single" w:color="auto" w:sz="4" w:space="0"/>
              <w:left w:val="single" w:color="auto" w:sz="4" w:space="0"/>
              <w:bottom w:val="single" w:color="auto" w:sz="4" w:space="0"/>
              <w:right w:val="single" w:color="auto" w:sz="4" w:space="0"/>
            </w:tcBorders>
            <w:vAlign w:val="center"/>
          </w:tcPr>
          <w:p>
            <w:pPr>
              <w:pStyle w:val="136"/>
              <w:snapToGrid w:val="0"/>
              <w:spacing w:before="0"/>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预算总</w:t>
            </w:r>
            <w:r>
              <w:rPr>
                <w:rFonts w:hint="eastAsia" w:ascii="宋体" w:hAnsi="宋体" w:eastAsia="宋体" w:cs="宋体"/>
                <w:color w:val="auto"/>
                <w:kern w:val="0"/>
                <w:sz w:val="21"/>
                <w:szCs w:val="21"/>
                <w:highlight w:val="none"/>
              </w:rPr>
              <w:t>金额：</w:t>
            </w:r>
            <w:r>
              <w:rPr>
                <w:rFonts w:hint="eastAsia" w:ascii="宋体" w:hAnsi="宋体" w:cs="宋体"/>
                <w:color w:val="auto"/>
                <w:sz w:val="21"/>
                <w:szCs w:val="21"/>
                <w:highlight w:val="none"/>
                <w:lang w:val="en-US" w:eastAsia="zh-CN"/>
              </w:rPr>
              <w:t>194</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rPr>
              <w:t>（两年）</w:t>
            </w:r>
            <w:r>
              <w:rPr>
                <w:rFonts w:hint="eastAsia" w:ascii="宋体" w:hAnsi="宋体" w:eastAsia="宋体" w:cs="宋体"/>
                <w:color w:val="auto"/>
                <w:sz w:val="21"/>
                <w:szCs w:val="21"/>
                <w:highlight w:val="none"/>
              </w:rPr>
              <w:t>。</w:t>
            </w:r>
          </w:p>
        </w:tc>
        <w:tc>
          <w:tcPr>
            <w:tcW w:w="323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服务范围：</w:t>
            </w:r>
            <w:r>
              <w:rPr>
                <w:rFonts w:hint="eastAsia" w:ascii="宋体" w:hAnsi="宋体" w:eastAsia="宋体" w:cs="宋体"/>
                <w:b w:val="0"/>
                <w:bCs/>
                <w:color w:val="auto"/>
                <w:szCs w:val="21"/>
                <w:highlight w:val="none"/>
              </w:rPr>
              <w:t>广济路社区</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水北社区</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邵家坝村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塘北村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三文村</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西界河村。</w:t>
            </w:r>
          </w:p>
        </w:tc>
        <w:tc>
          <w:tcPr>
            <w:tcW w:w="1846" w:type="dxa"/>
            <w:vMerge w:val="continue"/>
            <w:tcBorders>
              <w:left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 w:val="21"/>
                <w:szCs w:val="21"/>
                <w:highlight w:val="none"/>
              </w:rPr>
            </w:pPr>
          </w:p>
        </w:tc>
      </w:tr>
      <w:tr>
        <w:trPr>
          <w:trHeight w:val="1323" w:hRule="atLeast"/>
        </w:trPr>
        <w:tc>
          <w:tcPr>
            <w:tcW w:w="67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四</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7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1873" w:type="dxa"/>
            <w:tcBorders>
              <w:top w:val="single" w:color="auto" w:sz="4" w:space="0"/>
              <w:left w:val="single" w:color="auto" w:sz="4" w:space="0"/>
              <w:bottom w:val="single" w:color="auto" w:sz="4" w:space="0"/>
              <w:right w:val="single" w:color="auto" w:sz="4" w:space="0"/>
            </w:tcBorders>
            <w:vAlign w:val="center"/>
          </w:tcPr>
          <w:p>
            <w:pPr>
              <w:pStyle w:val="136"/>
              <w:snapToGrid w:val="0"/>
              <w:spacing w:before="0"/>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预算总</w:t>
            </w:r>
            <w:r>
              <w:rPr>
                <w:rFonts w:hint="eastAsia" w:ascii="宋体" w:hAnsi="宋体" w:eastAsia="宋体" w:cs="宋体"/>
                <w:color w:val="auto"/>
                <w:kern w:val="0"/>
                <w:sz w:val="21"/>
                <w:szCs w:val="21"/>
                <w:highlight w:val="none"/>
              </w:rPr>
              <w:t>金额：</w:t>
            </w:r>
            <w:r>
              <w:rPr>
                <w:rFonts w:hint="eastAsia" w:ascii="宋体" w:hAnsi="宋体" w:cs="宋体"/>
                <w:color w:val="auto"/>
                <w:sz w:val="21"/>
                <w:szCs w:val="21"/>
                <w:highlight w:val="none"/>
                <w:lang w:val="en-US" w:eastAsia="zh-CN"/>
              </w:rPr>
              <w:t>206</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rPr>
              <w:t>（两年）</w:t>
            </w:r>
            <w:r>
              <w:rPr>
                <w:rFonts w:hint="eastAsia" w:ascii="宋体" w:hAnsi="宋体" w:eastAsia="宋体" w:cs="宋体"/>
                <w:color w:val="auto"/>
                <w:sz w:val="21"/>
                <w:szCs w:val="21"/>
                <w:highlight w:val="none"/>
              </w:rPr>
              <w:t>。</w:t>
            </w:r>
          </w:p>
        </w:tc>
        <w:tc>
          <w:tcPr>
            <w:tcW w:w="3236"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服务范围：</w:t>
            </w:r>
            <w:r>
              <w:rPr>
                <w:rFonts w:hint="eastAsia" w:ascii="宋体" w:hAnsi="宋体" w:eastAsia="宋体" w:cs="宋体"/>
                <w:b w:val="0"/>
                <w:bCs w:val="0"/>
                <w:color w:val="auto"/>
                <w:szCs w:val="21"/>
                <w:highlight w:val="none"/>
              </w:rPr>
              <w:t>塘栖村</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西苑村</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枇杷湾社区</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乐苑社区</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丁山河村</w:t>
            </w:r>
            <w:r>
              <w:rPr>
                <w:rFonts w:hint="eastAsia" w:ascii="宋体" w:hAnsi="宋体" w:eastAsia="宋体" w:cs="宋体"/>
                <w:b w:val="0"/>
                <w:bCs w:val="0"/>
                <w:color w:val="auto"/>
                <w:szCs w:val="21"/>
                <w:highlight w:val="none"/>
                <w:lang w:eastAsia="zh-CN"/>
              </w:rPr>
              <w:t>。</w:t>
            </w:r>
          </w:p>
        </w:tc>
        <w:tc>
          <w:tcPr>
            <w:tcW w:w="1846" w:type="dxa"/>
            <w:vMerge w:val="continue"/>
            <w:tcBorders>
              <w:left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 w:val="21"/>
                <w:szCs w:val="21"/>
                <w:highlight w:val="none"/>
              </w:rPr>
            </w:pPr>
          </w:p>
        </w:tc>
      </w:tr>
      <w:tr>
        <w:trPr>
          <w:trHeight w:val="1333" w:hRule="atLeast"/>
        </w:trPr>
        <w:tc>
          <w:tcPr>
            <w:tcW w:w="67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五</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7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1873" w:type="dxa"/>
            <w:tcBorders>
              <w:top w:val="single" w:color="auto" w:sz="4" w:space="0"/>
              <w:left w:val="single" w:color="auto" w:sz="4" w:space="0"/>
              <w:bottom w:val="single" w:color="auto" w:sz="4" w:space="0"/>
              <w:right w:val="single" w:color="auto" w:sz="4" w:space="0"/>
            </w:tcBorders>
            <w:vAlign w:val="center"/>
          </w:tcPr>
          <w:p>
            <w:pPr>
              <w:pStyle w:val="136"/>
              <w:snapToGrid w:val="0"/>
              <w:spacing w:before="0"/>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预算总</w:t>
            </w:r>
            <w:r>
              <w:rPr>
                <w:rFonts w:hint="eastAsia" w:ascii="宋体" w:hAnsi="宋体" w:eastAsia="宋体" w:cs="宋体"/>
                <w:color w:val="auto"/>
                <w:kern w:val="0"/>
                <w:sz w:val="21"/>
                <w:szCs w:val="21"/>
                <w:highlight w:val="none"/>
              </w:rPr>
              <w:t>金额：</w:t>
            </w:r>
            <w:r>
              <w:rPr>
                <w:rFonts w:hint="eastAsia" w:ascii="宋体" w:hAnsi="宋体" w:cs="宋体"/>
                <w:color w:val="auto"/>
                <w:sz w:val="21"/>
                <w:szCs w:val="21"/>
                <w:highlight w:val="none"/>
                <w:lang w:val="en-US" w:eastAsia="zh-CN"/>
              </w:rPr>
              <w:t>200</w:t>
            </w:r>
            <w:r>
              <w:rPr>
                <w:rFonts w:hint="eastAsia" w:ascii="宋体" w:hAnsi="宋体" w:eastAsia="宋体" w:cs="宋体"/>
                <w:color w:val="auto"/>
                <w:sz w:val="21"/>
                <w:szCs w:val="21"/>
                <w:highlight w:val="none"/>
              </w:rPr>
              <w:t>万元</w:t>
            </w:r>
            <w:r>
              <w:rPr>
                <w:rFonts w:hint="eastAsia" w:ascii="宋体" w:hAnsi="宋体" w:eastAsia="宋体" w:cs="宋体"/>
                <w:color w:val="auto"/>
                <w:kern w:val="0"/>
                <w:sz w:val="21"/>
                <w:szCs w:val="21"/>
                <w:highlight w:val="none"/>
              </w:rPr>
              <w:t>（两年）</w:t>
            </w:r>
            <w:r>
              <w:rPr>
                <w:rFonts w:hint="eastAsia" w:ascii="宋体" w:hAnsi="宋体" w:eastAsia="宋体" w:cs="宋体"/>
                <w:color w:val="auto"/>
                <w:sz w:val="21"/>
                <w:szCs w:val="21"/>
                <w:highlight w:val="none"/>
              </w:rPr>
              <w:t>。</w:t>
            </w:r>
          </w:p>
        </w:tc>
        <w:tc>
          <w:tcPr>
            <w:tcW w:w="323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服务范围：</w:t>
            </w:r>
            <w:r>
              <w:rPr>
                <w:rFonts w:hint="eastAsia" w:ascii="宋体" w:hAnsi="宋体" w:eastAsia="宋体" w:cs="宋体"/>
                <w:b w:val="0"/>
                <w:bCs w:val="0"/>
                <w:color w:val="auto"/>
                <w:szCs w:val="21"/>
                <w:highlight w:val="none"/>
              </w:rPr>
              <w:t>超山村</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西小河社区</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东小河社区</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南苑社区</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锦兰社区</w:t>
            </w:r>
            <w:r>
              <w:rPr>
                <w:rFonts w:hint="eastAsia" w:ascii="宋体" w:hAnsi="宋体" w:eastAsia="宋体" w:cs="宋体"/>
                <w:b w:val="0"/>
                <w:bCs w:val="0"/>
                <w:color w:val="auto"/>
                <w:szCs w:val="21"/>
                <w:highlight w:val="none"/>
                <w:lang w:eastAsia="zh-CN"/>
              </w:rPr>
              <w:t>。</w:t>
            </w:r>
          </w:p>
        </w:tc>
        <w:tc>
          <w:tcPr>
            <w:tcW w:w="1846" w:type="dxa"/>
            <w:vMerge w:val="continue"/>
            <w:tcBorders>
              <w:left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sz w:val="21"/>
                <w:szCs w:val="21"/>
                <w:highlight w:val="none"/>
              </w:rPr>
            </w:pPr>
          </w:p>
        </w:tc>
      </w:tr>
    </w:tbl>
    <w:p>
      <w:pPr>
        <w:tabs>
          <w:tab w:val="left" w:pos="0"/>
        </w:tabs>
        <w:spacing w:before="0" w:line="360" w:lineRule="auto"/>
        <w:ind w:firstLine="420"/>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u w:val="single"/>
        </w:rPr>
        <w:t>注：如投两个及以上标项，投标文件需按标项分开制作并按标项上传政采云系统。</w:t>
      </w:r>
    </w:p>
    <w:p>
      <w:pPr>
        <w:pStyle w:val="2"/>
        <w:numPr>
          <w:ilvl w:val="0"/>
          <w:numId w:val="1"/>
        </w:numPr>
        <w:ind w:left="0" w:leftChars="0" w:firstLine="420" w:firstLineChars="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服务内容</w:t>
      </w:r>
    </w:p>
    <w:p>
      <w:pPr>
        <w:tabs>
          <w:tab w:val="left" w:pos="0"/>
        </w:tabs>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居家养老服务对象</w:t>
      </w:r>
    </w:p>
    <w:p>
      <w:pPr>
        <w:tabs>
          <w:tab w:val="left" w:pos="0"/>
        </w:tabs>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符合根据《杭州市临平区养老服务电子津贴实施办法（试行）》(临民〔2021〕42 号）文件精神的对象纳入政府居家养老服务范围（塘栖镇本地户籍）。</w:t>
      </w:r>
    </w:p>
    <w:p>
      <w:pPr>
        <w:tabs>
          <w:tab w:val="left" w:pos="0"/>
        </w:tabs>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基本要求</w:t>
      </w:r>
    </w:p>
    <w:p>
      <w:pPr>
        <w:tabs>
          <w:tab w:val="left" w:pos="0"/>
        </w:tabs>
        <w:spacing w:line="360" w:lineRule="auto"/>
        <w:ind w:firstLine="42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 xml:space="preserve">2.1 </w:t>
      </w:r>
      <w:r>
        <w:rPr>
          <w:rFonts w:hint="eastAsia" w:ascii="宋体" w:hAnsi="宋体" w:eastAsia="宋体" w:cs="宋体"/>
          <w:color w:val="auto"/>
          <w:kern w:val="0"/>
          <w:szCs w:val="21"/>
          <w:highlight w:val="none"/>
        </w:rPr>
        <w:t>应有老年人的服务预案，明确服务内容；</w:t>
      </w:r>
    </w:p>
    <w:p>
      <w:pPr>
        <w:tabs>
          <w:tab w:val="left" w:pos="0"/>
        </w:tabs>
        <w:spacing w:line="360" w:lineRule="auto"/>
        <w:ind w:firstLine="42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 xml:space="preserve">2.2 </w:t>
      </w:r>
      <w:r>
        <w:rPr>
          <w:rFonts w:hint="eastAsia" w:ascii="宋体" w:hAnsi="宋体" w:eastAsia="宋体" w:cs="宋体"/>
          <w:color w:val="auto"/>
          <w:kern w:val="0"/>
          <w:szCs w:val="21"/>
          <w:highlight w:val="none"/>
        </w:rPr>
        <w:t>定期进行检查，并记录检查结果（包含内容、时间、地点、人员、落实情况等）；</w:t>
      </w:r>
    </w:p>
    <w:p>
      <w:pPr>
        <w:tabs>
          <w:tab w:val="left" w:pos="0"/>
        </w:tabs>
        <w:spacing w:line="360" w:lineRule="auto"/>
        <w:ind w:firstLine="42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 xml:space="preserve">2.3 </w:t>
      </w:r>
      <w:r>
        <w:rPr>
          <w:rFonts w:hint="eastAsia" w:ascii="宋体" w:hAnsi="宋体" w:eastAsia="宋体" w:cs="宋体"/>
          <w:color w:val="auto"/>
          <w:kern w:val="0"/>
          <w:szCs w:val="21"/>
          <w:highlight w:val="none"/>
        </w:rPr>
        <w:t>为老年人提供的服务完成率达100%，老年人或监护人满意率≧85%。</w:t>
      </w:r>
    </w:p>
    <w:p>
      <w:pPr>
        <w:tabs>
          <w:tab w:val="left" w:pos="0"/>
        </w:tabs>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报价特别说明及结算方式</w:t>
      </w:r>
    </w:p>
    <w:p>
      <w:pPr>
        <w:tabs>
          <w:tab w:val="left" w:pos="0"/>
        </w:tabs>
        <w:autoSpaceDE/>
        <w:autoSpaceDN/>
        <w:snapToGrid/>
        <w:spacing w:line="360" w:lineRule="auto"/>
        <w:ind w:firstLine="420" w:firstLineChars="200"/>
        <w:rPr>
          <w:rFonts w:hint="eastAsia" w:ascii="宋体" w:hAnsi="宋体" w:eastAsia="宋体" w:cs="宋体"/>
          <w:b w:val="0"/>
          <w:color w:val="auto"/>
          <w:kern w:val="0"/>
          <w:sz w:val="21"/>
          <w:szCs w:val="21"/>
          <w:highlight w:val="none"/>
          <w:u w:val="none"/>
        </w:rPr>
      </w:pPr>
      <w:r>
        <w:rPr>
          <w:rFonts w:hint="eastAsia" w:ascii="宋体" w:hAnsi="宋体" w:cs="宋体"/>
          <w:b/>
          <w:bCs/>
          <w:color w:val="auto"/>
          <w:kern w:val="0"/>
          <w:sz w:val="21"/>
          <w:szCs w:val="21"/>
          <w:highlight w:val="none"/>
          <w:u w:val="none"/>
          <w:lang w:val="en-US" w:eastAsia="zh-CN"/>
        </w:rPr>
        <w:t xml:space="preserve">3.1 </w:t>
      </w:r>
      <w:r>
        <w:rPr>
          <w:rFonts w:hint="eastAsia" w:ascii="宋体" w:hAnsi="宋体" w:eastAsia="宋体" w:cs="宋体"/>
          <w:b/>
          <w:bCs/>
          <w:color w:val="auto"/>
          <w:kern w:val="0"/>
          <w:sz w:val="21"/>
          <w:szCs w:val="21"/>
          <w:highlight w:val="none"/>
          <w:u w:val="none"/>
        </w:rPr>
        <w:t>报价特别说明：根据《杭州市临平区养老服务电子津贴实施办法（试行）》 (临民〔2021〕42 号）文件精神（</w:t>
      </w:r>
      <w:r>
        <w:rPr>
          <w:rFonts w:hint="eastAsia" w:ascii="宋体" w:hAnsi="宋体" w:cs="宋体"/>
          <w:b/>
          <w:bCs/>
          <w:color w:val="auto"/>
          <w:kern w:val="0"/>
          <w:sz w:val="21"/>
          <w:szCs w:val="21"/>
          <w:highlight w:val="none"/>
          <w:u w:val="none"/>
          <w:lang w:eastAsia="zh-CN"/>
        </w:rPr>
        <w:t>详见附件8</w:t>
      </w:r>
      <w:r>
        <w:rPr>
          <w:rFonts w:hint="eastAsia" w:ascii="宋体" w:hAnsi="宋体" w:eastAsia="宋体" w:cs="宋体"/>
          <w:b/>
          <w:bCs/>
          <w:color w:val="auto"/>
          <w:kern w:val="0"/>
          <w:sz w:val="21"/>
          <w:szCs w:val="21"/>
          <w:highlight w:val="none"/>
          <w:u w:val="none"/>
        </w:rPr>
        <w:t>），中标人最终执行价格按《杭州市临平区养老服务电子津贴实施办法（试行）》 (临民〔2021〕42 号）文件按实际服务进行结算，投标人在政采云系统填报投标价格时请统一填写标项预算价格，如投标人填写的报价与预算不符，由评标委员会进行修正，投标人不接受修正的，做无效标处理。</w:t>
      </w:r>
    </w:p>
    <w:p>
      <w:pPr>
        <w:tabs>
          <w:tab w:val="left" w:pos="0"/>
        </w:tabs>
        <w:autoSpaceDE/>
        <w:autoSpaceDN/>
        <w:snapToGrid/>
        <w:spacing w:line="360" w:lineRule="auto"/>
        <w:ind w:firstLine="420" w:firstLineChars="200"/>
        <w:rPr>
          <w:rFonts w:hint="eastAsia" w:ascii="宋体" w:hAnsi="宋体" w:eastAsia="宋体" w:cs="宋体"/>
          <w:b w:val="0"/>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3.2 </w:t>
      </w:r>
      <w:r>
        <w:rPr>
          <w:rFonts w:hint="eastAsia" w:ascii="宋体" w:hAnsi="宋体" w:eastAsia="宋体" w:cs="宋体"/>
          <w:b/>
          <w:bCs/>
          <w:color w:val="auto"/>
          <w:kern w:val="0"/>
          <w:sz w:val="21"/>
          <w:szCs w:val="21"/>
          <w:highlight w:val="none"/>
        </w:rPr>
        <w:t>结算方式：按实际服务时间结算，但总支付金额不超过标项总预算。</w:t>
      </w:r>
    </w:p>
    <w:p>
      <w:pPr>
        <w:tabs>
          <w:tab w:val="left" w:pos="0"/>
        </w:tabs>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合同支付总额在标项总预算框架范围内予以支付，中标方有义务提醒采购方合同费用总额不应超过项目预算。</w:t>
      </w:r>
    </w:p>
    <w:p>
      <w:pPr>
        <w:tabs>
          <w:tab w:val="left" w:pos="0"/>
        </w:tabs>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服务内容</w:t>
      </w:r>
    </w:p>
    <w:p>
      <w:pPr>
        <w:tabs>
          <w:tab w:val="left" w:pos="0"/>
        </w:tabs>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4.1 主要</w:t>
      </w:r>
      <w:r>
        <w:rPr>
          <w:rFonts w:hint="eastAsia" w:ascii="宋体" w:hAnsi="宋体" w:eastAsia="宋体" w:cs="宋体"/>
          <w:b/>
          <w:bCs/>
          <w:color w:val="auto"/>
          <w:kern w:val="0"/>
          <w:sz w:val="21"/>
          <w:szCs w:val="21"/>
          <w:highlight w:val="none"/>
        </w:rPr>
        <w:t>采购内容</w:t>
      </w:r>
    </w:p>
    <w:p>
      <w:pPr>
        <w:tabs>
          <w:tab w:val="left" w:pos="0"/>
        </w:tabs>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为采购人特定的老年人提供居家日常服务、医疗护理服务、精神慰藉服务、日间照料服务、简单维修服务等养老服务。</w:t>
      </w:r>
    </w:p>
    <w:p>
      <w:pPr>
        <w:tabs>
          <w:tab w:val="left" w:pos="0"/>
        </w:tabs>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4.2 </w:t>
      </w:r>
      <w:r>
        <w:rPr>
          <w:rFonts w:hint="eastAsia" w:ascii="宋体" w:hAnsi="宋体" w:eastAsia="宋体" w:cs="宋体"/>
          <w:b/>
          <w:bCs/>
          <w:color w:val="auto"/>
          <w:kern w:val="0"/>
          <w:sz w:val="21"/>
          <w:szCs w:val="21"/>
          <w:highlight w:val="none"/>
        </w:rPr>
        <w:t>建设目标</w:t>
      </w:r>
    </w:p>
    <w:p>
      <w:pPr>
        <w:tabs>
          <w:tab w:val="left" w:pos="0"/>
        </w:tabs>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以“居家日常服务、医疗护理服务、精神慰藉服务、日间照料服务、简单维修服务等”为基本服务内容，专业队伍及整合社会服务资源为老年人群体建立完善的居家养老服务体系。</w:t>
      </w:r>
    </w:p>
    <w:p>
      <w:pPr>
        <w:tabs>
          <w:tab w:val="left" w:pos="0"/>
        </w:tabs>
        <w:spacing w:line="360" w:lineRule="auto"/>
        <w:ind w:firstLine="42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4.3 </w:t>
      </w:r>
      <w:r>
        <w:rPr>
          <w:rFonts w:hint="eastAsia" w:ascii="宋体" w:hAnsi="宋体" w:eastAsia="宋体" w:cs="宋体"/>
          <w:b/>
          <w:bCs/>
          <w:color w:val="auto"/>
          <w:kern w:val="0"/>
          <w:sz w:val="21"/>
          <w:szCs w:val="21"/>
          <w:highlight w:val="none"/>
        </w:rPr>
        <w:t>服务内容</w:t>
      </w:r>
    </w:p>
    <w:p>
      <w:pPr>
        <w:tabs>
          <w:tab w:val="left" w:pos="0"/>
        </w:tabs>
        <w:spacing w:line="360" w:lineRule="auto"/>
        <w:ind w:firstLine="420" w:firstLineChars="200"/>
        <w:rPr>
          <w:rFonts w:hint="eastAsia" w:ascii="宋体" w:hAnsi="宋体" w:eastAsia="宋体" w:cs="宋体"/>
          <w:b/>
          <w:bCs/>
          <w:color w:val="auto"/>
          <w:kern w:val="0"/>
          <w:sz w:val="21"/>
          <w:szCs w:val="21"/>
          <w:highlight w:val="none"/>
          <w:u w:val="none"/>
        </w:rPr>
      </w:pPr>
      <w:r>
        <w:rPr>
          <w:rFonts w:hint="eastAsia" w:ascii="宋体" w:hAnsi="宋体" w:cs="宋体"/>
          <w:b/>
          <w:bCs/>
          <w:color w:val="auto"/>
          <w:kern w:val="0"/>
          <w:sz w:val="21"/>
          <w:szCs w:val="21"/>
          <w:highlight w:val="none"/>
          <w:u w:val="none"/>
          <w:lang w:val="en-US" w:eastAsia="zh-CN"/>
        </w:rPr>
        <w:t xml:space="preserve">4.3.1 </w:t>
      </w:r>
      <w:r>
        <w:rPr>
          <w:rFonts w:hint="eastAsia" w:ascii="宋体" w:hAnsi="宋体" w:eastAsia="宋体" w:cs="宋体"/>
          <w:b/>
          <w:bCs/>
          <w:color w:val="auto"/>
          <w:kern w:val="0"/>
          <w:sz w:val="21"/>
          <w:szCs w:val="21"/>
          <w:highlight w:val="none"/>
          <w:u w:val="none"/>
        </w:rPr>
        <w:t>生活照料服务：为老年人提供助餐、助洁、助浴、助行、助急等生活服务。</w:t>
      </w:r>
    </w:p>
    <w:p>
      <w:pPr>
        <w:tabs>
          <w:tab w:val="left" w:pos="0"/>
        </w:tabs>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4.3.1.1 </w:t>
      </w:r>
      <w:r>
        <w:rPr>
          <w:rFonts w:hint="eastAsia" w:ascii="宋体" w:hAnsi="宋体" w:eastAsia="宋体" w:cs="宋体"/>
          <w:b/>
          <w:bCs/>
          <w:color w:val="auto"/>
          <w:kern w:val="0"/>
          <w:sz w:val="21"/>
          <w:szCs w:val="21"/>
          <w:highlight w:val="none"/>
        </w:rPr>
        <w:t>助餐服务</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b w:val="0"/>
          <w:bCs w:val="0"/>
          <w:color w:val="auto"/>
          <w:kern w:val="0"/>
          <w:szCs w:val="21"/>
          <w:highlight w:val="none"/>
          <w:lang w:val="en-US" w:eastAsia="zh-CN"/>
        </w:rPr>
        <w:t>1）</w:t>
      </w:r>
      <w:r>
        <w:rPr>
          <w:rFonts w:hint="eastAsia" w:ascii="宋体" w:hAnsi="宋体" w:eastAsia="宋体" w:cs="宋体"/>
          <w:color w:val="auto"/>
          <w:kern w:val="0"/>
          <w:szCs w:val="21"/>
          <w:highlight w:val="none"/>
        </w:rPr>
        <w:t>基本内容</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助餐服务的基本内容包括：</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上门送（做）餐。 </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协助进食。</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服务要求</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符合国家、省食品安全法律法规的规定。</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依据服务对象的身体状况、饮食习惯及医嘱合理配餐，注意营养。</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送（做）餐、用餐工具卫生消毒应符合卫生规范要求。</w:t>
      </w:r>
    </w:p>
    <w:p>
      <w:pPr>
        <w:tabs>
          <w:tab w:val="left" w:pos="0"/>
        </w:tabs>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协助吞咽功能障碍的服务对象进食，要将食物切碎，并随时关注其自行取食，防止意外。</w:t>
      </w:r>
    </w:p>
    <w:p>
      <w:pPr>
        <w:tabs>
          <w:tab w:val="left" w:pos="0"/>
        </w:tabs>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4</w:t>
      </w:r>
      <w:r>
        <w:rPr>
          <w:rFonts w:hint="eastAsia" w:ascii="宋体" w:hAnsi="宋体" w:cs="宋体"/>
          <w:b/>
          <w:bCs/>
          <w:color w:val="auto"/>
          <w:kern w:val="0"/>
          <w:sz w:val="21"/>
          <w:szCs w:val="21"/>
          <w:highlight w:val="none"/>
          <w:lang w:val="en-US" w:eastAsia="zh-CN"/>
        </w:rPr>
        <w:t xml:space="preserve">.3.1.2 </w:t>
      </w:r>
      <w:r>
        <w:rPr>
          <w:rFonts w:hint="eastAsia" w:ascii="宋体" w:hAnsi="宋体" w:eastAsia="宋体" w:cs="宋体"/>
          <w:b/>
          <w:bCs/>
          <w:color w:val="auto"/>
          <w:kern w:val="0"/>
          <w:sz w:val="21"/>
          <w:szCs w:val="21"/>
          <w:highlight w:val="none"/>
        </w:rPr>
        <w:t>助洁服务</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助洁服务的基本内容包括：</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居室整洁，可包括打扫卧室、厨房、卫生间等居室卫生。</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物具清洁，可包括服务对象生活用品的清洗和消毒。</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衣物洗涤，可包括清洗熨烫衣物，清洗床上用品。</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个人整洁，可包括为服务对象理发、洗脸、洗脚、修剪指甲、采耳等。</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服务要求</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居室内部整洁、无异味，移动的物品放回原位。</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清洁方法得当，节约用水，安全卫生，被清洁物品无损伤。</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用于生活护理的个人用具保持清洁。</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洗涤衣物前应先检查口袋，其次检查被洗衣物的性状，并告知客户。</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按照衣物类别，以正确的方式洗涤、熨烫、晾晒衣物，避免衣物损伤。</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根据服务内容，提供专业服务工具，并以正确的方式进行消毒，保持工具清洁。</w:t>
      </w:r>
    </w:p>
    <w:p>
      <w:pPr>
        <w:tabs>
          <w:tab w:val="left" w:pos="0"/>
        </w:tabs>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4.3.1.3 </w:t>
      </w:r>
      <w:r>
        <w:rPr>
          <w:rFonts w:hint="eastAsia" w:ascii="宋体" w:hAnsi="宋体" w:eastAsia="宋体" w:cs="宋体"/>
          <w:b/>
          <w:bCs/>
          <w:color w:val="auto"/>
          <w:kern w:val="0"/>
          <w:sz w:val="21"/>
          <w:szCs w:val="21"/>
          <w:highlight w:val="none"/>
        </w:rPr>
        <w:t>助浴服务</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基本内容</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助浴服务的基本内容包括：</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上门助浴。</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外出助浴。 </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注：沐浴方式可包括协助服务对象淋浴、盆浴、擦洗身体、足浴。</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服务要求</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上门助浴及外出助浴时应有服务对象家属或其他监护人陪同。</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应针对服务对象身体状况，选择适宜的沐浴方式和沐浴时间，空腹或饱餐忌沐浴。</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外出助浴应选择有资质的公共沐浴场所。</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助浴过程宜有服务对象家属或其他监护人在场。</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应采取防护措施，防止烫伤、跌倒、着凉等不良事件的发生。</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沐浴后身上无异味、无污垢，皮肤清洁；浴后宜适当饮水。</w:t>
      </w:r>
    </w:p>
    <w:p>
      <w:pPr>
        <w:tabs>
          <w:tab w:val="left" w:pos="0"/>
        </w:tabs>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4.3.1.4 </w:t>
      </w:r>
      <w:r>
        <w:rPr>
          <w:rFonts w:hint="eastAsia" w:ascii="宋体" w:hAnsi="宋体" w:eastAsia="宋体" w:cs="宋体"/>
          <w:b/>
          <w:bCs/>
          <w:color w:val="auto"/>
          <w:kern w:val="0"/>
          <w:sz w:val="21"/>
          <w:szCs w:val="21"/>
          <w:highlight w:val="none"/>
        </w:rPr>
        <w:t>助急服务</w:t>
      </w:r>
    </w:p>
    <w:p>
      <w:pPr>
        <w:tabs>
          <w:tab w:val="left" w:pos="0"/>
        </w:tabs>
        <w:snapToGrid/>
        <w:spacing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 w:val="21"/>
          <w:szCs w:val="21"/>
          <w:highlight w:val="none"/>
        </w:rPr>
        <w:t>除特殊“助急”服务之外的日常家电维修、开锁修锁、管道疏通、水电保修、换液化气。</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基本内容</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助急的基本内容包括：</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紧急呼叫服务。</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特殊“助急”服务。 </w:t>
      </w:r>
    </w:p>
    <w:p>
      <w:pPr>
        <w:tabs>
          <w:tab w:val="left" w:pos="0"/>
        </w:tabs>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紧急呼叫服务可包括对老人发出的紧急呼叫请求作出快速响应确保老年人的紧急情况得到处理。</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特殊“助急”服务可包括在特殊时间段，针对老年人家中水管爆裂及电路故障两类突发情况，作出快速响应并有效解决。</w:t>
      </w:r>
    </w:p>
    <w:p>
      <w:pPr>
        <w:tabs>
          <w:tab w:val="left" w:pos="0"/>
        </w:tabs>
        <w:spacing w:line="360" w:lineRule="auto"/>
        <w:ind w:firstLine="420" w:firstLineChars="200"/>
        <w:rPr>
          <w:rFonts w:hint="default" w:ascii="宋体" w:hAnsi="宋体" w:eastAsia="宋体" w:cs="宋体"/>
          <w:b/>
          <w:bCs/>
          <w:color w:val="auto"/>
          <w:kern w:val="0"/>
          <w:sz w:val="21"/>
          <w:szCs w:val="21"/>
          <w:highlight w:val="none"/>
        </w:rPr>
      </w:pPr>
      <w:r>
        <w:rPr>
          <w:rFonts w:hint="default" w:ascii="宋体" w:hAnsi="宋体" w:cs="宋体"/>
          <w:b/>
          <w:bCs/>
          <w:color w:val="auto"/>
          <w:kern w:val="0"/>
          <w:sz w:val="21"/>
          <w:szCs w:val="21"/>
          <w:highlight w:val="none"/>
          <w:lang w:val="en-US" w:eastAsia="zh-CN"/>
        </w:rPr>
        <w:t xml:space="preserve">4.3.1.5 </w:t>
      </w:r>
      <w:r>
        <w:rPr>
          <w:rFonts w:hint="default" w:ascii="宋体" w:hAnsi="宋体" w:eastAsia="宋体" w:cs="宋体"/>
          <w:b/>
          <w:bCs/>
          <w:color w:val="auto"/>
          <w:kern w:val="0"/>
          <w:sz w:val="21"/>
          <w:szCs w:val="21"/>
          <w:highlight w:val="none"/>
        </w:rPr>
        <w:t>助行服务</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助行服务的基本内容包括：</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陪同户外散步。</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陪同外出购物、会友。</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陪同外出办理其他社会事务。</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服务要求</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合理安排外出时间，且时间不宜太长。</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出行前，注意携带必备物品、药品。</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轮椅出行时应有服务对象家属或其他监护人陪同。</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随行途中，时刻关注服务对象身体精神状况及周围环境，防止走失和发生意外。</w:t>
      </w:r>
    </w:p>
    <w:p>
      <w:pPr>
        <w:tabs>
          <w:tab w:val="left" w:pos="0"/>
        </w:tabs>
        <w:spacing w:line="360" w:lineRule="auto"/>
        <w:ind w:firstLine="420" w:firstLineChars="200"/>
        <w:rPr>
          <w:rFonts w:hint="default" w:ascii="宋体" w:hAnsi="宋体" w:eastAsia="宋体" w:cs="宋体"/>
          <w:b/>
          <w:bCs/>
          <w:color w:val="auto"/>
          <w:kern w:val="0"/>
          <w:sz w:val="21"/>
          <w:szCs w:val="21"/>
          <w:highlight w:val="none"/>
          <w:u w:val="none"/>
        </w:rPr>
      </w:pPr>
      <w:r>
        <w:rPr>
          <w:rFonts w:hint="default" w:ascii="宋体" w:hAnsi="宋体" w:cs="宋体"/>
          <w:b/>
          <w:bCs/>
          <w:color w:val="auto"/>
          <w:kern w:val="0"/>
          <w:sz w:val="21"/>
          <w:szCs w:val="21"/>
          <w:highlight w:val="none"/>
          <w:u w:val="none"/>
          <w:lang w:val="en-US" w:eastAsia="zh-CN"/>
        </w:rPr>
        <w:t>4.3.2</w:t>
      </w:r>
      <w:r>
        <w:rPr>
          <w:rFonts w:hint="default" w:ascii="宋体" w:hAnsi="宋体" w:eastAsia="宋体" w:cs="宋体"/>
          <w:b/>
          <w:bCs/>
          <w:color w:val="auto"/>
          <w:kern w:val="0"/>
          <w:sz w:val="21"/>
          <w:szCs w:val="21"/>
          <w:highlight w:val="none"/>
          <w:u w:val="none"/>
        </w:rPr>
        <w:t>康复护理服务：为老年人提供医疗协助服务、健康咨询服务、康复理疗指导、个体康复训练服务、提供基本的医疗护理服务，同时提倡“医养结合”，为互联网+养老系统等相关专业相融合做准备。</w:t>
      </w:r>
    </w:p>
    <w:p>
      <w:pPr>
        <w:tabs>
          <w:tab w:val="left" w:pos="0"/>
        </w:tabs>
        <w:spacing w:line="360" w:lineRule="auto"/>
        <w:ind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4.3.2.1</w:t>
      </w:r>
      <w:r>
        <w:rPr>
          <w:rFonts w:hint="eastAsia" w:ascii="宋体" w:hAnsi="宋体" w:eastAsia="宋体" w:cs="宋体"/>
          <w:b/>
          <w:bCs/>
          <w:color w:val="auto"/>
          <w:kern w:val="0"/>
          <w:sz w:val="21"/>
          <w:szCs w:val="21"/>
          <w:highlight w:val="none"/>
        </w:rPr>
        <w:t xml:space="preserve"> 医疗协助服务：</w:t>
      </w:r>
    </w:p>
    <w:p>
      <w:pPr>
        <w:tabs>
          <w:tab w:val="left" w:pos="0"/>
        </w:tabs>
        <w:spacing w:line="360" w:lineRule="auto"/>
        <w:ind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助医服务的基本内容包括：</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陪同就诊，服务范围包括常见病、慢性病复诊，辅助性检查，门诊注射、换药。</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协助服药，服务范围包括提醒、协助无吞咽障碍和精神疾患且口服用药的服务对象服药。</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康复辅助，服务范围包括协助进行肢体被动活动，协助使用拐杖、支架、步行器或轮椅；对有失能风险的老年人群开展体适能康复训练；整理家庭药箱、测量血压和体温。</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服务要求</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遵守医嘱，按时正确给药，不得擅自给老人服用其他任何药品。</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康复辅助应在医师、护士等专业人士指导下进行。</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康复辅助应注意服务对象身体适应情况，防止损伤。</w:t>
      </w:r>
    </w:p>
    <w:p>
      <w:pPr>
        <w:tabs>
          <w:tab w:val="left" w:pos="0"/>
        </w:tabs>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健康咨询服务，通过电话、网络及会议报告等方式为老年人提供预防保健、康复护理及老年期营养、心理健康等知识教育。</w:t>
      </w:r>
    </w:p>
    <w:p>
      <w:pPr>
        <w:tabs>
          <w:tab w:val="left" w:pos="0"/>
        </w:tabs>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老年人健康档案建档率达100%。</w:t>
      </w:r>
    </w:p>
    <w:p>
      <w:pPr>
        <w:tabs>
          <w:tab w:val="left" w:pos="0"/>
        </w:tabs>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4.3.2.2 </w:t>
      </w:r>
      <w:r>
        <w:rPr>
          <w:rFonts w:hint="eastAsia" w:ascii="宋体" w:hAnsi="宋体" w:eastAsia="宋体" w:cs="宋体"/>
          <w:b/>
          <w:bCs/>
          <w:color w:val="auto"/>
          <w:kern w:val="0"/>
          <w:sz w:val="21"/>
          <w:szCs w:val="21"/>
          <w:highlight w:val="none"/>
        </w:rPr>
        <w:t>健康咨询服务：</w:t>
      </w:r>
      <w:r>
        <w:rPr>
          <w:rFonts w:hint="eastAsia" w:ascii="宋体" w:hAnsi="宋体" w:eastAsia="宋体" w:cs="宋体"/>
          <w:color w:val="auto"/>
          <w:kern w:val="0"/>
          <w:sz w:val="21"/>
          <w:szCs w:val="21"/>
          <w:highlight w:val="none"/>
        </w:rPr>
        <w:t>通过电话、网络及会议报告或老年学校等方式为老年人提供预防保健、康复护理及老年期营养、心理健康等知识教育。</w:t>
      </w:r>
    </w:p>
    <w:p>
      <w:pPr>
        <w:tabs>
          <w:tab w:val="left" w:pos="0"/>
        </w:tabs>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b/>
          <w:bCs/>
          <w:color w:val="auto"/>
          <w:kern w:val="0"/>
          <w:sz w:val="21"/>
          <w:szCs w:val="21"/>
          <w:highlight w:val="none"/>
          <w:lang w:val="en-US" w:eastAsia="zh-CN"/>
        </w:rPr>
        <w:t>4.3.</w:t>
      </w:r>
      <w:r>
        <w:rPr>
          <w:rFonts w:hint="eastAsia" w:ascii="宋体" w:hAnsi="宋体" w:eastAsia="宋体" w:cs="宋体"/>
          <w:b/>
          <w:bCs/>
          <w:color w:val="auto"/>
          <w:kern w:val="0"/>
          <w:sz w:val="21"/>
          <w:szCs w:val="21"/>
          <w:highlight w:val="none"/>
        </w:rPr>
        <w:t>2.3康复理疗指导：</w:t>
      </w:r>
      <w:r>
        <w:rPr>
          <w:rFonts w:hint="eastAsia" w:ascii="宋体" w:hAnsi="宋体" w:eastAsia="宋体" w:cs="宋体"/>
          <w:color w:val="auto"/>
          <w:kern w:val="0"/>
          <w:sz w:val="21"/>
          <w:szCs w:val="21"/>
          <w:highlight w:val="none"/>
        </w:rPr>
        <w:t>现场理疗，及指导老年人正确执行医嘱。指导老年人正确使用康复、保健仪器。</w:t>
      </w:r>
    </w:p>
    <w:p>
      <w:pPr>
        <w:tabs>
          <w:tab w:val="left" w:pos="0"/>
        </w:tabs>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b/>
          <w:bCs/>
          <w:color w:val="auto"/>
          <w:kern w:val="0"/>
          <w:sz w:val="21"/>
          <w:szCs w:val="21"/>
          <w:highlight w:val="none"/>
          <w:lang w:val="en-US" w:eastAsia="zh-CN"/>
        </w:rPr>
        <w:t>4.3.</w:t>
      </w:r>
      <w:r>
        <w:rPr>
          <w:rFonts w:hint="eastAsia" w:ascii="宋体" w:hAnsi="宋体" w:eastAsia="宋体" w:cs="宋体"/>
          <w:b/>
          <w:bCs/>
          <w:color w:val="auto"/>
          <w:kern w:val="0"/>
          <w:sz w:val="21"/>
          <w:szCs w:val="21"/>
          <w:highlight w:val="none"/>
        </w:rPr>
        <w:t>2.4 个体康复训练服务：</w:t>
      </w:r>
      <w:r>
        <w:rPr>
          <w:rFonts w:hint="eastAsia" w:ascii="宋体" w:hAnsi="宋体" w:eastAsia="宋体" w:cs="宋体"/>
          <w:color w:val="auto"/>
          <w:kern w:val="0"/>
          <w:sz w:val="21"/>
          <w:szCs w:val="21"/>
          <w:highlight w:val="none"/>
        </w:rPr>
        <w:t>制定个性化康复方案，维持和改善体适能状况，控制慢性疾病发生发展。</w:t>
      </w:r>
    </w:p>
    <w:p>
      <w:pPr>
        <w:tabs>
          <w:tab w:val="left" w:pos="0"/>
        </w:tabs>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b/>
          <w:bCs/>
          <w:color w:val="auto"/>
          <w:kern w:val="0"/>
          <w:sz w:val="21"/>
          <w:szCs w:val="21"/>
          <w:highlight w:val="none"/>
          <w:lang w:val="en-US" w:eastAsia="zh-CN"/>
        </w:rPr>
        <w:t>4.3.</w:t>
      </w:r>
      <w:r>
        <w:rPr>
          <w:rFonts w:hint="eastAsia" w:ascii="宋体" w:hAnsi="宋体" w:eastAsia="宋体" w:cs="宋体"/>
          <w:b/>
          <w:bCs/>
          <w:color w:val="auto"/>
          <w:kern w:val="0"/>
          <w:sz w:val="21"/>
          <w:szCs w:val="21"/>
          <w:highlight w:val="none"/>
        </w:rPr>
        <w:t>2.5 提供基本的医疗护理服务：</w:t>
      </w:r>
      <w:r>
        <w:rPr>
          <w:rFonts w:hint="eastAsia" w:ascii="宋体" w:hAnsi="宋体" w:eastAsia="宋体" w:cs="宋体"/>
          <w:color w:val="auto"/>
          <w:kern w:val="0"/>
          <w:sz w:val="21"/>
          <w:szCs w:val="21"/>
          <w:highlight w:val="none"/>
        </w:rPr>
        <w:t>健康促进：生活自理能力训练、提供常见疾病的饮食、用药和康复锻炼宣教、预防跌倒和压疮的健康指导；常见的临床护理项目：基本的生命体征监测、常见的导管维护和伤口造口皮肤护理、家庭氧疗、鼻饲、胰岛素注射等方法指导。</w:t>
      </w:r>
    </w:p>
    <w:p>
      <w:pPr>
        <w:tabs>
          <w:tab w:val="left" w:pos="0"/>
        </w:tabs>
        <w:spacing w:line="360" w:lineRule="auto"/>
        <w:ind w:firstLine="420" w:firstLineChars="200"/>
        <w:rPr>
          <w:rFonts w:hint="default" w:ascii="宋体" w:hAnsi="宋体" w:eastAsia="宋体" w:cs="宋体"/>
          <w:b/>
          <w:bCs/>
          <w:color w:val="auto"/>
          <w:kern w:val="0"/>
          <w:sz w:val="21"/>
          <w:szCs w:val="21"/>
          <w:highlight w:val="none"/>
          <w:u w:val="none"/>
        </w:rPr>
      </w:pPr>
      <w:r>
        <w:rPr>
          <w:rFonts w:hint="eastAsia" w:ascii="宋体" w:hAnsi="宋体" w:cs="宋体"/>
          <w:b/>
          <w:bCs/>
          <w:color w:val="auto"/>
          <w:kern w:val="0"/>
          <w:sz w:val="21"/>
          <w:szCs w:val="21"/>
          <w:highlight w:val="none"/>
          <w:u w:val="none"/>
          <w:lang w:eastAsia="zh-CN"/>
        </w:rPr>
        <w:t>4</w:t>
      </w:r>
      <w:r>
        <w:rPr>
          <w:rFonts w:hint="eastAsia" w:ascii="宋体" w:hAnsi="宋体" w:cs="宋体"/>
          <w:b/>
          <w:bCs/>
          <w:color w:val="auto"/>
          <w:kern w:val="0"/>
          <w:sz w:val="21"/>
          <w:szCs w:val="21"/>
          <w:highlight w:val="none"/>
          <w:u w:val="none"/>
          <w:lang w:val="en-US" w:eastAsia="zh-CN"/>
        </w:rPr>
        <w:t xml:space="preserve">.3.3 </w:t>
      </w:r>
      <w:r>
        <w:rPr>
          <w:rFonts w:hint="default" w:ascii="宋体" w:hAnsi="宋体" w:eastAsia="宋体" w:cs="宋体"/>
          <w:b/>
          <w:bCs/>
          <w:color w:val="auto"/>
          <w:kern w:val="0"/>
          <w:sz w:val="21"/>
          <w:szCs w:val="21"/>
          <w:highlight w:val="none"/>
          <w:u w:val="none"/>
        </w:rPr>
        <w:t>精神慰藉服务：通过谈心、咨询、专业的心理干预，为老年人提供相关服务。</w:t>
      </w:r>
    </w:p>
    <w:p>
      <w:pPr>
        <w:tabs>
          <w:tab w:val="left" w:pos="0"/>
        </w:tabs>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b/>
          <w:bCs/>
          <w:color w:val="auto"/>
          <w:kern w:val="0"/>
          <w:sz w:val="21"/>
          <w:szCs w:val="21"/>
          <w:highlight w:val="none"/>
          <w:lang w:val="en-US" w:eastAsia="zh-CN"/>
        </w:rPr>
        <w:t>4.3.</w:t>
      </w:r>
      <w:r>
        <w:rPr>
          <w:rFonts w:hint="eastAsia" w:ascii="宋体" w:hAnsi="宋体" w:eastAsia="宋体" w:cs="宋体"/>
          <w:b/>
          <w:bCs/>
          <w:color w:val="auto"/>
          <w:kern w:val="0"/>
          <w:sz w:val="21"/>
          <w:szCs w:val="21"/>
          <w:highlight w:val="none"/>
        </w:rPr>
        <w:t>3.1精神支持服务：</w:t>
      </w:r>
      <w:r>
        <w:rPr>
          <w:rFonts w:hint="eastAsia" w:ascii="宋体" w:hAnsi="宋体" w:eastAsia="宋体" w:cs="宋体"/>
          <w:color w:val="auto"/>
          <w:kern w:val="0"/>
          <w:sz w:val="21"/>
          <w:szCs w:val="21"/>
          <w:highlight w:val="none"/>
        </w:rPr>
        <w:t>读报，耐心倾听，能与老年人进行谈心、交流。</w:t>
      </w:r>
    </w:p>
    <w:p>
      <w:pPr>
        <w:tabs>
          <w:tab w:val="left" w:pos="0"/>
        </w:tabs>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b/>
          <w:bCs/>
          <w:color w:val="auto"/>
          <w:kern w:val="0"/>
          <w:sz w:val="21"/>
          <w:szCs w:val="21"/>
          <w:highlight w:val="none"/>
          <w:lang w:val="en-US" w:eastAsia="zh-CN"/>
        </w:rPr>
        <w:t>4.3.</w:t>
      </w:r>
      <w:r>
        <w:rPr>
          <w:rFonts w:hint="eastAsia" w:ascii="宋体" w:hAnsi="宋体" w:eastAsia="宋体" w:cs="宋体"/>
          <w:b/>
          <w:bCs/>
          <w:color w:val="auto"/>
          <w:kern w:val="0"/>
          <w:sz w:val="21"/>
          <w:szCs w:val="21"/>
          <w:highlight w:val="none"/>
        </w:rPr>
        <w:t>3.2心理疏导服务：</w:t>
      </w:r>
      <w:r>
        <w:rPr>
          <w:rFonts w:hint="eastAsia" w:ascii="宋体" w:hAnsi="宋体" w:eastAsia="宋体" w:cs="宋体"/>
          <w:color w:val="auto"/>
          <w:kern w:val="0"/>
          <w:sz w:val="21"/>
          <w:szCs w:val="21"/>
          <w:highlight w:val="none"/>
        </w:rPr>
        <w:t>掌握老年人心理特点和基本沟通技巧，能够观察老年人的情绪变化，并通过心理干预手段调整老年人心理状态。</w:t>
      </w:r>
    </w:p>
    <w:p>
      <w:pPr>
        <w:tabs>
          <w:tab w:val="left" w:pos="0"/>
        </w:tabs>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4.3.</w:t>
      </w:r>
      <w:r>
        <w:rPr>
          <w:rFonts w:hint="eastAsia" w:ascii="宋体" w:hAnsi="宋体" w:eastAsia="宋体" w:cs="宋体"/>
          <w:b/>
          <w:bCs/>
          <w:color w:val="auto"/>
          <w:kern w:val="0"/>
          <w:sz w:val="21"/>
          <w:szCs w:val="21"/>
          <w:highlight w:val="none"/>
        </w:rPr>
        <w:t>3.3尊重并保护老年人隐私。</w:t>
      </w:r>
    </w:p>
    <w:p>
      <w:pPr>
        <w:tabs>
          <w:tab w:val="left" w:pos="0"/>
        </w:tabs>
        <w:spacing w:line="360" w:lineRule="auto"/>
        <w:ind w:firstLine="420" w:firstLineChars="200"/>
        <w:rPr>
          <w:rFonts w:hint="default" w:ascii="宋体" w:hAnsi="宋体" w:eastAsia="宋体" w:cs="宋体"/>
          <w:b/>
          <w:bCs/>
          <w:color w:val="auto"/>
          <w:kern w:val="0"/>
          <w:sz w:val="21"/>
          <w:szCs w:val="21"/>
          <w:highlight w:val="none"/>
        </w:rPr>
      </w:pPr>
      <w:r>
        <w:rPr>
          <w:rFonts w:hint="default" w:ascii="宋体" w:hAnsi="宋体" w:cs="宋体"/>
          <w:b/>
          <w:bCs/>
          <w:color w:val="auto"/>
          <w:kern w:val="0"/>
          <w:sz w:val="21"/>
          <w:szCs w:val="21"/>
          <w:highlight w:val="none"/>
          <w:lang w:val="en-US" w:eastAsia="zh-CN"/>
        </w:rPr>
        <w:t>5</w:t>
      </w:r>
      <w:r>
        <w:rPr>
          <w:rFonts w:hint="default"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服务人员</w:t>
      </w:r>
      <w:r>
        <w:rPr>
          <w:rFonts w:hint="default" w:ascii="宋体" w:hAnsi="宋体" w:eastAsia="宋体" w:cs="宋体"/>
          <w:b/>
          <w:bCs/>
          <w:color w:val="auto"/>
          <w:kern w:val="0"/>
          <w:sz w:val="21"/>
          <w:szCs w:val="21"/>
          <w:highlight w:val="none"/>
        </w:rPr>
        <w:t>其他要求</w:t>
      </w:r>
    </w:p>
    <w:p>
      <w:pPr>
        <w:tabs>
          <w:tab w:val="left" w:pos="0"/>
        </w:tabs>
        <w:spacing w:line="360" w:lineRule="auto"/>
        <w:ind w:firstLine="420" w:firstLineChars="200"/>
        <w:rPr>
          <w:rFonts w:hint="eastAsia" w:ascii="宋体" w:hAnsi="宋体" w:eastAsia="宋体" w:cs="宋体"/>
          <w:b/>
          <w:bCs/>
          <w:color w:val="auto"/>
          <w:kern w:val="0"/>
          <w:sz w:val="21"/>
          <w:szCs w:val="21"/>
          <w:highlight w:val="none"/>
          <w:u w:val="none"/>
        </w:rPr>
      </w:pPr>
      <w:r>
        <w:rPr>
          <w:rFonts w:hint="eastAsia" w:ascii="宋体" w:hAnsi="宋体" w:eastAsia="宋体" w:cs="宋体"/>
          <w:b/>
          <w:bCs/>
          <w:color w:val="auto"/>
          <w:kern w:val="0"/>
          <w:sz w:val="21"/>
          <w:szCs w:val="21"/>
          <w:highlight w:val="none"/>
          <w:u w:val="none"/>
        </w:rPr>
        <w:t>服务人员须听懂本地话，并进行相关专业培训取得相关资格或岗位证书，从事能力与之相配套专业对应本项目提供相应服务。</w:t>
      </w:r>
    </w:p>
    <w:bookmarkEnd w:id="40"/>
    <w:p>
      <w:pPr>
        <w:pStyle w:val="2"/>
        <w:numPr>
          <w:ilvl w:val="0"/>
          <w:numId w:val="1"/>
        </w:numPr>
        <w:ind w:left="0" w:leftChars="0" w:firstLine="420" w:firstLineChars="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项目其他配备要求</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1、中标人需根据互联网+养老系统配备履行合同相对应的管理与服务能力的信息化网络管理平台（例：居家养老服务信息平台或呼叫中心），并依照评估结果与老年人约定具体的服务内容，选派符合条件的服务员，对提出需求申请的老年人进行上门专业服务，并对服务结果进行跟踪反馈。同时对服务项目实行明码标价，实施公开承诺服务。</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2、应按规定配备好相应资质的管理护理人员，建立健全各项规章制度、服务标准、工作流程，确保服务质量，并接受采购单位等相关部门的监督和考核；</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hAnsi="宋体" w:cs="宋体"/>
          <w:color w:val="auto"/>
          <w:sz w:val="21"/>
          <w:highlight w:val="none"/>
          <w:lang w:val="en-US" w:eastAsia="zh-CN"/>
        </w:rPr>
        <w:t>3、</w:t>
      </w:r>
      <w:r>
        <w:rPr>
          <w:rFonts w:hint="eastAsia" w:ascii="宋体" w:hAnsi="宋体" w:eastAsia="宋体" w:cs="宋体"/>
          <w:color w:val="auto"/>
          <w:sz w:val="21"/>
          <w:highlight w:val="none"/>
          <w:lang w:val="en-US"/>
        </w:rPr>
        <w:t xml:space="preserve">中标人在提供服务中要做好服务时间、服务次数、服务项目等记录。中标单位应组织人员向服务对象宣传服务内容、服务方法以及维权方式。中标单位服务人员服务开始和结束，向服务对象解释服务全过程，便于服务对象及时了解，并征求服务对象意见，同时应保证服务时间和服务内容落实到位，并接受相应监督管理。 </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hAnsi="宋体" w:cs="宋体"/>
          <w:color w:val="auto"/>
          <w:sz w:val="21"/>
          <w:highlight w:val="none"/>
          <w:lang w:val="en-US" w:eastAsia="zh-CN"/>
        </w:rPr>
        <w:t>4、</w:t>
      </w:r>
      <w:r>
        <w:rPr>
          <w:rFonts w:hint="eastAsia" w:ascii="宋体" w:hAnsi="宋体" w:eastAsia="宋体" w:cs="宋体"/>
          <w:color w:val="auto"/>
          <w:sz w:val="21"/>
          <w:highlight w:val="none"/>
          <w:lang w:val="en-US"/>
        </w:rPr>
        <w:t xml:space="preserve">中标单位的服务人员需经专业培训，掌握相关专业知识，并积极组织培训与考证工作，服务员持证率不得低于70%，并保持逐年提升。 </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hAnsi="宋体" w:cs="宋体"/>
          <w:color w:val="auto"/>
          <w:sz w:val="21"/>
          <w:highlight w:val="none"/>
          <w:lang w:val="en-US" w:eastAsia="zh-CN"/>
        </w:rPr>
        <w:t>5、</w:t>
      </w:r>
      <w:r>
        <w:rPr>
          <w:rFonts w:hint="eastAsia" w:ascii="宋体" w:hAnsi="宋体" w:eastAsia="宋体" w:cs="宋体"/>
          <w:color w:val="auto"/>
          <w:sz w:val="21"/>
          <w:highlight w:val="none"/>
          <w:lang w:val="en-US"/>
        </w:rPr>
        <w:t xml:space="preserve">中标单位服务人员上门服务时必须穿统一的工作服、佩戴工作证，能在约定服务时间前5分钟到达服务岗位。 </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hAnsi="宋体" w:cs="宋体"/>
          <w:color w:val="auto"/>
          <w:sz w:val="21"/>
          <w:highlight w:val="none"/>
          <w:lang w:val="en-US" w:eastAsia="zh-CN"/>
        </w:rPr>
        <w:t>6、</w:t>
      </w:r>
      <w:r>
        <w:rPr>
          <w:rFonts w:hint="eastAsia" w:ascii="宋体" w:hAnsi="宋体" w:eastAsia="宋体" w:cs="宋体"/>
          <w:color w:val="auto"/>
          <w:sz w:val="21"/>
          <w:highlight w:val="none"/>
          <w:lang w:val="en-US"/>
        </w:rPr>
        <w:t xml:space="preserve">中标单位服务人员进行服务时，应做好自身安全防护措施，离开后不得给服务对象家中遗留任何安全隐患。 </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hAnsi="宋体" w:cs="宋体"/>
          <w:color w:val="auto"/>
          <w:sz w:val="21"/>
          <w:highlight w:val="none"/>
          <w:lang w:val="en-US" w:eastAsia="zh-CN"/>
        </w:rPr>
        <w:t>7、</w:t>
      </w:r>
      <w:r>
        <w:rPr>
          <w:rFonts w:hint="eastAsia" w:ascii="宋体" w:hAnsi="宋体" w:eastAsia="宋体" w:cs="宋体"/>
          <w:color w:val="auto"/>
          <w:sz w:val="21"/>
          <w:highlight w:val="none"/>
          <w:lang w:val="en-US"/>
        </w:rPr>
        <w:t xml:space="preserve">禁止服务人员接受或向服务对象索取任何形式的馈赠（金钱或物品）。 </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hAnsi="宋体" w:cs="宋体"/>
          <w:color w:val="auto"/>
          <w:sz w:val="21"/>
          <w:highlight w:val="none"/>
          <w:lang w:val="en-US" w:eastAsia="zh-CN"/>
        </w:rPr>
        <w:t>8、</w:t>
      </w:r>
      <w:r>
        <w:rPr>
          <w:rFonts w:hint="eastAsia" w:ascii="宋体" w:hAnsi="宋体" w:eastAsia="宋体" w:cs="宋体"/>
          <w:color w:val="auto"/>
          <w:sz w:val="21"/>
          <w:highlight w:val="none"/>
          <w:lang w:val="en-US"/>
        </w:rPr>
        <w:t>中标单位违反约定，未能达到服务标准，采购人有权要求中标单位进行整改，并扣取相应的服务费用；由于中标单位造成服务对象经济损失或政府形象受损的，采购人应扣取相关服务费用，视情解除合同并追究中标单位相关法律责任。</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hAnsi="宋体" w:cs="宋体"/>
          <w:color w:val="auto"/>
          <w:sz w:val="21"/>
          <w:highlight w:val="none"/>
          <w:lang w:val="en-US" w:eastAsia="zh-CN"/>
        </w:rPr>
        <w:t>9、</w:t>
      </w:r>
      <w:r>
        <w:rPr>
          <w:rFonts w:hint="eastAsia" w:ascii="宋体" w:hAnsi="宋体" w:eastAsia="宋体" w:cs="宋体"/>
          <w:color w:val="auto"/>
          <w:sz w:val="21"/>
          <w:highlight w:val="none"/>
          <w:lang w:val="en-US"/>
        </w:rPr>
        <w:t xml:space="preserve">服务人员与服务对象发生纠纷，由中标单位进行处理，处理期限不得超过5个工作日，处理结果应及时上报采购人备案。 </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hAnsi="宋体" w:cs="宋体"/>
          <w:color w:val="auto"/>
          <w:sz w:val="21"/>
          <w:highlight w:val="none"/>
          <w:lang w:val="en-US" w:eastAsia="zh-CN"/>
        </w:rPr>
        <w:t>10、</w:t>
      </w:r>
      <w:r>
        <w:rPr>
          <w:rFonts w:hint="eastAsia" w:ascii="宋体" w:hAnsi="宋体" w:eastAsia="宋体" w:cs="宋体"/>
          <w:color w:val="auto"/>
          <w:sz w:val="21"/>
          <w:highlight w:val="none"/>
          <w:lang w:val="en-US"/>
        </w:rPr>
        <w:t xml:space="preserve">采购人或用人单位有权对中标单位服务人员上述情况进行监督检查。 </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hAnsi="宋体" w:cs="宋体"/>
          <w:color w:val="auto"/>
          <w:sz w:val="21"/>
          <w:highlight w:val="none"/>
          <w:lang w:val="en-US" w:eastAsia="zh-CN"/>
        </w:rPr>
        <w:t>11、</w:t>
      </w:r>
      <w:r>
        <w:rPr>
          <w:rFonts w:hint="eastAsia" w:ascii="宋体" w:hAnsi="宋体" w:eastAsia="宋体" w:cs="宋体"/>
          <w:color w:val="auto"/>
          <w:sz w:val="21"/>
          <w:highlight w:val="none"/>
          <w:lang w:val="en-US"/>
        </w:rPr>
        <w:t>为确保项目正常运营管理，中标方必须明确内部管理职能，项目负责人每月在该项目指导运营服务工作不得少于20天。在服务期限内，管理团队负责人除培训、会议、休假外，必须常驻该项目地。如确因患病、辞职等原因需更换负责人，需提前2个月向采购人提出申请，经批准后方可调整，否则将处罚罚款1万元/次。</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hAnsi="宋体" w:cs="宋体"/>
          <w:color w:val="auto"/>
          <w:sz w:val="21"/>
          <w:highlight w:val="none"/>
          <w:lang w:val="en-US" w:eastAsia="zh-CN"/>
        </w:rPr>
        <w:t>12、</w:t>
      </w:r>
      <w:r>
        <w:rPr>
          <w:rFonts w:hint="eastAsia" w:ascii="宋体" w:hAnsi="宋体" w:eastAsia="宋体" w:cs="宋体"/>
          <w:color w:val="auto"/>
          <w:sz w:val="21"/>
          <w:highlight w:val="none"/>
          <w:lang w:val="en-US"/>
        </w:rPr>
        <w:t>在服务期间，中标单位认真执行《中华人民共和国老年人权益保障法》等规定要求，健全组织，狠抓服务质量，按省市下达的文件精神配足相关工作人员，定期组织养老护理职业资格培训、职称评定，达到85%持证上岗的要求，切实维护入住老人的合法权益，提供优质贴心服务。</w:t>
      </w:r>
    </w:p>
    <w:p>
      <w:pPr>
        <w:pStyle w:val="2"/>
        <w:numPr>
          <w:ilvl w:val="0"/>
          <w:numId w:val="1"/>
        </w:numPr>
        <w:ind w:left="0" w:leftChars="0" w:firstLine="420" w:firstLineChars="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其他经营性要求</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1、中标人中标后不得将本项目的服务内容全部或部分转让、转包给他人经营。中标方独立承担运营过程中的债权债务和经济、安全、法律等责任，接受采购人和相关政府部门的监管。</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2、中标人受托服务后，服务内容应当为老年人提供生活照护、康复护理、精神慰藉等服务。不得以任何形式向老年人推销各类保健品和相关药品。</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3、中标人应当及时向监管方、委托方报告重大情况。年底服务结束期内，向合同委托方提交年度工作报告（包括：服务范围、服务对象、服务质量、运营管理、经营收支等有关情况）。</w:t>
      </w:r>
    </w:p>
    <w:p>
      <w:pPr>
        <w:pStyle w:val="2"/>
        <w:numPr>
          <w:ilvl w:val="0"/>
          <w:numId w:val="1"/>
        </w:numPr>
        <w:ind w:left="0" w:leftChars="0" w:firstLine="420" w:firstLineChars="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服务考核要求</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接受定期考核。采购人在委托期限内，每半年度对中标人的服务进行考评，中标人未按实施方案、要求严格执行, 未达到服务标准要求的，采购人即时提出警告、限期改正，在限期内整改落实后，再予支付服务费用；若经警告后未在限期内改正，或中标人中途自行退出，或确认其不能达到要求的, 采购人可即时与中标人解除合同，另选其他单位。</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服务期间，招标方及民政部门将会同有关部门，每年对养老服务的管理、经费投入、收费标准、工作人员待遇、养老服务质量、公众评议等内容开展考核，中标人需无条件接受考核并积极配合，并适时根据各级政府、部门新出台的文件和规范进行完善。</w:t>
      </w:r>
    </w:p>
    <w:p>
      <w:pPr>
        <w:pStyle w:val="23"/>
        <w:adjustRightInd/>
        <w:ind w:firstLineChars="200"/>
        <w:rPr>
          <w:rFonts w:hint="eastAsia" w:hAnsi="宋体" w:eastAsia="宋体" w:cs="宋体"/>
          <w:b/>
          <w:bCs/>
          <w:color w:val="auto"/>
          <w:sz w:val="21"/>
          <w:highlight w:val="none"/>
          <w:lang w:val="en-US" w:eastAsia="zh-CN"/>
        </w:rPr>
      </w:pPr>
      <w:r>
        <w:rPr>
          <w:rFonts w:hint="eastAsia" w:hAnsi="宋体" w:cs="宋体"/>
          <w:b/>
          <w:bCs/>
          <w:color w:val="auto"/>
          <w:sz w:val="21"/>
          <w:highlight w:val="none"/>
          <w:lang w:val="en-US" w:eastAsia="zh-CN"/>
        </w:rPr>
        <w:t>具体考核办法详见《杭州市临平区养老服务电子津贴工作职责和考核管理办法》（临养老办〔2022〕2号）（详见附件9），若合同履行期间有最新政策文件的则按最新文件执行。</w:t>
      </w:r>
    </w:p>
    <w:p>
      <w:pPr>
        <w:pStyle w:val="2"/>
        <w:numPr>
          <w:ilvl w:val="0"/>
          <w:numId w:val="1"/>
        </w:numPr>
        <w:ind w:left="0" w:leftChars="0" w:firstLine="420" w:firstLineChars="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其他</w:t>
      </w:r>
      <w:r>
        <w:rPr>
          <w:rFonts w:hint="eastAsia" w:ascii="宋体" w:hAnsi="宋体" w:eastAsia="宋体" w:cs="宋体"/>
          <w:color w:val="auto"/>
          <w:kern w:val="0"/>
          <w:szCs w:val="21"/>
          <w:highlight w:val="none"/>
          <w:lang w:val="en-US" w:eastAsia="zh-CN"/>
        </w:rPr>
        <w:t>服务</w:t>
      </w:r>
      <w:r>
        <w:rPr>
          <w:rFonts w:hint="eastAsia" w:ascii="宋体" w:hAnsi="宋体" w:cs="宋体"/>
          <w:color w:val="auto"/>
          <w:kern w:val="0"/>
          <w:szCs w:val="21"/>
          <w:highlight w:val="none"/>
          <w:lang w:val="en-US" w:eastAsia="zh-CN"/>
        </w:rPr>
        <w:t>事项要求</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1、中标单位发放的人工工资不得低于本区的最低工资标准，且需为其缴纳社保障和发放政府规定的其他福利（如高温费等）。</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2、非计时类的服务项目（如维修、疏通等），将另行计付费。投标人需在投标文件中提供具体服务项目的收费价目表。</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bookmarkStart w:id="41" w:name="_Toc434501373"/>
      <w:bookmarkStart w:id="42" w:name="_Toc436850438"/>
      <w:r>
        <w:rPr>
          <w:rFonts w:hint="eastAsia" w:ascii="宋体" w:hAnsi="宋体" w:eastAsia="宋体" w:cs="宋体"/>
          <w:color w:val="auto"/>
          <w:sz w:val="21"/>
          <w:highlight w:val="none"/>
          <w:lang w:val="en-US"/>
        </w:rPr>
        <w:t>3、监管措施</w:t>
      </w:r>
      <w:bookmarkEnd w:id="41"/>
      <w:bookmarkEnd w:id="42"/>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3.1 由采购人组织的考核机构进行电话回访调查服务情况及满意度情况考核。</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3.2 由各服务区内的各社区组织，采取察看服务记录、询访服务对象、跟踪抽查等形式，对工作人员服务项目落实情况、服务质量和服务对象满意度、社会认可度等方面进行评估考核，确定是否胜任服务工作，也将作为考核依据。</w:t>
      </w:r>
    </w:p>
    <w:p>
      <w:pPr>
        <w:pStyle w:val="23"/>
        <w:adjustRightInd/>
        <w:snapToGrid/>
        <w:spacing w:before="0" w:line="360" w:lineRule="auto"/>
        <w:ind w:firstLine="420" w:firstLineChars="200"/>
        <w:rPr>
          <w:rFonts w:hint="eastAsia" w:ascii="宋体" w:hAnsi="宋体" w:eastAsia="宋体" w:cs="宋体"/>
          <w:color w:val="auto"/>
          <w:sz w:val="21"/>
          <w:highlight w:val="none"/>
          <w:lang w:val="en-US"/>
        </w:rPr>
      </w:pPr>
      <w:r>
        <w:rPr>
          <w:rFonts w:hint="eastAsia" w:ascii="宋体" w:hAnsi="宋体" w:eastAsia="宋体" w:cs="宋体"/>
          <w:color w:val="auto"/>
          <w:sz w:val="21"/>
          <w:highlight w:val="none"/>
          <w:lang w:val="en-US"/>
        </w:rPr>
        <w:t>3.3 中标人接受主管部门监管和全社会监督。</w:t>
      </w:r>
    </w:p>
    <w:p>
      <w:pPr>
        <w:pStyle w:val="23"/>
        <w:adjustRightInd/>
        <w:snapToGrid/>
        <w:spacing w:line="360" w:lineRule="auto"/>
        <w:ind w:firstLine="420" w:firstLineChars="200"/>
        <w:rPr>
          <w:rFonts w:hint="eastAsia" w:ascii="宋体" w:hAnsi="宋体" w:eastAsia="宋体" w:cs="宋体"/>
          <w:b/>
          <w:bCs/>
          <w:color w:val="auto"/>
          <w:sz w:val="21"/>
          <w:highlight w:val="none"/>
          <w:lang w:val="en-US" w:bidi="zh-CN"/>
        </w:rPr>
      </w:pPr>
      <w:r>
        <w:rPr>
          <w:rFonts w:hint="eastAsia" w:ascii="宋体" w:hAnsi="宋体" w:eastAsia="宋体" w:cs="宋体"/>
          <w:b/>
          <w:bCs/>
          <w:color w:val="auto"/>
          <w:sz w:val="21"/>
          <w:highlight w:val="none"/>
          <w:lang w:val="en-US" w:bidi="zh-CN"/>
        </w:rPr>
        <w:t>4、人员配置需求</w:t>
      </w:r>
    </w:p>
    <w:p>
      <w:pPr>
        <w:pStyle w:val="23"/>
        <w:adjustRightInd/>
        <w:snapToGrid/>
        <w:spacing w:line="360" w:lineRule="auto"/>
        <w:ind w:firstLine="420" w:firstLineChars="200"/>
        <w:rPr>
          <w:rFonts w:hint="eastAsia" w:ascii="宋体" w:hAnsi="宋体" w:eastAsia="宋体" w:cs="宋体"/>
          <w:b/>
          <w:bCs/>
          <w:color w:val="auto"/>
          <w:sz w:val="21"/>
          <w:highlight w:val="none"/>
          <w:lang w:val="en-US" w:bidi="zh-CN"/>
        </w:rPr>
      </w:pPr>
      <w:bookmarkStart w:id="43" w:name="_Hlk527640682"/>
      <w:r>
        <w:rPr>
          <w:rFonts w:hint="eastAsia" w:ascii="宋体" w:hAnsi="宋体" w:eastAsia="宋体" w:cs="宋体"/>
          <w:b/>
          <w:bCs/>
          <w:color w:val="auto"/>
          <w:sz w:val="21"/>
          <w:highlight w:val="none"/>
          <w:lang w:val="en-US" w:bidi="zh-CN"/>
        </w:rPr>
        <w:t>4.1一个标项所需服务人员最低配置表</w:t>
      </w:r>
      <w:bookmarkEnd w:id="43"/>
    </w:p>
    <w:tbl>
      <w:tblPr>
        <w:tblStyle w:val="62"/>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265"/>
        <w:gridCol w:w="1271"/>
        <w:gridCol w:w="4338"/>
      </w:tblGrid>
      <w:tr>
        <w:trPr>
          <w:trHeight w:val="392" w:hRule="atLeast"/>
          <w:jc w:val="center"/>
        </w:trPr>
        <w:tc>
          <w:tcPr>
            <w:tcW w:w="975" w:type="dxa"/>
            <w:tcBorders>
              <w:tl2br w:val="nil"/>
              <w:tr2bl w:val="nil"/>
            </w:tcBorders>
            <w:vAlign w:val="center"/>
          </w:tcPr>
          <w:p>
            <w:pPr>
              <w:snapToGrid w:val="0"/>
              <w:spacing w:line="360" w:lineRule="auto"/>
              <w:jc w:val="center"/>
              <w:rPr>
                <w:rFonts w:hint="eastAsia" w:ascii="宋体" w:hAnsi="宋体" w:eastAsia="宋体" w:cs="宋体"/>
                <w:b/>
                <w:bCs/>
                <w:color w:val="auto"/>
                <w:sz w:val="21"/>
                <w:szCs w:val="21"/>
                <w:highlight w:val="none"/>
                <w:lang w:bidi="zh-CN"/>
              </w:rPr>
            </w:pPr>
            <w:r>
              <w:rPr>
                <w:rFonts w:hint="eastAsia" w:ascii="宋体" w:hAnsi="宋体" w:eastAsia="宋体" w:cs="宋体"/>
                <w:b/>
                <w:bCs/>
                <w:color w:val="auto"/>
                <w:sz w:val="21"/>
                <w:szCs w:val="21"/>
                <w:highlight w:val="none"/>
                <w:lang w:bidi="zh-CN"/>
              </w:rPr>
              <w:t>序号</w:t>
            </w:r>
          </w:p>
        </w:tc>
        <w:tc>
          <w:tcPr>
            <w:tcW w:w="2265" w:type="dxa"/>
            <w:tcBorders>
              <w:tl2br w:val="nil"/>
              <w:tr2bl w:val="nil"/>
            </w:tcBorders>
            <w:vAlign w:val="center"/>
          </w:tcPr>
          <w:p>
            <w:pPr>
              <w:snapToGrid w:val="0"/>
              <w:spacing w:line="360" w:lineRule="auto"/>
              <w:jc w:val="center"/>
              <w:rPr>
                <w:rFonts w:hint="eastAsia" w:ascii="宋体" w:hAnsi="宋体" w:eastAsia="宋体" w:cs="宋体"/>
                <w:b/>
                <w:bCs/>
                <w:color w:val="auto"/>
                <w:sz w:val="21"/>
                <w:szCs w:val="21"/>
                <w:highlight w:val="none"/>
                <w:lang w:bidi="zh-CN"/>
              </w:rPr>
            </w:pPr>
            <w:r>
              <w:rPr>
                <w:rFonts w:hint="eastAsia" w:ascii="宋体" w:hAnsi="宋体" w:eastAsia="宋体" w:cs="宋体"/>
                <w:b/>
                <w:bCs/>
                <w:color w:val="auto"/>
                <w:sz w:val="21"/>
                <w:szCs w:val="21"/>
                <w:highlight w:val="none"/>
                <w:lang w:bidi="zh-CN"/>
              </w:rPr>
              <w:t>名称</w:t>
            </w:r>
          </w:p>
        </w:tc>
        <w:tc>
          <w:tcPr>
            <w:tcW w:w="1271" w:type="dxa"/>
            <w:tcBorders>
              <w:tl2br w:val="nil"/>
              <w:tr2bl w:val="nil"/>
            </w:tcBorders>
            <w:vAlign w:val="center"/>
          </w:tcPr>
          <w:p>
            <w:pPr>
              <w:snapToGrid w:val="0"/>
              <w:spacing w:line="360" w:lineRule="auto"/>
              <w:jc w:val="center"/>
              <w:rPr>
                <w:rFonts w:hint="eastAsia" w:ascii="宋体" w:hAnsi="宋体" w:eastAsia="宋体" w:cs="宋体"/>
                <w:b/>
                <w:bCs/>
                <w:color w:val="auto"/>
                <w:sz w:val="21"/>
                <w:szCs w:val="21"/>
                <w:highlight w:val="none"/>
                <w:lang w:bidi="zh-CN"/>
              </w:rPr>
            </w:pPr>
            <w:r>
              <w:rPr>
                <w:rFonts w:hint="eastAsia" w:ascii="宋体" w:hAnsi="宋体" w:eastAsia="宋体" w:cs="宋体"/>
                <w:b/>
                <w:bCs/>
                <w:color w:val="auto"/>
                <w:sz w:val="21"/>
                <w:szCs w:val="21"/>
                <w:highlight w:val="none"/>
                <w:lang w:bidi="zh-CN"/>
              </w:rPr>
              <w:t>数量（人）</w:t>
            </w:r>
          </w:p>
        </w:tc>
        <w:tc>
          <w:tcPr>
            <w:tcW w:w="4338" w:type="dxa"/>
            <w:tcBorders>
              <w:tl2br w:val="nil"/>
              <w:tr2bl w:val="nil"/>
            </w:tcBorders>
            <w:vAlign w:val="center"/>
          </w:tcPr>
          <w:p>
            <w:pPr>
              <w:snapToGrid w:val="0"/>
              <w:spacing w:line="360" w:lineRule="auto"/>
              <w:jc w:val="center"/>
              <w:rPr>
                <w:rFonts w:hint="eastAsia" w:ascii="宋体" w:hAnsi="宋体" w:eastAsia="宋体" w:cs="宋体"/>
                <w:b/>
                <w:bCs/>
                <w:color w:val="auto"/>
                <w:sz w:val="21"/>
                <w:szCs w:val="21"/>
                <w:highlight w:val="none"/>
                <w:lang w:bidi="zh-CN"/>
              </w:rPr>
            </w:pPr>
            <w:r>
              <w:rPr>
                <w:rFonts w:hint="eastAsia" w:ascii="宋体" w:hAnsi="宋体" w:eastAsia="宋体" w:cs="宋体"/>
                <w:b/>
                <w:bCs/>
                <w:color w:val="auto"/>
                <w:sz w:val="21"/>
                <w:szCs w:val="21"/>
                <w:highlight w:val="none"/>
                <w:lang w:bidi="zh-CN"/>
              </w:rPr>
              <w:t>备注</w:t>
            </w:r>
          </w:p>
        </w:tc>
      </w:tr>
      <w:tr>
        <w:trPr>
          <w:trHeight w:val="90" w:hRule="atLeast"/>
          <w:jc w:val="center"/>
        </w:trPr>
        <w:tc>
          <w:tcPr>
            <w:tcW w:w="975" w:type="dxa"/>
            <w:tcBorders>
              <w:tl2br w:val="nil"/>
              <w:tr2bl w:val="nil"/>
            </w:tcBorders>
            <w:vAlign w:val="center"/>
          </w:tcPr>
          <w:p>
            <w:pPr>
              <w:tabs>
                <w:tab w:val="center" w:pos="170"/>
              </w:tabs>
              <w:snapToGrid w:val="0"/>
              <w:spacing w:line="360" w:lineRule="auto"/>
              <w:jc w:val="center"/>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w:t>
            </w:r>
          </w:p>
        </w:tc>
        <w:tc>
          <w:tcPr>
            <w:tcW w:w="2265" w:type="dxa"/>
            <w:tcBorders>
              <w:tl2br w:val="nil"/>
              <w:tr2bl w:val="nil"/>
            </w:tcBorders>
            <w:vAlign w:val="center"/>
          </w:tcPr>
          <w:p>
            <w:pPr>
              <w:snapToGrid w:val="0"/>
              <w:spacing w:line="360" w:lineRule="auto"/>
              <w:ind w:firstLine="420" w:firstLineChars="200"/>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项目负责人</w:t>
            </w:r>
          </w:p>
        </w:tc>
        <w:tc>
          <w:tcPr>
            <w:tcW w:w="1271" w:type="dxa"/>
            <w:tcBorders>
              <w:tl2br w:val="nil"/>
              <w:tr2bl w:val="nil"/>
            </w:tcBorders>
            <w:vAlign w:val="center"/>
          </w:tcPr>
          <w:p>
            <w:pPr>
              <w:snapToGrid w:val="0"/>
              <w:spacing w:line="360" w:lineRule="auto"/>
              <w:ind w:firstLine="420" w:firstLineChars="200"/>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1</w:t>
            </w:r>
          </w:p>
        </w:tc>
        <w:tc>
          <w:tcPr>
            <w:tcW w:w="4338" w:type="dxa"/>
            <w:tcBorders>
              <w:tl2br w:val="nil"/>
              <w:tr2bl w:val="nil"/>
            </w:tcBorders>
            <w:vAlign w:val="center"/>
          </w:tcPr>
          <w:p>
            <w:pPr>
              <w:snapToGrid w:val="0"/>
              <w:spacing w:line="360" w:lineRule="auto"/>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总负责全面日常协调、管理；</w:t>
            </w:r>
          </w:p>
        </w:tc>
      </w:tr>
      <w:tr>
        <w:trPr>
          <w:trHeight w:val="90" w:hRule="atLeast"/>
          <w:jc w:val="center"/>
        </w:trPr>
        <w:tc>
          <w:tcPr>
            <w:tcW w:w="975" w:type="dxa"/>
            <w:tcBorders>
              <w:tl2br w:val="nil"/>
              <w:tr2bl w:val="nil"/>
            </w:tcBorders>
            <w:vAlign w:val="center"/>
          </w:tcPr>
          <w:p>
            <w:pPr>
              <w:tabs>
                <w:tab w:val="center" w:pos="170"/>
              </w:tabs>
              <w:snapToGrid w:val="0"/>
              <w:spacing w:line="360" w:lineRule="auto"/>
              <w:jc w:val="center"/>
              <w:rPr>
                <w:rFonts w:hint="eastAsia" w:ascii="宋体" w:hAnsi="宋体" w:eastAsia="宋体" w:cs="宋体"/>
                <w:color w:val="auto"/>
                <w:sz w:val="21"/>
                <w:szCs w:val="21"/>
                <w:highlight w:val="none"/>
                <w:lang w:bidi="zh-CN"/>
              </w:rPr>
            </w:pPr>
          </w:p>
        </w:tc>
        <w:tc>
          <w:tcPr>
            <w:tcW w:w="2265" w:type="dxa"/>
            <w:tcBorders>
              <w:tl2br w:val="nil"/>
              <w:tr2bl w:val="nil"/>
            </w:tcBorders>
            <w:vAlign w:val="center"/>
          </w:tcPr>
          <w:p>
            <w:pPr>
              <w:snapToGrid w:val="0"/>
              <w:spacing w:line="360" w:lineRule="auto"/>
              <w:ind w:firstLine="420" w:firstLineChars="200"/>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rPr>
              <w:t>管理人员</w:t>
            </w:r>
          </w:p>
        </w:tc>
        <w:tc>
          <w:tcPr>
            <w:tcW w:w="1271" w:type="dxa"/>
            <w:tcBorders>
              <w:tl2br w:val="nil"/>
              <w:tr2bl w:val="nil"/>
            </w:tcBorders>
            <w:vAlign w:val="center"/>
          </w:tcPr>
          <w:p>
            <w:pPr>
              <w:snapToGrid w:val="0"/>
              <w:spacing w:line="360" w:lineRule="auto"/>
              <w:ind w:firstLine="420" w:firstLineChars="200"/>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4</w:t>
            </w:r>
          </w:p>
        </w:tc>
        <w:tc>
          <w:tcPr>
            <w:tcW w:w="4338" w:type="dxa"/>
            <w:tcBorders>
              <w:tl2br w:val="nil"/>
              <w:tr2bl w:val="nil"/>
            </w:tcBorders>
            <w:vAlign w:val="center"/>
          </w:tcPr>
          <w:p>
            <w:pPr>
              <w:snapToGrid w:val="0"/>
              <w:spacing w:line="360" w:lineRule="auto"/>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负责日常协调、管理；</w:t>
            </w:r>
          </w:p>
        </w:tc>
      </w:tr>
      <w:tr>
        <w:trPr>
          <w:trHeight w:val="293" w:hRule="atLeast"/>
          <w:jc w:val="center"/>
        </w:trPr>
        <w:tc>
          <w:tcPr>
            <w:tcW w:w="975" w:type="dxa"/>
            <w:tcBorders>
              <w:tl2br w:val="nil"/>
              <w:tr2bl w:val="nil"/>
            </w:tcBorders>
            <w:vAlign w:val="center"/>
          </w:tcPr>
          <w:p>
            <w:pPr>
              <w:snapToGrid w:val="0"/>
              <w:spacing w:line="360" w:lineRule="auto"/>
              <w:jc w:val="center"/>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2</w:t>
            </w:r>
          </w:p>
        </w:tc>
        <w:tc>
          <w:tcPr>
            <w:tcW w:w="2265" w:type="dxa"/>
            <w:tcBorders>
              <w:tl2br w:val="nil"/>
              <w:tr2bl w:val="nil"/>
            </w:tcBorders>
            <w:vAlign w:val="center"/>
          </w:tcPr>
          <w:p>
            <w:pPr>
              <w:snapToGrid w:val="0"/>
              <w:spacing w:line="360" w:lineRule="auto"/>
              <w:ind w:firstLine="420" w:firstLineChars="200"/>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护理人员</w:t>
            </w:r>
          </w:p>
        </w:tc>
        <w:tc>
          <w:tcPr>
            <w:tcW w:w="1271" w:type="dxa"/>
            <w:tcBorders>
              <w:tl2br w:val="nil"/>
              <w:tr2bl w:val="nil"/>
            </w:tcBorders>
            <w:vAlign w:val="center"/>
          </w:tcPr>
          <w:p>
            <w:pPr>
              <w:snapToGrid w:val="0"/>
              <w:spacing w:line="360" w:lineRule="auto"/>
              <w:ind w:firstLine="420" w:firstLineChars="200"/>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35</w:t>
            </w:r>
          </w:p>
        </w:tc>
        <w:tc>
          <w:tcPr>
            <w:tcW w:w="4338" w:type="dxa"/>
            <w:tcBorders>
              <w:tl2br w:val="nil"/>
              <w:tr2bl w:val="nil"/>
            </w:tcBorders>
            <w:vAlign w:val="center"/>
          </w:tcPr>
          <w:p>
            <w:pPr>
              <w:snapToGrid w:val="0"/>
              <w:spacing w:line="360" w:lineRule="auto"/>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根据实际情况配置；</w:t>
            </w:r>
          </w:p>
        </w:tc>
      </w:tr>
      <w:tr>
        <w:trPr>
          <w:trHeight w:val="372" w:hRule="atLeast"/>
          <w:jc w:val="center"/>
        </w:trPr>
        <w:tc>
          <w:tcPr>
            <w:tcW w:w="975" w:type="dxa"/>
            <w:tcBorders>
              <w:tl2br w:val="nil"/>
              <w:tr2bl w:val="nil"/>
            </w:tcBorders>
            <w:vAlign w:val="center"/>
          </w:tcPr>
          <w:p>
            <w:pPr>
              <w:snapToGrid w:val="0"/>
              <w:spacing w:line="360" w:lineRule="auto"/>
              <w:jc w:val="center"/>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3</w:t>
            </w:r>
          </w:p>
        </w:tc>
        <w:tc>
          <w:tcPr>
            <w:tcW w:w="2265" w:type="dxa"/>
            <w:tcBorders>
              <w:tl2br w:val="nil"/>
              <w:tr2bl w:val="nil"/>
            </w:tcBorders>
            <w:vAlign w:val="center"/>
          </w:tcPr>
          <w:p>
            <w:pPr>
              <w:snapToGrid w:val="0"/>
              <w:spacing w:line="360" w:lineRule="auto"/>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人员配置数量合计</w:t>
            </w:r>
          </w:p>
        </w:tc>
        <w:tc>
          <w:tcPr>
            <w:tcW w:w="1271" w:type="dxa"/>
            <w:tcBorders>
              <w:tl2br w:val="nil"/>
              <w:tr2bl w:val="nil"/>
            </w:tcBorders>
            <w:vAlign w:val="center"/>
          </w:tcPr>
          <w:p>
            <w:pPr>
              <w:snapToGrid w:val="0"/>
              <w:spacing w:line="360" w:lineRule="auto"/>
              <w:jc w:val="center"/>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≧40</w:t>
            </w:r>
          </w:p>
        </w:tc>
        <w:tc>
          <w:tcPr>
            <w:tcW w:w="4338" w:type="dxa"/>
            <w:tcBorders>
              <w:tl2br w:val="nil"/>
              <w:tr2bl w:val="nil"/>
            </w:tcBorders>
            <w:vAlign w:val="center"/>
          </w:tcPr>
          <w:p>
            <w:pPr>
              <w:snapToGrid w:val="0"/>
              <w:spacing w:line="360" w:lineRule="auto"/>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bidi="zh-CN"/>
              </w:rPr>
              <w:t>包括项目负责人。</w:t>
            </w:r>
          </w:p>
        </w:tc>
      </w:tr>
      <w:tr>
        <w:trPr>
          <w:cantSplit/>
          <w:trHeight w:val="1270" w:hRule="atLeast"/>
          <w:jc w:val="center"/>
        </w:trPr>
        <w:tc>
          <w:tcPr>
            <w:tcW w:w="975" w:type="dxa"/>
            <w:vMerge w:val="restart"/>
            <w:tcBorders>
              <w:tl2br w:val="nil"/>
              <w:tr2bl w:val="nil"/>
            </w:tcBorders>
            <w:vAlign w:val="center"/>
          </w:tcPr>
          <w:p>
            <w:pPr>
              <w:snapToGrid w:val="0"/>
              <w:spacing w:line="360" w:lineRule="auto"/>
              <w:jc w:val="center"/>
              <w:rPr>
                <w:rFonts w:hint="eastAsia" w:ascii="宋体" w:hAnsi="宋体" w:eastAsia="宋体" w:cs="宋体"/>
                <w:b/>
                <w:bCs/>
                <w:color w:val="auto"/>
                <w:sz w:val="21"/>
                <w:szCs w:val="21"/>
                <w:highlight w:val="none"/>
                <w:lang w:bidi="zh-CN"/>
              </w:rPr>
            </w:pPr>
            <w:r>
              <w:rPr>
                <w:rFonts w:hint="eastAsia" w:ascii="宋体" w:hAnsi="宋体" w:eastAsia="宋体" w:cs="宋体"/>
                <w:b/>
                <w:bCs/>
                <w:color w:val="auto"/>
                <w:sz w:val="21"/>
                <w:szCs w:val="21"/>
                <w:highlight w:val="none"/>
                <w:lang w:bidi="zh-CN"/>
              </w:rPr>
              <w:t>说明</w:t>
            </w:r>
          </w:p>
        </w:tc>
        <w:tc>
          <w:tcPr>
            <w:tcW w:w="7874" w:type="dxa"/>
            <w:gridSpan w:val="3"/>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1、以上人员数量为服务过程中最低人数，如投标人中标前相关人员人数不足，则需承诺中标后10个工作内补齐不足人员（承诺书格式后附，内容自拟）。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2、各标项服务社区的项目管理及服务人员根据投标方案自行配备。</w:t>
            </w:r>
          </w:p>
        </w:tc>
      </w:tr>
      <w:tr>
        <w:trPr>
          <w:cantSplit/>
          <w:trHeight w:val="429" w:hRule="atLeast"/>
          <w:jc w:val="center"/>
        </w:trPr>
        <w:tc>
          <w:tcPr>
            <w:tcW w:w="975" w:type="dxa"/>
            <w:vMerge w:val="continue"/>
            <w:tcBorders>
              <w:tl2br w:val="nil"/>
              <w:tr2bl w:val="nil"/>
            </w:tcBorders>
            <w:vAlign w:val="center"/>
          </w:tcPr>
          <w:p>
            <w:pPr>
              <w:snapToGrid w:val="0"/>
              <w:spacing w:line="360" w:lineRule="auto"/>
              <w:rPr>
                <w:rFonts w:hint="eastAsia" w:ascii="宋体" w:hAnsi="宋体" w:eastAsia="宋体" w:cs="宋体"/>
                <w:color w:val="auto"/>
                <w:sz w:val="21"/>
                <w:szCs w:val="21"/>
                <w:highlight w:val="none"/>
                <w:lang w:bidi="zh-CN"/>
              </w:rPr>
            </w:pPr>
          </w:p>
        </w:tc>
        <w:tc>
          <w:tcPr>
            <w:tcW w:w="7874" w:type="dxa"/>
            <w:gridSpan w:val="3"/>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3、上表所需人员均由中标人负责招聘、落实，并依法签订劳动合同，严禁招聘超龄人员或未成年人员或无自主劳动能力人员；</w:t>
            </w:r>
          </w:p>
        </w:tc>
      </w:tr>
      <w:tr>
        <w:trPr>
          <w:cantSplit/>
          <w:trHeight w:val="955" w:hRule="atLeast"/>
          <w:jc w:val="center"/>
        </w:trPr>
        <w:tc>
          <w:tcPr>
            <w:tcW w:w="975" w:type="dxa"/>
            <w:vMerge w:val="continue"/>
            <w:tcBorders>
              <w:tl2br w:val="nil"/>
              <w:tr2bl w:val="nil"/>
            </w:tcBorders>
            <w:vAlign w:val="center"/>
          </w:tcPr>
          <w:p>
            <w:pPr>
              <w:snapToGrid w:val="0"/>
              <w:spacing w:line="360" w:lineRule="auto"/>
              <w:rPr>
                <w:rFonts w:hint="eastAsia" w:ascii="宋体" w:hAnsi="宋体" w:eastAsia="宋体" w:cs="宋体"/>
                <w:color w:val="auto"/>
                <w:sz w:val="21"/>
                <w:szCs w:val="21"/>
                <w:highlight w:val="none"/>
                <w:lang w:bidi="zh-CN"/>
              </w:rPr>
            </w:pPr>
          </w:p>
        </w:tc>
        <w:tc>
          <w:tcPr>
            <w:tcW w:w="7874" w:type="dxa"/>
            <w:gridSpan w:val="3"/>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4、中标人应依法缴纳社会保障；依法办理社会保险（除必须的养老保险外，还应包括第三者责任保险和员工人身意外保险）；</w:t>
            </w:r>
          </w:p>
        </w:tc>
      </w:tr>
      <w:tr>
        <w:trPr>
          <w:cantSplit/>
          <w:trHeight w:val="278" w:hRule="atLeast"/>
          <w:jc w:val="center"/>
        </w:trPr>
        <w:tc>
          <w:tcPr>
            <w:tcW w:w="975" w:type="dxa"/>
            <w:vMerge w:val="continue"/>
            <w:tcBorders>
              <w:tl2br w:val="nil"/>
              <w:tr2bl w:val="nil"/>
            </w:tcBorders>
            <w:vAlign w:val="center"/>
          </w:tcPr>
          <w:p>
            <w:pPr>
              <w:snapToGrid w:val="0"/>
              <w:spacing w:line="360" w:lineRule="auto"/>
              <w:rPr>
                <w:rFonts w:hint="eastAsia" w:ascii="宋体" w:hAnsi="宋体" w:eastAsia="宋体" w:cs="宋体"/>
                <w:color w:val="auto"/>
                <w:sz w:val="21"/>
                <w:szCs w:val="21"/>
                <w:highlight w:val="none"/>
                <w:lang w:bidi="zh-CN"/>
              </w:rPr>
            </w:pPr>
          </w:p>
        </w:tc>
        <w:tc>
          <w:tcPr>
            <w:tcW w:w="7874" w:type="dxa"/>
            <w:gridSpan w:val="3"/>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5、中标人应严格执行轮休、加班及高温补贴政策，按相关规定标准补贴；</w:t>
            </w:r>
          </w:p>
        </w:tc>
      </w:tr>
      <w:tr>
        <w:trPr>
          <w:cantSplit/>
          <w:trHeight w:val="384" w:hRule="atLeast"/>
          <w:jc w:val="center"/>
        </w:trPr>
        <w:tc>
          <w:tcPr>
            <w:tcW w:w="975" w:type="dxa"/>
            <w:vMerge w:val="continue"/>
            <w:tcBorders>
              <w:tl2br w:val="nil"/>
              <w:tr2bl w:val="nil"/>
            </w:tcBorders>
            <w:vAlign w:val="center"/>
          </w:tcPr>
          <w:p>
            <w:pPr>
              <w:snapToGrid w:val="0"/>
              <w:spacing w:line="360" w:lineRule="auto"/>
              <w:rPr>
                <w:rFonts w:hint="eastAsia" w:ascii="宋体" w:hAnsi="宋体" w:eastAsia="宋体" w:cs="宋体"/>
                <w:color w:val="auto"/>
                <w:sz w:val="21"/>
                <w:szCs w:val="21"/>
                <w:highlight w:val="none"/>
                <w:lang w:bidi="zh-CN"/>
              </w:rPr>
            </w:pPr>
          </w:p>
        </w:tc>
        <w:tc>
          <w:tcPr>
            <w:tcW w:w="7874" w:type="dxa"/>
            <w:gridSpan w:val="3"/>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6、中标后实际配置的养老护理员都需拥有政府部门颁发的养老护理员证书，否则采购人有权终止合同；</w:t>
            </w:r>
          </w:p>
        </w:tc>
      </w:tr>
      <w:tr>
        <w:trPr>
          <w:cantSplit/>
          <w:trHeight w:val="674" w:hRule="atLeast"/>
          <w:jc w:val="center"/>
        </w:trPr>
        <w:tc>
          <w:tcPr>
            <w:tcW w:w="975" w:type="dxa"/>
            <w:vMerge w:val="continue"/>
            <w:tcBorders>
              <w:tl2br w:val="nil"/>
              <w:tr2bl w:val="nil"/>
            </w:tcBorders>
            <w:vAlign w:val="center"/>
          </w:tcPr>
          <w:p>
            <w:pPr>
              <w:snapToGrid w:val="0"/>
              <w:spacing w:line="360" w:lineRule="auto"/>
              <w:rPr>
                <w:rFonts w:hint="eastAsia" w:ascii="宋体" w:hAnsi="宋体" w:eastAsia="宋体" w:cs="宋体"/>
                <w:color w:val="auto"/>
                <w:sz w:val="21"/>
                <w:szCs w:val="21"/>
                <w:highlight w:val="none"/>
                <w:lang w:bidi="zh-CN"/>
              </w:rPr>
            </w:pPr>
          </w:p>
        </w:tc>
        <w:tc>
          <w:tcPr>
            <w:tcW w:w="7874" w:type="dxa"/>
            <w:gridSpan w:val="3"/>
            <w:tcBorders>
              <w:tl2br w:val="nil"/>
              <w:tr2bl w:val="nil"/>
            </w:tcBorders>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7、各标项配备医生不少于2人。</w:t>
            </w:r>
          </w:p>
        </w:tc>
      </w:tr>
    </w:tbl>
    <w:p>
      <w:pPr>
        <w:pStyle w:val="2"/>
        <w:numPr>
          <w:ilvl w:val="0"/>
          <w:numId w:val="1"/>
        </w:numPr>
        <w:ind w:left="0" w:leftChars="0" w:firstLine="42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服务期限</w:t>
      </w:r>
    </w:p>
    <w:p>
      <w:pPr>
        <w:adjustRightInd/>
        <w:spacing w:line="360" w:lineRule="auto"/>
        <w:ind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kern w:val="2"/>
          <w:szCs w:val="21"/>
          <w:highlight w:val="none"/>
          <w:u w:val="single"/>
        </w:rPr>
        <w:t>▲</w:t>
      </w:r>
      <w:r>
        <w:rPr>
          <w:rFonts w:hint="eastAsia" w:ascii="宋体" w:hAnsi="宋体" w:cs="宋体"/>
          <w:b/>
          <w:bCs/>
          <w:color w:val="auto"/>
          <w:kern w:val="2"/>
          <w:szCs w:val="21"/>
          <w:highlight w:val="none"/>
          <w:u w:val="single"/>
          <w:lang w:val="en-US" w:eastAsia="zh-CN"/>
        </w:rPr>
        <w:t>两年（2024年10月1日-2026年9月30日）。</w:t>
      </w:r>
    </w:p>
    <w:bookmarkEnd w:id="33"/>
    <w:bookmarkEnd w:id="34"/>
    <w:bookmarkEnd w:id="35"/>
    <w:bookmarkEnd w:id="36"/>
    <w:bookmarkEnd w:id="37"/>
    <w:p>
      <w:pPr>
        <w:pStyle w:val="2"/>
        <w:numPr>
          <w:ilvl w:val="0"/>
          <w:numId w:val="1"/>
        </w:numPr>
        <w:ind w:left="0" w:leftChars="0" w:firstLine="420" w:firstLineChars="0"/>
        <w:rPr>
          <w:rFonts w:hint="eastAsia" w:ascii="宋体" w:hAnsi="宋体" w:eastAsia="宋体" w:cs="宋体"/>
          <w:color w:val="auto"/>
          <w:kern w:val="0"/>
          <w:szCs w:val="21"/>
          <w:highlight w:val="none"/>
          <w:lang w:val="en-US" w:eastAsia="zh-CN"/>
        </w:rPr>
      </w:pPr>
      <w:bookmarkStart w:id="44" w:name="_Toc11953"/>
      <w:bookmarkStart w:id="45" w:name="_Toc21007"/>
      <w:bookmarkStart w:id="46" w:name="_Toc16266"/>
      <w:bookmarkStart w:id="47" w:name="_Toc17154"/>
      <w:r>
        <w:rPr>
          <w:rFonts w:hint="eastAsia" w:ascii="宋体" w:hAnsi="宋体" w:eastAsia="宋体" w:cs="宋体"/>
          <w:color w:val="auto"/>
          <w:kern w:val="0"/>
          <w:szCs w:val="21"/>
          <w:highlight w:val="none"/>
          <w:lang w:val="en-US" w:eastAsia="zh-CN"/>
        </w:rPr>
        <w:t>履约验收</w:t>
      </w:r>
      <w:bookmarkEnd w:id="44"/>
      <w:bookmarkEnd w:id="45"/>
      <w:bookmarkEnd w:id="46"/>
      <w:bookmarkEnd w:id="47"/>
    </w:p>
    <w:p>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1.验收主体：</w:t>
      </w:r>
      <w:r>
        <w:rPr>
          <w:rFonts w:hint="eastAsia" w:hAnsi="宋体" w:cs="宋体"/>
          <w:i w:val="0"/>
          <w:color w:val="auto"/>
          <w:kern w:val="2"/>
          <w:sz w:val="21"/>
          <w:szCs w:val="21"/>
          <w:highlight w:val="none"/>
          <w:lang w:val="en-US" w:eastAsia="zh-CN" w:bidi="ar-SA"/>
        </w:rPr>
        <w:t>杭州市临平区塘栖镇人民政府</w:t>
      </w:r>
      <w:r>
        <w:rPr>
          <w:rFonts w:hint="eastAsia" w:ascii="宋体" w:hAnsi="宋体" w:eastAsia="宋体" w:cs="宋体"/>
          <w:i w:val="0"/>
          <w:color w:val="auto"/>
          <w:kern w:val="2"/>
          <w:sz w:val="21"/>
          <w:szCs w:val="21"/>
          <w:highlight w:val="none"/>
          <w:lang w:val="en-US" w:eastAsia="zh-CN" w:bidi="ar-SA"/>
        </w:rPr>
        <w:t>。</w:t>
      </w:r>
    </w:p>
    <w:p>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2.采购人在中标人提供服务的过程中，有权不定期对服务内容和质量进行检查考核。中标人应当配合进行。</w:t>
      </w:r>
    </w:p>
    <w:p>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3.最终验收时间：服务内容执行完毕、服务期截止后。</w:t>
      </w:r>
    </w:p>
    <w:p>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4.验收程序：中标人向采购人提出验收申请，采购人按验收方案组织履约验收。中标人应将项目执行过程及时记录、收集、整理，向采购人递交验收申请资料。</w:t>
      </w:r>
    </w:p>
    <w:p>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5.验收内容：中标人实际完成的情况是否符合采购文件要求和中标人在投标响应文件中的商务、技术承诺、是否按照合同约定执行。</w:t>
      </w:r>
    </w:p>
    <w:p>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6.验收标准：中标人已经按采购文件要求和中标人在投标响应文件中的商务、技术承诺、合同约定执行完成项目执行。</w:t>
      </w:r>
    </w:p>
    <w:p>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7.验收时中标人应在现场，验收完毕后作出验收结果报告；验收产生的费用，由采购人承担。</w:t>
      </w:r>
    </w:p>
    <w:p>
      <w:pPr>
        <w:pStyle w:val="2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pPr>
        <w:pStyle w:val="2"/>
        <w:numPr>
          <w:ilvl w:val="0"/>
          <w:numId w:val="1"/>
        </w:numPr>
        <w:ind w:left="0" w:leftChars="0" w:firstLine="42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商务要求</w:t>
      </w:r>
    </w:p>
    <w:p>
      <w:pPr>
        <w:pStyle w:val="23"/>
        <w:snapToGrid w:val="0"/>
        <w:ind w:firstLine="420" w:firstLineChars="200"/>
        <w:outlineLvl w:val="2"/>
        <w:rPr>
          <w:rFonts w:hAnsi="宋体" w:cs="宋体"/>
          <w:b/>
          <w:bCs/>
          <w:color w:val="auto"/>
          <w:sz w:val="21"/>
          <w:highlight w:val="none"/>
        </w:rPr>
      </w:pPr>
      <w:r>
        <w:rPr>
          <w:rFonts w:hint="eastAsia" w:hAnsi="宋体" w:cs="宋体"/>
          <w:b/>
          <w:bCs/>
          <w:color w:val="auto"/>
          <w:sz w:val="21"/>
          <w:highlight w:val="none"/>
          <w:lang w:val="en-US"/>
        </w:rPr>
        <w:t>1</w:t>
      </w:r>
      <w:r>
        <w:rPr>
          <w:rFonts w:hint="eastAsia" w:hAnsi="宋体" w:cs="宋体"/>
          <w:b/>
          <w:bCs/>
          <w:color w:val="auto"/>
          <w:sz w:val="21"/>
          <w:highlight w:val="none"/>
          <w:lang w:val="en-US" w:eastAsia="zh-CN"/>
        </w:rPr>
        <w:t>.</w:t>
      </w:r>
      <w:r>
        <w:rPr>
          <w:rFonts w:hint="eastAsia" w:hAnsi="宋体" w:cs="宋体"/>
          <w:b/>
          <w:bCs/>
          <w:color w:val="auto"/>
          <w:sz w:val="21"/>
          <w:highlight w:val="none"/>
        </w:rPr>
        <w:t>投标报价</w:t>
      </w:r>
    </w:p>
    <w:p>
      <w:pPr>
        <w:snapToGrid w:val="0"/>
        <w:spacing w:line="360" w:lineRule="auto"/>
        <w:ind w:firstLine="420" w:firstLineChars="200"/>
        <w:rPr>
          <w:rFonts w:cs="Calibri"/>
          <w:b/>
          <w:bCs/>
          <w:color w:val="auto"/>
          <w:szCs w:val="21"/>
          <w:highlight w:val="none"/>
          <w:u w:val="single"/>
        </w:rPr>
      </w:pPr>
      <w:r>
        <w:rPr>
          <w:rFonts w:cs="Calibri"/>
          <w:color w:val="auto"/>
          <w:szCs w:val="21"/>
          <w:highlight w:val="none"/>
        </w:rPr>
        <w:t>▲</w:t>
      </w:r>
      <w:r>
        <w:rPr>
          <w:rFonts w:hint="eastAsia" w:ascii="宋体" w:hAnsi="宋体" w:eastAsia="宋体" w:cs="宋体"/>
          <w:b/>
          <w:bCs w:val="0"/>
          <w:color w:val="auto"/>
          <w:kern w:val="0"/>
          <w:sz w:val="21"/>
          <w:szCs w:val="21"/>
          <w:highlight w:val="none"/>
          <w:u w:val="single"/>
          <w:lang w:val="zh-CN"/>
        </w:rPr>
        <w:t>根据《杭州市临平区养老服务电子津贴实施办法（试行）》 (临民〔2021〕42号)文件精神（</w:t>
      </w:r>
      <w:r>
        <w:rPr>
          <w:rFonts w:hint="eastAsia" w:ascii="宋体" w:hAnsi="宋体" w:cs="宋体"/>
          <w:b/>
          <w:bCs w:val="0"/>
          <w:color w:val="auto"/>
          <w:kern w:val="0"/>
          <w:sz w:val="21"/>
          <w:szCs w:val="21"/>
          <w:highlight w:val="none"/>
          <w:u w:val="single"/>
          <w:lang w:val="zh-CN"/>
        </w:rPr>
        <w:t>详见附件8</w:t>
      </w:r>
      <w:r>
        <w:rPr>
          <w:rFonts w:hint="eastAsia" w:ascii="宋体" w:hAnsi="宋体" w:eastAsia="宋体" w:cs="宋体"/>
          <w:b/>
          <w:bCs w:val="0"/>
          <w:color w:val="auto"/>
          <w:kern w:val="0"/>
          <w:sz w:val="21"/>
          <w:szCs w:val="21"/>
          <w:highlight w:val="none"/>
          <w:u w:val="single"/>
          <w:lang w:val="zh-CN"/>
        </w:rPr>
        <w:t>）</w:t>
      </w:r>
      <w:r>
        <w:rPr>
          <w:rFonts w:hint="eastAsia" w:ascii="宋体" w:hAnsi="宋体" w:eastAsia="宋体" w:cs="宋体"/>
          <w:b/>
          <w:bCs w:val="0"/>
          <w:color w:val="auto"/>
          <w:kern w:val="0"/>
          <w:sz w:val="21"/>
          <w:szCs w:val="21"/>
          <w:highlight w:val="none"/>
          <w:u w:val="single"/>
          <w:lang w:val="zh-CN"/>
        </w:rPr>
        <w:t>，</w:t>
      </w:r>
      <w:r>
        <w:rPr>
          <w:rFonts w:hint="eastAsia" w:ascii="宋体" w:hAnsi="宋体" w:eastAsia="宋体" w:cs="宋体"/>
          <w:b/>
          <w:bCs w:val="0"/>
          <w:color w:val="auto"/>
          <w:kern w:val="0"/>
          <w:sz w:val="21"/>
          <w:szCs w:val="21"/>
          <w:highlight w:val="none"/>
          <w:u w:val="single"/>
          <w:lang w:val="zh-CN"/>
        </w:rPr>
        <w:t>中标人最终执行价格按《杭州市临平区养老服务电子津贴实施办法（试行）》 (临 民〔2021〕42 号)文件按实际服务进行结算，投标人在政采云系统填报投标价格时请统一填写标项预算价格，如投标人填写的报价与预算不符，由评标委员会进行修正，投标人不接受修正的，做无效标处理。本项目</w:t>
      </w:r>
      <w:r>
        <w:rPr>
          <w:rFonts w:hint="eastAsia" w:ascii="宋体" w:hAnsi="宋体" w:cs="宋体"/>
          <w:b/>
          <w:bCs w:val="0"/>
          <w:color w:val="auto"/>
          <w:kern w:val="0"/>
          <w:sz w:val="21"/>
          <w:szCs w:val="21"/>
          <w:highlight w:val="none"/>
          <w:u w:val="single"/>
          <w:lang w:val="en-US" w:eastAsia="zh-CN"/>
        </w:rPr>
        <w:t>每个标项</w:t>
      </w:r>
      <w:r>
        <w:rPr>
          <w:rFonts w:hint="eastAsia" w:ascii="宋体" w:hAnsi="宋体" w:eastAsia="宋体" w:cs="宋体"/>
          <w:b/>
          <w:bCs w:val="0"/>
          <w:color w:val="auto"/>
          <w:kern w:val="0"/>
          <w:sz w:val="21"/>
          <w:szCs w:val="21"/>
          <w:highlight w:val="none"/>
          <w:u w:val="single"/>
          <w:lang w:val="zh-CN"/>
        </w:rPr>
        <w:t>预算为采购人根据上年度资金使用和本年度需要扩面的所需预估金额，最终结算根据具体根据实际服务进行结算，投标人自行考虑相关风险</w:t>
      </w:r>
      <w:r>
        <w:rPr>
          <w:rFonts w:hint="eastAsia" w:ascii="宋体" w:hAnsi="宋体" w:eastAsia="宋体" w:cs="宋体"/>
          <w:b/>
          <w:bCs w:val="0"/>
          <w:color w:val="auto"/>
          <w:kern w:val="0"/>
          <w:sz w:val="21"/>
          <w:szCs w:val="21"/>
          <w:highlight w:val="none"/>
          <w:u w:val="none"/>
          <w:lang w:val="zh-CN"/>
        </w:rPr>
        <w:t>。</w:t>
      </w:r>
      <w:r>
        <w:rPr>
          <w:rFonts w:hint="eastAsia" w:ascii="宋体" w:hAnsi="宋体" w:cs="宋体"/>
          <w:b/>
          <w:bCs/>
          <w:color w:val="auto"/>
          <w:kern w:val="0"/>
          <w:szCs w:val="21"/>
          <w:highlight w:val="none"/>
          <w:lang w:val="en-US" w:eastAsia="zh-CN"/>
        </w:rPr>
        <w:t>价格分由评审小组统一一致计算。</w:t>
      </w:r>
    </w:p>
    <w:p>
      <w:pPr>
        <w:pStyle w:val="23"/>
        <w:snapToGrid w:val="0"/>
        <w:ind w:firstLine="420" w:firstLineChars="200"/>
        <w:outlineLvl w:val="2"/>
        <w:rPr>
          <w:rFonts w:hAnsi="宋体" w:cs="宋体"/>
          <w:b/>
          <w:bCs/>
          <w:color w:val="auto"/>
          <w:sz w:val="21"/>
          <w:highlight w:val="none"/>
        </w:rPr>
      </w:pPr>
      <w:r>
        <w:rPr>
          <w:rFonts w:hint="eastAsia" w:hAnsi="宋体" w:cs="宋体"/>
          <w:b/>
          <w:bCs/>
          <w:color w:val="auto"/>
          <w:sz w:val="21"/>
          <w:highlight w:val="none"/>
          <w:lang w:val="en-US"/>
        </w:rPr>
        <w:t>2</w:t>
      </w:r>
      <w:r>
        <w:rPr>
          <w:rFonts w:hint="eastAsia" w:hAnsi="宋体" w:cs="宋体"/>
          <w:b/>
          <w:bCs/>
          <w:color w:val="auto"/>
          <w:sz w:val="21"/>
          <w:highlight w:val="none"/>
          <w:lang w:val="en-US" w:eastAsia="zh-CN"/>
        </w:rPr>
        <w:t>.</w:t>
      </w:r>
      <w:r>
        <w:rPr>
          <w:rFonts w:hint="eastAsia" w:hAnsi="宋体" w:cs="宋体"/>
          <w:b/>
          <w:bCs/>
          <w:color w:val="auto"/>
          <w:sz w:val="21"/>
          <w:highlight w:val="none"/>
        </w:rPr>
        <w:t>履约保证金</w:t>
      </w:r>
    </w:p>
    <w:p>
      <w:pPr>
        <w:snapToGrid w:val="0"/>
        <w:spacing w:line="360" w:lineRule="auto"/>
        <w:ind w:firstLine="420" w:firstLineChars="200"/>
        <w:rPr>
          <w:rFonts w:ascii="Calibri" w:hAnsi="Calibri" w:cs="Calibri"/>
          <w:b/>
          <w:color w:val="auto"/>
          <w:szCs w:val="21"/>
          <w:highlight w:val="none"/>
        </w:rPr>
      </w:pPr>
      <w:r>
        <w:rPr>
          <w:rFonts w:hint="eastAsia" w:hAnsi="宋体" w:cs="宋体"/>
          <w:color w:val="auto"/>
          <w:sz w:val="21"/>
          <w:highlight w:val="none"/>
        </w:rPr>
        <w:t>无。如有违约，从应付合同款中扣除。</w:t>
      </w:r>
    </w:p>
    <w:bookmarkEnd w:id="38"/>
    <w:bookmarkEnd w:id="39"/>
    <w:p>
      <w:pPr>
        <w:snapToGrid w:val="0"/>
        <w:spacing w:line="360" w:lineRule="auto"/>
        <w:ind w:firstLine="420" w:firstLineChars="200"/>
        <w:rPr>
          <w:rFonts w:hint="default" w:ascii="Times New Roman" w:hAnsi="Times New Roman" w:eastAsia="宋体" w:cs="Calibri"/>
          <w:b/>
          <w:bCs/>
          <w:color w:val="auto"/>
          <w:szCs w:val="21"/>
          <w:highlight w:val="none"/>
          <w:u w:val="single"/>
          <w:lang w:bidi="zh-CN"/>
        </w:rPr>
      </w:pPr>
      <w:bookmarkStart w:id="48" w:name="_Toc10078"/>
      <w:r>
        <w:rPr>
          <w:rFonts w:cs="Calibri"/>
          <w:b/>
          <w:bCs/>
          <w:color w:val="auto"/>
          <w:szCs w:val="21"/>
          <w:highlight w:val="none"/>
          <w:u w:val="single"/>
        </w:rPr>
        <w:t>▲</w:t>
      </w:r>
      <w:r>
        <w:rPr>
          <w:rFonts w:hint="eastAsia" w:cs="Calibri"/>
          <w:b/>
          <w:bCs/>
          <w:color w:val="auto"/>
          <w:szCs w:val="21"/>
          <w:highlight w:val="none"/>
          <w:u w:val="single"/>
          <w:lang w:val="en-US" w:eastAsia="zh-CN"/>
        </w:rPr>
        <w:t>3、</w:t>
      </w:r>
      <w:r>
        <w:rPr>
          <w:rFonts w:hint="default" w:ascii="Times New Roman" w:hAnsi="Times New Roman" w:eastAsia="宋体" w:cs="Calibri"/>
          <w:b/>
          <w:bCs/>
          <w:color w:val="auto"/>
          <w:szCs w:val="21"/>
          <w:highlight w:val="none"/>
          <w:u w:val="single"/>
        </w:rPr>
        <w:t>付款方式</w:t>
      </w:r>
      <w:r>
        <w:rPr>
          <w:rFonts w:hint="default" w:ascii="Times New Roman" w:hAnsi="Times New Roman" w:eastAsia="宋体" w:cs="Calibri"/>
          <w:b/>
          <w:bCs/>
          <w:color w:val="auto"/>
          <w:szCs w:val="21"/>
          <w:highlight w:val="none"/>
          <w:u w:val="single"/>
          <w:lang w:bidi="zh-CN"/>
        </w:rPr>
        <w:t>：</w:t>
      </w:r>
    </w:p>
    <w:p>
      <w:pPr>
        <w:snapToGrid w:val="0"/>
        <w:spacing w:line="360" w:lineRule="auto"/>
        <w:ind w:firstLine="420" w:firstLineChars="200"/>
        <w:rPr>
          <w:rFonts w:ascii="Times New Roman" w:hAnsi="Times New Roman" w:eastAsia="宋体" w:cs="Calibri"/>
          <w:b/>
          <w:bCs/>
          <w:color w:val="auto"/>
          <w:sz w:val="21"/>
          <w:szCs w:val="21"/>
          <w:highlight w:val="none"/>
          <w:u w:val="single"/>
        </w:rPr>
      </w:pPr>
      <w:r>
        <w:rPr>
          <w:rFonts w:hint="default" w:cs="Calibri"/>
          <w:b/>
          <w:bCs/>
          <w:color w:val="auto"/>
          <w:szCs w:val="21"/>
          <w:highlight w:val="none"/>
          <w:u w:val="single"/>
          <w:lang w:bidi="zh-CN"/>
        </w:rPr>
        <w:t>3</w:t>
      </w:r>
      <w:r>
        <w:rPr>
          <w:rFonts w:hint="default" w:cs="Calibri"/>
          <w:b/>
          <w:bCs/>
          <w:color w:val="auto"/>
          <w:szCs w:val="21"/>
          <w:highlight w:val="none"/>
          <w:u w:val="single"/>
          <w:lang w:val="en-US" w:bidi="zh-CN"/>
        </w:rPr>
        <w:t xml:space="preserve">.1 </w:t>
      </w:r>
      <w:r>
        <w:rPr>
          <w:rFonts w:hint="default" w:ascii="Times New Roman" w:hAnsi="Times New Roman" w:eastAsia="宋体" w:cs="Calibri"/>
          <w:b/>
          <w:bCs/>
          <w:color w:val="auto"/>
          <w:sz w:val="21"/>
          <w:szCs w:val="21"/>
          <w:highlight w:val="none"/>
          <w:u w:val="single"/>
        </w:rPr>
        <w:t>乙方派出的服务人员使用pos机与老年人市民卡或老年卡刷卡结算。服务费每月结算支付一次。</w:t>
      </w:r>
    </w:p>
    <w:p>
      <w:pPr>
        <w:snapToGrid w:val="0"/>
        <w:spacing w:line="360" w:lineRule="auto"/>
        <w:ind w:firstLine="420" w:firstLineChars="200"/>
        <w:rPr>
          <w:rFonts w:hint="default" w:cs="Calibri"/>
          <w:b/>
          <w:bCs/>
          <w:color w:val="auto"/>
          <w:sz w:val="21"/>
          <w:szCs w:val="21"/>
          <w:highlight w:val="none"/>
          <w:u w:val="single"/>
          <w:lang w:eastAsia="zh-CN"/>
        </w:rPr>
      </w:pPr>
      <w:r>
        <w:rPr>
          <w:rFonts w:hint="default" w:cs="Calibri"/>
          <w:b/>
          <w:bCs/>
          <w:color w:val="auto"/>
          <w:sz w:val="21"/>
          <w:szCs w:val="21"/>
          <w:highlight w:val="none"/>
          <w:u w:val="single"/>
          <w:lang w:eastAsia="zh-CN"/>
        </w:rPr>
        <w:t>3</w:t>
      </w:r>
      <w:r>
        <w:rPr>
          <w:rFonts w:hint="default" w:cs="Calibri"/>
          <w:b/>
          <w:bCs/>
          <w:color w:val="auto"/>
          <w:sz w:val="21"/>
          <w:szCs w:val="21"/>
          <w:highlight w:val="none"/>
          <w:u w:val="single"/>
          <w:lang w:val="en-US" w:eastAsia="zh-CN"/>
        </w:rPr>
        <w:t xml:space="preserve">.2 </w:t>
      </w:r>
      <w:r>
        <w:rPr>
          <w:rFonts w:hint="default" w:cs="Calibri"/>
          <w:b/>
          <w:bCs/>
          <w:color w:val="auto"/>
          <w:sz w:val="21"/>
          <w:szCs w:val="21"/>
          <w:highlight w:val="none"/>
          <w:u w:val="single"/>
          <w:lang w:eastAsia="zh-CN"/>
        </w:rPr>
        <w:t>合同支付总额在预算框架范围内予以支付，乙方有义务提醒甲方合同费用总额不应超过项目预算。</w:t>
      </w:r>
    </w:p>
    <w:p>
      <w:pPr>
        <w:snapToGrid w:val="0"/>
        <w:spacing w:line="360" w:lineRule="auto"/>
        <w:ind w:firstLine="420" w:firstLineChars="200"/>
        <w:rPr>
          <w:rFonts w:hint="default" w:cs="Calibri"/>
          <w:b/>
          <w:bCs/>
          <w:color w:val="auto"/>
          <w:sz w:val="21"/>
          <w:szCs w:val="21"/>
          <w:highlight w:val="none"/>
          <w:u w:val="single"/>
          <w:lang w:val="en-US" w:eastAsia="zh-CN"/>
        </w:rPr>
      </w:pPr>
      <w:r>
        <w:rPr>
          <w:rFonts w:hint="eastAsia" w:cs="Calibri"/>
          <w:b/>
          <w:bCs/>
          <w:color w:val="auto"/>
          <w:sz w:val="21"/>
          <w:szCs w:val="21"/>
          <w:highlight w:val="none"/>
          <w:u w:val="single"/>
          <w:lang w:val="en-US" w:eastAsia="zh-CN"/>
        </w:rPr>
        <w:t>最终支付比例，以经塘栖镇财办相关规定审核通过的合同相应条款为准。</w:t>
      </w:r>
    </w:p>
    <w:p>
      <w:pPr>
        <w:pStyle w:val="23"/>
        <w:adjustRightInd/>
        <w:spacing w:line="360" w:lineRule="auto"/>
        <w:ind w:firstLine="420" w:firstLineChars="200"/>
        <w:rPr>
          <w:rStyle w:val="69"/>
          <w:rFonts w:hint="eastAsia" w:ascii="宋体" w:hAnsi="宋体" w:cs="宋体"/>
          <w:color w:val="auto"/>
          <w:kern w:val="2"/>
          <w:sz w:val="21"/>
          <w:szCs w:val="21"/>
          <w:highlight w:val="none"/>
          <w:lang w:val="en-US" w:eastAsia="zh-CN"/>
        </w:rPr>
      </w:pPr>
      <w:r>
        <w:rPr>
          <w:rStyle w:val="69"/>
          <w:rFonts w:hint="eastAsia" w:ascii="宋体" w:hAnsi="宋体" w:cs="宋体"/>
          <w:color w:val="auto"/>
          <w:kern w:val="2"/>
          <w:sz w:val="21"/>
          <w:szCs w:val="21"/>
          <w:highlight w:val="none"/>
          <w:lang w:val="en-US" w:eastAsia="zh-CN"/>
        </w:rPr>
        <w:t>4、执行标准</w:t>
      </w:r>
    </w:p>
    <w:p>
      <w:pPr>
        <w:pStyle w:val="23"/>
        <w:adjustRightInd/>
        <w:spacing w:line="360" w:lineRule="auto"/>
        <w:ind w:firstLine="420" w:firstLineChars="200"/>
        <w:rPr>
          <w:rFonts w:hint="eastAsia" w:ascii="宋体" w:hAnsi="宋体" w:eastAsia="宋体" w:cs="宋体"/>
          <w:color w:val="auto"/>
          <w:kern w:val="2"/>
          <w:sz w:val="21"/>
          <w:highlight w:val="none"/>
          <w:lang w:val="en-US"/>
        </w:rPr>
      </w:pPr>
      <w:r>
        <w:rPr>
          <w:rFonts w:hint="eastAsia" w:hAnsi="宋体" w:cs="宋体"/>
          <w:color w:val="auto"/>
          <w:kern w:val="2"/>
          <w:sz w:val="21"/>
          <w:highlight w:val="none"/>
          <w:lang w:val="en-US" w:eastAsia="zh-CN"/>
        </w:rPr>
        <w:t xml:space="preserve">4.1 </w:t>
      </w:r>
      <w:r>
        <w:rPr>
          <w:rFonts w:hint="eastAsia" w:ascii="宋体" w:hAnsi="宋体" w:eastAsia="宋体" w:cs="宋体"/>
          <w:color w:val="auto"/>
          <w:kern w:val="2"/>
          <w:sz w:val="21"/>
          <w:highlight w:val="none"/>
          <w:lang w:val="en-US"/>
        </w:rPr>
        <w:t>本次采购的服务所涉及的标准、规范、验收标准、规范，应符合国家有关条例及规范。如有新的标准应采纳新标准；若同时有几个标准（国际标准、国家标准、行业标准、企业标准等），则按最高层次的标准执行。</w:t>
      </w:r>
    </w:p>
    <w:p>
      <w:pPr>
        <w:pStyle w:val="23"/>
        <w:autoSpaceDE/>
        <w:autoSpaceDN/>
        <w:adjustRightInd/>
        <w:spacing w:line="360" w:lineRule="auto"/>
        <w:ind w:firstLine="420" w:firstLineChars="200"/>
        <w:rPr>
          <w:rFonts w:hint="eastAsia" w:ascii="宋体" w:hAnsi="宋体" w:eastAsia="宋体" w:cs="宋体"/>
          <w:color w:val="auto"/>
          <w:kern w:val="2"/>
          <w:sz w:val="21"/>
          <w:highlight w:val="none"/>
          <w:lang w:val="en-US"/>
        </w:rPr>
      </w:pPr>
      <w:r>
        <w:rPr>
          <w:rFonts w:hint="eastAsia" w:hAnsi="宋体" w:cs="宋体"/>
          <w:color w:val="auto"/>
          <w:kern w:val="2"/>
          <w:sz w:val="21"/>
          <w:highlight w:val="none"/>
          <w:lang w:val="en-US" w:eastAsia="zh-CN"/>
        </w:rPr>
        <w:t xml:space="preserve">4.2 </w:t>
      </w:r>
      <w:r>
        <w:rPr>
          <w:rFonts w:hint="eastAsia" w:ascii="宋体" w:hAnsi="宋体" w:eastAsia="宋体" w:cs="宋体"/>
          <w:color w:val="auto"/>
          <w:kern w:val="2"/>
          <w:sz w:val="21"/>
          <w:highlight w:val="none"/>
          <w:lang w:val="en-US"/>
        </w:rPr>
        <w:t>中国国家标准及其它被普遍认可的标准，由采购人认可的其他国家的其他权威标准；原有规范若已被废弃，则以相应的新规范为准。</w:t>
      </w:r>
    </w:p>
    <w:p>
      <w:pPr>
        <w:pStyle w:val="23"/>
        <w:autoSpaceDE/>
        <w:autoSpaceDN/>
        <w:adjustRightInd/>
        <w:ind w:firstLine="420"/>
        <w:rPr>
          <w:rFonts w:hint="eastAsia" w:ascii="宋体" w:hAnsi="宋体" w:eastAsia="宋体" w:cs="宋体"/>
          <w:color w:val="auto"/>
          <w:kern w:val="2"/>
          <w:sz w:val="21"/>
          <w:highlight w:val="none"/>
          <w:lang w:val="en-US"/>
        </w:rPr>
      </w:pPr>
      <w:r>
        <w:rPr>
          <w:rFonts w:hint="eastAsia" w:hAnsi="宋体" w:cs="宋体"/>
          <w:color w:val="auto"/>
          <w:kern w:val="2"/>
          <w:sz w:val="21"/>
          <w:highlight w:val="none"/>
          <w:lang w:val="en-US" w:eastAsia="zh-CN"/>
        </w:rPr>
        <w:t xml:space="preserve">4.3 </w:t>
      </w:r>
      <w:r>
        <w:rPr>
          <w:rFonts w:hint="eastAsia" w:ascii="宋体" w:hAnsi="宋体" w:eastAsia="宋体" w:cs="宋体"/>
          <w:color w:val="auto"/>
          <w:kern w:val="2"/>
          <w:sz w:val="21"/>
          <w:highlight w:val="none"/>
          <w:lang w:val="en-US"/>
        </w:rPr>
        <w:t>供应商提供的服务必须满足采购文件中提出的相关要求。</w:t>
      </w:r>
    </w:p>
    <w:p>
      <w:pPr>
        <w:pStyle w:val="24"/>
        <w:rPr>
          <w:rFonts w:hint="eastAsia" w:ascii="宋体" w:hAnsi="宋体" w:eastAsia="宋体" w:cs="宋体"/>
          <w:color w:val="auto"/>
          <w:kern w:val="2"/>
          <w:sz w:val="21"/>
          <w:highlight w:val="none"/>
          <w:lang w:val="en-US"/>
        </w:rPr>
      </w:pPr>
    </w:p>
    <w:p>
      <w:pPr>
        <w:rPr>
          <w:rFonts w:hint="eastAsia" w:ascii="宋体" w:hAnsi="宋体" w:eastAsia="宋体" w:cs="宋体"/>
          <w:color w:val="auto"/>
          <w:kern w:val="2"/>
          <w:sz w:val="21"/>
          <w:highlight w:val="none"/>
          <w:lang w:val="en-US"/>
        </w:rPr>
      </w:pPr>
    </w:p>
    <w:p>
      <w:pPr>
        <w:pStyle w:val="23"/>
        <w:rPr>
          <w:rFonts w:hint="eastAsia" w:ascii="宋体" w:hAnsi="宋体" w:eastAsia="宋体" w:cs="宋体"/>
          <w:color w:val="auto"/>
          <w:kern w:val="2"/>
          <w:sz w:val="21"/>
          <w:highlight w:val="none"/>
          <w:lang w:val="en-US"/>
        </w:rPr>
      </w:pPr>
    </w:p>
    <w:p>
      <w:pPr>
        <w:pStyle w:val="24"/>
        <w:rPr>
          <w:rFonts w:hint="eastAsia" w:ascii="宋体" w:hAnsi="宋体" w:eastAsia="宋体" w:cs="宋体"/>
          <w:color w:val="auto"/>
          <w:kern w:val="2"/>
          <w:sz w:val="21"/>
          <w:highlight w:val="none"/>
          <w:lang w:val="en-US"/>
        </w:rPr>
      </w:pPr>
    </w:p>
    <w:p>
      <w:pPr>
        <w:rPr>
          <w:rFonts w:hint="eastAsia" w:ascii="宋体" w:hAnsi="宋体" w:eastAsia="宋体" w:cs="宋体"/>
          <w:color w:val="auto"/>
          <w:kern w:val="2"/>
          <w:sz w:val="21"/>
          <w:highlight w:val="none"/>
          <w:lang w:val="en-US"/>
        </w:rPr>
      </w:pPr>
    </w:p>
    <w:p>
      <w:pPr>
        <w:pStyle w:val="23"/>
        <w:rPr>
          <w:rFonts w:hint="eastAsia" w:ascii="宋体" w:hAnsi="宋体" w:eastAsia="宋体" w:cs="宋体"/>
          <w:color w:val="auto"/>
          <w:kern w:val="2"/>
          <w:sz w:val="21"/>
          <w:highlight w:val="none"/>
          <w:lang w:val="en-US"/>
        </w:rPr>
      </w:pPr>
    </w:p>
    <w:p>
      <w:pPr>
        <w:pStyle w:val="24"/>
        <w:rPr>
          <w:rFonts w:hint="eastAsia" w:ascii="宋体" w:hAnsi="宋体" w:eastAsia="宋体" w:cs="宋体"/>
          <w:color w:val="auto"/>
          <w:kern w:val="2"/>
          <w:sz w:val="21"/>
          <w:highlight w:val="none"/>
          <w:lang w:val="en-US"/>
        </w:rPr>
      </w:pPr>
    </w:p>
    <w:p>
      <w:pPr>
        <w:rPr>
          <w:rFonts w:hint="eastAsia" w:ascii="宋体" w:hAnsi="宋体" w:eastAsia="宋体" w:cs="宋体"/>
          <w:color w:val="auto"/>
          <w:kern w:val="2"/>
          <w:sz w:val="21"/>
          <w:highlight w:val="none"/>
          <w:lang w:val="en-US"/>
        </w:rPr>
      </w:pPr>
    </w:p>
    <w:p>
      <w:pPr>
        <w:pStyle w:val="23"/>
        <w:rPr>
          <w:rFonts w:hint="eastAsia" w:ascii="宋体" w:hAnsi="宋体" w:eastAsia="宋体" w:cs="宋体"/>
          <w:color w:val="auto"/>
          <w:kern w:val="2"/>
          <w:sz w:val="21"/>
          <w:highlight w:val="none"/>
          <w:lang w:val="en-US"/>
        </w:rPr>
      </w:pPr>
    </w:p>
    <w:p>
      <w:pPr>
        <w:pStyle w:val="24"/>
        <w:rPr>
          <w:rFonts w:hint="eastAsia" w:ascii="宋体" w:hAnsi="宋体" w:eastAsia="宋体" w:cs="宋体"/>
          <w:color w:val="auto"/>
          <w:kern w:val="2"/>
          <w:sz w:val="21"/>
          <w:highlight w:val="none"/>
          <w:lang w:val="en-US"/>
        </w:rPr>
      </w:pPr>
    </w:p>
    <w:p>
      <w:pPr>
        <w:pStyle w:val="23"/>
        <w:autoSpaceDE/>
        <w:autoSpaceDN/>
        <w:adjustRightInd/>
        <w:ind w:firstLine="420"/>
        <w:rPr>
          <w:rFonts w:hint="eastAsia" w:hAnsi="宋体" w:cs="宋体"/>
          <w:color w:val="auto"/>
          <w:sz w:val="21"/>
          <w:highlight w:val="none"/>
          <w:lang w:val="en-US"/>
        </w:rPr>
      </w:pPr>
    </w:p>
    <w:p>
      <w:pPr>
        <w:rPr>
          <w:rFonts w:hint="eastAsia"/>
          <w:color w:val="auto"/>
          <w:highlight w:val="none"/>
        </w:rPr>
      </w:pPr>
      <w:r>
        <w:rPr>
          <w:rFonts w:hint="eastAsia"/>
          <w:color w:val="auto"/>
          <w:highlight w:val="none"/>
        </w:rPr>
        <w:br w:type="page"/>
      </w:r>
    </w:p>
    <w:p>
      <w:pPr>
        <w:pStyle w:val="3"/>
        <w:rPr>
          <w:color w:val="auto"/>
          <w:highlight w:val="none"/>
        </w:rPr>
      </w:pPr>
      <w:r>
        <w:rPr>
          <w:rFonts w:hint="eastAsia"/>
          <w:color w:val="auto"/>
          <w:highlight w:val="none"/>
        </w:rPr>
        <w:t xml:space="preserve">第四部分 </w:t>
      </w:r>
      <w:bookmarkStart w:id="49" w:name="_Toc184312097"/>
      <w:bookmarkEnd w:id="49"/>
      <w:bookmarkStart w:id="50" w:name="_Toc184313283"/>
      <w:bookmarkEnd w:id="50"/>
      <w:bookmarkStart w:id="51" w:name="_Toc184312104"/>
      <w:bookmarkEnd w:id="51"/>
      <w:bookmarkStart w:id="52" w:name="_Toc184313257"/>
      <w:bookmarkEnd w:id="52"/>
      <w:bookmarkStart w:id="53" w:name="_Toc184312108"/>
      <w:bookmarkEnd w:id="53"/>
      <w:bookmarkStart w:id="54" w:name="_Toc184313260"/>
      <w:bookmarkEnd w:id="54"/>
      <w:bookmarkStart w:id="55" w:name="_Toc184308086"/>
      <w:bookmarkEnd w:id="55"/>
      <w:bookmarkStart w:id="56" w:name="_Toc184308102"/>
      <w:bookmarkEnd w:id="56"/>
      <w:bookmarkStart w:id="57" w:name="_Toc184313263"/>
      <w:bookmarkEnd w:id="57"/>
      <w:bookmarkStart w:id="58" w:name="_Toc184308059"/>
      <w:bookmarkEnd w:id="58"/>
      <w:bookmarkStart w:id="59" w:name="_Toc184313242"/>
      <w:bookmarkEnd w:id="59"/>
      <w:bookmarkStart w:id="60" w:name="_Toc184310316"/>
      <w:bookmarkEnd w:id="60"/>
      <w:bookmarkStart w:id="61" w:name="_Toc184308068"/>
      <w:bookmarkEnd w:id="61"/>
      <w:bookmarkStart w:id="62" w:name="_Toc184310341"/>
      <w:bookmarkEnd w:id="62"/>
      <w:bookmarkStart w:id="63" w:name="_Toc184314449"/>
      <w:bookmarkEnd w:id="63"/>
      <w:bookmarkStart w:id="64" w:name="_Toc184314463"/>
      <w:bookmarkEnd w:id="64"/>
      <w:bookmarkStart w:id="65" w:name="_Toc184312080"/>
      <w:bookmarkEnd w:id="65"/>
      <w:bookmarkStart w:id="66" w:name="_Toc184314469"/>
      <w:bookmarkEnd w:id="66"/>
      <w:bookmarkStart w:id="67" w:name="_Toc184313265"/>
      <w:bookmarkEnd w:id="67"/>
      <w:bookmarkStart w:id="68" w:name="_Toc184313281"/>
      <w:bookmarkEnd w:id="68"/>
      <w:bookmarkStart w:id="69" w:name="_Toc184312067"/>
      <w:bookmarkEnd w:id="69"/>
      <w:bookmarkStart w:id="70" w:name="_Toc184310318"/>
      <w:bookmarkEnd w:id="70"/>
      <w:bookmarkStart w:id="71" w:name="_Toc184308046"/>
      <w:bookmarkEnd w:id="71"/>
      <w:bookmarkStart w:id="72" w:name="_Toc184308079"/>
      <w:bookmarkEnd w:id="72"/>
      <w:bookmarkStart w:id="73" w:name="_Toc184310330"/>
      <w:bookmarkEnd w:id="73"/>
      <w:bookmarkStart w:id="74" w:name="_Toc184312095"/>
      <w:bookmarkEnd w:id="74"/>
      <w:bookmarkStart w:id="75" w:name="_Toc184310272"/>
      <w:bookmarkEnd w:id="75"/>
      <w:bookmarkStart w:id="76" w:name="_Toc184310332"/>
      <w:bookmarkEnd w:id="76"/>
      <w:bookmarkStart w:id="77" w:name="_Toc184308044"/>
      <w:bookmarkEnd w:id="77"/>
      <w:bookmarkStart w:id="78" w:name="_Toc184308052"/>
      <w:bookmarkEnd w:id="78"/>
      <w:bookmarkStart w:id="79" w:name="_Toc184312109"/>
      <w:bookmarkEnd w:id="79"/>
      <w:bookmarkStart w:id="80" w:name="_Toc184314475"/>
      <w:bookmarkEnd w:id="80"/>
      <w:bookmarkStart w:id="81" w:name="_Toc184310339"/>
      <w:bookmarkEnd w:id="81"/>
      <w:bookmarkStart w:id="82" w:name="_Toc184313299"/>
      <w:bookmarkEnd w:id="82"/>
      <w:bookmarkStart w:id="83" w:name="_Toc184310329"/>
      <w:bookmarkEnd w:id="83"/>
      <w:bookmarkStart w:id="84" w:name="_Toc184310343"/>
      <w:bookmarkEnd w:id="84"/>
      <w:bookmarkStart w:id="85" w:name="_Toc184310282"/>
      <w:bookmarkEnd w:id="85"/>
      <w:bookmarkStart w:id="86" w:name="_Toc184313277"/>
      <w:bookmarkEnd w:id="86"/>
      <w:bookmarkStart w:id="87" w:name="_Toc184310308"/>
      <w:bookmarkEnd w:id="87"/>
      <w:bookmarkStart w:id="88" w:name="_Toc184313264"/>
      <w:bookmarkEnd w:id="88"/>
      <w:bookmarkStart w:id="89" w:name="_Toc184314450"/>
      <w:bookmarkEnd w:id="89"/>
      <w:bookmarkStart w:id="90" w:name="_Toc184314430"/>
      <w:bookmarkEnd w:id="90"/>
      <w:bookmarkStart w:id="91" w:name="_Toc184312113"/>
      <w:bookmarkEnd w:id="91"/>
      <w:bookmarkStart w:id="92" w:name="_Toc184314478"/>
      <w:bookmarkEnd w:id="92"/>
      <w:bookmarkStart w:id="93" w:name="_Toc184313291"/>
      <w:bookmarkEnd w:id="93"/>
      <w:bookmarkStart w:id="94" w:name="_Toc184314462"/>
      <w:bookmarkEnd w:id="94"/>
      <w:bookmarkStart w:id="95" w:name="_Toc184314419"/>
      <w:bookmarkEnd w:id="95"/>
      <w:bookmarkStart w:id="96" w:name="_Toc184313279"/>
      <w:bookmarkEnd w:id="96"/>
      <w:bookmarkStart w:id="97" w:name="_Toc184310309"/>
      <w:bookmarkEnd w:id="97"/>
      <w:bookmarkStart w:id="98" w:name="_Toc184308100"/>
      <w:bookmarkEnd w:id="98"/>
      <w:bookmarkStart w:id="99" w:name="_Toc184312133"/>
      <w:bookmarkEnd w:id="99"/>
      <w:bookmarkStart w:id="100" w:name="_Toc184314456"/>
      <w:bookmarkEnd w:id="100"/>
      <w:bookmarkStart w:id="101" w:name="_Toc184313252"/>
      <w:bookmarkEnd w:id="101"/>
      <w:bookmarkStart w:id="102" w:name="_Toc184314480"/>
      <w:bookmarkEnd w:id="102"/>
      <w:bookmarkStart w:id="103" w:name="_Toc184314429"/>
      <w:bookmarkEnd w:id="103"/>
      <w:bookmarkStart w:id="104" w:name="_Toc184310274"/>
      <w:bookmarkEnd w:id="104"/>
      <w:bookmarkStart w:id="105" w:name="_Toc184312110"/>
      <w:bookmarkEnd w:id="105"/>
      <w:bookmarkStart w:id="106" w:name="_Toc184313246"/>
      <w:bookmarkEnd w:id="106"/>
      <w:bookmarkStart w:id="107" w:name="_Toc184312091"/>
      <w:bookmarkEnd w:id="107"/>
      <w:bookmarkStart w:id="108" w:name="_Toc184314417"/>
      <w:bookmarkEnd w:id="108"/>
      <w:bookmarkStart w:id="109" w:name="_Toc184312099"/>
      <w:bookmarkEnd w:id="109"/>
      <w:bookmarkStart w:id="110" w:name="_Toc184310294"/>
      <w:bookmarkEnd w:id="110"/>
      <w:bookmarkStart w:id="111" w:name="_Toc184310340"/>
      <w:bookmarkEnd w:id="111"/>
      <w:bookmarkStart w:id="112" w:name="_Toc184310288"/>
      <w:bookmarkEnd w:id="112"/>
      <w:bookmarkStart w:id="113" w:name="_Toc184313258"/>
      <w:bookmarkEnd w:id="113"/>
      <w:bookmarkStart w:id="114" w:name="_Toc184314424"/>
      <w:bookmarkEnd w:id="114"/>
      <w:bookmarkStart w:id="115" w:name="_Toc184312073"/>
      <w:bookmarkEnd w:id="115"/>
      <w:bookmarkStart w:id="116" w:name="_Toc184308080"/>
      <w:bookmarkEnd w:id="116"/>
      <w:bookmarkStart w:id="117" w:name="_Toc184313268"/>
      <w:bookmarkEnd w:id="117"/>
      <w:bookmarkStart w:id="118" w:name="_Toc184313271"/>
      <w:bookmarkEnd w:id="118"/>
      <w:bookmarkStart w:id="119" w:name="_Toc184312101"/>
      <w:bookmarkEnd w:id="119"/>
      <w:bookmarkStart w:id="120" w:name="_Toc184310304"/>
      <w:bookmarkEnd w:id="120"/>
      <w:bookmarkStart w:id="121" w:name="_Toc184310312"/>
      <w:bookmarkEnd w:id="121"/>
      <w:bookmarkStart w:id="122" w:name="_Toc184312090"/>
      <w:bookmarkEnd w:id="122"/>
      <w:bookmarkStart w:id="123" w:name="_Toc184314425"/>
      <w:bookmarkEnd w:id="123"/>
      <w:bookmarkStart w:id="124" w:name="_Toc184312129"/>
      <w:bookmarkEnd w:id="124"/>
      <w:bookmarkStart w:id="125" w:name="_Toc184313292"/>
      <w:bookmarkEnd w:id="125"/>
      <w:bookmarkStart w:id="126" w:name="_Toc184314442"/>
      <w:bookmarkEnd w:id="126"/>
      <w:bookmarkStart w:id="127" w:name="_Toc184308051"/>
      <w:bookmarkEnd w:id="127"/>
      <w:bookmarkStart w:id="128" w:name="_Toc184312092"/>
      <w:bookmarkEnd w:id="128"/>
      <w:bookmarkStart w:id="129" w:name="_Toc184312103"/>
      <w:bookmarkEnd w:id="129"/>
      <w:bookmarkStart w:id="130" w:name="_Toc184308097"/>
      <w:bookmarkEnd w:id="130"/>
      <w:bookmarkStart w:id="131" w:name="_Toc184310342"/>
      <w:bookmarkEnd w:id="131"/>
      <w:bookmarkStart w:id="132" w:name="_Toc184312135"/>
      <w:bookmarkEnd w:id="132"/>
      <w:bookmarkStart w:id="133" w:name="_Toc184312136"/>
      <w:bookmarkEnd w:id="133"/>
      <w:bookmarkStart w:id="134" w:name="_Toc184308055"/>
      <w:bookmarkEnd w:id="134"/>
      <w:bookmarkStart w:id="135" w:name="_Toc184308099"/>
      <w:bookmarkEnd w:id="135"/>
      <w:bookmarkStart w:id="136" w:name="_Toc184314411"/>
      <w:bookmarkEnd w:id="136"/>
      <w:bookmarkStart w:id="137" w:name="_Toc184313306"/>
      <w:bookmarkEnd w:id="137"/>
      <w:bookmarkStart w:id="138" w:name="_Toc184312131"/>
      <w:bookmarkEnd w:id="138"/>
      <w:bookmarkStart w:id="139" w:name="_Toc184310327"/>
      <w:bookmarkEnd w:id="139"/>
      <w:bookmarkStart w:id="140" w:name="_Toc184310290"/>
      <w:bookmarkEnd w:id="140"/>
      <w:bookmarkStart w:id="141" w:name="_Toc184314459"/>
      <w:bookmarkEnd w:id="141"/>
      <w:bookmarkStart w:id="142" w:name="_Toc184308060"/>
      <w:bookmarkEnd w:id="142"/>
      <w:bookmarkStart w:id="143" w:name="_Toc184308105"/>
      <w:bookmarkEnd w:id="143"/>
      <w:bookmarkStart w:id="144" w:name="_Toc184314466"/>
      <w:bookmarkEnd w:id="144"/>
      <w:bookmarkStart w:id="145" w:name="_Toc184312068"/>
      <w:bookmarkEnd w:id="145"/>
      <w:bookmarkStart w:id="146" w:name="_Toc184312078"/>
      <w:bookmarkEnd w:id="146"/>
      <w:bookmarkStart w:id="147" w:name="_Toc184310324"/>
      <w:bookmarkEnd w:id="147"/>
      <w:bookmarkStart w:id="148" w:name="_Toc184310322"/>
      <w:bookmarkEnd w:id="148"/>
      <w:bookmarkStart w:id="149" w:name="_Toc184312116"/>
      <w:bookmarkEnd w:id="149"/>
      <w:bookmarkStart w:id="150" w:name="_Toc184314445"/>
      <w:bookmarkEnd w:id="150"/>
      <w:bookmarkStart w:id="151" w:name="_Toc184312082"/>
      <w:bookmarkEnd w:id="151"/>
      <w:bookmarkStart w:id="152" w:name="_Toc184313287"/>
      <w:bookmarkEnd w:id="152"/>
      <w:bookmarkStart w:id="153" w:name="_Toc184312120"/>
      <w:bookmarkEnd w:id="153"/>
      <w:bookmarkStart w:id="154" w:name="_Toc184312118"/>
      <w:bookmarkEnd w:id="154"/>
      <w:bookmarkStart w:id="155" w:name="_Toc184314440"/>
      <w:bookmarkEnd w:id="155"/>
      <w:bookmarkStart w:id="156" w:name="_Toc184310291"/>
      <w:bookmarkEnd w:id="156"/>
      <w:bookmarkStart w:id="157" w:name="_Toc184310344"/>
      <w:bookmarkEnd w:id="157"/>
      <w:bookmarkStart w:id="158" w:name="_Toc184314457"/>
      <w:bookmarkEnd w:id="158"/>
      <w:bookmarkStart w:id="159" w:name="_Toc184312102"/>
      <w:bookmarkEnd w:id="159"/>
      <w:bookmarkStart w:id="160" w:name="_Toc184314422"/>
      <w:bookmarkEnd w:id="160"/>
      <w:bookmarkStart w:id="161" w:name="_Toc184310277"/>
      <w:bookmarkEnd w:id="161"/>
      <w:bookmarkStart w:id="162" w:name="_Toc184314468"/>
      <w:bookmarkEnd w:id="162"/>
      <w:bookmarkStart w:id="163" w:name="_Toc184313249"/>
      <w:bookmarkEnd w:id="163"/>
      <w:bookmarkStart w:id="164" w:name="_Toc184314443"/>
      <w:bookmarkEnd w:id="164"/>
      <w:bookmarkStart w:id="165" w:name="_Toc184312096"/>
      <w:bookmarkEnd w:id="165"/>
      <w:bookmarkStart w:id="166" w:name="_Toc184310311"/>
      <w:bookmarkEnd w:id="166"/>
      <w:bookmarkStart w:id="167" w:name="_Toc184310299"/>
      <w:bookmarkEnd w:id="167"/>
      <w:bookmarkStart w:id="168" w:name="_Toc184312100"/>
      <w:bookmarkEnd w:id="168"/>
      <w:bookmarkStart w:id="169" w:name="_Toc184313294"/>
      <w:bookmarkEnd w:id="169"/>
      <w:bookmarkStart w:id="170" w:name="_Toc184314482"/>
      <w:bookmarkEnd w:id="170"/>
      <w:bookmarkStart w:id="171" w:name="_Toc184313274"/>
      <w:bookmarkEnd w:id="171"/>
      <w:bookmarkStart w:id="172" w:name="_Toc184313266"/>
      <w:bookmarkEnd w:id="172"/>
      <w:bookmarkStart w:id="173" w:name="_Toc184314460"/>
      <w:bookmarkEnd w:id="173"/>
      <w:bookmarkStart w:id="174" w:name="_Toc184310276"/>
      <w:bookmarkEnd w:id="174"/>
      <w:bookmarkStart w:id="175" w:name="_Toc184313273"/>
      <w:bookmarkEnd w:id="175"/>
      <w:bookmarkStart w:id="176" w:name="_Toc184313302"/>
      <w:bookmarkEnd w:id="176"/>
      <w:bookmarkStart w:id="177" w:name="_Toc184312087"/>
      <w:bookmarkEnd w:id="177"/>
      <w:bookmarkStart w:id="178" w:name="_Toc184313293"/>
      <w:bookmarkEnd w:id="178"/>
      <w:bookmarkStart w:id="179" w:name="_Toc184313290"/>
      <w:bookmarkEnd w:id="179"/>
      <w:bookmarkStart w:id="180" w:name="_Toc184312105"/>
      <w:bookmarkEnd w:id="180"/>
      <w:bookmarkStart w:id="181" w:name="_Toc184313309"/>
      <w:bookmarkEnd w:id="181"/>
      <w:bookmarkStart w:id="182" w:name="_Toc184308108"/>
      <w:bookmarkEnd w:id="182"/>
      <w:bookmarkStart w:id="183" w:name="_Toc184312083"/>
      <w:bookmarkEnd w:id="183"/>
      <w:bookmarkStart w:id="184" w:name="_Toc184310289"/>
      <w:bookmarkEnd w:id="184"/>
      <w:bookmarkStart w:id="185" w:name="_Toc184312122"/>
      <w:bookmarkEnd w:id="185"/>
      <w:bookmarkStart w:id="186" w:name="_Toc184312112"/>
      <w:bookmarkEnd w:id="186"/>
      <w:bookmarkStart w:id="187" w:name="_Toc184308062"/>
      <w:bookmarkEnd w:id="187"/>
      <w:bookmarkStart w:id="188" w:name="_Toc184310317"/>
      <w:bookmarkEnd w:id="188"/>
      <w:bookmarkStart w:id="189" w:name="_Toc184314476"/>
      <w:bookmarkEnd w:id="189"/>
      <w:bookmarkStart w:id="190" w:name="_Toc184314428"/>
      <w:bookmarkEnd w:id="190"/>
      <w:bookmarkStart w:id="191" w:name="_Toc184310314"/>
      <w:bookmarkEnd w:id="191"/>
      <w:bookmarkStart w:id="192" w:name="_Toc184313255"/>
      <w:bookmarkEnd w:id="192"/>
      <w:bookmarkStart w:id="193" w:name="_Toc184312086"/>
      <w:bookmarkEnd w:id="193"/>
      <w:bookmarkStart w:id="194" w:name="_Toc184308069"/>
      <w:bookmarkEnd w:id="194"/>
      <w:bookmarkStart w:id="195" w:name="_Toc184312137"/>
      <w:bookmarkEnd w:id="195"/>
      <w:bookmarkStart w:id="196" w:name="_Toc184310313"/>
      <w:bookmarkEnd w:id="196"/>
      <w:bookmarkStart w:id="197" w:name="_Toc184308038"/>
      <w:bookmarkEnd w:id="197"/>
      <w:bookmarkStart w:id="198" w:name="_Toc184313275"/>
      <w:bookmarkEnd w:id="198"/>
      <w:bookmarkStart w:id="199" w:name="_Toc184308045"/>
      <w:bookmarkEnd w:id="199"/>
      <w:bookmarkStart w:id="200" w:name="_Toc184314470"/>
      <w:bookmarkEnd w:id="200"/>
      <w:bookmarkStart w:id="201" w:name="_Toc184313297"/>
      <w:bookmarkEnd w:id="201"/>
      <w:bookmarkStart w:id="202" w:name="_Toc184310292"/>
      <w:bookmarkEnd w:id="202"/>
      <w:bookmarkStart w:id="203" w:name="_Toc184310305"/>
      <w:bookmarkEnd w:id="203"/>
      <w:bookmarkStart w:id="204" w:name="_Toc184310307"/>
      <w:bookmarkEnd w:id="204"/>
      <w:bookmarkStart w:id="205" w:name="_Toc184312130"/>
      <w:bookmarkEnd w:id="205"/>
      <w:bookmarkStart w:id="206" w:name="_Toc184314433"/>
      <w:bookmarkEnd w:id="206"/>
      <w:bookmarkStart w:id="207" w:name="_Toc184313270"/>
      <w:bookmarkEnd w:id="207"/>
      <w:bookmarkStart w:id="208" w:name="_Toc184310285"/>
      <w:bookmarkEnd w:id="208"/>
      <w:bookmarkStart w:id="209" w:name="_Toc184314479"/>
      <w:bookmarkEnd w:id="209"/>
      <w:bookmarkStart w:id="210" w:name="_Toc184312127"/>
      <w:bookmarkEnd w:id="210"/>
      <w:bookmarkStart w:id="211" w:name="_Toc184314472"/>
      <w:bookmarkEnd w:id="211"/>
      <w:bookmarkStart w:id="212" w:name="_Toc184313248"/>
      <w:bookmarkEnd w:id="212"/>
      <w:bookmarkStart w:id="213" w:name="_Toc184308040"/>
      <w:bookmarkEnd w:id="213"/>
      <w:bookmarkStart w:id="214" w:name="_Toc184314432"/>
      <w:bookmarkEnd w:id="214"/>
      <w:bookmarkStart w:id="215" w:name="_Toc184313305"/>
      <w:bookmarkEnd w:id="215"/>
      <w:bookmarkStart w:id="216" w:name="_Toc184310323"/>
      <w:bookmarkEnd w:id="216"/>
      <w:bookmarkStart w:id="217" w:name="_Toc184310331"/>
      <w:bookmarkEnd w:id="217"/>
      <w:bookmarkStart w:id="218" w:name="_Toc184313307"/>
      <w:bookmarkEnd w:id="218"/>
      <w:bookmarkStart w:id="219" w:name="_Toc184310300"/>
      <w:bookmarkEnd w:id="219"/>
      <w:bookmarkStart w:id="220" w:name="_Toc184308048"/>
      <w:bookmarkEnd w:id="220"/>
      <w:bookmarkStart w:id="221" w:name="_Toc184312077"/>
      <w:bookmarkEnd w:id="221"/>
      <w:bookmarkStart w:id="222" w:name="_Toc184308075"/>
      <w:bookmarkEnd w:id="222"/>
      <w:bookmarkStart w:id="223" w:name="_Toc184312074"/>
      <w:bookmarkEnd w:id="223"/>
      <w:bookmarkStart w:id="224" w:name="_Toc184313276"/>
      <w:bookmarkEnd w:id="224"/>
      <w:bookmarkStart w:id="225" w:name="_Toc184313245"/>
      <w:bookmarkEnd w:id="225"/>
      <w:bookmarkStart w:id="226" w:name="_Toc184308106"/>
      <w:bookmarkEnd w:id="226"/>
      <w:bookmarkStart w:id="227" w:name="_Toc184308036"/>
      <w:bookmarkEnd w:id="227"/>
      <w:bookmarkStart w:id="228" w:name="_Toc184313269"/>
      <w:bookmarkEnd w:id="228"/>
      <w:bookmarkStart w:id="229" w:name="_Toc184308085"/>
      <w:bookmarkEnd w:id="229"/>
      <w:bookmarkStart w:id="230" w:name="_Toc184314418"/>
      <w:bookmarkEnd w:id="230"/>
      <w:bookmarkStart w:id="231" w:name="_Toc184310328"/>
      <w:bookmarkEnd w:id="231"/>
      <w:bookmarkStart w:id="232" w:name="_Toc184313310"/>
      <w:bookmarkEnd w:id="232"/>
      <w:bookmarkStart w:id="233" w:name="_Toc184313286"/>
      <w:bookmarkEnd w:id="233"/>
      <w:bookmarkStart w:id="234" w:name="_Toc184312072"/>
      <w:bookmarkEnd w:id="234"/>
      <w:bookmarkStart w:id="235" w:name="_Toc184314431"/>
      <w:bookmarkEnd w:id="235"/>
      <w:bookmarkStart w:id="236" w:name="_Toc184308047"/>
      <w:bookmarkEnd w:id="236"/>
      <w:bookmarkStart w:id="237" w:name="_Toc184314441"/>
      <w:bookmarkEnd w:id="237"/>
      <w:bookmarkStart w:id="238" w:name="_Toc184312134"/>
      <w:bookmarkEnd w:id="238"/>
      <w:bookmarkStart w:id="239" w:name="_Toc184314410"/>
      <w:bookmarkEnd w:id="239"/>
      <w:bookmarkStart w:id="240" w:name="_Toc184312088"/>
      <w:bookmarkEnd w:id="240"/>
      <w:bookmarkStart w:id="241" w:name="_Toc184313280"/>
      <w:bookmarkEnd w:id="241"/>
      <w:bookmarkStart w:id="242" w:name="_Toc184312119"/>
      <w:bookmarkEnd w:id="242"/>
      <w:bookmarkStart w:id="243" w:name="_Toc184308096"/>
      <w:bookmarkEnd w:id="243"/>
      <w:bookmarkStart w:id="244" w:name="_Toc184308101"/>
      <w:bookmarkEnd w:id="244"/>
      <w:bookmarkStart w:id="245" w:name="_Toc184310283"/>
      <w:bookmarkEnd w:id="245"/>
      <w:bookmarkStart w:id="246" w:name="_Toc184312089"/>
      <w:bookmarkEnd w:id="246"/>
      <w:bookmarkStart w:id="247" w:name="_Toc184308049"/>
      <w:bookmarkEnd w:id="247"/>
      <w:bookmarkStart w:id="248" w:name="_Toc184308087"/>
      <w:bookmarkEnd w:id="248"/>
      <w:bookmarkStart w:id="249" w:name="_Toc184312125"/>
      <w:bookmarkEnd w:id="249"/>
      <w:bookmarkStart w:id="250" w:name="_Toc184308054"/>
      <w:bookmarkEnd w:id="250"/>
      <w:bookmarkStart w:id="251" w:name="_Toc184314474"/>
      <w:bookmarkEnd w:id="251"/>
      <w:bookmarkStart w:id="252" w:name="_Toc184313247"/>
      <w:bookmarkEnd w:id="252"/>
      <w:bookmarkStart w:id="253" w:name="_Toc184308061"/>
      <w:bookmarkEnd w:id="253"/>
      <w:bookmarkStart w:id="254" w:name="_Toc184308083"/>
      <w:bookmarkEnd w:id="254"/>
      <w:bookmarkStart w:id="255" w:name="_Toc184310281"/>
      <w:bookmarkEnd w:id="255"/>
      <w:bookmarkStart w:id="256" w:name="_Toc184312069"/>
      <w:bookmarkEnd w:id="256"/>
      <w:bookmarkStart w:id="257" w:name="_Toc184314423"/>
      <w:bookmarkEnd w:id="257"/>
      <w:bookmarkStart w:id="258" w:name="_Toc184313298"/>
      <w:bookmarkEnd w:id="258"/>
      <w:bookmarkStart w:id="259" w:name="_Toc184308094"/>
      <w:bookmarkEnd w:id="259"/>
      <w:bookmarkStart w:id="260" w:name="_Toc184308076"/>
      <w:bookmarkEnd w:id="260"/>
      <w:bookmarkStart w:id="261" w:name="_Toc184314464"/>
      <w:bookmarkEnd w:id="261"/>
      <w:bookmarkStart w:id="262" w:name="_Toc184308039"/>
      <w:bookmarkEnd w:id="262"/>
      <w:bookmarkStart w:id="263" w:name="_Toc184312094"/>
      <w:bookmarkEnd w:id="263"/>
      <w:bookmarkStart w:id="264" w:name="_Toc184308090"/>
      <w:bookmarkEnd w:id="264"/>
      <w:bookmarkStart w:id="265" w:name="_Toc184312084"/>
      <w:bookmarkEnd w:id="265"/>
      <w:bookmarkStart w:id="266" w:name="_Toc184314473"/>
      <w:bookmarkEnd w:id="266"/>
      <w:bookmarkStart w:id="267" w:name="_Toc184312139"/>
      <w:bookmarkEnd w:id="267"/>
      <w:bookmarkStart w:id="268" w:name="_Toc184308107"/>
      <w:bookmarkEnd w:id="268"/>
      <w:bookmarkStart w:id="269" w:name="_Toc184314467"/>
      <w:bookmarkEnd w:id="269"/>
      <w:bookmarkStart w:id="270" w:name="_Toc184314437"/>
      <w:bookmarkEnd w:id="270"/>
      <w:bookmarkStart w:id="271" w:name="_Toc184313285"/>
      <w:bookmarkEnd w:id="271"/>
      <w:bookmarkStart w:id="272" w:name="_Toc184308043"/>
      <w:bookmarkEnd w:id="272"/>
      <w:bookmarkStart w:id="273" w:name="_Toc184310301"/>
      <w:bookmarkEnd w:id="273"/>
      <w:bookmarkStart w:id="274" w:name="_Toc184312128"/>
      <w:bookmarkEnd w:id="274"/>
      <w:bookmarkStart w:id="275" w:name="_Toc184310315"/>
      <w:bookmarkEnd w:id="275"/>
      <w:bookmarkStart w:id="276" w:name="_Toc184314434"/>
      <w:bookmarkEnd w:id="276"/>
      <w:bookmarkStart w:id="277" w:name="_Toc184312093"/>
      <w:bookmarkEnd w:id="277"/>
      <w:bookmarkStart w:id="278" w:name="_Toc184314458"/>
      <w:bookmarkEnd w:id="278"/>
      <w:bookmarkStart w:id="279" w:name="_Toc184314427"/>
      <w:bookmarkEnd w:id="279"/>
      <w:bookmarkStart w:id="280" w:name="_Toc184308104"/>
      <w:bookmarkEnd w:id="280"/>
      <w:bookmarkStart w:id="281" w:name="_Toc184310287"/>
      <w:bookmarkEnd w:id="281"/>
      <w:bookmarkStart w:id="282" w:name="_Toc184310333"/>
      <w:bookmarkEnd w:id="282"/>
      <w:bookmarkStart w:id="283" w:name="_Toc184314452"/>
      <w:bookmarkEnd w:id="283"/>
      <w:bookmarkStart w:id="284" w:name="_Toc184312079"/>
      <w:bookmarkEnd w:id="284"/>
      <w:bookmarkStart w:id="285" w:name="_Toc184308070"/>
      <w:bookmarkEnd w:id="285"/>
      <w:bookmarkStart w:id="286" w:name="_Toc184314481"/>
      <w:bookmarkEnd w:id="286"/>
      <w:bookmarkStart w:id="287" w:name="_Toc184313288"/>
      <w:bookmarkEnd w:id="287"/>
      <w:bookmarkStart w:id="288" w:name="_Toc184312138"/>
      <w:bookmarkEnd w:id="288"/>
      <w:bookmarkStart w:id="289" w:name="_Toc184308098"/>
      <w:bookmarkEnd w:id="289"/>
      <w:bookmarkStart w:id="290" w:name="_Toc184314453"/>
      <w:bookmarkEnd w:id="290"/>
      <w:bookmarkStart w:id="291" w:name="_Toc184314413"/>
      <w:bookmarkEnd w:id="291"/>
      <w:bookmarkStart w:id="292" w:name="_Toc184314421"/>
      <w:bookmarkEnd w:id="292"/>
      <w:bookmarkStart w:id="293" w:name="_Toc184313282"/>
      <w:bookmarkEnd w:id="293"/>
      <w:bookmarkStart w:id="294" w:name="_Toc184313267"/>
      <w:bookmarkEnd w:id="294"/>
      <w:bookmarkStart w:id="295" w:name="_Toc184313304"/>
      <w:bookmarkEnd w:id="295"/>
      <w:bookmarkStart w:id="296" w:name="_Toc184312075"/>
      <w:bookmarkEnd w:id="296"/>
      <w:bookmarkStart w:id="297" w:name="_Toc184308103"/>
      <w:bookmarkEnd w:id="297"/>
      <w:bookmarkStart w:id="298" w:name="_Toc184308056"/>
      <w:bookmarkEnd w:id="298"/>
      <w:bookmarkStart w:id="299" w:name="_Toc184308077"/>
      <w:bookmarkEnd w:id="299"/>
      <w:bookmarkStart w:id="300" w:name="_Toc184312081"/>
      <w:bookmarkEnd w:id="300"/>
      <w:bookmarkStart w:id="301" w:name="_Toc184313244"/>
      <w:bookmarkEnd w:id="301"/>
      <w:bookmarkStart w:id="302" w:name="_Toc184308067"/>
      <w:bookmarkEnd w:id="302"/>
      <w:bookmarkStart w:id="303" w:name="_Toc184312111"/>
      <w:bookmarkEnd w:id="303"/>
      <w:bookmarkStart w:id="304" w:name="_Toc184312107"/>
      <w:bookmarkEnd w:id="304"/>
      <w:bookmarkStart w:id="305" w:name="_Toc184308042"/>
      <w:bookmarkEnd w:id="305"/>
      <w:bookmarkStart w:id="306" w:name="_Toc184308066"/>
      <w:bookmarkEnd w:id="306"/>
      <w:bookmarkStart w:id="307" w:name="_Toc184314471"/>
      <w:bookmarkEnd w:id="307"/>
      <w:bookmarkStart w:id="308" w:name="_Toc184308073"/>
      <w:bookmarkEnd w:id="308"/>
      <w:bookmarkStart w:id="309" w:name="_Toc184310338"/>
      <w:bookmarkEnd w:id="309"/>
      <w:bookmarkStart w:id="310" w:name="_Toc184313253"/>
      <w:bookmarkEnd w:id="310"/>
      <w:bookmarkStart w:id="311" w:name="_Toc184310303"/>
      <w:bookmarkEnd w:id="311"/>
      <w:bookmarkStart w:id="312" w:name="_Toc184310293"/>
      <w:bookmarkEnd w:id="312"/>
      <w:bookmarkStart w:id="313" w:name="_Toc184310325"/>
      <w:bookmarkEnd w:id="313"/>
      <w:bookmarkStart w:id="314" w:name="_Toc184313284"/>
      <w:bookmarkEnd w:id="314"/>
      <w:bookmarkStart w:id="315" w:name="_Toc184313251"/>
      <w:bookmarkEnd w:id="315"/>
      <w:bookmarkStart w:id="316" w:name="_Toc184313289"/>
      <w:bookmarkEnd w:id="316"/>
      <w:bookmarkStart w:id="317" w:name="_Toc184314414"/>
      <w:bookmarkEnd w:id="317"/>
      <w:bookmarkStart w:id="318" w:name="_Toc184308071"/>
      <w:bookmarkEnd w:id="318"/>
      <w:bookmarkStart w:id="319" w:name="_Toc184314465"/>
      <w:bookmarkEnd w:id="319"/>
      <w:bookmarkStart w:id="320" w:name="_Toc184312123"/>
      <w:bookmarkEnd w:id="320"/>
      <w:bookmarkStart w:id="321" w:name="_Toc184313243"/>
      <w:bookmarkEnd w:id="321"/>
      <w:bookmarkStart w:id="322" w:name="_Toc184310275"/>
      <w:bookmarkEnd w:id="322"/>
      <w:bookmarkStart w:id="323" w:name="_Toc184314439"/>
      <w:bookmarkEnd w:id="323"/>
      <w:bookmarkStart w:id="324" w:name="_Toc184310337"/>
      <w:bookmarkEnd w:id="324"/>
      <w:bookmarkStart w:id="325" w:name="_Toc184310310"/>
      <w:bookmarkEnd w:id="325"/>
      <w:bookmarkStart w:id="326" w:name="_Toc184310334"/>
      <w:bookmarkEnd w:id="326"/>
      <w:bookmarkStart w:id="327" w:name="_Toc184314435"/>
      <w:bookmarkEnd w:id="327"/>
      <w:bookmarkStart w:id="328" w:name="_Toc184310319"/>
      <w:bookmarkEnd w:id="328"/>
      <w:bookmarkStart w:id="329" w:name="_Toc184308088"/>
      <w:bookmarkEnd w:id="329"/>
      <w:bookmarkStart w:id="330" w:name="_Toc184308058"/>
      <w:bookmarkEnd w:id="330"/>
      <w:bookmarkStart w:id="331" w:name="_Toc184308082"/>
      <w:bookmarkEnd w:id="331"/>
      <w:bookmarkStart w:id="332" w:name="_Toc184312132"/>
      <w:bookmarkEnd w:id="332"/>
      <w:bookmarkStart w:id="333" w:name="_Toc184313308"/>
      <w:bookmarkEnd w:id="333"/>
      <w:bookmarkStart w:id="334" w:name="_Toc184310278"/>
      <w:bookmarkEnd w:id="334"/>
      <w:bookmarkStart w:id="335" w:name="_Toc184314455"/>
      <w:bookmarkEnd w:id="335"/>
      <w:bookmarkStart w:id="336" w:name="_Toc184308065"/>
      <w:bookmarkEnd w:id="336"/>
      <w:bookmarkStart w:id="337" w:name="_Toc184313300"/>
      <w:bookmarkEnd w:id="337"/>
      <w:bookmarkStart w:id="338" w:name="_Toc184313240"/>
      <w:bookmarkEnd w:id="338"/>
      <w:bookmarkStart w:id="339" w:name="_Toc184314444"/>
      <w:bookmarkEnd w:id="339"/>
      <w:bookmarkStart w:id="340" w:name="_Toc184314426"/>
      <w:bookmarkEnd w:id="340"/>
      <w:bookmarkStart w:id="341" w:name="_Toc184313259"/>
      <w:bookmarkEnd w:id="341"/>
      <w:bookmarkStart w:id="342" w:name="_Toc184310326"/>
      <w:bookmarkEnd w:id="342"/>
      <w:bookmarkStart w:id="343" w:name="_Toc184308091"/>
      <w:bookmarkEnd w:id="343"/>
      <w:bookmarkStart w:id="344" w:name="_Toc184314451"/>
      <w:bookmarkEnd w:id="344"/>
      <w:bookmarkStart w:id="345" w:name="_Toc184312098"/>
      <w:bookmarkEnd w:id="345"/>
      <w:bookmarkStart w:id="346" w:name="_Toc184308057"/>
      <w:bookmarkEnd w:id="346"/>
      <w:bookmarkStart w:id="347" w:name="_Toc184314447"/>
      <w:bookmarkEnd w:id="347"/>
      <w:bookmarkStart w:id="348" w:name="_Toc184310284"/>
      <w:bookmarkEnd w:id="348"/>
      <w:bookmarkStart w:id="349" w:name="_Toc184308084"/>
      <w:bookmarkEnd w:id="349"/>
      <w:bookmarkStart w:id="350" w:name="_Toc184312115"/>
      <w:bookmarkEnd w:id="350"/>
      <w:bookmarkStart w:id="351" w:name="_Toc184310306"/>
      <w:bookmarkEnd w:id="351"/>
      <w:bookmarkStart w:id="352" w:name="_Toc184313262"/>
      <w:bookmarkEnd w:id="352"/>
      <w:bookmarkStart w:id="353" w:name="_Toc184313261"/>
      <w:bookmarkEnd w:id="353"/>
      <w:bookmarkStart w:id="354" w:name="_Toc184310279"/>
      <w:bookmarkEnd w:id="354"/>
      <w:bookmarkStart w:id="355" w:name="_Toc184314438"/>
      <w:bookmarkEnd w:id="355"/>
      <w:bookmarkStart w:id="356" w:name="_Toc184310302"/>
      <w:bookmarkEnd w:id="356"/>
      <w:bookmarkStart w:id="357" w:name="_Toc184314454"/>
      <w:bookmarkEnd w:id="357"/>
      <w:bookmarkStart w:id="358" w:name="_Toc184312071"/>
      <w:bookmarkEnd w:id="358"/>
      <w:bookmarkStart w:id="359" w:name="_Toc184312126"/>
      <w:bookmarkEnd w:id="359"/>
      <w:bookmarkStart w:id="360" w:name="_Toc184308093"/>
      <w:bookmarkEnd w:id="360"/>
      <w:bookmarkStart w:id="361" w:name="_Toc184313256"/>
      <w:bookmarkEnd w:id="361"/>
      <w:bookmarkStart w:id="362" w:name="_Toc184312121"/>
      <w:bookmarkEnd w:id="362"/>
      <w:bookmarkStart w:id="363" w:name="_Toc184310335"/>
      <w:bookmarkEnd w:id="363"/>
      <w:bookmarkStart w:id="364" w:name="_Toc184308092"/>
      <w:bookmarkEnd w:id="364"/>
      <w:bookmarkStart w:id="365" w:name="_Toc184310286"/>
      <w:bookmarkEnd w:id="365"/>
      <w:bookmarkStart w:id="366" w:name="_Toc184313254"/>
      <w:bookmarkEnd w:id="366"/>
      <w:bookmarkStart w:id="367" w:name="_Toc184313303"/>
      <w:bookmarkEnd w:id="367"/>
      <w:bookmarkStart w:id="368" w:name="_Toc184314477"/>
      <w:bookmarkEnd w:id="368"/>
      <w:bookmarkStart w:id="369" w:name="_Toc184314448"/>
      <w:bookmarkEnd w:id="369"/>
      <w:bookmarkStart w:id="370" w:name="_Toc184308081"/>
      <w:bookmarkEnd w:id="370"/>
      <w:bookmarkStart w:id="371" w:name="_Toc184312114"/>
      <w:bookmarkEnd w:id="371"/>
      <w:bookmarkStart w:id="372" w:name="_Toc184313250"/>
      <w:bookmarkEnd w:id="372"/>
      <w:bookmarkStart w:id="373" w:name="_Toc184313239"/>
      <w:bookmarkEnd w:id="373"/>
      <w:bookmarkStart w:id="374" w:name="_Toc184313272"/>
      <w:bookmarkEnd w:id="374"/>
      <w:bookmarkStart w:id="375" w:name="_Toc184310273"/>
      <w:bookmarkEnd w:id="375"/>
      <w:bookmarkStart w:id="376" w:name="_Toc184313301"/>
      <w:bookmarkEnd w:id="376"/>
      <w:bookmarkStart w:id="377" w:name="_Toc184313296"/>
      <w:bookmarkEnd w:id="377"/>
      <w:bookmarkStart w:id="378" w:name="_Toc184312076"/>
      <w:bookmarkEnd w:id="378"/>
      <w:bookmarkStart w:id="379" w:name="_Toc184310320"/>
      <w:bookmarkEnd w:id="379"/>
      <w:bookmarkStart w:id="380" w:name="_Toc184308072"/>
      <w:bookmarkEnd w:id="380"/>
      <w:bookmarkStart w:id="381" w:name="_Toc184308078"/>
      <w:bookmarkEnd w:id="381"/>
      <w:bookmarkStart w:id="382" w:name="_Toc184314446"/>
      <w:bookmarkEnd w:id="382"/>
      <w:bookmarkStart w:id="383" w:name="_Toc184313241"/>
      <w:bookmarkEnd w:id="383"/>
      <w:bookmarkStart w:id="384" w:name="_Toc184312106"/>
      <w:bookmarkEnd w:id="384"/>
      <w:bookmarkStart w:id="385" w:name="_Toc184308074"/>
      <w:bookmarkEnd w:id="385"/>
      <w:bookmarkStart w:id="386" w:name="_Toc184308041"/>
      <w:bookmarkEnd w:id="386"/>
      <w:bookmarkStart w:id="387" w:name="_Toc184314412"/>
      <w:bookmarkEnd w:id="387"/>
      <w:bookmarkStart w:id="388" w:name="_Toc184308050"/>
      <w:bookmarkEnd w:id="388"/>
      <w:bookmarkStart w:id="389" w:name="_Toc184310296"/>
      <w:bookmarkEnd w:id="389"/>
      <w:bookmarkStart w:id="390" w:name="_Toc184312085"/>
      <w:bookmarkEnd w:id="390"/>
      <w:bookmarkStart w:id="391" w:name="_Toc184312070"/>
      <w:bookmarkEnd w:id="391"/>
      <w:bookmarkStart w:id="392" w:name="_Toc184308053"/>
      <w:bookmarkEnd w:id="392"/>
      <w:bookmarkStart w:id="393" w:name="_Toc184310280"/>
      <w:bookmarkEnd w:id="393"/>
      <w:bookmarkStart w:id="394" w:name="_Toc184313278"/>
      <w:bookmarkEnd w:id="394"/>
      <w:bookmarkStart w:id="395" w:name="_Toc184314416"/>
      <w:bookmarkEnd w:id="395"/>
      <w:bookmarkStart w:id="396" w:name="_Toc184310297"/>
      <w:bookmarkEnd w:id="396"/>
      <w:bookmarkStart w:id="397" w:name="_Toc184314461"/>
      <w:bookmarkEnd w:id="397"/>
      <w:bookmarkStart w:id="398" w:name="_Toc184308063"/>
      <w:bookmarkEnd w:id="398"/>
      <w:bookmarkStart w:id="399" w:name="_Toc184313238"/>
      <w:bookmarkEnd w:id="399"/>
      <w:bookmarkStart w:id="400" w:name="_Toc184310298"/>
      <w:bookmarkEnd w:id="400"/>
      <w:bookmarkStart w:id="401" w:name="_Toc184314436"/>
      <w:bookmarkEnd w:id="401"/>
      <w:bookmarkStart w:id="402" w:name="_Toc184308095"/>
      <w:bookmarkEnd w:id="402"/>
      <w:bookmarkStart w:id="403" w:name="_Toc184310321"/>
      <w:bookmarkEnd w:id="403"/>
      <w:bookmarkStart w:id="404" w:name="_Toc184308064"/>
      <w:bookmarkEnd w:id="404"/>
      <w:bookmarkStart w:id="405" w:name="_Toc184308037"/>
      <w:bookmarkEnd w:id="405"/>
      <w:bookmarkStart w:id="406" w:name="_Toc184308089"/>
      <w:bookmarkEnd w:id="406"/>
      <w:bookmarkStart w:id="407" w:name="_Toc184314420"/>
      <w:bookmarkEnd w:id="407"/>
      <w:bookmarkStart w:id="408" w:name="_Toc184314415"/>
      <w:bookmarkEnd w:id="408"/>
      <w:bookmarkStart w:id="409" w:name="_Toc184312124"/>
      <w:bookmarkEnd w:id="409"/>
      <w:bookmarkStart w:id="410" w:name="_Toc184313295"/>
      <w:bookmarkEnd w:id="410"/>
      <w:bookmarkStart w:id="411" w:name="_Toc184312117"/>
      <w:bookmarkEnd w:id="411"/>
      <w:bookmarkStart w:id="412" w:name="_Toc184310295"/>
      <w:bookmarkEnd w:id="412"/>
      <w:bookmarkStart w:id="413" w:name="_Toc184310336"/>
      <w:bookmarkEnd w:id="413"/>
      <w:r>
        <w:rPr>
          <w:rFonts w:hint="eastAsia"/>
          <w:color w:val="auto"/>
          <w:highlight w:val="none"/>
        </w:rPr>
        <w:t>评标办法</w:t>
      </w:r>
      <w:bookmarkEnd w:id="48"/>
    </w:p>
    <w:p>
      <w:pPr>
        <w:pStyle w:val="2"/>
        <w:jc w:val="center"/>
        <w:rPr>
          <w:color w:val="auto"/>
          <w:szCs w:val="21"/>
          <w:highlight w:val="none"/>
        </w:rPr>
      </w:pPr>
      <w:r>
        <w:rPr>
          <w:rFonts w:hint="eastAsia"/>
          <w:color w:val="auto"/>
          <w:szCs w:val="21"/>
          <w:highlight w:val="none"/>
        </w:rPr>
        <w:t>评标办法前附表</w:t>
      </w:r>
    </w:p>
    <w:tbl>
      <w:tblPr>
        <w:tblStyle w:val="63"/>
        <w:tblW w:w="93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5088"/>
        <w:gridCol w:w="730"/>
        <w:gridCol w:w="1126"/>
        <w:gridCol w:w="1267"/>
      </w:tblGrid>
      <w:tr>
        <w:trPr>
          <w:tblHeader/>
          <w:jc w:val="center"/>
        </w:trPr>
        <w:tc>
          <w:tcPr>
            <w:tcW w:w="1171" w:type="dxa"/>
            <w:tcBorders>
              <w:tl2br w:val="nil"/>
              <w:tr2bl w:val="nil"/>
            </w:tcBorders>
            <w:vAlign w:val="center"/>
          </w:tcPr>
          <w:p>
            <w:pPr>
              <w:pStyle w:val="784"/>
              <w:widowControl w:val="0"/>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评标因素</w:t>
            </w:r>
          </w:p>
        </w:tc>
        <w:tc>
          <w:tcPr>
            <w:tcW w:w="5088" w:type="dxa"/>
            <w:tcBorders>
              <w:tl2br w:val="nil"/>
              <w:tr2bl w:val="nil"/>
            </w:tcBorders>
            <w:vAlign w:val="center"/>
          </w:tcPr>
          <w:p>
            <w:pPr>
              <w:pStyle w:val="784"/>
              <w:widowControl w:val="0"/>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评标标准</w:t>
            </w:r>
          </w:p>
        </w:tc>
        <w:tc>
          <w:tcPr>
            <w:tcW w:w="730" w:type="dxa"/>
            <w:tcBorders>
              <w:tl2br w:val="nil"/>
              <w:tr2bl w:val="nil"/>
            </w:tcBorders>
            <w:vAlign w:val="center"/>
          </w:tcPr>
          <w:p>
            <w:pPr>
              <w:pStyle w:val="784"/>
              <w:widowControl w:val="0"/>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权重</w:t>
            </w:r>
          </w:p>
        </w:tc>
        <w:tc>
          <w:tcPr>
            <w:tcW w:w="1126" w:type="dxa"/>
            <w:tcBorders>
              <w:tl2br w:val="nil"/>
              <w:tr2bl w:val="nil"/>
            </w:tcBorders>
            <w:vAlign w:val="center"/>
          </w:tcPr>
          <w:p>
            <w:pPr>
              <w:pStyle w:val="784"/>
              <w:widowControl w:val="0"/>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主观分/客观分属性</w:t>
            </w:r>
          </w:p>
        </w:tc>
        <w:tc>
          <w:tcPr>
            <w:tcW w:w="1267" w:type="dxa"/>
            <w:tcBorders>
              <w:tl2br w:val="nil"/>
              <w:tr2bl w:val="nil"/>
            </w:tcBorders>
            <w:vAlign w:val="center"/>
          </w:tcPr>
          <w:p>
            <w:pPr>
              <w:pStyle w:val="784"/>
              <w:widowControl w:val="0"/>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投标文件中评标标准相应的商务技术资料目录*</w:t>
            </w:r>
          </w:p>
        </w:tc>
      </w:tr>
      <w:tr>
        <w:trPr>
          <w:jc w:val="center"/>
        </w:trPr>
        <w:tc>
          <w:tcPr>
            <w:tcW w:w="1171" w:type="dxa"/>
            <w:vMerge w:val="restart"/>
            <w:tcBorders>
              <w:tl2br w:val="nil"/>
              <w:tr2bl w:val="nil"/>
            </w:tcBorders>
            <w:vAlign w:val="center"/>
          </w:tcPr>
          <w:p>
            <w:pPr>
              <w:pStyle w:val="977"/>
              <w:widowControl w:val="0"/>
              <w:adjustRightInd/>
              <w:spacing w:before="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1、服务理念、组织架构及管理制度情况</w:t>
            </w:r>
          </w:p>
        </w:tc>
        <w:tc>
          <w:tcPr>
            <w:tcW w:w="5088" w:type="dxa"/>
            <w:tcBorders>
              <w:tl2br w:val="nil"/>
              <w:tr2bl w:val="nil"/>
            </w:tcBorders>
            <w:vAlign w:val="center"/>
          </w:tcPr>
          <w:p>
            <w:pPr>
              <w:pStyle w:val="977"/>
              <w:widowControl w:val="0"/>
              <w:adjustRightInd/>
              <w:spacing w:before="0" w:line="360" w:lineRule="auto"/>
              <w:jc w:val="both"/>
              <w:rPr>
                <w:rFonts w:hint="eastAsia" w:ascii="宋体" w:hAnsi="宋体" w:eastAsia="宋体" w:cs="宋体"/>
                <w:bCs/>
                <w:color w:val="auto"/>
                <w:szCs w:val="21"/>
                <w:highlight w:val="none"/>
              </w:rPr>
            </w:pPr>
            <w:r>
              <w:rPr>
                <w:rFonts w:hint="eastAsia" w:ascii="宋体" w:hAnsi="宋体" w:eastAsia="宋体" w:cs="宋体"/>
                <w:color w:val="auto"/>
                <w:sz w:val="21"/>
                <w:szCs w:val="21"/>
                <w:highlight w:val="none"/>
              </w:rPr>
              <w:t>1）根据本项目特点投标人①提出合理的管理服务理念，提出服务定位符合项目实际，目标明确得2分，定位及目标有一定偏差需进一步完善得1分，未提供不得分；②投标人的方案提供的管理模式能够切合实际，且安全可行，具有保密性、专业性、文明服务的计划得2分，投标人的方案提供的管理模式，保密性、专业性、文明服务计划有一定偏差，需进一步完善的计划得1分，未提供不得分；总计4分。</w:t>
            </w:r>
          </w:p>
        </w:tc>
        <w:tc>
          <w:tcPr>
            <w:tcW w:w="730" w:type="dxa"/>
            <w:tcBorders>
              <w:tl2br w:val="nil"/>
              <w:tr2bl w:val="nil"/>
            </w:tcBorders>
            <w:vAlign w:val="center"/>
          </w:tcPr>
          <w:p>
            <w:pPr>
              <w:pStyle w:val="784"/>
              <w:widowControl w:val="0"/>
              <w:spacing w:line="360" w:lineRule="auto"/>
              <w:jc w:val="center"/>
              <w:rPr>
                <w:rFonts w:hint="eastAsia" w:ascii="宋体" w:hAnsi="宋体" w:eastAsia="宋体" w:cs="宋体"/>
                <w:b/>
                <w:bCs/>
                <w:color w:val="auto"/>
                <w:kern w:val="2"/>
                <w:highlight w:val="none"/>
                <w:lang w:val="en-US" w:eastAsia="zh-CN"/>
              </w:rPr>
            </w:pPr>
            <w:r>
              <w:rPr>
                <w:rFonts w:hint="eastAsia" w:ascii="宋体" w:hAnsi="宋体" w:cs="宋体"/>
                <w:b/>
                <w:bCs/>
                <w:color w:val="auto"/>
                <w:kern w:val="2"/>
                <w:highlight w:val="none"/>
                <w:lang w:val="en-US" w:eastAsia="zh-CN"/>
              </w:rPr>
              <w:t>4</w:t>
            </w:r>
          </w:p>
        </w:tc>
        <w:tc>
          <w:tcPr>
            <w:tcW w:w="1126" w:type="dxa"/>
            <w:tcBorders>
              <w:tl2br w:val="nil"/>
              <w:tr2bl w:val="nil"/>
            </w:tcBorders>
            <w:vAlign w:val="center"/>
          </w:tcPr>
          <w:p>
            <w:pPr>
              <w:widowControl w:val="0"/>
              <w:spacing w:line="360" w:lineRule="auto"/>
              <w:jc w:val="center"/>
              <w:rPr>
                <w:rFonts w:hint="eastAsia" w:ascii="宋体" w:hAnsi="宋体" w:cs="宋体"/>
                <w:b/>
                <w:bCs/>
                <w:color w:val="auto"/>
                <w:kern w:val="2"/>
                <w:szCs w:val="21"/>
                <w:highlight w:val="none"/>
              </w:rPr>
            </w:pPr>
            <w:r>
              <w:rPr>
                <w:rFonts w:hint="eastAsia" w:ascii="宋体" w:hAnsi="宋体" w:eastAsia="宋体" w:cs="宋体"/>
                <w:b/>
                <w:bCs/>
                <w:color w:val="auto"/>
                <w:kern w:val="2"/>
                <w:highlight w:val="none"/>
                <w:lang w:val="en-US" w:eastAsia="zh-CN"/>
              </w:rPr>
              <w:t>主观分</w:t>
            </w:r>
          </w:p>
        </w:tc>
        <w:tc>
          <w:tcPr>
            <w:tcW w:w="1267" w:type="dxa"/>
            <w:tcBorders>
              <w:tl2br w:val="nil"/>
              <w:tr2bl w:val="nil"/>
            </w:tcBorders>
            <w:vAlign w:val="center"/>
          </w:tcPr>
          <w:p>
            <w:pPr>
              <w:pStyle w:val="784"/>
              <w:widowControl w:val="0"/>
              <w:spacing w:line="360" w:lineRule="auto"/>
              <w:rPr>
                <w:rFonts w:hint="eastAsia" w:ascii="宋体" w:hAnsi="宋体" w:cs="宋体"/>
                <w:color w:val="auto"/>
                <w:kern w:val="2"/>
                <w:highlight w:val="none"/>
                <w:lang w:val="zh-TW" w:eastAsia="zh-TW"/>
              </w:rPr>
            </w:pPr>
          </w:p>
        </w:tc>
      </w:tr>
      <w:tr>
        <w:trPr>
          <w:jc w:val="center"/>
        </w:trPr>
        <w:tc>
          <w:tcPr>
            <w:tcW w:w="1171" w:type="dxa"/>
            <w:vMerge w:val="continue"/>
            <w:tcBorders>
              <w:tl2br w:val="nil"/>
              <w:tr2bl w:val="nil"/>
            </w:tcBorders>
            <w:vAlign w:val="center"/>
          </w:tcPr>
          <w:p>
            <w:pPr>
              <w:pStyle w:val="977"/>
              <w:widowControl w:val="0"/>
              <w:adjustRightInd/>
              <w:spacing w:before="0" w:line="360" w:lineRule="auto"/>
              <w:rPr>
                <w:rFonts w:hint="eastAsia" w:ascii="宋体" w:hAnsi="宋体" w:eastAsia="宋体" w:cs="宋体"/>
                <w:color w:val="auto"/>
                <w:sz w:val="21"/>
                <w:szCs w:val="21"/>
                <w:highlight w:val="none"/>
                <w:lang w:val="en-US" w:eastAsia="zh-CN"/>
              </w:rPr>
            </w:pPr>
          </w:p>
        </w:tc>
        <w:tc>
          <w:tcPr>
            <w:tcW w:w="5088" w:type="dxa"/>
            <w:tcBorders>
              <w:tl2br w:val="nil"/>
              <w:tr2bl w:val="nil"/>
            </w:tcBorders>
            <w:vAlign w:val="center"/>
          </w:tcPr>
          <w:p>
            <w:pPr>
              <w:pStyle w:val="977"/>
              <w:widowControl w:val="0"/>
              <w:adjustRightInd/>
              <w:spacing w:before="0" w:line="360" w:lineRule="auto"/>
              <w:jc w:val="both"/>
              <w:rPr>
                <w:rFonts w:hint="eastAsia" w:ascii="宋体" w:hAnsi="宋体" w:eastAsia="宋体" w:cs="宋体"/>
                <w:bCs/>
                <w:color w:val="auto"/>
                <w:szCs w:val="21"/>
                <w:highlight w:val="none"/>
              </w:rPr>
            </w:pPr>
            <w:r>
              <w:rPr>
                <w:rFonts w:hint="eastAsia" w:ascii="宋体" w:hAnsi="宋体" w:eastAsia="宋体" w:cs="宋体"/>
                <w:color w:val="auto"/>
                <w:sz w:val="21"/>
                <w:szCs w:val="21"/>
                <w:highlight w:val="none"/>
              </w:rPr>
              <w:t>2）有比较完善的组织架构，清晰简练地列出主要管理流程，包括对运作流程图、激励机制、监督机制、自我约束机制、信息反馈渠道及处理机制，管理指标承诺达到居家养老标准得4分，有基本完善的组织架构，较为清晰简练地列出主要管理流程，包括对运作流程图、激励机制、监督机制、自我约束机制、信息反馈渠道及处理机制，管理指标承诺达到居家养老标准得2分，组织架构一般，主要管理流程一般得1分，方案不合理或未提供方案不得分；</w:t>
            </w:r>
          </w:p>
        </w:tc>
        <w:tc>
          <w:tcPr>
            <w:tcW w:w="730" w:type="dxa"/>
            <w:tcBorders>
              <w:tl2br w:val="nil"/>
              <w:tr2bl w:val="nil"/>
            </w:tcBorders>
            <w:vAlign w:val="center"/>
          </w:tcPr>
          <w:p>
            <w:pPr>
              <w:pStyle w:val="784"/>
              <w:widowControl w:val="0"/>
              <w:spacing w:line="360" w:lineRule="auto"/>
              <w:jc w:val="center"/>
              <w:rPr>
                <w:rFonts w:hint="eastAsia" w:ascii="宋体" w:hAnsi="宋体" w:eastAsia="宋体" w:cs="宋体"/>
                <w:b/>
                <w:bCs/>
                <w:color w:val="auto"/>
                <w:kern w:val="2"/>
                <w:highlight w:val="none"/>
                <w:lang w:val="en-US" w:eastAsia="zh-CN"/>
              </w:rPr>
            </w:pPr>
            <w:r>
              <w:rPr>
                <w:rFonts w:hint="eastAsia" w:ascii="宋体" w:hAnsi="宋体" w:cs="宋体"/>
                <w:b/>
                <w:bCs/>
                <w:color w:val="auto"/>
                <w:kern w:val="2"/>
                <w:highlight w:val="none"/>
                <w:lang w:val="en-US" w:eastAsia="zh-CN"/>
              </w:rPr>
              <w:t>4</w:t>
            </w:r>
          </w:p>
        </w:tc>
        <w:tc>
          <w:tcPr>
            <w:tcW w:w="1126" w:type="dxa"/>
            <w:tcBorders>
              <w:tl2br w:val="nil"/>
              <w:tr2bl w:val="nil"/>
            </w:tcBorders>
            <w:vAlign w:val="center"/>
          </w:tcPr>
          <w:p>
            <w:pPr>
              <w:widowControl w:val="0"/>
              <w:spacing w:line="360" w:lineRule="auto"/>
              <w:jc w:val="center"/>
              <w:rPr>
                <w:rFonts w:hint="eastAsia" w:ascii="宋体" w:hAnsi="宋体" w:cs="宋体"/>
                <w:b/>
                <w:bCs/>
                <w:color w:val="auto"/>
                <w:kern w:val="2"/>
                <w:szCs w:val="21"/>
                <w:highlight w:val="none"/>
              </w:rPr>
            </w:pPr>
            <w:r>
              <w:rPr>
                <w:rFonts w:hint="eastAsia" w:ascii="宋体" w:hAnsi="宋体" w:eastAsia="宋体" w:cs="宋体"/>
                <w:b/>
                <w:bCs/>
                <w:color w:val="auto"/>
                <w:kern w:val="2"/>
                <w:highlight w:val="none"/>
                <w:lang w:val="en-US" w:eastAsia="zh-CN"/>
              </w:rPr>
              <w:t>主观分</w:t>
            </w:r>
          </w:p>
        </w:tc>
        <w:tc>
          <w:tcPr>
            <w:tcW w:w="1267" w:type="dxa"/>
            <w:tcBorders>
              <w:tl2br w:val="nil"/>
              <w:tr2bl w:val="nil"/>
            </w:tcBorders>
            <w:vAlign w:val="center"/>
          </w:tcPr>
          <w:p>
            <w:pPr>
              <w:pStyle w:val="784"/>
              <w:widowControl w:val="0"/>
              <w:spacing w:line="360" w:lineRule="auto"/>
              <w:rPr>
                <w:rFonts w:hint="eastAsia" w:ascii="宋体" w:hAnsi="宋体" w:cs="宋体"/>
                <w:color w:val="auto"/>
                <w:kern w:val="2"/>
                <w:highlight w:val="none"/>
                <w:lang w:val="zh-TW" w:eastAsia="zh-TW"/>
              </w:rPr>
            </w:pPr>
          </w:p>
        </w:tc>
      </w:tr>
      <w:tr>
        <w:trPr>
          <w:jc w:val="center"/>
        </w:trPr>
        <w:tc>
          <w:tcPr>
            <w:tcW w:w="1171" w:type="dxa"/>
            <w:vMerge w:val="continue"/>
            <w:tcBorders>
              <w:tl2br w:val="nil"/>
              <w:tr2bl w:val="nil"/>
            </w:tcBorders>
            <w:vAlign w:val="center"/>
          </w:tcPr>
          <w:p>
            <w:pPr>
              <w:pStyle w:val="977"/>
              <w:widowControl w:val="0"/>
              <w:adjustRightInd/>
              <w:spacing w:before="0" w:line="360" w:lineRule="auto"/>
              <w:rPr>
                <w:rFonts w:hint="eastAsia" w:ascii="宋体" w:hAnsi="宋体" w:eastAsia="宋体" w:cs="宋体"/>
                <w:bCs/>
                <w:color w:val="auto"/>
                <w:szCs w:val="21"/>
                <w:highlight w:val="none"/>
                <w:lang w:val="en-US" w:eastAsia="zh-CN"/>
              </w:rPr>
            </w:pPr>
          </w:p>
        </w:tc>
        <w:tc>
          <w:tcPr>
            <w:tcW w:w="5088" w:type="dxa"/>
            <w:tcBorders>
              <w:tl2br w:val="nil"/>
              <w:tr2bl w:val="nil"/>
            </w:tcBorders>
            <w:vAlign w:val="center"/>
          </w:tcPr>
          <w:p>
            <w:pPr>
              <w:pStyle w:val="977"/>
              <w:widowControl w:val="0"/>
              <w:adjustRightInd/>
              <w:spacing w:before="0" w:line="360" w:lineRule="auto"/>
              <w:jc w:val="both"/>
              <w:rPr>
                <w:rFonts w:hint="eastAsia" w:ascii="宋体" w:hAnsi="宋体" w:eastAsia="宋体" w:cs="宋体"/>
                <w:bCs/>
                <w:color w:val="auto"/>
                <w:szCs w:val="21"/>
                <w:highlight w:val="none"/>
                <w:lang w:val="en-US" w:eastAsia="zh-CN"/>
              </w:rPr>
            </w:pPr>
            <w:r>
              <w:rPr>
                <w:rFonts w:hint="eastAsia" w:ascii="宋体" w:hAnsi="宋体" w:eastAsia="宋体" w:cs="宋体"/>
                <w:color w:val="auto"/>
                <w:sz w:val="21"/>
                <w:szCs w:val="21"/>
                <w:highlight w:val="none"/>
              </w:rPr>
              <w:t>3）有完善的服务制度、作业流程及工作计划，并建立和完善档案管理制度、公众制度等体现标准化服务，同时管理服务水平须符合国家、省、市、区和行业标准得4分，有基本的服务制度、作业流程及工作计划，并建立和完善档案管理制度、公众制度等基本体现标准化服务，同时管理服务水平较为符合国家、省、市、区和行业标准得2分，服务制度、作业流程及工作计划一般，档案管理制度、公众制度等标准化一般得1分，方案不合理或未提供方案不得分；</w:t>
            </w:r>
          </w:p>
        </w:tc>
        <w:tc>
          <w:tcPr>
            <w:tcW w:w="730" w:type="dxa"/>
            <w:tcBorders>
              <w:tl2br w:val="nil"/>
              <w:tr2bl w:val="nil"/>
            </w:tcBorders>
            <w:vAlign w:val="center"/>
          </w:tcPr>
          <w:p>
            <w:pPr>
              <w:pStyle w:val="784"/>
              <w:widowControl w:val="0"/>
              <w:spacing w:line="360" w:lineRule="auto"/>
              <w:jc w:val="center"/>
              <w:rPr>
                <w:rFonts w:hint="eastAsia" w:ascii="宋体" w:hAnsi="宋体" w:cs="宋体"/>
                <w:b/>
                <w:bCs/>
                <w:color w:val="auto"/>
                <w:kern w:val="2"/>
                <w:highlight w:val="none"/>
                <w:lang w:val="en-US" w:eastAsia="zh-CN"/>
              </w:rPr>
            </w:pPr>
            <w:r>
              <w:rPr>
                <w:rFonts w:hint="eastAsia" w:ascii="宋体" w:hAnsi="宋体" w:cs="宋体"/>
                <w:b/>
                <w:bCs/>
                <w:color w:val="auto"/>
                <w:kern w:val="2"/>
                <w:highlight w:val="none"/>
                <w:lang w:val="en-US" w:eastAsia="zh-CN"/>
              </w:rPr>
              <w:t>4</w:t>
            </w:r>
          </w:p>
        </w:tc>
        <w:tc>
          <w:tcPr>
            <w:tcW w:w="1126" w:type="dxa"/>
            <w:tcBorders>
              <w:tl2br w:val="nil"/>
              <w:tr2bl w:val="nil"/>
            </w:tcBorders>
            <w:vAlign w:val="center"/>
          </w:tcPr>
          <w:p>
            <w:pPr>
              <w:widowControl w:val="0"/>
              <w:spacing w:line="360" w:lineRule="auto"/>
              <w:jc w:val="center"/>
              <w:rPr>
                <w:rFonts w:hint="eastAsia" w:ascii="宋体" w:hAnsi="宋体" w:cs="宋体"/>
                <w:b/>
                <w:bCs/>
                <w:color w:val="auto"/>
                <w:kern w:val="2"/>
                <w:szCs w:val="21"/>
                <w:highlight w:val="none"/>
              </w:rPr>
            </w:pPr>
            <w:r>
              <w:rPr>
                <w:rFonts w:hint="eastAsia" w:ascii="宋体" w:hAnsi="宋体" w:eastAsia="宋体" w:cs="宋体"/>
                <w:b/>
                <w:bCs/>
                <w:color w:val="auto"/>
                <w:kern w:val="2"/>
                <w:highlight w:val="none"/>
                <w:lang w:val="en-US" w:eastAsia="zh-CN"/>
              </w:rPr>
              <w:t>主观分</w:t>
            </w:r>
          </w:p>
        </w:tc>
        <w:tc>
          <w:tcPr>
            <w:tcW w:w="1267" w:type="dxa"/>
            <w:tcBorders>
              <w:tl2br w:val="nil"/>
              <w:tr2bl w:val="nil"/>
            </w:tcBorders>
            <w:vAlign w:val="center"/>
          </w:tcPr>
          <w:p>
            <w:pPr>
              <w:pStyle w:val="784"/>
              <w:widowControl w:val="0"/>
              <w:spacing w:line="360" w:lineRule="auto"/>
              <w:rPr>
                <w:rFonts w:hint="eastAsia" w:ascii="宋体" w:hAnsi="宋体" w:cs="宋体"/>
                <w:color w:val="auto"/>
                <w:kern w:val="2"/>
                <w:highlight w:val="none"/>
                <w:lang w:val="zh-TW" w:eastAsia="zh-TW"/>
              </w:rPr>
            </w:pPr>
          </w:p>
        </w:tc>
      </w:tr>
      <w:tr>
        <w:trPr>
          <w:jc w:val="center"/>
        </w:trPr>
        <w:tc>
          <w:tcPr>
            <w:tcW w:w="1171" w:type="dxa"/>
            <w:vMerge w:val="continue"/>
            <w:tcBorders>
              <w:tl2br w:val="nil"/>
              <w:tr2bl w:val="nil"/>
            </w:tcBorders>
            <w:vAlign w:val="center"/>
          </w:tcPr>
          <w:p>
            <w:pPr>
              <w:pStyle w:val="977"/>
              <w:widowControl w:val="0"/>
              <w:adjustRightInd/>
              <w:spacing w:before="0" w:line="360" w:lineRule="auto"/>
              <w:rPr>
                <w:rFonts w:hint="eastAsia" w:ascii="宋体" w:hAnsi="宋体" w:eastAsia="宋体" w:cs="宋体"/>
                <w:color w:val="auto"/>
                <w:sz w:val="21"/>
                <w:szCs w:val="21"/>
                <w:highlight w:val="none"/>
                <w:lang w:val="en-US" w:eastAsia="zh-CN"/>
              </w:rPr>
            </w:pPr>
          </w:p>
        </w:tc>
        <w:tc>
          <w:tcPr>
            <w:tcW w:w="5088" w:type="dxa"/>
            <w:tcBorders>
              <w:tl2br w:val="nil"/>
              <w:tr2bl w:val="nil"/>
            </w:tcBorders>
            <w:vAlign w:val="center"/>
          </w:tcPr>
          <w:p>
            <w:pPr>
              <w:pStyle w:val="977"/>
              <w:widowControl w:val="0"/>
              <w:adjustRightInd/>
              <w:spacing w:before="0" w:line="360" w:lineRule="auto"/>
              <w:jc w:val="both"/>
              <w:rPr>
                <w:rFonts w:hint="eastAsia" w:ascii="宋体" w:hAnsi="宋体" w:eastAsia="宋体" w:cs="宋体"/>
                <w:bCs/>
                <w:color w:val="auto"/>
                <w:szCs w:val="21"/>
                <w:highlight w:val="none"/>
              </w:rPr>
            </w:pPr>
            <w:r>
              <w:rPr>
                <w:rFonts w:hint="eastAsia" w:ascii="宋体" w:hAnsi="宋体" w:eastAsia="宋体" w:cs="宋体"/>
                <w:color w:val="auto"/>
                <w:sz w:val="21"/>
                <w:szCs w:val="21"/>
                <w:highlight w:val="none"/>
              </w:rPr>
              <w:t>4）服务人员上岗前培训、继续教育的培训管理制度合理可行得2分，服务人员上岗前培训、继续教育的培训管理制度一般得1分，方案不合理或未提供方案不得分。</w:t>
            </w:r>
          </w:p>
        </w:tc>
        <w:tc>
          <w:tcPr>
            <w:tcW w:w="730" w:type="dxa"/>
            <w:tcBorders>
              <w:tl2br w:val="nil"/>
              <w:tr2bl w:val="nil"/>
            </w:tcBorders>
            <w:vAlign w:val="center"/>
          </w:tcPr>
          <w:p>
            <w:pPr>
              <w:pStyle w:val="784"/>
              <w:widowControl w:val="0"/>
              <w:spacing w:line="360" w:lineRule="auto"/>
              <w:jc w:val="center"/>
              <w:rPr>
                <w:rFonts w:hint="eastAsia" w:ascii="宋体" w:hAnsi="宋体" w:cs="宋体"/>
                <w:b/>
                <w:bCs/>
                <w:color w:val="auto"/>
                <w:kern w:val="2"/>
                <w:highlight w:val="none"/>
                <w:lang w:val="en-US" w:eastAsia="zh-CN"/>
              </w:rPr>
            </w:pPr>
            <w:r>
              <w:rPr>
                <w:rFonts w:hint="eastAsia" w:ascii="宋体" w:hAnsi="宋体" w:cs="宋体"/>
                <w:b/>
                <w:bCs/>
                <w:color w:val="auto"/>
                <w:kern w:val="2"/>
                <w:highlight w:val="none"/>
                <w:lang w:val="en-US" w:eastAsia="zh-CN"/>
              </w:rPr>
              <w:t>2</w:t>
            </w:r>
          </w:p>
        </w:tc>
        <w:tc>
          <w:tcPr>
            <w:tcW w:w="1126" w:type="dxa"/>
            <w:tcBorders>
              <w:tl2br w:val="nil"/>
              <w:tr2bl w:val="nil"/>
            </w:tcBorders>
            <w:vAlign w:val="center"/>
          </w:tcPr>
          <w:p>
            <w:pPr>
              <w:widowControl w:val="0"/>
              <w:spacing w:line="360" w:lineRule="auto"/>
              <w:jc w:val="center"/>
              <w:rPr>
                <w:rFonts w:hint="eastAsia" w:ascii="宋体" w:hAnsi="宋体" w:cs="宋体"/>
                <w:b/>
                <w:bCs/>
                <w:color w:val="auto"/>
                <w:kern w:val="2"/>
                <w:szCs w:val="21"/>
                <w:highlight w:val="none"/>
              </w:rPr>
            </w:pPr>
            <w:r>
              <w:rPr>
                <w:rFonts w:hint="eastAsia" w:ascii="宋体" w:hAnsi="宋体" w:eastAsia="宋体" w:cs="宋体"/>
                <w:b/>
                <w:bCs/>
                <w:color w:val="auto"/>
                <w:kern w:val="2"/>
                <w:highlight w:val="none"/>
                <w:lang w:val="en-US" w:eastAsia="zh-CN"/>
              </w:rPr>
              <w:t>主观分</w:t>
            </w:r>
          </w:p>
        </w:tc>
        <w:tc>
          <w:tcPr>
            <w:tcW w:w="1267" w:type="dxa"/>
            <w:tcBorders>
              <w:tl2br w:val="nil"/>
              <w:tr2bl w:val="nil"/>
            </w:tcBorders>
            <w:vAlign w:val="center"/>
          </w:tcPr>
          <w:p>
            <w:pPr>
              <w:pStyle w:val="784"/>
              <w:widowControl w:val="0"/>
              <w:spacing w:line="360" w:lineRule="auto"/>
              <w:rPr>
                <w:rFonts w:hint="eastAsia" w:ascii="宋体" w:hAnsi="宋体" w:cs="宋体"/>
                <w:color w:val="auto"/>
                <w:kern w:val="2"/>
                <w:highlight w:val="none"/>
                <w:lang w:val="zh-TW" w:eastAsia="zh-TW"/>
              </w:rPr>
            </w:pPr>
          </w:p>
        </w:tc>
      </w:tr>
      <w:tr>
        <w:trPr>
          <w:jc w:val="center"/>
        </w:trPr>
        <w:tc>
          <w:tcPr>
            <w:tcW w:w="1171" w:type="dxa"/>
            <w:vMerge w:val="restart"/>
            <w:tcBorders>
              <w:tl2br w:val="nil"/>
              <w:tr2bl w:val="nil"/>
            </w:tcBorders>
            <w:vAlign w:val="center"/>
          </w:tcPr>
          <w:p>
            <w:pPr>
              <w:pStyle w:val="977"/>
              <w:widowControl w:val="0"/>
              <w:adjustRightInd/>
              <w:spacing w:before="0" w:line="360" w:lineRule="auto"/>
              <w:rPr>
                <w:rFonts w:hint="eastAsia" w:ascii="宋体" w:hAnsi="宋体" w:cs="宋体"/>
                <w:color w:val="auto"/>
                <w:kern w:val="2"/>
                <w:szCs w:val="21"/>
                <w:highlight w:val="none"/>
              </w:rPr>
            </w:pPr>
            <w:r>
              <w:rPr>
                <w:rFonts w:hint="eastAsia" w:ascii="宋体" w:hAnsi="宋体" w:eastAsia="宋体" w:cs="宋体"/>
                <w:b/>
                <w:bCs/>
                <w:color w:val="auto"/>
                <w:sz w:val="21"/>
                <w:szCs w:val="21"/>
                <w:highlight w:val="none"/>
              </w:rPr>
              <w:t>2、服务方案</w:t>
            </w:r>
          </w:p>
        </w:tc>
        <w:tc>
          <w:tcPr>
            <w:tcW w:w="5088" w:type="dxa"/>
            <w:tcBorders>
              <w:tl2br w:val="nil"/>
              <w:tr2bl w:val="nil"/>
            </w:tcBorders>
            <w:vAlign w:val="center"/>
          </w:tcPr>
          <w:p>
            <w:pPr>
              <w:spacing w:line="360" w:lineRule="auto"/>
              <w:rPr>
                <w:rFonts w:hint="eastAsia" w:ascii="宋体" w:hAnsi="宋体" w:cs="宋体"/>
                <w:color w:val="auto"/>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方案分析：</w:t>
            </w:r>
            <w:r>
              <w:rPr>
                <w:rFonts w:hint="eastAsia" w:ascii="宋体" w:hAnsi="宋体" w:eastAsia="宋体" w:cs="宋体"/>
                <w:color w:val="auto"/>
                <w:sz w:val="21"/>
                <w:szCs w:val="21"/>
                <w:highlight w:val="none"/>
              </w:rPr>
              <w:t>投标人对本项目服务重点、难点的分析到位，提出解决方案，且方案符合实际情况，合理可行得4分，投标人对本项目服务重点、难点的分析较为到位，提出解决方案，且方案较为符合实际情况得2分，投标人对本项目服务重点、难点的分析一般，提出解决方案，方案与实际情况符合度一般得1分，方案不合理或未提供方案不得分。</w:t>
            </w:r>
          </w:p>
        </w:tc>
        <w:tc>
          <w:tcPr>
            <w:tcW w:w="730" w:type="dxa"/>
            <w:tcBorders>
              <w:tl2br w:val="nil"/>
              <w:tr2bl w:val="nil"/>
            </w:tcBorders>
            <w:vAlign w:val="center"/>
          </w:tcPr>
          <w:p>
            <w:pPr>
              <w:pStyle w:val="784"/>
              <w:spacing w:line="360" w:lineRule="auto"/>
              <w:jc w:val="center"/>
              <w:rPr>
                <w:rFonts w:hint="eastAsia" w:ascii="宋体" w:hAnsi="宋体" w:eastAsia="宋体" w:cs="宋体"/>
                <w:b/>
                <w:bCs/>
                <w:color w:val="auto"/>
                <w:kern w:val="2"/>
                <w:highlight w:val="none"/>
                <w:lang w:val="en-US" w:eastAsia="zh-CN"/>
              </w:rPr>
            </w:pPr>
            <w:r>
              <w:rPr>
                <w:rFonts w:hint="eastAsia" w:ascii="宋体" w:hAnsi="宋体" w:eastAsia="宋体" w:cs="宋体"/>
                <w:b/>
                <w:bCs/>
                <w:color w:val="auto"/>
                <w:kern w:val="2"/>
                <w:highlight w:val="none"/>
                <w:lang w:val="en-US" w:eastAsia="zh-CN"/>
              </w:rPr>
              <w:t>4</w:t>
            </w:r>
          </w:p>
        </w:tc>
        <w:tc>
          <w:tcPr>
            <w:tcW w:w="1126" w:type="dxa"/>
            <w:tcBorders>
              <w:tl2br w:val="nil"/>
              <w:tr2bl w:val="nil"/>
            </w:tcBorders>
            <w:vAlign w:val="center"/>
          </w:tcPr>
          <w:p>
            <w:pPr>
              <w:pStyle w:val="784"/>
              <w:spacing w:line="360" w:lineRule="auto"/>
              <w:jc w:val="center"/>
              <w:rPr>
                <w:rFonts w:hint="eastAsia" w:ascii="宋体" w:hAnsi="宋体" w:eastAsia="宋体" w:cs="宋体"/>
                <w:b/>
                <w:bCs/>
                <w:color w:val="auto"/>
                <w:kern w:val="2"/>
                <w:highlight w:val="none"/>
                <w:lang w:val="en-US" w:eastAsia="zh-CN"/>
              </w:rPr>
            </w:pPr>
            <w:r>
              <w:rPr>
                <w:rFonts w:hint="eastAsia" w:ascii="宋体" w:hAnsi="宋体" w:eastAsia="宋体" w:cs="宋体"/>
                <w:b/>
                <w:bCs/>
                <w:color w:val="auto"/>
                <w:kern w:val="2"/>
                <w:highlight w:val="none"/>
                <w:lang w:val="en-US" w:eastAsia="zh-CN"/>
              </w:rPr>
              <w:t>主观分</w:t>
            </w:r>
          </w:p>
        </w:tc>
        <w:tc>
          <w:tcPr>
            <w:tcW w:w="1267" w:type="dxa"/>
            <w:tcBorders>
              <w:tl2br w:val="nil"/>
              <w:tr2bl w:val="nil"/>
            </w:tcBorders>
            <w:vAlign w:val="center"/>
          </w:tcPr>
          <w:p>
            <w:pPr>
              <w:pStyle w:val="784"/>
              <w:widowControl w:val="0"/>
              <w:spacing w:line="360" w:lineRule="auto"/>
              <w:rPr>
                <w:rFonts w:hint="eastAsia" w:ascii="宋体" w:hAnsi="宋体" w:cs="宋体"/>
                <w:color w:val="auto"/>
                <w:kern w:val="2"/>
                <w:highlight w:val="none"/>
                <w:lang w:val="zh-TW" w:eastAsia="zh-TW"/>
              </w:rPr>
            </w:pPr>
          </w:p>
        </w:tc>
      </w:tr>
      <w:tr>
        <w:trPr>
          <w:jc w:val="center"/>
        </w:trPr>
        <w:tc>
          <w:tcPr>
            <w:tcW w:w="1171" w:type="dxa"/>
            <w:vMerge w:val="continue"/>
            <w:tcBorders>
              <w:tl2br w:val="nil"/>
              <w:tr2bl w:val="nil"/>
            </w:tcBorders>
            <w:vAlign w:val="center"/>
          </w:tcPr>
          <w:p>
            <w:pPr>
              <w:pStyle w:val="977"/>
              <w:widowControl w:val="0"/>
              <w:adjustRightInd/>
              <w:spacing w:before="0" w:line="360" w:lineRule="auto"/>
              <w:rPr>
                <w:rFonts w:hint="eastAsia" w:ascii="宋体" w:hAnsi="宋体" w:cs="宋体"/>
                <w:color w:val="auto"/>
                <w:szCs w:val="21"/>
                <w:highlight w:val="none"/>
                <w:lang w:bidi="ar"/>
              </w:rPr>
            </w:pPr>
          </w:p>
        </w:tc>
        <w:tc>
          <w:tcPr>
            <w:tcW w:w="5088" w:type="dxa"/>
            <w:tcBorders>
              <w:tl2br w:val="nil"/>
              <w:tr2bl w:val="nil"/>
            </w:tcBorders>
            <w:vAlign w:val="center"/>
          </w:tcPr>
          <w:p>
            <w:pPr>
              <w:spacing w:line="360" w:lineRule="auto"/>
              <w:rPr>
                <w:rFonts w:hint="eastAsia" w:ascii="宋体" w:hAnsi="宋体" w:cs="宋体"/>
                <w:color w:val="auto"/>
                <w:kern w:val="2"/>
                <w:szCs w:val="21"/>
                <w:highlight w:val="none"/>
              </w:rPr>
            </w:pPr>
            <w:r>
              <w:rPr>
                <w:rFonts w:hint="eastAsia" w:ascii="宋体" w:hAnsi="宋体" w:eastAsia="宋体" w:cs="宋体"/>
                <w:b/>
                <w:bCs/>
                <w:color w:val="auto"/>
                <w:sz w:val="21"/>
                <w:szCs w:val="21"/>
                <w:highlight w:val="none"/>
              </w:rPr>
              <w:t>2）生活照料服务：</w:t>
            </w:r>
            <w:r>
              <w:rPr>
                <w:rFonts w:hint="eastAsia" w:ascii="宋体" w:hAnsi="宋体" w:eastAsia="宋体" w:cs="宋体"/>
                <w:color w:val="auto"/>
                <w:sz w:val="21"/>
                <w:szCs w:val="21"/>
                <w:highlight w:val="none"/>
              </w:rPr>
              <w:t>包括（1）助餐服务；（2）助洁服务；（3）助行服务；（4）助浴服务；（5）助急服务；达到居家上门服务标准每项得2分，提供了方案，但与居家上门服务标准有一定不足，需进一步完善每项得1分，方案不合理或未提供方案不得分，总计10分。</w:t>
            </w:r>
          </w:p>
        </w:tc>
        <w:tc>
          <w:tcPr>
            <w:tcW w:w="730" w:type="dxa"/>
            <w:tcBorders>
              <w:tl2br w:val="nil"/>
              <w:tr2bl w:val="nil"/>
            </w:tcBorders>
            <w:vAlign w:val="center"/>
          </w:tcPr>
          <w:p>
            <w:pPr>
              <w:pStyle w:val="784"/>
              <w:spacing w:line="360" w:lineRule="auto"/>
              <w:jc w:val="center"/>
              <w:rPr>
                <w:rFonts w:hint="eastAsia" w:ascii="宋体" w:hAnsi="宋体" w:eastAsia="宋体" w:cs="宋体"/>
                <w:b/>
                <w:bCs/>
                <w:color w:val="auto"/>
                <w:kern w:val="2"/>
                <w:highlight w:val="none"/>
                <w:lang w:val="en-US" w:eastAsia="zh-CN"/>
              </w:rPr>
            </w:pPr>
            <w:r>
              <w:rPr>
                <w:rFonts w:hint="eastAsia" w:ascii="宋体" w:hAnsi="宋体" w:eastAsia="宋体" w:cs="宋体"/>
                <w:b/>
                <w:bCs/>
                <w:color w:val="auto"/>
                <w:kern w:val="2"/>
                <w:highlight w:val="none"/>
                <w:lang w:val="en-US" w:eastAsia="zh-CN"/>
              </w:rPr>
              <w:t>10</w:t>
            </w:r>
          </w:p>
        </w:tc>
        <w:tc>
          <w:tcPr>
            <w:tcW w:w="1126" w:type="dxa"/>
            <w:tcBorders>
              <w:tl2br w:val="nil"/>
              <w:tr2bl w:val="nil"/>
            </w:tcBorders>
            <w:vAlign w:val="center"/>
          </w:tcPr>
          <w:p>
            <w:pPr>
              <w:spacing w:line="360" w:lineRule="auto"/>
              <w:jc w:val="center"/>
              <w:rPr>
                <w:rFonts w:hint="eastAsia" w:ascii="宋体" w:hAnsi="宋体" w:cs="宋体"/>
                <w:b/>
                <w:bCs/>
                <w:color w:val="auto"/>
                <w:kern w:val="2"/>
                <w:szCs w:val="21"/>
                <w:highlight w:val="none"/>
              </w:rPr>
            </w:pPr>
            <w:r>
              <w:rPr>
                <w:rFonts w:hint="eastAsia" w:ascii="宋体" w:hAnsi="宋体" w:eastAsia="宋体" w:cs="宋体"/>
                <w:b/>
                <w:bCs/>
                <w:color w:val="auto"/>
                <w:kern w:val="2"/>
                <w:highlight w:val="none"/>
                <w:lang w:val="en-US" w:eastAsia="zh-CN"/>
              </w:rPr>
              <w:t>主观分</w:t>
            </w:r>
          </w:p>
        </w:tc>
        <w:tc>
          <w:tcPr>
            <w:tcW w:w="1267" w:type="dxa"/>
            <w:tcBorders>
              <w:tl2br w:val="nil"/>
              <w:tr2bl w:val="nil"/>
            </w:tcBorders>
            <w:vAlign w:val="center"/>
          </w:tcPr>
          <w:p>
            <w:pPr>
              <w:pStyle w:val="784"/>
              <w:widowControl w:val="0"/>
              <w:spacing w:line="360" w:lineRule="auto"/>
              <w:rPr>
                <w:rFonts w:hint="eastAsia" w:ascii="宋体" w:hAnsi="宋体" w:cs="宋体"/>
                <w:color w:val="auto"/>
                <w:kern w:val="2"/>
                <w:highlight w:val="none"/>
                <w:lang w:val="zh-TW" w:eastAsia="zh-TW"/>
              </w:rPr>
            </w:pPr>
          </w:p>
        </w:tc>
      </w:tr>
      <w:tr>
        <w:trPr>
          <w:jc w:val="center"/>
        </w:trPr>
        <w:tc>
          <w:tcPr>
            <w:tcW w:w="1171" w:type="dxa"/>
            <w:vMerge w:val="continue"/>
            <w:tcBorders>
              <w:tl2br w:val="nil"/>
              <w:tr2bl w:val="nil"/>
            </w:tcBorders>
            <w:vAlign w:val="center"/>
          </w:tcPr>
          <w:p>
            <w:pPr>
              <w:pStyle w:val="977"/>
              <w:widowControl w:val="0"/>
              <w:adjustRightInd/>
              <w:spacing w:before="0" w:line="360" w:lineRule="auto"/>
              <w:rPr>
                <w:rFonts w:hint="eastAsia" w:ascii="宋体" w:hAnsi="宋体" w:cs="宋体"/>
                <w:color w:val="auto"/>
                <w:kern w:val="2"/>
                <w:szCs w:val="21"/>
                <w:highlight w:val="none"/>
              </w:rPr>
            </w:pPr>
          </w:p>
        </w:tc>
        <w:tc>
          <w:tcPr>
            <w:tcW w:w="5088" w:type="dxa"/>
            <w:tcBorders>
              <w:tl2br w:val="nil"/>
              <w:tr2bl w:val="nil"/>
            </w:tcBorders>
            <w:vAlign w:val="center"/>
          </w:tcPr>
          <w:p>
            <w:pPr>
              <w:spacing w:line="360" w:lineRule="auto"/>
              <w:rPr>
                <w:rFonts w:hint="eastAsia" w:ascii="宋体" w:hAnsi="宋体" w:cs="宋体"/>
                <w:color w:val="auto"/>
                <w:szCs w:val="21"/>
                <w:highlight w:val="none"/>
              </w:rPr>
            </w:pPr>
            <w:r>
              <w:rPr>
                <w:rFonts w:hint="eastAsia" w:ascii="宋体" w:hAnsi="宋体" w:eastAsia="宋体" w:cs="宋体"/>
                <w:b/>
                <w:bCs/>
                <w:color w:val="auto"/>
                <w:sz w:val="21"/>
                <w:szCs w:val="21"/>
                <w:highlight w:val="none"/>
              </w:rPr>
              <w:t>3）康复护理服务</w:t>
            </w:r>
            <w:r>
              <w:rPr>
                <w:rFonts w:hint="eastAsia" w:ascii="宋体" w:hAnsi="宋体" w:eastAsia="宋体" w:cs="宋体"/>
                <w:color w:val="auto"/>
                <w:sz w:val="21"/>
                <w:szCs w:val="21"/>
                <w:highlight w:val="none"/>
              </w:rPr>
              <w:t>：包括（1）医疗协助服务；（2）健康咨询服务；（3）康复理疗指导；（4）个体康复训练服务；（5）提供基本的医疗护理服务； 达到居家上门服务标准每项得2分，提供了方案，但与居家上门服务标准有一定不足，需进一步完善每项得1分，方案不合理或未提供方案不得分，总计10分。</w:t>
            </w:r>
          </w:p>
        </w:tc>
        <w:tc>
          <w:tcPr>
            <w:tcW w:w="730" w:type="dxa"/>
            <w:tcBorders>
              <w:tl2br w:val="nil"/>
              <w:tr2bl w:val="nil"/>
            </w:tcBorders>
            <w:vAlign w:val="center"/>
          </w:tcPr>
          <w:p>
            <w:pPr>
              <w:pStyle w:val="784"/>
              <w:spacing w:line="360" w:lineRule="auto"/>
              <w:ind w:firstLine="210" w:firstLineChars="100"/>
              <w:rPr>
                <w:rFonts w:hint="eastAsia" w:ascii="宋体" w:hAnsi="宋体" w:eastAsia="宋体" w:cs="宋体"/>
                <w:b/>
                <w:bCs/>
                <w:color w:val="auto"/>
                <w:kern w:val="2"/>
                <w:highlight w:val="none"/>
                <w:lang w:val="en-US" w:eastAsia="zh-CN"/>
              </w:rPr>
            </w:pPr>
            <w:r>
              <w:rPr>
                <w:rFonts w:hint="eastAsia" w:ascii="宋体" w:hAnsi="宋体" w:eastAsia="宋体" w:cs="宋体"/>
                <w:b/>
                <w:bCs/>
                <w:color w:val="auto"/>
                <w:kern w:val="2"/>
                <w:highlight w:val="none"/>
                <w:lang w:val="en-US" w:eastAsia="zh-CN"/>
              </w:rPr>
              <w:t>10</w:t>
            </w:r>
          </w:p>
        </w:tc>
        <w:tc>
          <w:tcPr>
            <w:tcW w:w="1126" w:type="dxa"/>
            <w:tcBorders>
              <w:tl2br w:val="nil"/>
              <w:tr2bl w:val="nil"/>
            </w:tcBorders>
            <w:vAlign w:val="center"/>
          </w:tcPr>
          <w:p>
            <w:pPr>
              <w:spacing w:line="360" w:lineRule="auto"/>
              <w:jc w:val="center"/>
              <w:rPr>
                <w:rFonts w:hint="eastAsia" w:ascii="宋体" w:hAnsi="宋体" w:cs="宋体"/>
                <w:b/>
                <w:bCs/>
                <w:color w:val="auto"/>
                <w:kern w:val="2"/>
                <w:szCs w:val="21"/>
                <w:highlight w:val="none"/>
              </w:rPr>
            </w:pPr>
            <w:r>
              <w:rPr>
                <w:rFonts w:hint="eastAsia" w:ascii="宋体" w:hAnsi="宋体" w:eastAsia="宋体" w:cs="宋体"/>
                <w:b/>
                <w:bCs/>
                <w:color w:val="auto"/>
                <w:kern w:val="2"/>
                <w:highlight w:val="none"/>
                <w:lang w:val="en-US" w:eastAsia="zh-CN"/>
              </w:rPr>
              <w:t>主观分</w:t>
            </w:r>
          </w:p>
        </w:tc>
        <w:tc>
          <w:tcPr>
            <w:tcW w:w="1267" w:type="dxa"/>
            <w:tcBorders>
              <w:tl2br w:val="nil"/>
              <w:tr2bl w:val="nil"/>
            </w:tcBorders>
            <w:vAlign w:val="center"/>
          </w:tcPr>
          <w:p>
            <w:pPr>
              <w:pStyle w:val="784"/>
              <w:widowControl w:val="0"/>
              <w:spacing w:line="360" w:lineRule="auto"/>
              <w:rPr>
                <w:rFonts w:hint="eastAsia" w:ascii="宋体" w:hAnsi="宋体" w:cs="宋体"/>
                <w:color w:val="auto"/>
                <w:kern w:val="2"/>
                <w:highlight w:val="none"/>
                <w:lang w:val="zh-TW" w:eastAsia="zh-TW"/>
              </w:rPr>
            </w:pPr>
          </w:p>
        </w:tc>
      </w:tr>
      <w:tr>
        <w:trPr>
          <w:jc w:val="center"/>
        </w:trPr>
        <w:tc>
          <w:tcPr>
            <w:tcW w:w="1171" w:type="dxa"/>
            <w:vMerge w:val="continue"/>
            <w:tcBorders>
              <w:tl2br w:val="nil"/>
              <w:tr2bl w:val="nil"/>
            </w:tcBorders>
            <w:vAlign w:val="center"/>
          </w:tcPr>
          <w:p>
            <w:pPr>
              <w:pStyle w:val="977"/>
              <w:widowControl w:val="0"/>
              <w:adjustRightInd/>
              <w:spacing w:before="0" w:line="360" w:lineRule="auto"/>
              <w:rPr>
                <w:rFonts w:hint="eastAsia" w:ascii="宋体" w:hAnsi="宋体" w:cs="宋体"/>
                <w:color w:val="auto"/>
                <w:kern w:val="2"/>
                <w:szCs w:val="21"/>
                <w:highlight w:val="none"/>
              </w:rPr>
            </w:pPr>
          </w:p>
        </w:tc>
        <w:tc>
          <w:tcPr>
            <w:tcW w:w="5088" w:type="dxa"/>
            <w:tcBorders>
              <w:tl2br w:val="nil"/>
              <w:tr2bl w:val="nil"/>
            </w:tcBorders>
            <w:vAlign w:val="center"/>
          </w:tcPr>
          <w:p>
            <w:pPr>
              <w:spacing w:line="360" w:lineRule="auto"/>
              <w:rPr>
                <w:rFonts w:hint="eastAsia" w:ascii="宋体" w:hAnsi="宋体" w:cs="宋体"/>
                <w:color w:val="auto"/>
                <w:szCs w:val="21"/>
                <w:highlight w:val="none"/>
              </w:rPr>
            </w:pPr>
            <w:r>
              <w:rPr>
                <w:rFonts w:hint="eastAsia" w:ascii="宋体" w:hAnsi="宋体" w:eastAsia="宋体" w:cs="宋体"/>
                <w:b/>
                <w:bCs/>
                <w:color w:val="auto"/>
                <w:sz w:val="21"/>
                <w:szCs w:val="21"/>
                <w:highlight w:val="none"/>
              </w:rPr>
              <w:t>4）精神慰藉服务：</w:t>
            </w:r>
            <w:r>
              <w:rPr>
                <w:rFonts w:hint="eastAsia" w:ascii="宋体" w:hAnsi="宋体" w:eastAsia="宋体" w:cs="宋体"/>
                <w:color w:val="auto"/>
                <w:sz w:val="21"/>
                <w:szCs w:val="21"/>
                <w:highlight w:val="none"/>
              </w:rPr>
              <w:t>包括（1）精神支持服务：读报，耐心倾听，能与老年人进行谈心、交流；（2）心理疏导服务：掌握老年人心理特点和基本沟通技巧，能够观察老年人的情绪变化，并通过心理干预手段调整老年人心理状态；（3）尊重并保护老年人隐私，达到居家上门服务标准每项得1分，提供了方案，但与居家上门服务标准有一定不足，需进一步完善每项得0.5分，方案不合理或未提供方案不得分，总计3分。</w:t>
            </w:r>
          </w:p>
        </w:tc>
        <w:tc>
          <w:tcPr>
            <w:tcW w:w="730" w:type="dxa"/>
            <w:tcBorders>
              <w:tl2br w:val="nil"/>
              <w:tr2bl w:val="nil"/>
            </w:tcBorders>
            <w:vAlign w:val="center"/>
          </w:tcPr>
          <w:p>
            <w:pPr>
              <w:pStyle w:val="784"/>
              <w:spacing w:line="360" w:lineRule="auto"/>
              <w:ind w:firstLine="210" w:firstLineChars="100"/>
              <w:rPr>
                <w:rFonts w:hint="eastAsia" w:ascii="宋体" w:hAnsi="宋体" w:eastAsia="宋体" w:cs="宋体"/>
                <w:b/>
                <w:bCs/>
                <w:color w:val="auto"/>
                <w:kern w:val="2"/>
                <w:highlight w:val="none"/>
                <w:lang w:val="en-US" w:eastAsia="zh-CN"/>
              </w:rPr>
            </w:pPr>
            <w:r>
              <w:rPr>
                <w:rFonts w:hint="eastAsia" w:ascii="宋体" w:hAnsi="宋体" w:eastAsia="宋体" w:cs="宋体"/>
                <w:b/>
                <w:bCs/>
                <w:color w:val="auto"/>
                <w:kern w:val="2"/>
                <w:highlight w:val="none"/>
                <w:lang w:val="en-US" w:eastAsia="zh-CN"/>
              </w:rPr>
              <w:t>3</w:t>
            </w:r>
          </w:p>
        </w:tc>
        <w:tc>
          <w:tcPr>
            <w:tcW w:w="1126" w:type="dxa"/>
            <w:tcBorders>
              <w:tl2br w:val="nil"/>
              <w:tr2bl w:val="nil"/>
            </w:tcBorders>
            <w:vAlign w:val="center"/>
          </w:tcPr>
          <w:p>
            <w:pPr>
              <w:spacing w:line="360" w:lineRule="auto"/>
              <w:jc w:val="center"/>
              <w:rPr>
                <w:rFonts w:hint="eastAsia" w:ascii="宋体" w:hAnsi="宋体" w:cs="宋体"/>
                <w:b/>
                <w:bCs/>
                <w:color w:val="auto"/>
                <w:kern w:val="2"/>
                <w:szCs w:val="21"/>
                <w:highlight w:val="none"/>
              </w:rPr>
            </w:pPr>
            <w:r>
              <w:rPr>
                <w:rFonts w:hint="eastAsia" w:ascii="宋体" w:hAnsi="宋体" w:eastAsia="宋体" w:cs="宋体"/>
                <w:b/>
                <w:bCs/>
                <w:color w:val="auto"/>
                <w:kern w:val="2"/>
                <w:highlight w:val="none"/>
                <w:lang w:val="en-US" w:eastAsia="zh-CN"/>
              </w:rPr>
              <w:t>主观分</w:t>
            </w:r>
          </w:p>
        </w:tc>
        <w:tc>
          <w:tcPr>
            <w:tcW w:w="1267" w:type="dxa"/>
            <w:tcBorders>
              <w:tl2br w:val="nil"/>
              <w:tr2bl w:val="nil"/>
            </w:tcBorders>
            <w:vAlign w:val="center"/>
          </w:tcPr>
          <w:p>
            <w:pPr>
              <w:pStyle w:val="784"/>
              <w:widowControl w:val="0"/>
              <w:spacing w:line="360" w:lineRule="auto"/>
              <w:rPr>
                <w:rFonts w:hint="eastAsia" w:ascii="宋体" w:hAnsi="宋体" w:cs="宋体"/>
                <w:color w:val="auto"/>
                <w:kern w:val="2"/>
                <w:highlight w:val="none"/>
                <w:lang w:val="zh-TW" w:eastAsia="zh-TW"/>
              </w:rPr>
            </w:pPr>
          </w:p>
        </w:tc>
      </w:tr>
      <w:tr>
        <w:trPr>
          <w:jc w:val="center"/>
        </w:trPr>
        <w:tc>
          <w:tcPr>
            <w:tcW w:w="1171" w:type="dxa"/>
            <w:vMerge w:val="restart"/>
            <w:tcBorders>
              <w:tl2br w:val="nil"/>
              <w:tr2bl w:val="nil"/>
            </w:tcBorders>
            <w:vAlign w:val="center"/>
          </w:tcPr>
          <w:p>
            <w:pPr>
              <w:pStyle w:val="977"/>
              <w:widowControl w:val="0"/>
              <w:adjustRightInd/>
              <w:spacing w:before="0" w:line="360" w:lineRule="auto"/>
              <w:rPr>
                <w:rFonts w:hint="eastAsia" w:ascii="宋体" w:hAnsi="宋体" w:cs="宋体"/>
                <w:color w:val="auto"/>
                <w:kern w:val="2"/>
                <w:szCs w:val="21"/>
                <w:highlight w:val="none"/>
              </w:rPr>
            </w:pPr>
            <w:r>
              <w:rPr>
                <w:rFonts w:hint="eastAsia" w:ascii="宋体" w:hAnsi="宋体" w:eastAsia="宋体" w:cs="宋体"/>
                <w:b/>
                <w:bCs/>
                <w:color w:val="auto"/>
                <w:sz w:val="21"/>
                <w:szCs w:val="21"/>
                <w:highlight w:val="none"/>
              </w:rPr>
              <w:t>3、投标人提供的其他服务</w:t>
            </w:r>
          </w:p>
        </w:tc>
        <w:tc>
          <w:tcPr>
            <w:tcW w:w="5088" w:type="dxa"/>
            <w:tcBorders>
              <w:tl2br w:val="nil"/>
              <w:tr2bl w:val="nil"/>
            </w:tcBorders>
            <w:vAlign w:val="center"/>
          </w:tcPr>
          <w:p>
            <w:pPr>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rPr>
              <w:t>1）服务人员能够定期进行调查、评估，根据服务对象需求，及时调整或更新服务项目，详细明列方案及计划得3分，服务人员能够定期进行调查、评估，根据服务对象需求，调整或更新服务项目，但有一定偏离得1分，方案不合理或未提供方案不得分。</w:t>
            </w:r>
          </w:p>
        </w:tc>
        <w:tc>
          <w:tcPr>
            <w:tcW w:w="730" w:type="dxa"/>
            <w:tcBorders>
              <w:tl2br w:val="nil"/>
              <w:tr2bl w:val="nil"/>
            </w:tcBorders>
            <w:vAlign w:val="center"/>
          </w:tcPr>
          <w:p>
            <w:pPr>
              <w:pStyle w:val="784"/>
              <w:spacing w:line="360" w:lineRule="auto"/>
              <w:ind w:firstLine="210" w:firstLineChars="100"/>
              <w:rPr>
                <w:rFonts w:hint="eastAsia" w:ascii="宋体" w:hAnsi="宋体" w:eastAsia="宋体" w:cs="宋体"/>
                <w:b/>
                <w:bCs/>
                <w:color w:val="auto"/>
                <w:kern w:val="2"/>
                <w:highlight w:val="none"/>
                <w:lang w:val="en-US" w:eastAsia="zh-CN"/>
              </w:rPr>
            </w:pPr>
            <w:r>
              <w:rPr>
                <w:rFonts w:hint="eastAsia" w:ascii="宋体" w:hAnsi="宋体" w:eastAsia="宋体" w:cs="宋体"/>
                <w:b/>
                <w:bCs/>
                <w:color w:val="auto"/>
                <w:kern w:val="2"/>
                <w:highlight w:val="none"/>
                <w:lang w:val="en-US" w:eastAsia="zh-CN"/>
              </w:rPr>
              <w:t>3</w:t>
            </w:r>
          </w:p>
        </w:tc>
        <w:tc>
          <w:tcPr>
            <w:tcW w:w="1126" w:type="dxa"/>
            <w:tcBorders>
              <w:tl2br w:val="nil"/>
              <w:tr2bl w:val="nil"/>
            </w:tcBorders>
            <w:vAlign w:val="center"/>
          </w:tcPr>
          <w:p>
            <w:pPr>
              <w:spacing w:line="360" w:lineRule="auto"/>
              <w:jc w:val="center"/>
              <w:rPr>
                <w:rFonts w:hint="eastAsia" w:ascii="宋体" w:hAnsi="宋体" w:cs="宋体"/>
                <w:b/>
                <w:bCs/>
                <w:color w:val="auto"/>
                <w:kern w:val="2"/>
                <w:szCs w:val="21"/>
                <w:highlight w:val="none"/>
              </w:rPr>
            </w:pPr>
            <w:r>
              <w:rPr>
                <w:rFonts w:hint="eastAsia" w:ascii="宋体" w:hAnsi="宋体" w:eastAsia="宋体" w:cs="宋体"/>
                <w:b/>
                <w:bCs/>
                <w:color w:val="auto"/>
                <w:kern w:val="2"/>
                <w:highlight w:val="none"/>
                <w:lang w:val="en-US" w:eastAsia="zh-CN"/>
              </w:rPr>
              <w:t>主观分</w:t>
            </w:r>
          </w:p>
        </w:tc>
        <w:tc>
          <w:tcPr>
            <w:tcW w:w="1267" w:type="dxa"/>
            <w:tcBorders>
              <w:tl2br w:val="nil"/>
              <w:tr2bl w:val="nil"/>
            </w:tcBorders>
            <w:vAlign w:val="center"/>
          </w:tcPr>
          <w:p>
            <w:pPr>
              <w:pStyle w:val="784"/>
              <w:widowControl w:val="0"/>
              <w:spacing w:line="360" w:lineRule="auto"/>
              <w:rPr>
                <w:rFonts w:hint="eastAsia" w:ascii="宋体" w:hAnsi="宋体" w:cs="宋体"/>
                <w:color w:val="auto"/>
                <w:kern w:val="2"/>
                <w:highlight w:val="none"/>
                <w:lang w:val="zh-TW" w:eastAsia="zh-TW"/>
              </w:rPr>
            </w:pPr>
          </w:p>
        </w:tc>
      </w:tr>
      <w:tr>
        <w:trPr>
          <w:jc w:val="center"/>
        </w:trPr>
        <w:tc>
          <w:tcPr>
            <w:tcW w:w="1171" w:type="dxa"/>
            <w:vMerge w:val="continue"/>
            <w:tcBorders>
              <w:tl2br w:val="nil"/>
              <w:tr2bl w:val="nil"/>
            </w:tcBorders>
            <w:vAlign w:val="center"/>
          </w:tcPr>
          <w:p>
            <w:pPr>
              <w:pStyle w:val="977"/>
              <w:widowControl w:val="0"/>
              <w:adjustRightInd/>
              <w:spacing w:before="0" w:line="360" w:lineRule="auto"/>
              <w:rPr>
                <w:rFonts w:hint="eastAsia" w:ascii="宋体" w:hAnsi="宋体" w:cs="宋体"/>
                <w:color w:val="auto"/>
                <w:kern w:val="2"/>
                <w:szCs w:val="21"/>
                <w:highlight w:val="none"/>
              </w:rPr>
            </w:pPr>
          </w:p>
        </w:tc>
        <w:tc>
          <w:tcPr>
            <w:tcW w:w="5088" w:type="dxa"/>
            <w:tcBorders>
              <w:tl2br w:val="nil"/>
              <w:tr2bl w:val="nil"/>
            </w:tcBorders>
            <w:vAlign w:val="center"/>
          </w:tcPr>
          <w:p>
            <w:pPr>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rPr>
              <w:t>2）具有稳定的专业服务力量，能够满足辖区老年人日常服务需求，确保服务时间和服务质量到位，不得迟到、早退、拖拉及推诿扯皮得3分，具有稳定的专业服务力量，能够较好满足辖区老年人日常服务需求，基本确保服务时间和服务质量到位，不得迟到、早退、拖拉及推诿扯皮得2分，专业服务力量一般，对辖区老年人日常服务需求满足度一般得1分，方案不合理或未提供方案不得分。</w:t>
            </w:r>
          </w:p>
        </w:tc>
        <w:tc>
          <w:tcPr>
            <w:tcW w:w="730" w:type="dxa"/>
            <w:tcBorders>
              <w:tl2br w:val="nil"/>
              <w:tr2bl w:val="nil"/>
            </w:tcBorders>
            <w:vAlign w:val="center"/>
          </w:tcPr>
          <w:p>
            <w:pPr>
              <w:pStyle w:val="784"/>
              <w:spacing w:line="360" w:lineRule="auto"/>
              <w:ind w:firstLine="210" w:firstLineChars="100"/>
              <w:rPr>
                <w:rFonts w:hint="eastAsia" w:ascii="宋体" w:hAnsi="宋体" w:eastAsia="宋体" w:cs="宋体"/>
                <w:b/>
                <w:bCs/>
                <w:color w:val="auto"/>
                <w:kern w:val="2"/>
                <w:highlight w:val="none"/>
                <w:lang w:val="en-US" w:eastAsia="zh-CN"/>
              </w:rPr>
            </w:pPr>
            <w:r>
              <w:rPr>
                <w:rFonts w:hint="eastAsia" w:ascii="宋体" w:hAnsi="宋体" w:eastAsia="宋体" w:cs="宋体"/>
                <w:b/>
                <w:bCs/>
                <w:color w:val="auto"/>
                <w:kern w:val="2"/>
                <w:highlight w:val="none"/>
                <w:lang w:val="en-US" w:eastAsia="zh-CN"/>
              </w:rPr>
              <w:t>3</w:t>
            </w:r>
          </w:p>
        </w:tc>
        <w:tc>
          <w:tcPr>
            <w:tcW w:w="1126" w:type="dxa"/>
            <w:tcBorders>
              <w:tl2br w:val="nil"/>
              <w:tr2bl w:val="nil"/>
            </w:tcBorders>
            <w:vAlign w:val="center"/>
          </w:tcPr>
          <w:p>
            <w:pPr>
              <w:spacing w:line="360" w:lineRule="auto"/>
              <w:jc w:val="center"/>
              <w:rPr>
                <w:rFonts w:hint="eastAsia" w:ascii="宋体" w:hAnsi="宋体" w:cs="宋体"/>
                <w:b/>
                <w:bCs/>
                <w:color w:val="auto"/>
                <w:kern w:val="2"/>
                <w:szCs w:val="21"/>
                <w:highlight w:val="none"/>
              </w:rPr>
            </w:pPr>
            <w:r>
              <w:rPr>
                <w:rFonts w:hint="eastAsia" w:ascii="宋体" w:hAnsi="宋体" w:eastAsia="宋体" w:cs="宋体"/>
                <w:b/>
                <w:bCs/>
                <w:color w:val="auto"/>
                <w:kern w:val="2"/>
                <w:highlight w:val="none"/>
                <w:lang w:val="en-US" w:eastAsia="zh-CN"/>
              </w:rPr>
              <w:t>主观分</w:t>
            </w:r>
          </w:p>
        </w:tc>
        <w:tc>
          <w:tcPr>
            <w:tcW w:w="1267" w:type="dxa"/>
            <w:tcBorders>
              <w:tl2br w:val="nil"/>
              <w:tr2bl w:val="nil"/>
            </w:tcBorders>
            <w:vAlign w:val="center"/>
          </w:tcPr>
          <w:p>
            <w:pPr>
              <w:pStyle w:val="784"/>
              <w:widowControl w:val="0"/>
              <w:spacing w:line="360" w:lineRule="auto"/>
              <w:rPr>
                <w:rFonts w:hint="eastAsia" w:ascii="宋体" w:hAnsi="宋体" w:cs="宋体"/>
                <w:color w:val="auto"/>
                <w:kern w:val="2"/>
                <w:highlight w:val="none"/>
                <w:lang w:val="zh-TW" w:eastAsia="zh-TW"/>
              </w:rPr>
            </w:pPr>
          </w:p>
        </w:tc>
      </w:tr>
      <w:tr>
        <w:trPr>
          <w:jc w:val="center"/>
        </w:trPr>
        <w:tc>
          <w:tcPr>
            <w:tcW w:w="1171" w:type="dxa"/>
            <w:vMerge w:val="restart"/>
            <w:tcBorders>
              <w:tl2br w:val="nil"/>
              <w:tr2bl w:val="nil"/>
            </w:tcBorders>
            <w:vAlign w:val="center"/>
          </w:tcPr>
          <w:p>
            <w:pPr>
              <w:pStyle w:val="784"/>
              <w:widowControl w:val="0"/>
              <w:adjustRightInd/>
              <w:spacing w:before="0" w:line="360" w:lineRule="auto"/>
              <w:jc w:val="center"/>
              <w:rPr>
                <w:rFonts w:hint="eastAsia" w:ascii="宋体" w:hAnsi="宋体" w:cs="宋体"/>
                <w:color w:val="auto"/>
                <w:kern w:val="2"/>
                <w:szCs w:val="21"/>
                <w:highlight w:val="none"/>
              </w:rPr>
            </w:pPr>
            <w:r>
              <w:rPr>
                <w:rFonts w:hint="eastAsia" w:ascii="宋体" w:hAnsi="宋体" w:eastAsia="宋体" w:cs="宋体"/>
                <w:b/>
                <w:bCs/>
                <w:color w:val="auto"/>
                <w:sz w:val="21"/>
                <w:highlight w:val="none"/>
              </w:rPr>
              <w:t>4、质量及其他保证措施</w:t>
            </w:r>
          </w:p>
        </w:tc>
        <w:tc>
          <w:tcPr>
            <w:tcW w:w="5088" w:type="dxa"/>
            <w:tcBorders>
              <w:tl2br w:val="nil"/>
              <w:tr2bl w:val="nil"/>
            </w:tcBorders>
            <w:vAlign w:val="center"/>
          </w:tcPr>
          <w:p>
            <w:pPr>
              <w:widowControl/>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rPr>
              <w:t>1）服务提供过程中各项台账档案资料管理情况：需求调查表、服务反馈资料、老年人档案等台账档案资料的建立与管理情况，要求规范、详尽。提供以上三类完整的为老服务内容登记资料范本，且规范、详尽每项得1分，提供以上三类完整的为老服务内容登记资料范本，但内容一般，每项得0.5分，方案不合理或未提供方案不得分，总计3分；</w:t>
            </w:r>
          </w:p>
        </w:tc>
        <w:tc>
          <w:tcPr>
            <w:tcW w:w="730" w:type="dxa"/>
            <w:tcBorders>
              <w:tl2br w:val="nil"/>
              <w:tr2bl w:val="nil"/>
            </w:tcBorders>
            <w:vAlign w:val="center"/>
          </w:tcPr>
          <w:p>
            <w:pPr>
              <w:pStyle w:val="784"/>
              <w:spacing w:line="360" w:lineRule="auto"/>
              <w:ind w:firstLine="210" w:firstLineChars="100"/>
              <w:rPr>
                <w:rFonts w:hint="eastAsia" w:ascii="宋体" w:hAnsi="宋体" w:eastAsia="宋体" w:cs="宋体"/>
                <w:b/>
                <w:bCs/>
                <w:color w:val="auto"/>
                <w:kern w:val="2"/>
                <w:highlight w:val="none"/>
                <w:lang w:val="en-US" w:eastAsia="zh-CN"/>
              </w:rPr>
            </w:pPr>
            <w:r>
              <w:rPr>
                <w:rFonts w:hint="eastAsia" w:ascii="宋体" w:hAnsi="宋体" w:eastAsia="宋体" w:cs="宋体"/>
                <w:b/>
                <w:bCs/>
                <w:color w:val="auto"/>
                <w:kern w:val="2"/>
                <w:highlight w:val="none"/>
                <w:lang w:val="en-US" w:eastAsia="zh-CN"/>
              </w:rPr>
              <w:t>3</w:t>
            </w:r>
          </w:p>
        </w:tc>
        <w:tc>
          <w:tcPr>
            <w:tcW w:w="1126" w:type="dxa"/>
            <w:tcBorders>
              <w:tl2br w:val="nil"/>
              <w:tr2bl w:val="nil"/>
            </w:tcBorders>
            <w:vAlign w:val="center"/>
          </w:tcPr>
          <w:p>
            <w:pPr>
              <w:spacing w:line="360" w:lineRule="auto"/>
              <w:jc w:val="center"/>
              <w:rPr>
                <w:rFonts w:hint="eastAsia" w:ascii="宋体" w:hAnsi="宋体" w:cs="宋体"/>
                <w:b/>
                <w:bCs/>
                <w:color w:val="auto"/>
                <w:kern w:val="2"/>
                <w:szCs w:val="21"/>
                <w:highlight w:val="none"/>
              </w:rPr>
            </w:pPr>
            <w:r>
              <w:rPr>
                <w:rFonts w:hint="eastAsia" w:ascii="宋体" w:hAnsi="宋体" w:eastAsia="宋体" w:cs="宋体"/>
                <w:b/>
                <w:bCs/>
                <w:color w:val="auto"/>
                <w:kern w:val="2"/>
                <w:highlight w:val="none"/>
                <w:lang w:val="en-US" w:eastAsia="zh-CN"/>
              </w:rPr>
              <w:t>主观分</w:t>
            </w:r>
          </w:p>
        </w:tc>
        <w:tc>
          <w:tcPr>
            <w:tcW w:w="1267" w:type="dxa"/>
            <w:tcBorders>
              <w:tl2br w:val="nil"/>
              <w:tr2bl w:val="nil"/>
            </w:tcBorders>
            <w:vAlign w:val="center"/>
          </w:tcPr>
          <w:p>
            <w:pPr>
              <w:pStyle w:val="784"/>
              <w:widowControl w:val="0"/>
              <w:spacing w:line="360" w:lineRule="auto"/>
              <w:rPr>
                <w:rFonts w:hint="eastAsia" w:ascii="宋体" w:hAnsi="宋体" w:cs="宋体"/>
                <w:color w:val="auto"/>
                <w:kern w:val="2"/>
                <w:highlight w:val="none"/>
                <w:lang w:val="zh-TW" w:eastAsia="zh-TW"/>
              </w:rPr>
            </w:pPr>
          </w:p>
        </w:tc>
      </w:tr>
      <w:tr>
        <w:trPr>
          <w:jc w:val="center"/>
        </w:trPr>
        <w:tc>
          <w:tcPr>
            <w:tcW w:w="1171" w:type="dxa"/>
            <w:vMerge w:val="continue"/>
            <w:tcBorders>
              <w:tl2br w:val="nil"/>
              <w:tr2bl w:val="nil"/>
            </w:tcBorders>
            <w:vAlign w:val="center"/>
          </w:tcPr>
          <w:p>
            <w:pPr>
              <w:pStyle w:val="977"/>
              <w:widowControl w:val="0"/>
              <w:adjustRightInd/>
              <w:spacing w:before="0" w:line="360" w:lineRule="auto"/>
              <w:rPr>
                <w:rFonts w:hint="eastAsia" w:ascii="宋体" w:hAnsi="宋体" w:cs="宋体"/>
                <w:color w:val="auto"/>
                <w:kern w:val="2"/>
                <w:szCs w:val="21"/>
                <w:highlight w:val="none"/>
              </w:rPr>
            </w:pPr>
          </w:p>
        </w:tc>
        <w:tc>
          <w:tcPr>
            <w:tcW w:w="5088" w:type="dxa"/>
            <w:tcBorders>
              <w:tl2br w:val="nil"/>
              <w:tr2bl w:val="nil"/>
            </w:tcBorders>
            <w:vAlign w:val="center"/>
          </w:tcPr>
          <w:p>
            <w:pPr>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rPr>
              <w:t>2）</w:t>
            </w:r>
            <w:bookmarkStart w:id="414" w:name="_Hlk78407374"/>
            <w:r>
              <w:rPr>
                <w:rFonts w:hint="eastAsia" w:ascii="宋体" w:hAnsi="宋体" w:eastAsia="宋体" w:cs="宋体"/>
                <w:color w:val="auto"/>
                <w:sz w:val="21"/>
                <w:szCs w:val="21"/>
                <w:highlight w:val="none"/>
              </w:rPr>
              <w:t>服务提供过程中，建立服务回访和满意度调查机制得1分，月度回访率保持在30%以上的得1分，最多得2分；未提供不得分。</w:t>
            </w:r>
            <w:bookmarkEnd w:id="414"/>
          </w:p>
        </w:tc>
        <w:tc>
          <w:tcPr>
            <w:tcW w:w="730" w:type="dxa"/>
            <w:tcBorders>
              <w:tl2br w:val="nil"/>
              <w:tr2bl w:val="nil"/>
            </w:tcBorders>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w:t>
            </w:r>
          </w:p>
        </w:tc>
        <w:tc>
          <w:tcPr>
            <w:tcW w:w="1126" w:type="dxa"/>
            <w:tcBorders>
              <w:tl2br w:val="nil"/>
              <w:tr2bl w:val="nil"/>
            </w:tcBorders>
            <w:vAlign w:val="center"/>
          </w:tcPr>
          <w:p>
            <w:pPr>
              <w:widowControl w:val="0"/>
              <w:spacing w:line="360" w:lineRule="auto"/>
              <w:jc w:val="center"/>
              <w:rPr>
                <w:rFonts w:hint="eastAsia" w:ascii="宋体" w:hAnsi="宋体" w:cs="宋体"/>
                <w:b/>
                <w:bCs/>
                <w:color w:val="auto"/>
                <w:kern w:val="2"/>
                <w:szCs w:val="21"/>
                <w:highlight w:val="none"/>
              </w:rPr>
            </w:pPr>
            <w:r>
              <w:rPr>
                <w:rFonts w:hint="eastAsia" w:ascii="宋体" w:hAnsi="宋体" w:eastAsia="宋体" w:cs="宋体"/>
                <w:b/>
                <w:bCs/>
                <w:color w:val="auto"/>
                <w:kern w:val="2"/>
                <w:highlight w:val="none"/>
                <w:lang w:val="en-US" w:eastAsia="zh-CN"/>
              </w:rPr>
              <w:t>主观分</w:t>
            </w:r>
          </w:p>
        </w:tc>
        <w:tc>
          <w:tcPr>
            <w:tcW w:w="1267" w:type="dxa"/>
            <w:tcBorders>
              <w:tl2br w:val="nil"/>
              <w:tr2bl w:val="nil"/>
            </w:tcBorders>
            <w:vAlign w:val="center"/>
          </w:tcPr>
          <w:p>
            <w:pPr>
              <w:pStyle w:val="784"/>
              <w:widowControl w:val="0"/>
              <w:spacing w:line="360" w:lineRule="auto"/>
              <w:rPr>
                <w:rFonts w:hint="eastAsia" w:ascii="宋体" w:hAnsi="宋体" w:cs="宋体"/>
                <w:color w:val="auto"/>
                <w:kern w:val="2"/>
                <w:highlight w:val="none"/>
                <w:lang w:val="zh-TW" w:eastAsia="zh-TW"/>
              </w:rPr>
            </w:pPr>
          </w:p>
        </w:tc>
      </w:tr>
      <w:tr>
        <w:trPr>
          <w:jc w:val="center"/>
        </w:trPr>
        <w:tc>
          <w:tcPr>
            <w:tcW w:w="1171" w:type="dxa"/>
            <w:vMerge w:val="continue"/>
            <w:tcBorders>
              <w:tl2br w:val="nil"/>
              <w:tr2bl w:val="nil"/>
            </w:tcBorders>
            <w:vAlign w:val="center"/>
          </w:tcPr>
          <w:p>
            <w:pPr>
              <w:pStyle w:val="977"/>
              <w:widowControl w:val="0"/>
              <w:adjustRightInd/>
              <w:spacing w:before="0" w:line="360" w:lineRule="auto"/>
              <w:rPr>
                <w:rFonts w:hint="eastAsia" w:ascii="宋体" w:hAnsi="宋体" w:cs="宋体"/>
                <w:color w:val="auto"/>
                <w:kern w:val="2"/>
                <w:szCs w:val="21"/>
                <w:highlight w:val="none"/>
              </w:rPr>
            </w:pPr>
          </w:p>
        </w:tc>
        <w:tc>
          <w:tcPr>
            <w:tcW w:w="5088" w:type="dxa"/>
            <w:tcBorders>
              <w:tl2br w:val="nil"/>
              <w:tr2bl w:val="nil"/>
            </w:tcBorders>
            <w:vAlign w:val="center"/>
          </w:tcPr>
          <w:p>
            <w:pPr>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rPr>
              <w:t>3）投标人服务人员队伍的稳定保障措施合理可行，能够有效保证项目人员稳定，持续服务得3分，服务人员队伍的稳定保障措施较为合理可行，基本能够保证项目人员稳定，持续服务得2分，服务人员队伍的稳定保障措施一般得1分，方案不合理或未提供方案不得分。</w:t>
            </w:r>
          </w:p>
        </w:tc>
        <w:tc>
          <w:tcPr>
            <w:tcW w:w="730" w:type="dxa"/>
            <w:tcBorders>
              <w:tl2br w:val="nil"/>
              <w:tr2bl w:val="nil"/>
            </w:tcBorders>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1126" w:type="dxa"/>
            <w:tcBorders>
              <w:tl2br w:val="nil"/>
              <w:tr2bl w:val="nil"/>
            </w:tcBorders>
            <w:vAlign w:val="center"/>
          </w:tcPr>
          <w:p>
            <w:pPr>
              <w:widowControl w:val="0"/>
              <w:spacing w:line="360" w:lineRule="auto"/>
              <w:jc w:val="center"/>
              <w:rPr>
                <w:rFonts w:hint="eastAsia" w:ascii="宋体" w:hAnsi="宋体" w:cs="宋体"/>
                <w:b/>
                <w:bCs/>
                <w:color w:val="auto"/>
                <w:kern w:val="2"/>
                <w:szCs w:val="21"/>
                <w:highlight w:val="none"/>
              </w:rPr>
            </w:pPr>
            <w:r>
              <w:rPr>
                <w:rFonts w:hint="eastAsia" w:ascii="宋体" w:hAnsi="宋体" w:eastAsia="宋体" w:cs="宋体"/>
                <w:b/>
                <w:bCs/>
                <w:color w:val="auto"/>
                <w:kern w:val="2"/>
                <w:highlight w:val="none"/>
                <w:lang w:val="en-US" w:eastAsia="zh-CN"/>
              </w:rPr>
              <w:t>主观分</w:t>
            </w:r>
          </w:p>
        </w:tc>
        <w:tc>
          <w:tcPr>
            <w:tcW w:w="1267" w:type="dxa"/>
            <w:tcBorders>
              <w:tl2br w:val="nil"/>
              <w:tr2bl w:val="nil"/>
            </w:tcBorders>
            <w:vAlign w:val="center"/>
          </w:tcPr>
          <w:p>
            <w:pPr>
              <w:pStyle w:val="784"/>
              <w:widowControl w:val="0"/>
              <w:spacing w:line="360" w:lineRule="auto"/>
              <w:rPr>
                <w:rFonts w:hint="eastAsia" w:ascii="宋体" w:hAnsi="宋体" w:cs="宋体"/>
                <w:color w:val="auto"/>
                <w:kern w:val="2"/>
                <w:highlight w:val="none"/>
                <w:lang w:val="zh-TW" w:eastAsia="zh-TW"/>
              </w:rPr>
            </w:pPr>
          </w:p>
        </w:tc>
      </w:tr>
      <w:tr>
        <w:trPr>
          <w:jc w:val="center"/>
        </w:trPr>
        <w:tc>
          <w:tcPr>
            <w:tcW w:w="1171" w:type="dxa"/>
            <w:tcBorders>
              <w:tl2br w:val="nil"/>
              <w:tr2bl w:val="nil"/>
            </w:tcBorders>
            <w:vAlign w:val="center"/>
          </w:tcPr>
          <w:p>
            <w:pPr>
              <w:pStyle w:val="784"/>
              <w:widowControl w:val="0"/>
              <w:spacing w:line="360" w:lineRule="auto"/>
              <w:jc w:val="center"/>
              <w:rPr>
                <w:rFonts w:hint="eastAsia" w:ascii="宋体" w:hAnsi="宋体" w:cs="宋体"/>
                <w:color w:val="auto"/>
                <w:kern w:val="2"/>
                <w:highlight w:val="none"/>
              </w:rPr>
            </w:pPr>
            <w:r>
              <w:rPr>
                <w:rFonts w:hint="eastAsia" w:ascii="宋体" w:hAnsi="宋体" w:eastAsia="宋体" w:cs="宋体"/>
                <w:b/>
                <w:bCs/>
                <w:color w:val="auto"/>
                <w:sz w:val="21"/>
                <w:highlight w:val="none"/>
              </w:rPr>
              <w:t>5、突发事件应急预案和处理措施</w:t>
            </w:r>
          </w:p>
        </w:tc>
        <w:tc>
          <w:tcPr>
            <w:tcW w:w="5088" w:type="dxa"/>
            <w:tcBorders>
              <w:tl2br w:val="nil"/>
              <w:tr2bl w:val="nil"/>
            </w:tcBorders>
            <w:vAlign w:val="center"/>
          </w:tcPr>
          <w:p>
            <w:pPr>
              <w:spacing w:line="360" w:lineRule="auto"/>
              <w:jc w:val="left"/>
              <w:rPr>
                <w:rFonts w:hint="eastAsia" w:ascii="宋体" w:hAnsi="宋体" w:eastAsia="宋体" w:cs="宋体"/>
                <w:color w:val="auto"/>
                <w:sz w:val="21"/>
                <w:szCs w:val="21"/>
                <w:highlight w:val="none"/>
              </w:rPr>
            </w:pPr>
            <w:bookmarkStart w:id="415" w:name="_Hlk78407413"/>
            <w:r>
              <w:rPr>
                <w:rFonts w:hint="eastAsia" w:ascii="宋体" w:hAnsi="宋体" w:eastAsia="宋体" w:cs="宋体"/>
                <w:color w:val="auto"/>
                <w:sz w:val="21"/>
                <w:szCs w:val="21"/>
                <w:highlight w:val="none"/>
              </w:rPr>
              <w:t>建立居家养老服务意外事件处置应急预案，在服务过程中如发生意外情况，应启动应急预案。</w:t>
            </w:r>
            <w:bookmarkEnd w:id="415"/>
            <w:r>
              <w:rPr>
                <w:rFonts w:hint="eastAsia" w:ascii="宋体" w:hAnsi="宋体" w:eastAsia="宋体" w:cs="宋体"/>
                <w:color w:val="auto"/>
                <w:sz w:val="21"/>
                <w:szCs w:val="21"/>
                <w:highlight w:val="none"/>
              </w:rPr>
              <w:t>建立完备的突发事件应急预案得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分。建立突发事件应急预案，但有一定不足，需进一步完善得1分，方案不合理或未提供方案不得分。</w:t>
            </w:r>
          </w:p>
          <w:p>
            <w:pPr>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rPr>
              <w:t>承诺每年提供一次及以上安全演练得1分，不承诺不得分。</w:t>
            </w:r>
          </w:p>
        </w:tc>
        <w:tc>
          <w:tcPr>
            <w:tcW w:w="730" w:type="dxa"/>
            <w:tcBorders>
              <w:tl2br w:val="nil"/>
              <w:tr2bl w:val="nil"/>
            </w:tcBorders>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3</w:t>
            </w:r>
          </w:p>
        </w:tc>
        <w:tc>
          <w:tcPr>
            <w:tcW w:w="1126" w:type="dxa"/>
            <w:tcBorders>
              <w:tl2br w:val="nil"/>
              <w:tr2bl w:val="nil"/>
            </w:tcBorders>
            <w:vAlign w:val="center"/>
          </w:tcPr>
          <w:p>
            <w:pPr>
              <w:widowControl w:val="0"/>
              <w:spacing w:line="360" w:lineRule="auto"/>
              <w:jc w:val="center"/>
              <w:rPr>
                <w:rFonts w:hint="eastAsia" w:ascii="宋体" w:hAnsi="宋体" w:cs="宋体"/>
                <w:b/>
                <w:bCs/>
                <w:color w:val="auto"/>
                <w:kern w:val="2"/>
                <w:szCs w:val="21"/>
                <w:highlight w:val="none"/>
              </w:rPr>
            </w:pPr>
            <w:r>
              <w:rPr>
                <w:rFonts w:hint="eastAsia" w:ascii="宋体" w:hAnsi="宋体" w:eastAsia="宋体" w:cs="宋体"/>
                <w:b/>
                <w:bCs/>
                <w:color w:val="auto"/>
                <w:kern w:val="2"/>
                <w:highlight w:val="none"/>
                <w:lang w:val="en-US" w:eastAsia="zh-CN"/>
              </w:rPr>
              <w:t>主观分</w:t>
            </w:r>
          </w:p>
        </w:tc>
        <w:tc>
          <w:tcPr>
            <w:tcW w:w="1267" w:type="dxa"/>
            <w:tcBorders>
              <w:tl2br w:val="nil"/>
              <w:tr2bl w:val="nil"/>
            </w:tcBorders>
            <w:vAlign w:val="center"/>
          </w:tcPr>
          <w:p>
            <w:pPr>
              <w:pStyle w:val="784"/>
              <w:widowControl w:val="0"/>
              <w:spacing w:line="360" w:lineRule="auto"/>
              <w:rPr>
                <w:rFonts w:hint="eastAsia" w:ascii="宋体" w:hAnsi="宋体" w:cs="宋体"/>
                <w:color w:val="auto"/>
                <w:kern w:val="2"/>
                <w:highlight w:val="none"/>
                <w:lang w:val="zh-TW" w:eastAsia="zh-TW"/>
              </w:rPr>
            </w:pPr>
          </w:p>
        </w:tc>
      </w:tr>
      <w:tr>
        <w:trPr>
          <w:jc w:val="center"/>
        </w:trPr>
        <w:tc>
          <w:tcPr>
            <w:tcW w:w="1171" w:type="dxa"/>
            <w:vMerge w:val="restart"/>
            <w:tcBorders>
              <w:tl2br w:val="nil"/>
              <w:tr2bl w:val="nil"/>
            </w:tcBorders>
            <w:vAlign w:val="center"/>
          </w:tcPr>
          <w:p>
            <w:pPr>
              <w:pStyle w:val="784"/>
              <w:widowControl w:val="0"/>
              <w:spacing w:line="360" w:lineRule="auto"/>
              <w:jc w:val="center"/>
              <w:rPr>
                <w:rFonts w:hint="eastAsia" w:ascii="宋体" w:hAnsi="宋体" w:eastAsia="宋体" w:cs="宋体"/>
                <w:color w:val="auto"/>
                <w:kern w:val="2"/>
                <w:highlight w:val="none"/>
                <w:lang w:val="en-US" w:eastAsia="zh-CN"/>
              </w:rPr>
            </w:pPr>
            <w:r>
              <w:rPr>
                <w:rFonts w:hint="eastAsia" w:ascii="宋体" w:hAnsi="宋体" w:eastAsia="宋体" w:cs="宋体"/>
                <w:b/>
                <w:bCs/>
                <w:color w:val="auto"/>
                <w:sz w:val="21"/>
                <w:highlight w:val="none"/>
              </w:rPr>
              <w:t>6、项目投入人员素质情况</w:t>
            </w:r>
          </w:p>
        </w:tc>
        <w:tc>
          <w:tcPr>
            <w:tcW w:w="5088" w:type="dxa"/>
            <w:tcBorders>
              <w:tl2br w:val="nil"/>
              <w:tr2bl w:val="nil"/>
            </w:tcBorders>
            <w:vAlign w:val="center"/>
          </w:tcPr>
          <w:p>
            <w:pPr>
              <w:widowControl/>
              <w:spacing w:line="360" w:lineRule="auto"/>
              <w:contextualSpacing/>
              <w:jc w:val="left"/>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1）拟派驻本项目的主要负责人有3年及以上养老服务管理经验，本科及以上学历得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分，提供人员身份证、学历证书、简历、及从业经验、近一个月的社保缴纳证明（近一个月新成立的公司提供说明）的相关证明材料复印件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或扫描件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并加盖公章</w:t>
            </w:r>
            <w:r>
              <w:rPr>
                <w:rFonts w:hint="eastAsia" w:ascii="宋体" w:hAnsi="宋体" w:eastAsia="宋体" w:cs="宋体"/>
                <w:color w:val="auto"/>
                <w:sz w:val="21"/>
                <w:szCs w:val="21"/>
                <w:highlight w:val="none"/>
              </w:rPr>
              <w:t>，不符合要求不得分</w:t>
            </w:r>
            <w:r>
              <w:rPr>
                <w:rFonts w:hint="eastAsia" w:ascii="宋体" w:hAnsi="宋体" w:cs="宋体"/>
                <w:color w:val="auto"/>
                <w:sz w:val="21"/>
                <w:szCs w:val="21"/>
                <w:highlight w:val="none"/>
                <w:lang w:eastAsia="zh-CN"/>
              </w:rPr>
              <w:t>。</w:t>
            </w:r>
          </w:p>
        </w:tc>
        <w:tc>
          <w:tcPr>
            <w:tcW w:w="730" w:type="dxa"/>
            <w:tcBorders>
              <w:tl2br w:val="nil"/>
              <w:tr2bl w:val="nil"/>
            </w:tcBorders>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2</w:t>
            </w:r>
          </w:p>
        </w:tc>
        <w:tc>
          <w:tcPr>
            <w:tcW w:w="1126" w:type="dxa"/>
            <w:tcBorders>
              <w:tl2br w:val="nil"/>
              <w:tr2bl w:val="nil"/>
            </w:tcBorders>
            <w:vAlign w:val="center"/>
          </w:tcPr>
          <w:p>
            <w:pPr>
              <w:pStyle w:val="784"/>
              <w:widowControl w:val="0"/>
              <w:spacing w:line="360" w:lineRule="auto"/>
              <w:jc w:val="center"/>
              <w:rPr>
                <w:rFonts w:hint="eastAsia" w:ascii="宋体" w:hAnsi="宋体" w:eastAsia="宋体" w:cs="宋体"/>
                <w:b/>
                <w:bCs/>
                <w:color w:val="auto"/>
                <w:kern w:val="2"/>
                <w:highlight w:val="none"/>
                <w:lang w:val="en-US" w:eastAsia="zh-CN"/>
              </w:rPr>
            </w:pPr>
            <w:r>
              <w:rPr>
                <w:rFonts w:hint="eastAsia" w:ascii="宋体" w:hAnsi="宋体" w:eastAsia="宋体" w:cs="宋体"/>
                <w:b/>
                <w:bCs/>
                <w:color w:val="auto"/>
                <w:highlight w:val="none"/>
              </w:rPr>
              <w:t>客观分</w:t>
            </w:r>
          </w:p>
        </w:tc>
        <w:tc>
          <w:tcPr>
            <w:tcW w:w="1267" w:type="dxa"/>
            <w:tcBorders>
              <w:tl2br w:val="nil"/>
              <w:tr2bl w:val="nil"/>
            </w:tcBorders>
            <w:vAlign w:val="center"/>
          </w:tcPr>
          <w:p>
            <w:pPr>
              <w:pStyle w:val="784"/>
              <w:widowControl w:val="0"/>
              <w:spacing w:line="360" w:lineRule="auto"/>
              <w:rPr>
                <w:rFonts w:hint="eastAsia" w:ascii="宋体" w:hAnsi="宋体" w:cs="宋体"/>
                <w:color w:val="auto"/>
                <w:kern w:val="2"/>
                <w:highlight w:val="none"/>
                <w:lang w:val="zh-TW" w:eastAsia="zh-TW"/>
              </w:rPr>
            </w:pPr>
          </w:p>
        </w:tc>
      </w:tr>
      <w:tr>
        <w:trPr>
          <w:jc w:val="center"/>
        </w:trPr>
        <w:tc>
          <w:tcPr>
            <w:tcW w:w="1171" w:type="dxa"/>
            <w:vMerge w:val="continue"/>
            <w:tcBorders>
              <w:tl2br w:val="nil"/>
              <w:tr2bl w:val="nil"/>
            </w:tcBorders>
            <w:vAlign w:val="center"/>
          </w:tcPr>
          <w:p>
            <w:pPr>
              <w:pStyle w:val="784"/>
              <w:widowControl w:val="0"/>
              <w:spacing w:line="360" w:lineRule="auto"/>
              <w:jc w:val="center"/>
              <w:rPr>
                <w:rFonts w:hint="eastAsia" w:ascii="宋体" w:hAnsi="宋体" w:eastAsia="宋体" w:cs="宋体"/>
                <w:b/>
                <w:bCs/>
                <w:color w:val="auto"/>
                <w:sz w:val="21"/>
                <w:highlight w:val="none"/>
              </w:rPr>
            </w:pPr>
          </w:p>
        </w:tc>
        <w:tc>
          <w:tcPr>
            <w:tcW w:w="5088" w:type="dxa"/>
            <w:tcBorders>
              <w:tl2br w:val="nil"/>
              <w:tr2bl w:val="nil"/>
            </w:tcBorders>
            <w:vAlign w:val="center"/>
          </w:tcPr>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sz w:val="21"/>
                <w:szCs w:val="21"/>
                <w:highlight w:val="none"/>
              </w:rPr>
              <w:t>2）拟派管理人员（不含主要负责人及养老护理员）具有中级及以上职称（四级及以上养老护理员《职业技能等级证书》或社会工作师中级及以上）不少于4人，每提供一个得1.5分，最高得6分，提供人员身份证、职称证书、近一个月的社保缴纳证明（近一个月新成立的公司提供说明）或劳动合同（含返聘协议）相关证明材料复印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或扫描件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并加盖公章</w:t>
            </w:r>
            <w:r>
              <w:rPr>
                <w:rFonts w:hint="eastAsia" w:ascii="宋体" w:hAnsi="宋体" w:eastAsia="宋体" w:cs="宋体"/>
                <w:color w:val="auto"/>
                <w:sz w:val="21"/>
                <w:szCs w:val="21"/>
                <w:highlight w:val="none"/>
              </w:rPr>
              <w:t>，不符合不得分。</w:t>
            </w:r>
          </w:p>
        </w:tc>
        <w:tc>
          <w:tcPr>
            <w:tcW w:w="730" w:type="dxa"/>
            <w:tcBorders>
              <w:tl2br w:val="nil"/>
              <w:tr2bl w:val="nil"/>
            </w:tcBorders>
            <w:vAlign w:val="center"/>
          </w:tcPr>
          <w:p>
            <w:pPr>
              <w:widowControl/>
              <w:spacing w:line="360"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6</w:t>
            </w:r>
          </w:p>
        </w:tc>
        <w:tc>
          <w:tcPr>
            <w:tcW w:w="1126" w:type="dxa"/>
            <w:tcBorders>
              <w:tl2br w:val="nil"/>
              <w:tr2bl w:val="nil"/>
            </w:tcBorders>
            <w:vAlign w:val="center"/>
          </w:tcPr>
          <w:p>
            <w:pPr>
              <w:pStyle w:val="784"/>
              <w:widowControl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客观分</w:t>
            </w:r>
          </w:p>
        </w:tc>
        <w:tc>
          <w:tcPr>
            <w:tcW w:w="1267" w:type="dxa"/>
            <w:tcBorders>
              <w:tl2br w:val="nil"/>
              <w:tr2bl w:val="nil"/>
            </w:tcBorders>
            <w:vAlign w:val="center"/>
          </w:tcPr>
          <w:p>
            <w:pPr>
              <w:pStyle w:val="784"/>
              <w:widowControl w:val="0"/>
              <w:spacing w:line="360" w:lineRule="auto"/>
              <w:rPr>
                <w:rFonts w:hint="eastAsia" w:ascii="宋体" w:hAnsi="宋体" w:eastAsia="宋体" w:cs="宋体"/>
                <w:color w:val="auto"/>
                <w:kern w:val="2"/>
                <w:highlight w:val="none"/>
                <w:lang w:val="zh-TW" w:eastAsia="zh-TW"/>
              </w:rPr>
            </w:pPr>
          </w:p>
        </w:tc>
      </w:tr>
      <w:tr>
        <w:trPr>
          <w:jc w:val="center"/>
        </w:trPr>
        <w:tc>
          <w:tcPr>
            <w:tcW w:w="1171" w:type="dxa"/>
            <w:vMerge w:val="continue"/>
            <w:tcBorders>
              <w:tl2br w:val="nil"/>
              <w:tr2bl w:val="nil"/>
            </w:tcBorders>
            <w:vAlign w:val="center"/>
          </w:tcPr>
          <w:p>
            <w:pPr>
              <w:pStyle w:val="784"/>
              <w:widowControl w:val="0"/>
              <w:spacing w:line="360" w:lineRule="auto"/>
              <w:jc w:val="center"/>
              <w:rPr>
                <w:rFonts w:hint="eastAsia" w:ascii="宋体" w:hAnsi="宋体" w:eastAsia="宋体" w:cs="宋体"/>
                <w:color w:val="auto"/>
                <w:kern w:val="2"/>
                <w:highlight w:val="none"/>
                <w:lang w:val="en-US" w:eastAsia="zh-CN"/>
              </w:rPr>
            </w:pPr>
          </w:p>
        </w:tc>
        <w:tc>
          <w:tcPr>
            <w:tcW w:w="5088" w:type="dxa"/>
            <w:tcBorders>
              <w:tl2br w:val="nil"/>
              <w:tr2bl w:val="nil"/>
            </w:tcBorders>
            <w:vAlign w:val="center"/>
          </w:tcPr>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sz w:val="21"/>
                <w:szCs w:val="21"/>
                <w:highlight w:val="none"/>
              </w:rPr>
              <w:t>3）每标项拟派项目服务养老护理员（不含主要负责人及管理人员）数量保证：投标单位拟派人员数量35（含）人以上的得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 35（不含）-20（含）人的得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分，在20（不含）人以下的得0分。（提供拟派现有人员名单，身份证复印件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或扫描件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并加盖公章</w:t>
            </w:r>
            <w:r>
              <w:rPr>
                <w:rFonts w:hint="eastAsia" w:ascii="宋体" w:hAnsi="宋体" w:eastAsia="宋体" w:cs="宋体"/>
                <w:color w:val="auto"/>
                <w:sz w:val="21"/>
                <w:szCs w:val="21"/>
                <w:highlight w:val="none"/>
              </w:rPr>
              <w:t>，否则不得分）。如现拟派人数不足35人的，投标人需提供承诺书，承诺中标后10个工作内补齐不足人员（承诺书格式、具体内容自拟）。</w:t>
            </w:r>
          </w:p>
        </w:tc>
        <w:tc>
          <w:tcPr>
            <w:tcW w:w="730" w:type="dxa"/>
            <w:tcBorders>
              <w:tl2br w:val="nil"/>
              <w:tr2bl w:val="nil"/>
            </w:tcBorders>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8</w:t>
            </w:r>
          </w:p>
        </w:tc>
        <w:tc>
          <w:tcPr>
            <w:tcW w:w="1126" w:type="dxa"/>
            <w:tcBorders>
              <w:tl2br w:val="nil"/>
              <w:tr2bl w:val="nil"/>
            </w:tcBorders>
            <w:vAlign w:val="center"/>
          </w:tcPr>
          <w:p>
            <w:pPr>
              <w:pStyle w:val="784"/>
              <w:widowControl w:val="0"/>
              <w:spacing w:line="360" w:lineRule="auto"/>
              <w:jc w:val="center"/>
              <w:rPr>
                <w:rFonts w:hint="eastAsia" w:ascii="宋体" w:hAnsi="宋体" w:eastAsia="宋体" w:cs="宋体"/>
                <w:b/>
                <w:bCs/>
                <w:color w:val="auto"/>
                <w:kern w:val="2"/>
                <w:highlight w:val="none"/>
                <w:lang w:val="en-US" w:eastAsia="zh-CN"/>
              </w:rPr>
            </w:pPr>
            <w:r>
              <w:rPr>
                <w:rFonts w:hint="eastAsia" w:ascii="宋体" w:hAnsi="宋体" w:eastAsia="宋体" w:cs="宋体"/>
                <w:b/>
                <w:bCs/>
                <w:color w:val="auto"/>
                <w:highlight w:val="none"/>
              </w:rPr>
              <w:t>客观分</w:t>
            </w:r>
          </w:p>
        </w:tc>
        <w:tc>
          <w:tcPr>
            <w:tcW w:w="1267" w:type="dxa"/>
            <w:tcBorders>
              <w:tl2br w:val="nil"/>
              <w:tr2bl w:val="nil"/>
            </w:tcBorders>
            <w:vAlign w:val="center"/>
          </w:tcPr>
          <w:p>
            <w:pPr>
              <w:pStyle w:val="784"/>
              <w:widowControl w:val="0"/>
              <w:spacing w:line="360" w:lineRule="auto"/>
              <w:rPr>
                <w:rFonts w:hint="eastAsia" w:ascii="宋体" w:hAnsi="宋体" w:eastAsia="宋体" w:cs="宋体"/>
                <w:color w:val="auto"/>
                <w:kern w:val="2"/>
                <w:highlight w:val="none"/>
                <w:lang w:val="zh-TW" w:eastAsia="zh-TW"/>
              </w:rPr>
            </w:pPr>
          </w:p>
        </w:tc>
      </w:tr>
      <w:tr>
        <w:trPr>
          <w:jc w:val="center"/>
        </w:trPr>
        <w:tc>
          <w:tcPr>
            <w:tcW w:w="1171" w:type="dxa"/>
            <w:vMerge w:val="continue"/>
            <w:tcBorders>
              <w:tl2br w:val="nil"/>
              <w:tr2bl w:val="nil"/>
            </w:tcBorders>
            <w:vAlign w:val="center"/>
          </w:tcPr>
          <w:p>
            <w:pPr>
              <w:pStyle w:val="784"/>
              <w:widowControl w:val="0"/>
              <w:spacing w:line="360" w:lineRule="auto"/>
              <w:jc w:val="center"/>
              <w:rPr>
                <w:rFonts w:hint="eastAsia" w:ascii="宋体" w:hAnsi="宋体" w:eastAsia="宋体" w:cs="宋体"/>
                <w:color w:val="auto"/>
                <w:kern w:val="2"/>
                <w:highlight w:val="none"/>
                <w:lang w:val="en-US" w:eastAsia="zh-CN"/>
              </w:rPr>
            </w:pPr>
          </w:p>
        </w:tc>
        <w:tc>
          <w:tcPr>
            <w:tcW w:w="5088" w:type="dxa"/>
            <w:tcBorders>
              <w:tl2br w:val="nil"/>
              <w:tr2bl w:val="nil"/>
            </w:tcBorders>
            <w:vAlign w:val="center"/>
          </w:tcPr>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sz w:val="21"/>
                <w:szCs w:val="21"/>
                <w:highlight w:val="none"/>
              </w:rPr>
              <w:t>4）每标项拟派项目服务养老护理员（不含主要负责人及管理人员）中不少于10人具有养老护理员《职业技能等级证书》，每提供一人得0.5分，最高5分，提供人员证书、近一个月的社保缴纳证明（近一个月新成立的公司提供说明）或劳动合同（含返聘协议）相关证明材料复印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或扫描件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并加盖公章</w:t>
            </w:r>
            <w:r>
              <w:rPr>
                <w:rFonts w:hint="eastAsia" w:ascii="宋体" w:hAnsi="宋体" w:eastAsia="宋体" w:cs="宋体"/>
                <w:color w:val="auto"/>
                <w:sz w:val="21"/>
                <w:szCs w:val="21"/>
                <w:highlight w:val="none"/>
              </w:rPr>
              <w:t>，不符合要求不得分。</w:t>
            </w:r>
          </w:p>
        </w:tc>
        <w:tc>
          <w:tcPr>
            <w:tcW w:w="730" w:type="dxa"/>
            <w:tcBorders>
              <w:tl2br w:val="nil"/>
              <w:tr2bl w:val="nil"/>
            </w:tcBorders>
            <w:vAlign w:val="center"/>
          </w:tcPr>
          <w:p>
            <w:pPr>
              <w:widowControl/>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5</w:t>
            </w:r>
          </w:p>
        </w:tc>
        <w:tc>
          <w:tcPr>
            <w:tcW w:w="1126" w:type="dxa"/>
            <w:tcBorders>
              <w:tl2br w:val="nil"/>
              <w:tr2bl w:val="nil"/>
            </w:tcBorders>
            <w:vAlign w:val="center"/>
          </w:tcPr>
          <w:p>
            <w:pPr>
              <w:pStyle w:val="784"/>
              <w:widowControl w:val="0"/>
              <w:spacing w:line="360" w:lineRule="auto"/>
              <w:jc w:val="center"/>
              <w:rPr>
                <w:rFonts w:hint="eastAsia" w:ascii="宋体" w:hAnsi="宋体" w:eastAsia="宋体" w:cs="宋体"/>
                <w:b/>
                <w:bCs/>
                <w:color w:val="auto"/>
                <w:kern w:val="2"/>
                <w:highlight w:val="none"/>
                <w:lang w:val="en-US" w:eastAsia="zh-CN"/>
              </w:rPr>
            </w:pPr>
            <w:r>
              <w:rPr>
                <w:rFonts w:hint="eastAsia" w:ascii="宋体" w:hAnsi="宋体" w:eastAsia="宋体" w:cs="宋体"/>
                <w:b/>
                <w:bCs/>
                <w:color w:val="auto"/>
                <w:highlight w:val="none"/>
              </w:rPr>
              <w:t>客观分</w:t>
            </w:r>
          </w:p>
        </w:tc>
        <w:tc>
          <w:tcPr>
            <w:tcW w:w="1267" w:type="dxa"/>
            <w:tcBorders>
              <w:tl2br w:val="nil"/>
              <w:tr2bl w:val="nil"/>
            </w:tcBorders>
            <w:vAlign w:val="center"/>
          </w:tcPr>
          <w:p>
            <w:pPr>
              <w:pStyle w:val="784"/>
              <w:widowControl w:val="0"/>
              <w:spacing w:line="360" w:lineRule="auto"/>
              <w:rPr>
                <w:rFonts w:hint="eastAsia" w:ascii="宋体" w:hAnsi="宋体" w:eastAsia="宋体" w:cs="宋体"/>
                <w:color w:val="auto"/>
                <w:kern w:val="2"/>
                <w:highlight w:val="none"/>
                <w:lang w:val="zh-TW" w:eastAsia="zh-TW"/>
              </w:rPr>
            </w:pPr>
          </w:p>
        </w:tc>
      </w:tr>
      <w:tr>
        <w:trPr>
          <w:jc w:val="center"/>
        </w:trPr>
        <w:tc>
          <w:tcPr>
            <w:tcW w:w="1171" w:type="dxa"/>
            <w:tcBorders>
              <w:tl2br w:val="nil"/>
              <w:tr2bl w:val="nil"/>
            </w:tcBorders>
            <w:vAlign w:val="center"/>
          </w:tcPr>
          <w:p>
            <w:pPr>
              <w:pStyle w:val="784"/>
              <w:widowControl w:val="0"/>
              <w:spacing w:line="360" w:lineRule="auto"/>
              <w:jc w:val="center"/>
              <w:rPr>
                <w:rFonts w:hint="eastAsia" w:ascii="宋体" w:hAnsi="宋体" w:eastAsia="宋体" w:cs="宋体"/>
                <w:color w:val="auto"/>
                <w:kern w:val="2"/>
                <w:highlight w:val="none"/>
                <w:lang w:val="en-US" w:eastAsia="zh-CN"/>
              </w:rPr>
            </w:pPr>
          </w:p>
        </w:tc>
        <w:tc>
          <w:tcPr>
            <w:tcW w:w="5088" w:type="dxa"/>
            <w:tcBorders>
              <w:tl2br w:val="nil"/>
              <w:tr2bl w:val="nil"/>
            </w:tcBorders>
            <w:vAlign w:val="center"/>
          </w:tcPr>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sz w:val="21"/>
                <w:szCs w:val="21"/>
                <w:highlight w:val="none"/>
              </w:rPr>
              <w:t>5）每标项拟派项目服务养老护理员（不含主要负责人及管理人员）中配备医生不少于2人，每提供一人得1.5分，最高3分，不符合要求不得分（提供人员名单、证书、聘用合同相关证明材料复印件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或扫描件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并加盖公章</w:t>
            </w:r>
            <w:r>
              <w:rPr>
                <w:rFonts w:hint="eastAsia" w:ascii="宋体" w:hAnsi="宋体" w:eastAsia="宋体" w:cs="宋体"/>
                <w:color w:val="auto"/>
                <w:sz w:val="21"/>
                <w:szCs w:val="21"/>
                <w:highlight w:val="none"/>
              </w:rPr>
              <w:t>）。</w:t>
            </w:r>
          </w:p>
        </w:tc>
        <w:tc>
          <w:tcPr>
            <w:tcW w:w="730" w:type="dxa"/>
            <w:tcBorders>
              <w:tl2br w:val="nil"/>
              <w:tr2bl w:val="nil"/>
            </w:tcBorders>
            <w:vAlign w:val="center"/>
          </w:tcPr>
          <w:p>
            <w:pPr>
              <w:widowControl/>
              <w:spacing w:line="360"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1126" w:type="dxa"/>
            <w:tcBorders>
              <w:tl2br w:val="nil"/>
              <w:tr2bl w:val="nil"/>
            </w:tcBorders>
            <w:vAlign w:val="center"/>
          </w:tcPr>
          <w:p>
            <w:pPr>
              <w:pStyle w:val="784"/>
              <w:widowControl w:val="0"/>
              <w:spacing w:line="360" w:lineRule="auto"/>
              <w:jc w:val="center"/>
              <w:rPr>
                <w:rFonts w:hint="eastAsia" w:ascii="宋体" w:hAnsi="宋体" w:eastAsia="宋体" w:cs="宋体"/>
                <w:b/>
                <w:bCs/>
                <w:color w:val="auto"/>
                <w:kern w:val="2"/>
                <w:highlight w:val="none"/>
                <w:lang w:val="en-US" w:eastAsia="zh-CN"/>
              </w:rPr>
            </w:pPr>
            <w:r>
              <w:rPr>
                <w:rFonts w:hint="eastAsia" w:ascii="宋体" w:hAnsi="宋体" w:eastAsia="宋体" w:cs="宋体"/>
                <w:b/>
                <w:bCs/>
                <w:color w:val="auto"/>
                <w:highlight w:val="none"/>
              </w:rPr>
              <w:t>客观分</w:t>
            </w:r>
          </w:p>
        </w:tc>
        <w:tc>
          <w:tcPr>
            <w:tcW w:w="1267" w:type="dxa"/>
            <w:tcBorders>
              <w:tl2br w:val="nil"/>
              <w:tr2bl w:val="nil"/>
            </w:tcBorders>
            <w:vAlign w:val="center"/>
          </w:tcPr>
          <w:p>
            <w:pPr>
              <w:pStyle w:val="784"/>
              <w:widowControl w:val="0"/>
              <w:spacing w:line="360" w:lineRule="auto"/>
              <w:rPr>
                <w:rFonts w:hint="eastAsia" w:ascii="宋体" w:hAnsi="宋体" w:eastAsia="宋体" w:cs="宋体"/>
                <w:color w:val="auto"/>
                <w:kern w:val="2"/>
                <w:highlight w:val="none"/>
                <w:lang w:val="zh-TW" w:eastAsia="zh-TW"/>
              </w:rPr>
            </w:pPr>
          </w:p>
        </w:tc>
      </w:tr>
      <w:tr>
        <w:trPr>
          <w:jc w:val="center"/>
        </w:trPr>
        <w:tc>
          <w:tcPr>
            <w:tcW w:w="1171" w:type="dxa"/>
            <w:tcBorders>
              <w:tl2br w:val="nil"/>
              <w:tr2bl w:val="nil"/>
            </w:tcBorders>
            <w:vAlign w:val="center"/>
          </w:tcPr>
          <w:p>
            <w:pPr>
              <w:pStyle w:val="784"/>
              <w:widowControl w:val="0"/>
              <w:spacing w:line="360" w:lineRule="auto"/>
              <w:jc w:val="center"/>
              <w:rPr>
                <w:rFonts w:hint="eastAsia" w:ascii="宋体" w:hAnsi="宋体" w:eastAsia="宋体" w:cs="宋体"/>
                <w:color w:val="auto"/>
                <w:kern w:val="2"/>
                <w:highlight w:val="none"/>
                <w:lang w:val="en-US" w:eastAsia="zh-CN"/>
              </w:rPr>
            </w:pPr>
            <w:r>
              <w:rPr>
                <w:rFonts w:hint="eastAsia" w:ascii="宋体" w:hAnsi="宋体" w:eastAsia="宋体" w:cs="宋体"/>
                <w:b/>
                <w:bCs/>
                <w:color w:val="auto"/>
                <w:sz w:val="21"/>
                <w:highlight w:val="none"/>
              </w:rPr>
              <w:t>7、硬件配备</w:t>
            </w:r>
            <w:r>
              <w:rPr>
                <w:rFonts w:hint="eastAsia" w:ascii="宋体" w:hAnsi="宋体" w:eastAsia="宋体" w:cs="宋体"/>
                <w:b/>
                <w:bCs/>
                <w:color w:val="auto"/>
                <w:sz w:val="21"/>
                <w:highlight w:val="none"/>
                <w:lang w:val="en-US" w:eastAsia="zh-CN"/>
              </w:rPr>
              <w:t>情况</w:t>
            </w:r>
          </w:p>
        </w:tc>
        <w:tc>
          <w:tcPr>
            <w:tcW w:w="5088" w:type="dxa"/>
            <w:tcBorders>
              <w:tl2br w:val="nil"/>
              <w:tr2bl w:val="nil"/>
            </w:tcBorders>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服务及装备配置（包括电子设备、交通工具、其他服务配备（如工作服、血压计等与工作相关设备））配备齐全且符合项目实际得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分，服务及装备配置（包括电子设备、交通工具、其他服务配备（如工作服、血压计等与工作相关设备））配备较为齐全，且较为符合项目实际得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分，服务及装备配置（包括电子设备、交通工具、其他服务配备（如工作服、血压计等与工作相关设备））配备一般得1分，配备不合理或未提供配备方案不得分。</w:t>
            </w:r>
          </w:p>
        </w:tc>
        <w:tc>
          <w:tcPr>
            <w:tcW w:w="730" w:type="dxa"/>
            <w:tcBorders>
              <w:tl2br w:val="nil"/>
              <w:tr2bl w:val="nil"/>
            </w:tcBorders>
            <w:vAlign w:val="center"/>
          </w:tcPr>
          <w:p>
            <w:pPr>
              <w:widowControl/>
              <w:spacing w:line="360"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p>
        </w:tc>
        <w:tc>
          <w:tcPr>
            <w:tcW w:w="1126" w:type="dxa"/>
            <w:tcBorders>
              <w:tl2br w:val="nil"/>
              <w:tr2bl w:val="nil"/>
            </w:tcBorders>
            <w:vAlign w:val="center"/>
          </w:tcPr>
          <w:p>
            <w:pPr>
              <w:pStyle w:val="784"/>
              <w:widowControl w:val="0"/>
              <w:spacing w:line="360" w:lineRule="auto"/>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主观分</w:t>
            </w:r>
          </w:p>
        </w:tc>
        <w:tc>
          <w:tcPr>
            <w:tcW w:w="1267" w:type="dxa"/>
            <w:tcBorders>
              <w:tl2br w:val="nil"/>
              <w:tr2bl w:val="nil"/>
            </w:tcBorders>
            <w:vAlign w:val="center"/>
          </w:tcPr>
          <w:p>
            <w:pPr>
              <w:pStyle w:val="784"/>
              <w:widowControl w:val="0"/>
              <w:spacing w:line="360" w:lineRule="auto"/>
              <w:rPr>
                <w:rFonts w:hint="eastAsia" w:ascii="宋体" w:hAnsi="宋体" w:eastAsia="宋体" w:cs="宋体"/>
                <w:color w:val="auto"/>
                <w:kern w:val="2"/>
                <w:highlight w:val="none"/>
                <w:lang w:val="zh-TW" w:eastAsia="zh-TW"/>
              </w:rPr>
            </w:pPr>
          </w:p>
        </w:tc>
      </w:tr>
      <w:tr>
        <w:trPr>
          <w:jc w:val="center"/>
        </w:trPr>
        <w:tc>
          <w:tcPr>
            <w:tcW w:w="1171" w:type="dxa"/>
            <w:tcBorders>
              <w:tl2br w:val="nil"/>
              <w:tr2bl w:val="nil"/>
            </w:tcBorders>
            <w:vAlign w:val="center"/>
          </w:tcPr>
          <w:p>
            <w:pPr>
              <w:pStyle w:val="784"/>
              <w:widowControl w:val="0"/>
              <w:spacing w:line="360" w:lineRule="auto"/>
              <w:jc w:val="center"/>
              <w:rPr>
                <w:rFonts w:hint="eastAsia" w:ascii="宋体" w:hAnsi="宋体" w:eastAsia="宋体" w:cs="宋体"/>
                <w:color w:val="auto"/>
                <w:kern w:val="2"/>
                <w:highlight w:val="none"/>
                <w:lang w:val="en-US" w:eastAsia="zh-CN"/>
              </w:rPr>
            </w:pPr>
            <w:r>
              <w:rPr>
                <w:rFonts w:hint="eastAsia" w:ascii="宋体" w:hAnsi="宋体" w:eastAsia="宋体" w:cs="宋体"/>
                <w:b/>
                <w:bCs/>
                <w:color w:val="auto"/>
                <w:sz w:val="21"/>
                <w:highlight w:val="none"/>
              </w:rPr>
              <w:t>8、信息化手段投入</w:t>
            </w:r>
          </w:p>
        </w:tc>
        <w:tc>
          <w:tcPr>
            <w:tcW w:w="5088" w:type="dxa"/>
            <w:tcBorders>
              <w:tl2br w:val="nil"/>
              <w:tr2bl w:val="nil"/>
            </w:tcBorders>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投标人具有养老服务信息化技术管理平台的得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分（提供相关证明材料</w:t>
            </w:r>
            <w:r>
              <w:rPr>
                <w:rFonts w:hint="eastAsia" w:ascii="宋体" w:hAnsi="宋体" w:cs="宋体"/>
                <w:color w:val="auto"/>
                <w:sz w:val="21"/>
                <w:szCs w:val="21"/>
                <w:highlight w:val="none"/>
                <w:lang w:val="en-US" w:eastAsia="zh-CN"/>
              </w:rPr>
              <w:t>并加盖公章</w:t>
            </w:r>
            <w:r>
              <w:rPr>
                <w:rFonts w:hint="eastAsia" w:ascii="宋体" w:hAnsi="宋体" w:eastAsia="宋体" w:cs="宋体"/>
                <w:color w:val="auto"/>
                <w:sz w:val="21"/>
                <w:szCs w:val="21"/>
                <w:highlight w:val="none"/>
              </w:rPr>
              <w:t>），没有不得分。</w:t>
            </w:r>
          </w:p>
        </w:tc>
        <w:tc>
          <w:tcPr>
            <w:tcW w:w="730" w:type="dxa"/>
            <w:tcBorders>
              <w:tl2br w:val="nil"/>
              <w:tr2bl w:val="nil"/>
            </w:tcBorders>
            <w:vAlign w:val="center"/>
          </w:tcPr>
          <w:p>
            <w:pPr>
              <w:widowControl/>
              <w:spacing w:line="360"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2</w:t>
            </w:r>
          </w:p>
        </w:tc>
        <w:tc>
          <w:tcPr>
            <w:tcW w:w="1126" w:type="dxa"/>
            <w:tcBorders>
              <w:tl2br w:val="nil"/>
              <w:tr2bl w:val="nil"/>
            </w:tcBorders>
            <w:vAlign w:val="center"/>
          </w:tcPr>
          <w:p>
            <w:pPr>
              <w:pStyle w:val="784"/>
              <w:widowControl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客观分</w:t>
            </w:r>
          </w:p>
        </w:tc>
        <w:tc>
          <w:tcPr>
            <w:tcW w:w="1267" w:type="dxa"/>
            <w:tcBorders>
              <w:tl2br w:val="nil"/>
              <w:tr2bl w:val="nil"/>
            </w:tcBorders>
            <w:vAlign w:val="center"/>
          </w:tcPr>
          <w:p>
            <w:pPr>
              <w:pStyle w:val="784"/>
              <w:widowControl w:val="0"/>
              <w:spacing w:line="360" w:lineRule="auto"/>
              <w:rPr>
                <w:rFonts w:hint="eastAsia" w:ascii="宋体" w:hAnsi="宋体" w:eastAsia="宋体" w:cs="宋体"/>
                <w:color w:val="auto"/>
                <w:kern w:val="2"/>
                <w:highlight w:val="none"/>
                <w:lang w:val="zh-TW" w:eastAsia="zh-TW"/>
              </w:rPr>
            </w:pPr>
          </w:p>
        </w:tc>
      </w:tr>
      <w:tr>
        <w:trPr>
          <w:jc w:val="center"/>
        </w:trPr>
        <w:tc>
          <w:tcPr>
            <w:tcW w:w="1171" w:type="dxa"/>
            <w:tcBorders>
              <w:tl2br w:val="nil"/>
              <w:tr2bl w:val="nil"/>
            </w:tcBorders>
            <w:vAlign w:val="center"/>
          </w:tcPr>
          <w:p>
            <w:pPr>
              <w:pStyle w:val="784"/>
              <w:widowControl w:val="0"/>
              <w:spacing w:line="360" w:lineRule="auto"/>
              <w:jc w:val="center"/>
              <w:rPr>
                <w:rFonts w:hint="eastAsia" w:ascii="宋体" w:hAnsi="宋体" w:eastAsia="宋体" w:cs="宋体"/>
                <w:color w:val="auto"/>
                <w:kern w:val="2"/>
                <w:highlight w:val="none"/>
                <w:lang w:val="en-US" w:eastAsia="zh-CN"/>
              </w:rPr>
            </w:pPr>
            <w:r>
              <w:rPr>
                <w:rFonts w:hint="eastAsia" w:ascii="宋体" w:hAnsi="宋体" w:eastAsia="宋体" w:cs="宋体"/>
                <w:b/>
                <w:bCs/>
                <w:color w:val="auto"/>
                <w:sz w:val="21"/>
                <w:highlight w:val="none"/>
              </w:rPr>
              <w:t>9、医养结合</w:t>
            </w:r>
            <w:r>
              <w:rPr>
                <w:rFonts w:hint="eastAsia" w:ascii="宋体" w:hAnsi="宋体" w:eastAsia="宋体" w:cs="宋体"/>
                <w:b/>
                <w:bCs/>
                <w:color w:val="auto"/>
                <w:sz w:val="21"/>
                <w:highlight w:val="none"/>
                <w:lang w:val="en-US" w:eastAsia="zh-CN"/>
              </w:rPr>
              <w:t>方案</w:t>
            </w:r>
          </w:p>
        </w:tc>
        <w:tc>
          <w:tcPr>
            <w:tcW w:w="5088" w:type="dxa"/>
            <w:tcBorders>
              <w:tl2br w:val="nil"/>
              <w:tr2bl w:val="nil"/>
            </w:tcBorders>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投标人提供医养结合相关方案合理可行，具有针对性得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分，医养结合相关方案较为合理可行，较有针对性得2分，医养结合相关方案一般，针对性一般得1分，方案不合理或未提供方案不得分；</w:t>
            </w:r>
          </w:p>
        </w:tc>
        <w:tc>
          <w:tcPr>
            <w:tcW w:w="730" w:type="dxa"/>
            <w:tcBorders>
              <w:tl2br w:val="nil"/>
              <w:tr2bl w:val="nil"/>
            </w:tcBorders>
            <w:vAlign w:val="center"/>
          </w:tcPr>
          <w:p>
            <w:pPr>
              <w:widowControl/>
              <w:spacing w:line="360"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3</w:t>
            </w:r>
          </w:p>
        </w:tc>
        <w:tc>
          <w:tcPr>
            <w:tcW w:w="1126" w:type="dxa"/>
            <w:tcBorders>
              <w:tl2br w:val="nil"/>
              <w:tr2bl w:val="nil"/>
            </w:tcBorders>
            <w:vAlign w:val="center"/>
          </w:tcPr>
          <w:p>
            <w:pPr>
              <w:pStyle w:val="784"/>
              <w:widowControl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主观分</w:t>
            </w:r>
          </w:p>
        </w:tc>
        <w:tc>
          <w:tcPr>
            <w:tcW w:w="1267" w:type="dxa"/>
            <w:tcBorders>
              <w:tl2br w:val="nil"/>
              <w:tr2bl w:val="nil"/>
            </w:tcBorders>
            <w:vAlign w:val="center"/>
          </w:tcPr>
          <w:p>
            <w:pPr>
              <w:pStyle w:val="784"/>
              <w:widowControl w:val="0"/>
              <w:spacing w:line="360" w:lineRule="auto"/>
              <w:rPr>
                <w:rFonts w:hint="eastAsia" w:ascii="宋体" w:hAnsi="宋体" w:eastAsia="宋体" w:cs="宋体"/>
                <w:color w:val="auto"/>
                <w:kern w:val="2"/>
                <w:highlight w:val="none"/>
                <w:lang w:val="zh-TW" w:eastAsia="zh-TW"/>
              </w:rPr>
            </w:pPr>
          </w:p>
        </w:tc>
      </w:tr>
      <w:tr>
        <w:trPr>
          <w:jc w:val="center"/>
        </w:trPr>
        <w:tc>
          <w:tcPr>
            <w:tcW w:w="1171" w:type="dxa"/>
            <w:tcBorders>
              <w:tl2br w:val="nil"/>
              <w:tr2bl w:val="nil"/>
            </w:tcBorders>
            <w:vAlign w:val="center"/>
          </w:tcPr>
          <w:p>
            <w:pPr>
              <w:pStyle w:val="784"/>
              <w:widowControl w:val="0"/>
              <w:spacing w:line="360" w:lineRule="auto"/>
              <w:jc w:val="center"/>
              <w:rPr>
                <w:rFonts w:hint="eastAsia" w:ascii="宋体" w:hAnsi="宋体" w:cs="宋体"/>
                <w:color w:val="auto"/>
                <w:kern w:val="2"/>
                <w:highlight w:val="none"/>
              </w:rPr>
            </w:pPr>
            <w:r>
              <w:rPr>
                <w:rFonts w:hint="eastAsia" w:ascii="宋体" w:hAnsi="宋体" w:eastAsia="宋体" w:cs="宋体"/>
                <w:b/>
                <w:bCs/>
                <w:color w:val="auto"/>
                <w:kern w:val="2"/>
                <w:highlight w:val="none"/>
                <w:lang w:val="en-US" w:eastAsia="zh-CN"/>
              </w:rPr>
              <w:t>1</w:t>
            </w:r>
            <w:r>
              <w:rPr>
                <w:rFonts w:hint="eastAsia" w:ascii="宋体" w:hAnsi="宋体" w:cs="宋体"/>
                <w:b/>
                <w:bCs/>
                <w:color w:val="auto"/>
                <w:kern w:val="2"/>
                <w:highlight w:val="none"/>
                <w:lang w:val="en-US" w:eastAsia="zh-CN"/>
              </w:rPr>
              <w:t>0</w:t>
            </w:r>
            <w:r>
              <w:rPr>
                <w:rFonts w:hint="eastAsia" w:ascii="宋体" w:hAnsi="宋体" w:eastAsia="宋体" w:cs="宋体"/>
                <w:b/>
                <w:bCs/>
                <w:color w:val="auto"/>
                <w:kern w:val="2"/>
                <w:highlight w:val="none"/>
                <w:lang w:val="en-US" w:eastAsia="zh-CN"/>
              </w:rPr>
              <w:t>、</w:t>
            </w:r>
            <w:r>
              <w:rPr>
                <w:rFonts w:hint="eastAsia" w:ascii="宋体" w:hAnsi="宋体" w:cs="宋体"/>
                <w:b/>
                <w:bCs/>
                <w:color w:val="auto"/>
                <w:kern w:val="2"/>
                <w:highlight w:val="none"/>
              </w:rPr>
              <w:t>价格分</w:t>
            </w:r>
          </w:p>
        </w:tc>
        <w:tc>
          <w:tcPr>
            <w:tcW w:w="5088" w:type="dxa"/>
            <w:tcBorders>
              <w:tl2br w:val="nil"/>
              <w:tr2bl w:val="nil"/>
            </w:tcBorders>
            <w:vAlign w:val="center"/>
          </w:tcPr>
          <w:p>
            <w:pPr>
              <w:widowControl/>
              <w:spacing w:line="360" w:lineRule="auto"/>
              <w:jc w:val="left"/>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报价特别说明：</w:t>
            </w:r>
          </w:p>
          <w:p>
            <w:pPr>
              <w:pStyle w:val="784"/>
              <w:widowControl w:val="0"/>
              <w:spacing w:line="360" w:lineRule="auto"/>
              <w:rPr>
                <w:rFonts w:hint="eastAsia" w:ascii="宋体" w:hAnsi="宋体" w:cs="宋体"/>
                <w:color w:val="auto"/>
                <w:highlight w:val="none"/>
                <w:lang w:val="zh-TW"/>
              </w:rPr>
            </w:pPr>
            <w:r>
              <w:rPr>
                <w:rFonts w:hint="eastAsia" w:ascii="宋体" w:hAnsi="宋体" w:eastAsia="宋体" w:cs="宋体"/>
                <w:b/>
                <w:bCs w:val="0"/>
                <w:color w:val="auto"/>
                <w:kern w:val="0"/>
                <w:sz w:val="21"/>
                <w:szCs w:val="21"/>
                <w:highlight w:val="none"/>
                <w:u w:val="single"/>
                <w:lang w:val="zh-CN"/>
              </w:rPr>
              <w:t>根据《杭州市临平区养老服务电子津贴实施办法（试行）》 (临民〔2021〕42号)文件精神（</w:t>
            </w:r>
            <w:r>
              <w:rPr>
                <w:rFonts w:hint="eastAsia" w:ascii="宋体" w:hAnsi="宋体" w:cs="宋体"/>
                <w:b/>
                <w:bCs w:val="0"/>
                <w:color w:val="auto"/>
                <w:kern w:val="0"/>
                <w:sz w:val="21"/>
                <w:szCs w:val="21"/>
                <w:highlight w:val="none"/>
                <w:u w:val="single"/>
                <w:lang w:val="zh-CN"/>
              </w:rPr>
              <w:t>详见附件8</w:t>
            </w:r>
            <w:r>
              <w:rPr>
                <w:rFonts w:hint="eastAsia" w:ascii="宋体" w:hAnsi="宋体" w:eastAsia="宋体" w:cs="宋体"/>
                <w:b/>
                <w:bCs w:val="0"/>
                <w:color w:val="auto"/>
                <w:kern w:val="0"/>
                <w:sz w:val="21"/>
                <w:szCs w:val="21"/>
                <w:highlight w:val="none"/>
                <w:u w:val="single"/>
                <w:lang w:val="zh-CN"/>
              </w:rPr>
              <w:t>）</w:t>
            </w:r>
            <w:r>
              <w:rPr>
                <w:rFonts w:hint="eastAsia" w:ascii="宋体" w:hAnsi="宋体" w:eastAsia="宋体" w:cs="宋体"/>
                <w:b/>
                <w:bCs w:val="0"/>
                <w:color w:val="auto"/>
                <w:kern w:val="0"/>
                <w:sz w:val="21"/>
                <w:szCs w:val="21"/>
                <w:highlight w:val="none"/>
                <w:u w:val="single"/>
                <w:lang w:val="zh-CN"/>
              </w:rPr>
              <w:t>，</w:t>
            </w:r>
            <w:r>
              <w:rPr>
                <w:rFonts w:hint="eastAsia" w:ascii="宋体" w:hAnsi="宋体" w:eastAsia="宋体" w:cs="宋体"/>
                <w:b/>
                <w:bCs w:val="0"/>
                <w:color w:val="auto"/>
                <w:kern w:val="0"/>
                <w:sz w:val="21"/>
                <w:szCs w:val="21"/>
                <w:highlight w:val="none"/>
                <w:u w:val="single"/>
                <w:lang w:val="zh-CN"/>
              </w:rPr>
              <w:t>中标人最终执行价格按《杭州市临平区养老服务电子津贴实施办法（试行）》 (临民〔2021〕42 号)文件按实际服务进行结算，投标人在政采云系统填报投标价格时请统一填写标项预算价格，如投标人填写的报价与预算不符，由评标委员会进行修正，投标人不接受修正的，做无效标处理。本项目</w:t>
            </w:r>
            <w:r>
              <w:rPr>
                <w:rFonts w:hint="eastAsia" w:ascii="宋体" w:hAnsi="宋体" w:cs="宋体"/>
                <w:b/>
                <w:bCs w:val="0"/>
                <w:color w:val="auto"/>
                <w:kern w:val="0"/>
                <w:sz w:val="21"/>
                <w:szCs w:val="21"/>
                <w:highlight w:val="none"/>
                <w:u w:val="single"/>
                <w:lang w:val="en-US" w:eastAsia="zh-CN"/>
              </w:rPr>
              <w:t>每个标项</w:t>
            </w:r>
            <w:r>
              <w:rPr>
                <w:rFonts w:hint="eastAsia" w:ascii="宋体" w:hAnsi="宋体" w:eastAsia="宋体" w:cs="宋体"/>
                <w:b/>
                <w:bCs w:val="0"/>
                <w:color w:val="auto"/>
                <w:kern w:val="0"/>
                <w:sz w:val="21"/>
                <w:szCs w:val="21"/>
                <w:highlight w:val="none"/>
                <w:u w:val="single"/>
                <w:lang w:val="zh-CN"/>
              </w:rPr>
              <w:t>预算为采购人根据上年度资金使用和本年度需要扩面的所需预估金额，最终结算根据具体根据实际服务进行结算，投标人自行考虑相关风险</w:t>
            </w:r>
            <w:r>
              <w:rPr>
                <w:rFonts w:hint="eastAsia" w:ascii="宋体" w:hAnsi="宋体" w:eastAsia="宋体" w:cs="宋体"/>
                <w:b/>
                <w:bCs w:val="0"/>
                <w:color w:val="auto"/>
                <w:kern w:val="0"/>
                <w:sz w:val="21"/>
                <w:szCs w:val="21"/>
                <w:highlight w:val="none"/>
                <w:u w:val="none"/>
                <w:lang w:val="zh-CN"/>
              </w:rPr>
              <w:t>。</w:t>
            </w:r>
            <w:r>
              <w:rPr>
                <w:rFonts w:hint="eastAsia" w:ascii="宋体" w:hAnsi="宋体" w:cs="宋体"/>
                <w:b/>
                <w:bCs/>
                <w:color w:val="auto"/>
                <w:kern w:val="0"/>
                <w:szCs w:val="21"/>
                <w:highlight w:val="none"/>
                <w:lang w:val="en-US" w:eastAsia="zh-CN"/>
              </w:rPr>
              <w:t>价格分由评审小组统一一致计算。</w:t>
            </w:r>
          </w:p>
        </w:tc>
        <w:tc>
          <w:tcPr>
            <w:tcW w:w="730" w:type="dxa"/>
            <w:tcBorders>
              <w:tl2br w:val="nil"/>
              <w:tr2bl w:val="nil"/>
            </w:tcBorders>
            <w:vAlign w:val="center"/>
          </w:tcPr>
          <w:p>
            <w:pPr>
              <w:pStyle w:val="784"/>
              <w:widowControl w:val="0"/>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10</w:t>
            </w:r>
          </w:p>
        </w:tc>
        <w:tc>
          <w:tcPr>
            <w:tcW w:w="1126" w:type="dxa"/>
            <w:tcBorders>
              <w:tl2br w:val="nil"/>
              <w:tr2bl w:val="nil"/>
            </w:tcBorders>
            <w:vAlign w:val="center"/>
          </w:tcPr>
          <w:p>
            <w:pPr>
              <w:pStyle w:val="784"/>
              <w:widowControl w:val="0"/>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客观分</w:t>
            </w:r>
          </w:p>
        </w:tc>
        <w:tc>
          <w:tcPr>
            <w:tcW w:w="1267" w:type="dxa"/>
            <w:tcBorders>
              <w:tl2br w:val="nil"/>
              <w:tr2bl w:val="nil"/>
            </w:tcBorders>
            <w:vAlign w:val="center"/>
          </w:tcPr>
          <w:p>
            <w:pPr>
              <w:pStyle w:val="784"/>
              <w:widowControl w:val="0"/>
              <w:spacing w:line="360" w:lineRule="auto"/>
              <w:jc w:val="center"/>
              <w:rPr>
                <w:rFonts w:hint="eastAsia" w:ascii="宋体" w:hAnsi="宋体" w:cs="宋体"/>
                <w:color w:val="auto"/>
                <w:highlight w:val="none"/>
              </w:rPr>
            </w:pPr>
            <w:r>
              <w:rPr>
                <w:rFonts w:hint="eastAsia" w:ascii="宋体" w:hAnsi="宋体" w:cs="宋体"/>
                <w:color w:val="auto"/>
                <w:highlight w:val="none"/>
              </w:rPr>
              <w:t>/</w:t>
            </w:r>
          </w:p>
        </w:tc>
      </w:tr>
    </w:tbl>
    <w:p>
      <w:pPr>
        <w:pStyle w:val="23"/>
        <w:rPr>
          <w:color w:val="auto"/>
          <w:highlight w:val="none"/>
        </w:rPr>
      </w:pP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numPr>
          <w:ilvl w:val="0"/>
          <w:numId w:val="0"/>
        </w:num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投标人编制投标文件（商务技术文件部分）时，建议按此目录（序号和内容）提供评标标准相应的商务技术资料。</w:t>
      </w:r>
    </w:p>
    <w:p>
      <w:pPr>
        <w:numPr>
          <w:ilvl w:val="0"/>
          <w:numId w:val="0"/>
        </w:num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
          <w:bCs/>
          <w:color w:val="auto"/>
          <w:szCs w:val="21"/>
          <w:highlight w:val="none"/>
        </w:rPr>
        <w:t>10%</w:t>
      </w:r>
      <w:r>
        <w:rPr>
          <w:rFonts w:hint="eastAsia" w:ascii="宋体" w:hAnsi="宋体" w:cs="宋体"/>
          <w:color w:val="auto"/>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color w:val="auto"/>
          <w:szCs w:val="21"/>
          <w:highlight w:val="none"/>
        </w:rPr>
        <w:t>4%</w:t>
      </w:r>
      <w:r>
        <w:rPr>
          <w:rFonts w:hint="eastAsia" w:ascii="宋体" w:hAnsi="宋体" w:cs="宋体"/>
          <w:color w:val="auto"/>
          <w:szCs w:val="21"/>
          <w:highlight w:val="none"/>
        </w:rPr>
        <w:t>的扣除，用扣除后的价格参加评审。</w:t>
      </w:r>
    </w:p>
    <w:p>
      <w:pPr>
        <w:numPr>
          <w:ilvl w:val="0"/>
          <w:numId w:val="0"/>
        </w:num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lang w:val="en-US" w:eastAsia="zh-CN"/>
        </w:rPr>
        <w:t>2.中标候选人的推荐数量及原则详见第二部分 投标人须知 “前附表”。</w:t>
      </w:r>
      <w:r>
        <w:rPr>
          <w:rFonts w:hint="eastAsia" w:ascii="宋体" w:hAnsi="宋体" w:cs="宋体"/>
          <w:b/>
          <w:color w:val="auto"/>
          <w:szCs w:val="21"/>
          <w:highlight w:val="none"/>
        </w:rPr>
        <w:br w:type="page"/>
      </w:r>
    </w:p>
    <w:p>
      <w:pPr>
        <w:pStyle w:val="2"/>
        <w:rPr>
          <w:color w:val="auto"/>
          <w:szCs w:val="21"/>
          <w:highlight w:val="none"/>
        </w:rPr>
      </w:pPr>
      <w:r>
        <w:rPr>
          <w:rFonts w:hint="eastAsia"/>
          <w:color w:val="auto"/>
          <w:szCs w:val="21"/>
          <w:highlight w:val="none"/>
        </w:rPr>
        <w:t>一、评标方法</w:t>
      </w:r>
    </w:p>
    <w:p>
      <w:pPr>
        <w:adjustRightInd/>
        <w:spacing w:line="360" w:lineRule="auto"/>
        <w:ind w:firstLine="412"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pPr>
        <w:pStyle w:val="2"/>
        <w:rPr>
          <w:color w:val="auto"/>
          <w:szCs w:val="21"/>
          <w:highlight w:val="none"/>
        </w:rPr>
      </w:pPr>
      <w:r>
        <w:rPr>
          <w:rFonts w:hint="eastAsia"/>
          <w:color w:val="auto"/>
          <w:szCs w:val="21"/>
          <w:highlight w:val="none"/>
        </w:rPr>
        <w:t>二、评标标准</w:t>
      </w:r>
    </w:p>
    <w:p>
      <w:pPr>
        <w:spacing w:line="360" w:lineRule="auto"/>
        <w:ind w:firstLine="412" w:firstLineChars="196"/>
        <w:rPr>
          <w:rFonts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kern w:val="0"/>
          <w:szCs w:val="21"/>
          <w:highlight w:val="none"/>
        </w:rPr>
        <w:t>见评标办法前附表。</w:t>
      </w:r>
    </w:p>
    <w:p>
      <w:pPr>
        <w:pStyle w:val="2"/>
        <w:rPr>
          <w:color w:val="auto"/>
          <w:szCs w:val="21"/>
          <w:highlight w:val="none"/>
        </w:rPr>
      </w:pPr>
      <w:r>
        <w:rPr>
          <w:rFonts w:hint="eastAsia"/>
          <w:color w:val="auto"/>
          <w:szCs w:val="21"/>
          <w:highlight w:val="none"/>
        </w:rPr>
        <w:t>三、评标程序</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3.1符合性审查。评标委员会应当对符合资格的投标人的投标文件进行符合性审查，以确定其是否满足招标文件的实质性要求。不满足招标文件的实质性要求的，投标无效。</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3.2 比较与评价。评标委员会应当按照招标文件中规定的评标方法和标准，对符合性审查合格的投标文件进行商务和技术评估，综合比较与评价。</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3.3汇总商务技术得分。评标委员会各成员应当独立对每个投标人的商务和技术文件进行评价，并汇总商务技术得分情况。</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3.4报价评审。</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3.4.1投标文件报价出现前后不一致的，按照下列规定修正：</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3.4.1.1投标文件中开标一览表(报价表)内容与投标文件中相应内容不一致的，以开标一览表(报价表)为准;</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3.4.1.2大写金额和小写金额不一致的，以大写金额为准;</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3.4.1.3单价金额小数点或者百分比有明显错位的，以开标一览表的总价为准，并修改单价;</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3.4.1.4总价金额与按单价汇总金额不一致的，以单价金额计算结果为准。</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3.4.2投标文件出现不是唯一的、有选择性投标报价的，投标无效。</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3.4.3投标报价超过招标文件中规定的预算金额或者最高限价的，投标无效。</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2"/>
        <w:rPr>
          <w:color w:val="auto"/>
          <w:szCs w:val="21"/>
          <w:highlight w:val="none"/>
        </w:rPr>
      </w:pPr>
      <w:r>
        <w:rPr>
          <w:rFonts w:hint="eastAsia"/>
          <w:color w:val="auto"/>
          <w:szCs w:val="21"/>
          <w:highlight w:val="none"/>
        </w:rPr>
        <w:t>四、评标中的其他事项</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4.2投标无效。有下列情形之一的，投标无效：</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4.2.1投标人不具备招标文件中规定的资格要求的（投标人未提供有效的资格文件的，视为投标人不具备招标文件中规定的资格要求）；</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4.2.2投标文件未按照招标文件要求签署、盖章的；</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4.2.4投标文件含有采购人不能接受的附加条件的；</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4.2.5投标文件中承诺的投标有效期少于招标文件中载明的投标有效期的；</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4.2.6投标文件出现不是唯一的、有选择性投标报价的;</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4.2.7投标报价超过招标文件中规定的预算金额或者最高限价的;</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4.2.9投标人对根据修正原则修正后的报价不确认的；</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4.2.10投标人提供虚假材料投标的；</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4.2.11投标人有恶意串通、妨碍其他投标人的竞争行为、损害采购人或者其他投标人的合法权益情形的；</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4.2.12投标人仅提交备份投标文件，未在电子交易平台传输递交投标文件的，投标无效；</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4.2.13 投标文件不满足招标文件的其它实质性要求的；</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4.2.14法律、法规、规章（适用本市的）及省级以上规范性文件（适用本市的）规定的其他无效情形。</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5.废标。根据《中华人民共和国政府采购法》第三十六条之规定，在采购中，出现下列情形之一的，应予废标：</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5.1符合专业条件的供应商或者对招标文件作实质响应的供应商不足3家的；</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5.2出现影响采购公正的违法、违规行为的；</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5.3投标人的报价均超过了采购预算，采购人不能支付的；</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5.4因重大变故，采购任务取消的。</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废标后，采购代理机构应当将废标理由通知所有投标人。</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7.重新开展采购。有政府采购法第七十一条、第七十二条规定的违法行为之一，影响或者可能影响中标、成交结果的，依照下列规定处理：</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7.1未确定中标或者中标人的，终止本次政府采购活动，重新开展政府采购活动。</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7.3政府采购合同已签订但尚未履行的，撤销合同，从合格的中标或者成交候选人中另行确定中标或者中标人；没有合格的中标或者成交候选人的，重新开展政府采购活动。</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7.4政府采购合同已经履行，给采购人、供应商造成损失的，由责任人承担赔偿责任。</w:t>
      </w:r>
    </w:p>
    <w:p>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bookmarkEnd w:id="31"/>
    <w:p>
      <w:pPr>
        <w:spacing w:line="360" w:lineRule="auto"/>
        <w:rPr>
          <w:rFonts w:ascii="宋体" w:hAnsi="宋体" w:cs="宋体"/>
          <w:b/>
          <w:color w:val="auto"/>
          <w:szCs w:val="21"/>
          <w:highlight w:val="none"/>
        </w:rPr>
      </w:pPr>
      <w:bookmarkStart w:id="416" w:name="第五部分"/>
      <w:bookmarkStart w:id="417" w:name="_Toc86217003"/>
      <w:r>
        <w:rPr>
          <w:rFonts w:hint="eastAsia" w:ascii="宋体" w:hAnsi="宋体" w:cs="宋体"/>
          <w:b/>
          <w:color w:val="auto"/>
          <w:szCs w:val="21"/>
          <w:highlight w:val="none"/>
        </w:rPr>
        <w:br w:type="page"/>
      </w:r>
    </w:p>
    <w:p>
      <w:pPr>
        <w:pStyle w:val="3"/>
        <w:rPr>
          <w:color w:val="auto"/>
          <w:highlight w:val="none"/>
        </w:rPr>
      </w:pPr>
      <w:bookmarkStart w:id="418" w:name="_Toc14882"/>
      <w:r>
        <w:rPr>
          <w:rFonts w:hint="eastAsia"/>
          <w:color w:val="auto"/>
          <w:highlight w:val="none"/>
        </w:rPr>
        <w:t>第五部分 拟签订的合同文本</w:t>
      </w:r>
      <w:bookmarkEnd w:id="418"/>
    </w:p>
    <w:p>
      <w:pPr>
        <w:rPr>
          <w:rFonts w:ascii="宋体" w:hAnsi="宋体" w:cs="宋体"/>
          <w:color w:val="auto"/>
          <w:sz w:val="24"/>
          <w:highlight w:val="none"/>
          <w:u w:val="single"/>
        </w:rPr>
      </w:pPr>
      <w:r>
        <w:rPr>
          <w:rFonts w:hint="eastAsia" w:ascii="宋体" w:hAnsi="宋体" w:cs="宋体"/>
          <w:color w:val="auto"/>
          <w:sz w:val="24"/>
          <w:highlight w:val="none"/>
        </w:rPr>
        <w:t>合同编号：</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2"/>
        <w:rPr>
          <w:rFonts w:ascii="宋体" w:hAnsi="宋体" w:cs="宋体"/>
          <w:color w:val="auto"/>
          <w:szCs w:val="24"/>
          <w:highlight w:val="none"/>
        </w:rPr>
      </w:pPr>
    </w:p>
    <w:p>
      <w:pPr>
        <w:pStyle w:val="702"/>
        <w:rPr>
          <w:rFonts w:ascii="宋体" w:hAnsi="宋体" w:cs="宋体"/>
          <w:color w:val="auto"/>
          <w:szCs w:val="24"/>
          <w:highlight w:val="none"/>
        </w:rPr>
      </w:pPr>
    </w:p>
    <w:p>
      <w:pPr>
        <w:pStyle w:val="702"/>
        <w:jc w:val="center"/>
        <w:rPr>
          <w:rFonts w:ascii="宋体" w:hAnsi="宋体" w:cs="宋体"/>
          <w:color w:val="auto"/>
          <w:szCs w:val="24"/>
          <w:highlight w:val="none"/>
        </w:rPr>
      </w:pPr>
    </w:p>
    <w:p>
      <w:pPr>
        <w:pStyle w:val="702"/>
        <w:ind w:firstLine="2835"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702"/>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pPr>
        <w:pStyle w:val="599"/>
        <w:spacing w:before="120" w:line="22" w:lineRule="atLeast"/>
        <w:rPr>
          <w:rFonts w:ascii="宋体" w:hAnsi="宋体" w:eastAsia="宋体" w:cs="宋体"/>
          <w:color w:val="auto"/>
          <w:sz w:val="21"/>
          <w:szCs w:val="21"/>
          <w:highlight w:val="none"/>
        </w:rPr>
      </w:pPr>
    </w:p>
    <w:p>
      <w:pPr>
        <w:pStyle w:val="599"/>
        <w:spacing w:before="120" w:line="22" w:lineRule="atLeast"/>
        <w:rPr>
          <w:rFonts w:ascii="宋体" w:hAnsi="宋体" w:eastAsia="宋体" w:cs="宋体"/>
          <w:color w:val="auto"/>
          <w:sz w:val="21"/>
          <w:szCs w:val="21"/>
          <w:highlight w:val="none"/>
        </w:rPr>
      </w:pPr>
    </w:p>
    <w:p>
      <w:pPr>
        <w:rPr>
          <w:rFonts w:ascii="宋体" w:hAnsi="宋体" w:cs="宋体"/>
          <w:color w:val="auto"/>
          <w:szCs w:val="21"/>
          <w:highlight w:val="none"/>
        </w:rPr>
      </w:pPr>
    </w:p>
    <w:p>
      <w:pPr>
        <w:spacing w:before="120" w:line="22" w:lineRule="atLeast"/>
        <w:ind w:left="960"/>
        <w:rPr>
          <w:rFonts w:ascii="宋体" w:hAnsi="宋体" w:cs="宋体"/>
          <w:color w:val="auto"/>
          <w:szCs w:val="21"/>
          <w:highlight w:val="none"/>
          <w:u w:val="singl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 xml:space="preserve">                                       </w:t>
      </w:r>
    </w:p>
    <w:p>
      <w:pPr>
        <w:spacing w:before="120" w:line="22" w:lineRule="atLeast"/>
        <w:rPr>
          <w:rFonts w:ascii="宋体" w:hAnsi="宋体" w:cs="宋体"/>
          <w:color w:val="auto"/>
          <w:szCs w:val="21"/>
          <w:highlight w:val="none"/>
        </w:rPr>
      </w:pPr>
    </w:p>
    <w:p>
      <w:pPr>
        <w:spacing w:before="120" w:line="22" w:lineRule="atLeast"/>
        <w:ind w:left="960"/>
        <w:rPr>
          <w:rFonts w:ascii="宋体" w:hAnsi="宋体" w:cs="宋体"/>
          <w:color w:val="auto"/>
          <w:szCs w:val="21"/>
          <w:highlight w:val="none"/>
          <w:u w:val="singl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w:t>
      </w:r>
    </w:p>
    <w:p>
      <w:pPr>
        <w:spacing w:before="120" w:line="22" w:lineRule="atLeast"/>
        <w:rPr>
          <w:rFonts w:ascii="宋体" w:hAnsi="宋体" w:cs="宋体"/>
          <w:color w:val="auto"/>
          <w:szCs w:val="21"/>
          <w:highlight w:val="none"/>
        </w:rPr>
      </w:pPr>
    </w:p>
    <w:p>
      <w:pPr>
        <w:spacing w:before="120" w:line="22" w:lineRule="atLeas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签订地：</w:t>
      </w:r>
      <w:r>
        <w:rPr>
          <w:rFonts w:hint="eastAsia" w:ascii="宋体" w:hAnsi="宋体" w:cs="宋体"/>
          <w:color w:val="auto"/>
          <w:szCs w:val="21"/>
          <w:highlight w:val="none"/>
          <w:u w:val="single"/>
        </w:rPr>
        <w:t xml:space="preserve">                                     </w:t>
      </w:r>
    </w:p>
    <w:p>
      <w:pPr>
        <w:spacing w:before="120" w:line="22" w:lineRule="atLeast"/>
        <w:rPr>
          <w:rFonts w:ascii="宋体" w:hAnsi="宋体" w:cs="宋体"/>
          <w:color w:val="auto"/>
          <w:szCs w:val="21"/>
          <w:highlight w:val="none"/>
        </w:rPr>
      </w:pPr>
    </w:p>
    <w:p>
      <w:pPr>
        <w:spacing w:before="120" w:line="22" w:lineRule="atLeas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签订日期：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idowControl/>
        <w:jc w:val="left"/>
        <w:rPr>
          <w:rFonts w:ascii="宋体" w:hAnsi="宋体" w:cs="宋体"/>
          <w:color w:val="auto"/>
          <w:kern w:val="0"/>
          <w:sz w:val="24"/>
          <w:highlight w:val="none"/>
        </w:rPr>
        <w:sectPr>
          <w:pgSz w:w="11907" w:h="16840"/>
          <w:pgMar w:top="680" w:right="1417" w:bottom="471" w:left="1417" w:header="851" w:footer="851" w:gutter="0"/>
          <w:pgBorders>
            <w:top w:val="none" w:sz="0" w:space="0"/>
            <w:left w:val="none" w:sz="0" w:space="0"/>
            <w:bottom w:val="none" w:sz="0" w:space="0"/>
            <w:right w:val="none" w:sz="0" w:space="0"/>
          </w:pgBorders>
          <w:pgNumType w:fmt="decimal"/>
          <w:cols w:space="720" w:num="1"/>
        </w:sect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杭州市临平区塘栖镇人民政府</w:t>
      </w:r>
      <w:r>
        <w:rPr>
          <w:rFonts w:hint="eastAsia" w:ascii="宋体" w:hAnsi="宋体" w:cs="宋体"/>
          <w:color w:val="auto"/>
          <w:szCs w:val="21"/>
          <w:highlight w:val="none"/>
        </w:rPr>
        <w:t>以</w:t>
      </w:r>
      <w:r>
        <w:rPr>
          <w:rFonts w:hint="eastAsia" w:ascii="宋体" w:hAnsi="宋体" w:cs="宋体"/>
          <w:color w:val="auto"/>
          <w:szCs w:val="21"/>
          <w:highlight w:val="none"/>
          <w:u w:val="single"/>
        </w:rPr>
        <w:t>公开招标</w:t>
      </w:r>
      <w:r>
        <w:rPr>
          <w:rFonts w:hint="eastAsia" w:ascii="宋体" w:hAnsi="宋体" w:cs="宋体"/>
          <w:color w:val="auto"/>
          <w:szCs w:val="21"/>
          <w:highlight w:val="none"/>
        </w:rPr>
        <w:t>对</w:t>
      </w:r>
      <w:r>
        <w:rPr>
          <w:rFonts w:hint="eastAsia" w:ascii="宋体" w:hAnsi="宋体" w:cs="宋体"/>
          <w:color w:val="auto"/>
          <w:szCs w:val="21"/>
          <w:highlight w:val="none"/>
          <w:u w:val="single"/>
          <w:lang w:eastAsia="zh-CN"/>
        </w:rPr>
        <w:t>2024年塘栖镇养老电子津贴政府采购</w:t>
      </w:r>
      <w:r>
        <w:rPr>
          <w:rFonts w:hint="eastAsia" w:ascii="宋体" w:hAnsi="宋体" w:cs="宋体"/>
          <w:color w:val="auto"/>
          <w:szCs w:val="21"/>
          <w:highlight w:val="none"/>
          <w:u w:val="single"/>
        </w:rPr>
        <w:t>项目</w:t>
      </w:r>
      <w:r>
        <w:rPr>
          <w:rFonts w:hint="eastAsia" w:ascii="宋体" w:hAnsi="宋体" w:cs="宋体"/>
          <w:color w:val="auto"/>
          <w:szCs w:val="21"/>
          <w:highlight w:val="none"/>
        </w:rPr>
        <w:t>进行了采购。经</w:t>
      </w:r>
      <w:r>
        <w:rPr>
          <w:rFonts w:hint="eastAsia" w:ascii="宋体" w:hAnsi="宋体" w:cs="宋体"/>
          <w:color w:val="auto"/>
          <w:szCs w:val="21"/>
          <w:highlight w:val="none"/>
          <w:u w:val="single"/>
          <w:lang w:eastAsia="zh-CN"/>
        </w:rPr>
        <w:t>2024年塘栖镇养老电子津贴政府采购</w:t>
      </w:r>
      <w:r>
        <w:rPr>
          <w:rFonts w:hint="eastAsia" w:ascii="宋体" w:hAnsi="宋体" w:cs="宋体"/>
          <w:color w:val="auto"/>
          <w:szCs w:val="21"/>
          <w:highlight w:val="none"/>
          <w:u w:val="single"/>
        </w:rPr>
        <w:t>项目评审小组</w:t>
      </w:r>
      <w:r>
        <w:rPr>
          <w:rFonts w:hint="eastAsia" w:ascii="宋体" w:hAnsi="宋体" w:cs="宋体"/>
          <w:color w:val="auto"/>
          <w:szCs w:val="21"/>
          <w:highlight w:val="none"/>
        </w:rPr>
        <w:t>评定，</w:t>
      </w:r>
      <w:r>
        <w:rPr>
          <w:rFonts w:hint="eastAsia" w:ascii="宋体" w:hAnsi="宋体" w:cs="宋体"/>
          <w:color w:val="auto"/>
          <w:szCs w:val="21"/>
          <w:highlight w:val="none"/>
          <w:u w:val="single"/>
        </w:rPr>
        <w:t>（中标供应商名称）</w:t>
      </w:r>
      <w:r>
        <w:rPr>
          <w:rFonts w:hint="eastAsia" w:ascii="宋体" w:hAnsi="宋体" w:cs="宋体"/>
          <w:color w:val="auto"/>
          <w:szCs w:val="21"/>
          <w:highlight w:val="none"/>
        </w:rPr>
        <w:t>为该项目中标供应商。现于中标通知书发出之日起十日内，按照招标文件确定的事项签订本合同。</w:t>
      </w:r>
      <w:r>
        <w:rPr>
          <w:rFonts w:hint="eastAsia" w:ascii="宋体" w:hAnsi="宋体" w:cs="宋体"/>
          <w:color w:val="auto"/>
          <w:sz w:val="21"/>
          <w:szCs w:val="21"/>
          <w:highlight w:val="none"/>
          <w:lang w:val="en-US" w:eastAsia="zh-CN"/>
        </w:rPr>
        <w:t>合同签订依据为相关法律法规文件、招标文件、乙方投标文件等，合同条款有与前者冲突的，以前者为准。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根据《中华人民共和国民法典》、《中华人民共和国政府采购法》等相关法律法规之规定，按照平等、自愿、公平</w:t>
      </w:r>
      <w:r>
        <w:rPr>
          <w:rFonts w:hint="eastAsia" w:ascii="宋体" w:hAnsi="宋体" w:cs="宋体"/>
          <w:color w:val="auto"/>
          <w:szCs w:val="21"/>
          <w:highlight w:val="none"/>
        </w:rPr>
        <w:t>和</w:t>
      </w:r>
      <w:r>
        <w:rPr>
          <w:rFonts w:hint="eastAsia" w:ascii="宋体" w:hAnsi="宋体" w:cs="宋体"/>
          <w:color w:val="auto"/>
          <w:szCs w:val="21"/>
          <w:highlight w:val="none"/>
          <w:lang w:val="zh-CN"/>
        </w:rPr>
        <w:t>诚实信用的原则，经</w:t>
      </w:r>
      <w:r>
        <w:rPr>
          <w:rFonts w:hint="eastAsia" w:ascii="宋体" w:hAnsi="宋体" w:cs="宋体"/>
          <w:color w:val="auto"/>
          <w:szCs w:val="21"/>
          <w:highlight w:val="none"/>
          <w:u w:val="single"/>
          <w:lang w:eastAsia="zh-CN"/>
        </w:rPr>
        <w:t>杭州市临平区塘栖镇人民政府</w:t>
      </w:r>
      <w:r>
        <w:rPr>
          <w:rFonts w:hint="eastAsia" w:ascii="宋体" w:hAnsi="宋体" w:cs="宋体"/>
          <w:color w:val="auto"/>
          <w:szCs w:val="21"/>
          <w:highlight w:val="none"/>
          <w:lang w:val="zh-CN"/>
        </w:rPr>
        <w:t>(以下简称：甲方)和</w:t>
      </w:r>
      <w:r>
        <w:rPr>
          <w:rFonts w:hint="eastAsia" w:ascii="宋体" w:hAnsi="宋体" w:cs="宋体"/>
          <w:color w:val="auto"/>
          <w:szCs w:val="21"/>
          <w:highlight w:val="none"/>
          <w:u w:val="single"/>
        </w:rPr>
        <w:t>（中标供应商名称）</w:t>
      </w:r>
      <w:r>
        <w:rPr>
          <w:rFonts w:hint="eastAsia" w:ascii="宋体" w:hAnsi="宋体" w:cs="宋体"/>
          <w:color w:val="auto"/>
          <w:szCs w:val="21"/>
          <w:highlight w:val="none"/>
          <w:lang w:val="zh-CN"/>
        </w:rPr>
        <w:t>(以下简称：乙方)协商一致，约定以下合同</w:t>
      </w:r>
      <w:r>
        <w:rPr>
          <w:rFonts w:hint="eastAsia" w:ascii="宋体" w:hAnsi="宋体" w:cs="宋体"/>
          <w:color w:val="auto"/>
          <w:szCs w:val="21"/>
          <w:highlight w:val="none"/>
        </w:rPr>
        <w:t>条款，以兹共同遵守、全面履行。</w:t>
      </w:r>
    </w:p>
    <w:p>
      <w:pPr>
        <w:pStyle w:val="4"/>
        <w:rPr>
          <w:color w:val="auto"/>
          <w:szCs w:val="21"/>
          <w:highlight w:val="none"/>
        </w:rPr>
      </w:pPr>
      <w:r>
        <w:rPr>
          <w:rFonts w:hint="eastAsia"/>
          <w:color w:val="auto"/>
          <w:szCs w:val="21"/>
          <w:highlight w:val="none"/>
        </w:rPr>
        <w:t>1.1合同组成部分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1.1.1本合同及其补充合同、变更协议；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1.1.2中标通知书；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1.1.3投标文件（含澄清或者说明文件）；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1.1.4招标文件（含澄清或者修改文件）；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1.1.5其他相关招标文件。</w:t>
      </w:r>
    </w:p>
    <w:p>
      <w:pPr>
        <w:pStyle w:val="4"/>
        <w:rPr>
          <w:color w:val="auto"/>
          <w:szCs w:val="21"/>
          <w:highlight w:val="none"/>
        </w:rPr>
      </w:pPr>
      <w:bookmarkStart w:id="419" w:name="_Toc27126"/>
      <w:bookmarkStart w:id="420" w:name="_Toc24300"/>
      <w:bookmarkStart w:id="421" w:name="_Toc21295"/>
      <w:r>
        <w:rPr>
          <w:rFonts w:hint="eastAsia"/>
          <w:color w:val="auto"/>
          <w:szCs w:val="21"/>
          <w:highlight w:val="none"/>
        </w:rPr>
        <w:t>1.2</w:t>
      </w:r>
      <w:bookmarkEnd w:id="419"/>
      <w:bookmarkEnd w:id="420"/>
      <w:bookmarkEnd w:id="421"/>
      <w:r>
        <w:rPr>
          <w:rFonts w:hint="eastAsia"/>
          <w:color w:val="auto"/>
          <w:szCs w:val="21"/>
          <w:highlight w:val="none"/>
        </w:rPr>
        <w:t>标的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1.2.1服务内容：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1.2.2服务标准：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1.2.3技术保障：</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1.2.4服务人员组成：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1.2.5合同</w:t>
      </w:r>
      <w:r>
        <w:rPr>
          <w:rFonts w:hint="eastAsia" w:ascii="宋体" w:hAnsi="宋体" w:cs="宋体"/>
          <w:color w:val="auto"/>
          <w:szCs w:val="21"/>
          <w:highlight w:val="none"/>
          <w:u w:val="single"/>
        </w:rPr>
        <w:t>否</w:t>
      </w:r>
      <w:r>
        <w:rPr>
          <w:rFonts w:hint="eastAsia" w:ascii="宋体" w:hAnsi="宋体" w:cs="宋体"/>
          <w:color w:val="auto"/>
          <w:szCs w:val="21"/>
          <w:highlight w:val="none"/>
        </w:rPr>
        <w:t>（是/否）涉及货物。若涉及货物的的，则：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1.2.5.1货物名称、品牌、规格型号、花色：</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1.2.5.2货物数量：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1.2.5.3货物质量：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4"/>
        <w:rPr>
          <w:color w:val="auto"/>
          <w:szCs w:val="21"/>
          <w:highlight w:val="none"/>
        </w:rPr>
      </w:pPr>
      <w:r>
        <w:rPr>
          <w:rFonts w:hint="eastAsia"/>
          <w:color w:val="auto"/>
          <w:szCs w:val="21"/>
          <w:highlight w:val="none"/>
        </w:rPr>
        <w:t>1.3价款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本合同总价（含税）为：￥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pPr>
        <w:spacing w:line="360" w:lineRule="auto"/>
        <w:ind w:firstLine="420" w:firstLineChars="200"/>
        <w:rPr>
          <w:rFonts w:ascii="宋体" w:hAnsi="宋体" w:cs="宋体"/>
          <w:b/>
          <w:bCs/>
          <w:color w:val="auto"/>
          <w:szCs w:val="21"/>
          <w:highlight w:val="none"/>
          <w:u w:val="single"/>
        </w:rPr>
      </w:pPr>
      <w:r>
        <w:rPr>
          <w:rFonts w:hint="eastAsia" w:ascii="宋体" w:hAnsi="宋体" w:cs="宋体"/>
          <w:b/>
          <w:bCs/>
          <w:color w:val="auto"/>
          <w:szCs w:val="21"/>
          <w:highlight w:val="none"/>
        </w:rPr>
        <w:t>明细附后：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pPr>
        <w:pStyle w:val="4"/>
        <w:rPr>
          <w:rFonts w:hint="eastAsia"/>
          <w:color w:val="auto"/>
          <w:szCs w:val="21"/>
          <w:highlight w:val="none"/>
        </w:rPr>
      </w:pPr>
      <w:r>
        <w:rPr>
          <w:rFonts w:hint="eastAsia"/>
          <w:color w:val="auto"/>
          <w:szCs w:val="21"/>
          <w:highlight w:val="none"/>
        </w:rPr>
        <w:t>1.4履约保证金</w:t>
      </w:r>
    </w:p>
    <w:p>
      <w:pPr>
        <w:pStyle w:val="958"/>
        <w:spacing w:before="0" w:beforeAutospacing="0" w:after="0" w:afterAutospacing="0" w:line="360" w:lineRule="auto"/>
        <w:ind w:firstLine="480"/>
        <w:rPr>
          <w:color w:val="auto"/>
          <w:sz w:val="21"/>
          <w:szCs w:val="21"/>
          <w:highlight w:val="none"/>
        </w:rPr>
      </w:pPr>
      <w:r>
        <w:rPr>
          <w:rFonts w:hint="eastAsia"/>
          <w:color w:val="auto"/>
          <w:sz w:val="21"/>
          <w:szCs w:val="21"/>
          <w:highlight w:val="none"/>
        </w:rPr>
        <w:t>乙方</w:t>
      </w:r>
      <w:r>
        <w:rPr>
          <w:rFonts w:hint="eastAsia"/>
          <w:color w:val="auto"/>
          <w:sz w:val="21"/>
          <w:szCs w:val="21"/>
          <w:highlight w:val="none"/>
          <w:u w:val="single"/>
        </w:rPr>
        <w:t>否</w:t>
      </w:r>
      <w:r>
        <w:rPr>
          <w:rFonts w:hint="eastAsia"/>
          <w:color w:val="auto"/>
          <w:sz w:val="21"/>
          <w:szCs w:val="21"/>
          <w:highlight w:val="none"/>
        </w:rPr>
        <w:t>（是/否）需要支付履约保证金。若需要支付履约保证金的，则：</w:t>
      </w:r>
    </w:p>
    <w:p>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1.4.1履约保证金的比例为合同金额的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1.4.2履约保证金支付方式详见</w:t>
      </w:r>
      <w:r>
        <w:rPr>
          <w:rFonts w:hint="eastAsia" w:ascii="宋体" w:hAnsi="宋体" w:cs="宋体"/>
          <w:b/>
          <w:i/>
          <w:color w:val="auto"/>
          <w:szCs w:val="21"/>
          <w:highlight w:val="none"/>
          <w:u w:val="single"/>
        </w:rPr>
        <w:t>合同专用条款</w:t>
      </w:r>
      <w:r>
        <w:rPr>
          <w:rFonts w:hint="eastAsia" w:ascii="宋体" w:hAnsi="宋体" w:cs="宋体"/>
          <w:color w:val="auto"/>
          <w:kern w:val="0"/>
          <w:szCs w:val="21"/>
          <w:highlight w:val="none"/>
        </w:rPr>
        <w:t>；</w:t>
      </w:r>
    </w:p>
    <w:p>
      <w:pPr>
        <w:spacing w:line="360" w:lineRule="auto"/>
        <w:ind w:firstLine="420" w:firstLineChars="200"/>
        <w:outlineLvl w:val="0"/>
        <w:rPr>
          <w:rFonts w:hint="eastAsia" w:ascii="宋体" w:hAnsi="宋体" w:cs="宋体"/>
          <w:color w:val="auto"/>
          <w:kern w:val="0"/>
          <w:szCs w:val="21"/>
          <w:highlight w:val="none"/>
          <w:lang w:val="en-US"/>
        </w:rPr>
      </w:pPr>
      <w:r>
        <w:rPr>
          <w:rFonts w:hint="eastAsia" w:ascii="宋体" w:hAnsi="宋体" w:cs="宋体"/>
          <w:color w:val="auto"/>
          <w:kern w:val="0"/>
          <w:szCs w:val="21"/>
          <w:highlight w:val="none"/>
          <w:lang w:val="en-US"/>
        </w:rPr>
        <w:t>1.4.3 如果乙方不履行合同，履约保证金不予退还；如果乙方未能按合同约定全面履行义务，那么甲方有权从履约保证金中取得补偿或赔偿，同时不影响</w:t>
      </w:r>
      <w:r>
        <w:rPr>
          <w:rFonts w:hint="eastAsia" w:ascii="宋体" w:hAnsi="宋体" w:cs="宋体"/>
          <w:color w:val="auto"/>
          <w:kern w:val="0"/>
          <w:szCs w:val="21"/>
          <w:highlight w:val="none"/>
        </w:rPr>
        <w:t>甲方</w:t>
      </w:r>
      <w:r>
        <w:rPr>
          <w:rFonts w:hint="eastAsia" w:ascii="宋体" w:hAnsi="宋体" w:cs="宋体"/>
          <w:color w:val="auto"/>
          <w:kern w:val="0"/>
          <w:szCs w:val="21"/>
          <w:highlight w:val="none"/>
          <w:lang w:val="en-US"/>
        </w:rPr>
        <w:t>要求乙方承担合同约定的超过履约保证金的违约责任的权利；</w:t>
      </w:r>
    </w:p>
    <w:p>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1.4.4甲方在项目验收结束后及时退还履约保证金。甲方在项目通过验收之日起</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Cs w:val="21"/>
          <w:highlight w:val="none"/>
          <w:u w:val="single"/>
        </w:rPr>
        <w:t>0.05（可根据情况修改）</w:t>
      </w:r>
      <w:r>
        <w:rPr>
          <w:rFonts w:hint="eastAsia" w:ascii="宋体" w:hAnsi="宋体" w:cs="宋体"/>
          <w:color w:val="auto"/>
          <w:kern w:val="0"/>
          <w:szCs w:val="21"/>
          <w:highlight w:val="none"/>
        </w:rPr>
        <w:t>%计算，最高限额为本合同履约保证金的</w:t>
      </w:r>
      <w:r>
        <w:rPr>
          <w:rFonts w:hint="eastAsia" w:ascii="宋体" w:hAnsi="宋体" w:cs="宋体"/>
          <w:color w:val="auto"/>
          <w:kern w:val="0"/>
          <w:szCs w:val="21"/>
          <w:highlight w:val="none"/>
          <w:u w:val="single"/>
        </w:rPr>
        <w:t>20</w:t>
      </w:r>
      <w:r>
        <w:rPr>
          <w:rFonts w:hint="eastAsia" w:ascii="宋体" w:hAnsi="宋体" w:cs="宋体"/>
          <w:color w:val="auto"/>
          <w:kern w:val="0"/>
          <w:szCs w:val="21"/>
          <w:highlight w:val="none"/>
        </w:rPr>
        <w:t>%。</w:t>
      </w:r>
    </w:p>
    <w:p>
      <w:pPr>
        <w:spacing w:line="360" w:lineRule="auto"/>
        <w:ind w:firstLine="420" w:firstLineChars="200"/>
        <w:outlineLvl w:val="0"/>
        <w:rPr>
          <w:rFonts w:ascii="宋体" w:hAnsi="宋体" w:cs="宋体"/>
          <w:b/>
          <w:color w:val="auto"/>
          <w:szCs w:val="21"/>
          <w:highlight w:val="none"/>
        </w:rPr>
      </w:pPr>
      <w:r>
        <w:rPr>
          <w:rFonts w:hint="eastAsia" w:ascii="宋体" w:hAnsi="宋体" w:cs="宋体"/>
          <w:b/>
          <w:color w:val="auto"/>
          <w:szCs w:val="21"/>
          <w:highlight w:val="none"/>
        </w:rPr>
        <w:t>1.5预付款</w:t>
      </w:r>
    </w:p>
    <w:p>
      <w:pPr>
        <w:pStyle w:val="958"/>
        <w:spacing w:before="0" w:beforeAutospacing="0" w:after="0" w:afterAutospacing="0" w:line="360" w:lineRule="auto"/>
        <w:ind w:firstLine="480"/>
        <w:rPr>
          <w:color w:val="auto"/>
          <w:sz w:val="21"/>
          <w:szCs w:val="21"/>
          <w:highlight w:val="none"/>
        </w:rPr>
      </w:pPr>
      <w:r>
        <w:rPr>
          <w:rFonts w:hint="eastAsia"/>
          <w:color w:val="auto"/>
          <w:sz w:val="21"/>
          <w:szCs w:val="21"/>
          <w:highlight w:val="none"/>
        </w:rPr>
        <w:t>甲方</w:t>
      </w:r>
      <w:r>
        <w:rPr>
          <w:rFonts w:hint="eastAsia"/>
          <w:color w:val="auto"/>
          <w:sz w:val="21"/>
          <w:szCs w:val="21"/>
          <w:highlight w:val="none"/>
          <w:u w:val="single"/>
        </w:rPr>
        <w:t>是</w:t>
      </w:r>
      <w:r>
        <w:rPr>
          <w:rFonts w:hint="eastAsia"/>
          <w:color w:val="auto"/>
          <w:sz w:val="21"/>
          <w:szCs w:val="21"/>
          <w:highlight w:val="none"/>
        </w:rPr>
        <w:t>（是/否）需要支付预付款。若需要支付预付款的，则：</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1.5.1预付款比例、支付方式、时间详见</w:t>
      </w:r>
      <w:r>
        <w:rPr>
          <w:rFonts w:hint="eastAsia" w:ascii="宋体" w:hAnsi="宋体" w:cs="宋体"/>
          <w:b/>
          <w:i/>
          <w:color w:val="auto"/>
          <w:szCs w:val="21"/>
          <w:highlight w:val="none"/>
          <w:u w:val="single"/>
        </w:rPr>
        <w:t>合同专用条款</w:t>
      </w:r>
      <w:r>
        <w:rPr>
          <w:rFonts w:hint="eastAsia" w:ascii="宋体" w:hAnsi="宋体" w:cs="宋体"/>
          <w:color w:val="auto"/>
          <w:kern w:val="0"/>
          <w:szCs w:val="21"/>
          <w:highlight w:val="none"/>
        </w:rPr>
        <w:t>；</w:t>
      </w:r>
    </w:p>
    <w:p>
      <w:pPr>
        <w:pStyle w:val="958"/>
        <w:spacing w:before="0" w:beforeAutospacing="0" w:after="0" w:afterAutospacing="0" w:line="360" w:lineRule="auto"/>
        <w:ind w:firstLine="480"/>
        <w:rPr>
          <w:color w:val="auto"/>
          <w:sz w:val="21"/>
          <w:szCs w:val="21"/>
          <w:highlight w:val="none"/>
        </w:rPr>
      </w:pPr>
      <w:r>
        <w:rPr>
          <w:rFonts w:hint="eastAsia"/>
          <w:color w:val="auto"/>
          <w:sz w:val="21"/>
          <w:szCs w:val="21"/>
          <w:highlight w:val="none"/>
        </w:rPr>
        <w:t>1.5.2预付款的扣回方式详见</w:t>
      </w:r>
      <w:r>
        <w:rPr>
          <w:rFonts w:hint="eastAsia"/>
          <w:b/>
          <w:i/>
          <w:color w:val="auto"/>
          <w:sz w:val="21"/>
          <w:szCs w:val="21"/>
          <w:highlight w:val="none"/>
          <w:u w:val="single"/>
        </w:rPr>
        <w:t>合同专用条款</w:t>
      </w:r>
      <w:r>
        <w:rPr>
          <w:rFonts w:hint="eastAsia"/>
          <w:color w:val="auto"/>
          <w:sz w:val="21"/>
          <w:szCs w:val="21"/>
          <w:highlight w:val="none"/>
        </w:rPr>
        <w:t>；</w:t>
      </w:r>
    </w:p>
    <w:p>
      <w:pPr>
        <w:pStyle w:val="958"/>
        <w:spacing w:before="0" w:beforeAutospacing="0" w:after="0" w:afterAutospacing="0" w:line="360" w:lineRule="auto"/>
        <w:ind w:firstLine="480"/>
        <w:rPr>
          <w:color w:val="auto"/>
          <w:sz w:val="21"/>
          <w:szCs w:val="21"/>
          <w:highlight w:val="none"/>
          <w:u w:val="single"/>
        </w:rPr>
      </w:pPr>
      <w:r>
        <w:rPr>
          <w:rFonts w:hint="eastAsia"/>
          <w:color w:val="auto"/>
          <w:sz w:val="21"/>
          <w:szCs w:val="21"/>
          <w:highlight w:val="none"/>
        </w:rPr>
        <w:t>1.5.3预付款的担保措施详见</w:t>
      </w:r>
      <w:r>
        <w:rPr>
          <w:rFonts w:hint="eastAsia"/>
          <w:b/>
          <w:i/>
          <w:color w:val="auto"/>
          <w:sz w:val="21"/>
          <w:szCs w:val="21"/>
          <w:highlight w:val="none"/>
          <w:u w:val="single"/>
        </w:rPr>
        <w:t>合同专用条款</w:t>
      </w:r>
      <w:r>
        <w:rPr>
          <w:rFonts w:hint="eastAsia"/>
          <w:color w:val="auto"/>
          <w:sz w:val="21"/>
          <w:szCs w:val="21"/>
          <w:highlight w:val="none"/>
        </w:rPr>
        <w:t>。</w:t>
      </w:r>
    </w:p>
    <w:p>
      <w:pPr>
        <w:pStyle w:val="958"/>
        <w:spacing w:before="0" w:beforeAutospacing="0" w:after="0" w:afterAutospacing="0" w:line="360" w:lineRule="auto"/>
        <w:ind w:firstLine="480"/>
        <w:rPr>
          <w:b/>
          <w:bCs/>
          <w:color w:val="auto"/>
          <w:sz w:val="21"/>
          <w:szCs w:val="21"/>
          <w:highlight w:val="none"/>
        </w:rPr>
      </w:pPr>
      <w:r>
        <w:rPr>
          <w:rFonts w:hint="eastAsia"/>
          <w:b/>
          <w:bCs/>
          <w:color w:val="auto"/>
          <w:sz w:val="21"/>
          <w:szCs w:val="21"/>
          <w:highlight w:val="none"/>
        </w:rPr>
        <w:t>1.6资金支付</w:t>
      </w:r>
    </w:p>
    <w:p>
      <w:pPr>
        <w:pStyle w:val="958"/>
        <w:spacing w:before="0" w:beforeAutospacing="0" w:after="0" w:afterAutospacing="0" w:line="360" w:lineRule="auto"/>
        <w:ind w:firstLine="480"/>
        <w:rPr>
          <w:color w:val="auto"/>
          <w:sz w:val="21"/>
          <w:szCs w:val="21"/>
          <w:highlight w:val="none"/>
        </w:rPr>
      </w:pPr>
      <w:r>
        <w:rPr>
          <w:rFonts w:hint="eastAsia"/>
          <w:color w:val="auto"/>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20" w:firstLineChars="200"/>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1.6.2资金支付的方式、时间和条件详见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最终以经塘栖镇根据政府采购法等相关规定审核通过的合同相应条款为准。</w:t>
      </w:r>
    </w:p>
    <w:p>
      <w:pPr>
        <w:spacing w:line="360" w:lineRule="auto"/>
        <w:ind w:firstLine="420" w:firstLineChars="200"/>
        <w:outlineLvl w:val="0"/>
        <w:rPr>
          <w:rFonts w:ascii="宋体" w:hAnsi="宋体" w:cs="宋体"/>
          <w:b/>
          <w:color w:val="auto"/>
          <w:szCs w:val="21"/>
          <w:highlight w:val="none"/>
        </w:rPr>
      </w:pPr>
      <w:r>
        <w:rPr>
          <w:rFonts w:hint="eastAsia" w:ascii="宋体" w:hAnsi="宋体" w:cs="宋体"/>
          <w:b/>
          <w:color w:val="auto"/>
          <w:szCs w:val="21"/>
          <w:highlight w:val="none"/>
        </w:rPr>
        <w:t>1.7履行期限、地点和方式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1.7.1服务交付（实施）的时间（期限）：</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1.7.2服务交付（实施）的地点（地域范围）：</w:t>
      </w:r>
      <w:r>
        <w:rPr>
          <w:rFonts w:hint="eastAsia" w:ascii="宋体" w:hAnsi="宋体" w:cs="宋体"/>
          <w:b/>
          <w:i/>
          <w:color w:val="auto"/>
          <w:szCs w:val="21"/>
          <w:highlight w:val="none"/>
          <w:u w:val="single"/>
        </w:rPr>
        <w:t>合同专用条款；</w:t>
      </w:r>
    </w:p>
    <w:p>
      <w:pPr>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1.7.3服务交付（实施）的方式：</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pacing w:line="360" w:lineRule="auto"/>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7.4若服务涉及货物的，则货物的：</w:t>
      </w:r>
    </w:p>
    <w:p>
      <w:pPr>
        <w:spacing w:line="360" w:lineRule="auto"/>
        <w:ind w:firstLine="420" w:firstLineChars="200"/>
        <w:rPr>
          <w:rFonts w:ascii="宋体" w:hAnsi="宋体" w:cs="宋体"/>
          <w:color w:val="auto"/>
          <w:szCs w:val="21"/>
          <w:highlight w:val="none"/>
          <w:u w:val="single"/>
        </w:rPr>
      </w:pPr>
      <w:bookmarkStart w:id="422" w:name="_Toc31421"/>
      <w:bookmarkStart w:id="423" w:name="_Toc4760"/>
      <w:bookmarkStart w:id="424" w:name="_Toc3625"/>
      <w:bookmarkStart w:id="425" w:name="_Toc8772"/>
      <w:bookmarkStart w:id="426" w:name="_Toc11108"/>
      <w:r>
        <w:rPr>
          <w:rFonts w:hint="eastAsia" w:ascii="宋体" w:hAnsi="宋体" w:cs="宋体"/>
          <w:b w:val="0"/>
          <w:bCs/>
          <w:color w:val="auto"/>
          <w:szCs w:val="21"/>
          <w:highlight w:val="none"/>
        </w:rPr>
        <w:t>1.</w:t>
      </w:r>
      <w:bookmarkEnd w:id="422"/>
      <w:bookmarkEnd w:id="423"/>
      <w:bookmarkEnd w:id="424"/>
      <w:bookmarkEnd w:id="425"/>
      <w:bookmarkEnd w:id="426"/>
      <w:r>
        <w:rPr>
          <w:rFonts w:hint="eastAsia" w:ascii="宋体" w:hAnsi="宋体" w:cs="宋体"/>
          <w:b w:val="0"/>
          <w:bCs/>
          <w:color w:val="auto"/>
          <w:szCs w:val="21"/>
          <w:highlight w:val="none"/>
        </w:rPr>
        <w:t>7.4.</w:t>
      </w:r>
      <w:r>
        <w:rPr>
          <w:rFonts w:hint="eastAsia" w:ascii="宋体" w:hAnsi="宋体" w:cs="宋体"/>
          <w:color w:val="auto"/>
          <w:szCs w:val="21"/>
          <w:highlight w:val="none"/>
        </w:rPr>
        <w:t>1交付期限：详见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1.7.4.2交付地点：</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1.7.4.3交付方式：</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pacing w:line="360" w:lineRule="auto"/>
        <w:ind w:firstLine="420" w:firstLineChars="200"/>
        <w:outlineLvl w:val="0"/>
        <w:rPr>
          <w:rFonts w:ascii="宋体" w:hAnsi="宋体" w:cs="宋体"/>
          <w:color w:val="auto"/>
          <w:szCs w:val="21"/>
          <w:highlight w:val="none"/>
          <w:u w:val="single"/>
        </w:rPr>
      </w:pPr>
      <w:bookmarkStart w:id="427" w:name="_Toc3079"/>
      <w:bookmarkStart w:id="428" w:name="_Toc5698"/>
      <w:bookmarkStart w:id="429" w:name="_Toc24662"/>
      <w:bookmarkStart w:id="430" w:name="_Toc2375"/>
      <w:bookmarkStart w:id="431" w:name="_Toc8586"/>
      <w:r>
        <w:rPr>
          <w:rFonts w:hint="eastAsia" w:ascii="宋体" w:hAnsi="宋体" w:cs="宋体"/>
          <w:b/>
          <w:color w:val="auto"/>
          <w:szCs w:val="21"/>
          <w:highlight w:val="none"/>
        </w:rPr>
        <w:t>1.8违约责任</w:t>
      </w:r>
      <w:bookmarkEnd w:id="427"/>
      <w:bookmarkEnd w:id="428"/>
      <w:bookmarkEnd w:id="429"/>
      <w:bookmarkEnd w:id="430"/>
      <w:bookmarkEnd w:id="43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Cs w:val="21"/>
          <w:highlight w:val="none"/>
          <w:u w:val="single"/>
        </w:rPr>
        <w:t>0.05</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20</w:t>
      </w:r>
      <w:r>
        <w:rPr>
          <w:rFonts w:hint="eastAsia" w:ascii="宋体" w:hAnsi="宋体" w:cs="宋体"/>
          <w:color w:val="auto"/>
          <w:szCs w:val="21"/>
          <w:highlight w:val="none"/>
        </w:rPr>
        <w:t>%；迟延履行的违约金计算数额达到前述最高限额之日起，甲方有权在要求乙方支付违约金的同时，书面通知乙方解除本合同；</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Cs w:val="21"/>
          <w:highlight w:val="none"/>
          <w:u w:val="single"/>
          <w:lang w:val="en-US" w:eastAsia="zh-CN"/>
        </w:rPr>
        <w:t>0.05</w:t>
      </w:r>
      <w:r>
        <w:rPr>
          <w:rFonts w:hint="eastAsia" w:ascii="宋体" w:hAnsi="宋体" w:cs="宋体"/>
          <w:color w:val="auto"/>
          <w:szCs w:val="21"/>
          <w:highlight w:val="none"/>
          <w:lang w:val="en-US" w:eastAsia="zh-CN"/>
        </w:rPr>
        <w:t>（可根据情况修改）%计算，最高限额为本合同总价的</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lang w:val="en-US" w:eastAsia="zh-CN"/>
        </w:rPr>
        <w:t>%；迟延交付货物的违约金计算数额达到前述最高限额之日起，甲方有权在要求乙方支付违约金的同时，书面通知乙方解除本合同；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Cs w:val="21"/>
          <w:highlight w:val="none"/>
          <w:u w:val="single"/>
        </w:rPr>
        <w:t>0.05</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20</w:t>
      </w:r>
      <w:r>
        <w:rPr>
          <w:rFonts w:hint="eastAsia" w:ascii="宋体" w:hAnsi="宋体" w:cs="宋体"/>
          <w:color w:val="auto"/>
          <w:kern w:val="0"/>
          <w:szCs w:val="21"/>
          <w:highlight w:val="none"/>
          <w:u w:val="single"/>
        </w:rPr>
        <w:t>（可根据情况修改）</w:t>
      </w:r>
      <w:r>
        <w:rPr>
          <w:rFonts w:hint="eastAsia" w:ascii="宋体" w:hAnsi="宋体" w:cs="宋体"/>
          <w:color w:val="auto"/>
          <w:szCs w:val="21"/>
          <w:highlight w:val="none"/>
        </w:rPr>
        <w:t>%；迟延付款的违约金计算数额达到前述最高限额之日起，乙方有权在要求甲方支付违约金的同时，书面通知甲方解除本合同；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left="-420" w:leftChars="-200" w:right="-420" w:rightChars="-200" w:firstLine="630" w:firstLineChars="300"/>
        <w:rPr>
          <w:rFonts w:hint="eastAsia" w:ascii="宋体" w:hAnsi="宋体" w:cs="宋体"/>
          <w:color w:val="auto"/>
          <w:szCs w:val="21"/>
          <w:highlight w:val="none"/>
        </w:rPr>
      </w:pPr>
      <w:r>
        <w:rPr>
          <w:rFonts w:hint="eastAsia" w:ascii="宋体" w:hAnsi="宋体" w:cs="宋体"/>
          <w:color w:val="auto"/>
          <w:szCs w:val="21"/>
          <w:highlight w:val="none"/>
        </w:rPr>
        <w:t>1.8.7违约责任</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另有约定的，从其约定。</w:t>
      </w:r>
      <w:bookmarkStart w:id="432" w:name="_Toc9497"/>
      <w:bookmarkStart w:id="433" w:name="_Toc26807"/>
      <w:bookmarkStart w:id="434" w:name="_Toc30329"/>
      <w:bookmarkStart w:id="435" w:name="_Toc18683"/>
      <w:bookmarkStart w:id="436" w:name="_Toc32454"/>
    </w:p>
    <w:p>
      <w:pPr>
        <w:spacing w:line="360" w:lineRule="auto"/>
        <w:ind w:left="-420" w:leftChars="-200" w:right="-420" w:rightChars="-200" w:firstLine="631" w:firstLineChars="300"/>
        <w:rPr>
          <w:rFonts w:ascii="宋体" w:hAnsi="宋体" w:cs="宋体"/>
          <w:b/>
          <w:color w:val="auto"/>
          <w:szCs w:val="21"/>
          <w:highlight w:val="none"/>
        </w:rPr>
      </w:pPr>
      <w:r>
        <w:rPr>
          <w:rFonts w:hint="eastAsia" w:ascii="宋体" w:hAnsi="宋体" w:cs="宋体"/>
          <w:b/>
          <w:color w:val="auto"/>
          <w:szCs w:val="21"/>
          <w:highlight w:val="none"/>
        </w:rPr>
        <w:t>1.9合同争议的解决</w:t>
      </w:r>
      <w:bookmarkEnd w:id="432"/>
      <w:bookmarkEnd w:id="433"/>
      <w:bookmarkEnd w:id="434"/>
      <w:bookmarkEnd w:id="435"/>
      <w:bookmarkEnd w:id="436"/>
    </w:p>
    <w:p>
      <w:pPr>
        <w:spacing w:line="360" w:lineRule="auto"/>
        <w:ind w:left="-61" w:leftChars="-29" w:right="-420" w:rightChars="-200" w:firstLine="210" w:firstLineChars="100"/>
        <w:rPr>
          <w:rFonts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本合同履行过程中发生的任何争议，双方当事人均可通过和解或者调解解决；不愿和解、调解或者和解、调解不成的，可以选择以下第</w:t>
      </w:r>
      <w:r>
        <w:rPr>
          <w:rFonts w:hint="eastAsia" w:ascii="宋体" w:hAnsi="宋体" w:cs="宋体"/>
          <w:b/>
          <w:bCs/>
          <w:i w:val="0"/>
          <w:iCs w:val="0"/>
          <w:color w:val="auto"/>
          <w:szCs w:val="21"/>
          <w:highlight w:val="none"/>
          <w:u w:val="single"/>
        </w:rPr>
        <w:t>1.9.</w:t>
      </w:r>
      <w:r>
        <w:rPr>
          <w:rFonts w:hint="eastAsia" w:ascii="宋体" w:hAnsi="宋体" w:cs="宋体"/>
          <w:b/>
          <w:bCs/>
          <w:i w:val="0"/>
          <w:iCs w:val="0"/>
          <w:color w:val="auto"/>
          <w:szCs w:val="21"/>
          <w:highlight w:val="none"/>
          <w:u w:val="single"/>
          <w:lang w:val="en-US" w:eastAsia="zh-CN"/>
        </w:rPr>
        <w:t>2</w:t>
      </w:r>
      <w:r>
        <w:rPr>
          <w:rFonts w:hint="eastAsia" w:ascii="宋体" w:hAnsi="宋体" w:cs="宋体"/>
          <w:b/>
          <w:bCs/>
          <w:i w:val="0"/>
          <w:iCs w:val="0"/>
          <w:color w:val="auto"/>
          <w:szCs w:val="21"/>
          <w:highlight w:val="none"/>
          <w:u w:val="single"/>
        </w:rPr>
        <w:t>条款</w:t>
      </w:r>
      <w:r>
        <w:rPr>
          <w:rFonts w:hint="eastAsia" w:ascii="宋体" w:hAnsi="宋体" w:cs="宋体"/>
          <w:color w:val="auto"/>
          <w:szCs w:val="21"/>
          <w:highlight w:val="none"/>
        </w:rPr>
        <w:t>规定的方式解决：</w:t>
      </w:r>
    </w:p>
    <w:p>
      <w:pPr>
        <w:spacing w:line="360" w:lineRule="auto"/>
        <w:ind w:left="-420" w:leftChars="-200" w:right="-420" w:rightChars="-200" w:firstLine="525" w:firstLineChars="250"/>
        <w:rPr>
          <w:rFonts w:ascii="宋体" w:hAnsi="宋体" w:cs="宋体"/>
          <w:color w:val="auto"/>
          <w:szCs w:val="21"/>
          <w:highlight w:val="none"/>
        </w:rPr>
      </w:pPr>
      <w:r>
        <w:rPr>
          <w:rFonts w:hint="eastAsia" w:ascii="宋体" w:hAnsi="宋体" w:cs="宋体"/>
          <w:color w:val="auto"/>
          <w:szCs w:val="21"/>
          <w:highlight w:val="none"/>
        </w:rPr>
        <w:t>1.9.1将争议提交</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仲裁委员会依申请仲裁时其现行有效的仲裁规则裁决；</w:t>
      </w:r>
    </w:p>
    <w:p>
      <w:pPr>
        <w:spacing w:line="360" w:lineRule="auto"/>
        <w:ind w:left="-420" w:leftChars="-200" w:right="-420" w:rightChars="-200" w:firstLine="525" w:firstLineChars="250"/>
        <w:rPr>
          <w:rFonts w:ascii="宋体" w:hAnsi="宋体" w:cs="宋体"/>
          <w:color w:val="auto"/>
          <w:szCs w:val="21"/>
          <w:highlight w:val="none"/>
        </w:rPr>
      </w:pPr>
      <w:r>
        <w:rPr>
          <w:rFonts w:hint="eastAsia" w:ascii="宋体" w:hAnsi="宋体" w:cs="宋体"/>
          <w:color w:val="auto"/>
          <w:szCs w:val="21"/>
          <w:highlight w:val="none"/>
        </w:rPr>
        <w:t>1.9.</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向</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人民法院起诉。</w:t>
      </w:r>
    </w:p>
    <w:p>
      <w:pPr>
        <w:spacing w:line="360" w:lineRule="auto"/>
        <w:ind w:firstLine="210" w:firstLineChars="100"/>
        <w:outlineLvl w:val="0"/>
        <w:rPr>
          <w:rFonts w:ascii="宋体" w:hAnsi="宋体" w:cs="宋体"/>
          <w:b/>
          <w:color w:val="auto"/>
          <w:szCs w:val="21"/>
          <w:highlight w:val="none"/>
        </w:rPr>
      </w:pPr>
      <w:bookmarkStart w:id="437" w:name="_Toc26227"/>
      <w:bookmarkStart w:id="438" w:name="_Toc23784"/>
      <w:bookmarkStart w:id="439" w:name="_Toc15827"/>
      <w:bookmarkStart w:id="440" w:name="_Toc16417"/>
      <w:bookmarkStart w:id="441" w:name="_Toc12273"/>
      <w:r>
        <w:rPr>
          <w:rFonts w:hint="eastAsia" w:ascii="宋体" w:hAnsi="宋体" w:cs="宋体"/>
          <w:b/>
          <w:color w:val="auto"/>
          <w:szCs w:val="21"/>
          <w:highlight w:val="none"/>
        </w:rPr>
        <w:t>2.0 合同生效</w:t>
      </w:r>
      <w:bookmarkEnd w:id="437"/>
      <w:bookmarkEnd w:id="438"/>
      <w:bookmarkEnd w:id="439"/>
      <w:bookmarkEnd w:id="440"/>
      <w:bookmarkEnd w:id="441"/>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本合同自双方当事人盖章签字时生效。</w:t>
      </w:r>
    </w:p>
    <w:p>
      <w:pPr>
        <w:rPr>
          <w:color w:val="auto"/>
          <w:highlight w:val="none"/>
          <w:lang w:val="zh-CN"/>
        </w:rPr>
      </w:pPr>
    </w:p>
    <w:p>
      <w:pPr>
        <w:autoSpaceDE w:val="0"/>
        <w:autoSpaceDN w:val="0"/>
        <w:spacing w:line="360" w:lineRule="auto"/>
        <w:rPr>
          <w:rFonts w:ascii="宋体" w:hAnsi="宋体" w:cs="宋体"/>
          <w:color w:val="auto"/>
          <w:szCs w:val="21"/>
          <w:highlight w:val="none"/>
          <w:lang w:val="zh-CN"/>
        </w:rPr>
      </w:pPr>
      <w:r>
        <w:rPr>
          <w:rFonts w:hint="eastAsia" w:ascii="宋体" w:hAnsi="宋体" w:cs="宋体"/>
          <w:b/>
          <w:color w:val="auto"/>
          <w:szCs w:val="21"/>
          <w:highlight w:val="none"/>
          <w:lang w:val="zh-CN"/>
        </w:rPr>
        <w:t>甲方</w:t>
      </w:r>
      <w:r>
        <w:rPr>
          <w:rFonts w:hint="eastAsia" w:ascii="宋体" w:hAnsi="宋体" w:cs="宋体"/>
          <w:color w:val="auto"/>
          <w:szCs w:val="21"/>
          <w:highlight w:val="none"/>
          <w:lang w:val="zh-CN"/>
        </w:rPr>
        <w:t xml:space="preserve">：                             </w:t>
      </w:r>
      <w:r>
        <w:rPr>
          <w:rFonts w:hint="eastAsia" w:ascii="宋体" w:hAnsi="宋体" w:cs="宋体"/>
          <w:b/>
          <w:color w:val="auto"/>
          <w:szCs w:val="21"/>
          <w:highlight w:val="none"/>
          <w:lang w:val="zh-CN"/>
        </w:rPr>
        <w:t xml:space="preserve">      乙方</w:t>
      </w:r>
      <w:r>
        <w:rPr>
          <w:rFonts w:hint="eastAsia" w:ascii="宋体" w:hAnsi="宋体" w:cs="宋体"/>
          <w:color w:val="auto"/>
          <w:szCs w:val="21"/>
          <w:highlight w:val="none"/>
          <w:lang w:val="zh-CN"/>
        </w:rPr>
        <w:t>：</w:t>
      </w:r>
    </w:p>
    <w:p>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统一社会信用代码：                        统一社会信用代码或身份证号码：</w:t>
      </w:r>
    </w:p>
    <w:p>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住所：                                   住所：</w:t>
      </w:r>
    </w:p>
    <w:p>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法定代表人或                             法定代表人</w:t>
      </w:r>
    </w:p>
    <w:p>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 xml:space="preserve">授权代表（签字）：                        或授权代表（签字）: </w:t>
      </w:r>
    </w:p>
    <w:p>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联系人：                                 联系人：</w:t>
      </w:r>
    </w:p>
    <w:p>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约定送达地址：                           约定送达地址：</w:t>
      </w:r>
    </w:p>
    <w:p>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邮政编码：                               邮政编码：</w:t>
      </w:r>
    </w:p>
    <w:p>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 xml:space="preserve">电话:                                    电话: </w:t>
      </w:r>
    </w:p>
    <w:p>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传真:                                    传真:</w:t>
      </w:r>
    </w:p>
    <w:p>
      <w:pPr>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电子邮箱：                               电子邮箱：</w:t>
      </w:r>
    </w:p>
    <w:p>
      <w:pPr>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开户银行： </w:t>
      </w:r>
    </w:p>
    <w:p>
      <w:pPr>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开户名称：                               开户名称： </w:t>
      </w:r>
    </w:p>
    <w:p>
      <w:pPr>
        <w:autoSpaceDE w:val="0"/>
        <w:autoSpaceDN w:val="0"/>
        <w:spacing w:line="360" w:lineRule="auto"/>
        <w:rPr>
          <w:rFonts w:ascii="宋体" w:hAnsi="宋体" w:cs="宋体"/>
          <w:b/>
          <w:color w:val="auto"/>
          <w:sz w:val="24"/>
          <w:highlight w:val="none"/>
        </w:rPr>
      </w:pPr>
      <w:r>
        <w:rPr>
          <w:rFonts w:hint="eastAsia" w:ascii="宋体" w:hAnsi="宋体" w:cs="宋体"/>
          <w:color w:val="auto"/>
          <w:szCs w:val="21"/>
          <w:highlight w:val="none"/>
        </w:rPr>
        <w:t>开户账号：</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开户账号：</w:t>
      </w:r>
      <w:bookmarkStart w:id="442" w:name="_Toc331685783"/>
      <w:r>
        <w:rPr>
          <w:rFonts w:hint="eastAsia" w:ascii="宋体" w:hAnsi="宋体" w:cs="宋体"/>
          <w:b/>
          <w:color w:val="auto"/>
          <w:highlight w:val="none"/>
        </w:rPr>
        <w:br w:type="page"/>
      </w:r>
    </w:p>
    <w:p>
      <w:pPr>
        <w:pStyle w:val="702"/>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bookmarkEnd w:id="442"/>
    </w:p>
    <w:p>
      <w:pPr>
        <w:pStyle w:val="4"/>
        <w:rPr>
          <w:color w:val="auto"/>
          <w:highlight w:val="none"/>
        </w:rPr>
      </w:pPr>
      <w:r>
        <w:rPr>
          <w:rFonts w:hint="eastAsia"/>
          <w:color w:val="auto"/>
          <w:highlight w:val="none"/>
        </w:rPr>
        <w:t>2.1定义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2.1.1“合同”系指采购人和中标或成交供应商签订的载明双方当事人所达成的协议，并包括所有的附件、附录和构成合同的其他文件。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2.1.2“合同价”系指根据合同约定，中标或成交供应商在完全履行合同义务后，采购人应支付给中标或成交供应商的价格。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2.1.3“服务”系指中标或成交供应商根据合同约定应向采购人履行的除货物和工程以外的其他政府采购对象，包括采购人自身需要的服务和向社会公众提供的公共服务。</w:t>
      </w:r>
    </w:p>
    <w:p>
      <w:pPr>
        <w:spacing w:line="360" w:lineRule="auto"/>
        <w:ind w:firstLine="420" w:firstLineChars="200"/>
        <w:rPr>
          <w:rFonts w:ascii="宋体" w:hAnsi="宋体" w:cs="宋体"/>
          <w:color w:val="auto"/>
          <w:szCs w:val="21"/>
          <w:highlight w:val="none"/>
        </w:rPr>
      </w:pPr>
      <w:bookmarkStart w:id="443" w:name="_Ref467378840"/>
      <w:r>
        <w:rPr>
          <w:rFonts w:hint="eastAsia" w:ascii="宋体" w:hAnsi="宋体" w:cs="宋体"/>
          <w:color w:val="auto"/>
          <w:szCs w:val="21"/>
          <w:highlight w:val="none"/>
        </w:rPr>
        <w:t>2.1.4“甲方”系指与中标或成交供应商签署合同的采购人</w:t>
      </w:r>
      <w:bookmarkEnd w:id="443"/>
      <w:r>
        <w:rPr>
          <w:rFonts w:hint="eastAsia" w:ascii="宋体" w:hAnsi="宋体" w:cs="宋体"/>
          <w:color w:val="auto"/>
          <w:szCs w:val="21"/>
          <w:highlight w:val="none"/>
        </w:rPr>
        <w:t>；采购人委托采购代理机构代表其与乙方签订合同的，采购人的授权委托书作为合同附件。</w:t>
      </w:r>
    </w:p>
    <w:p>
      <w:pPr>
        <w:spacing w:line="360" w:lineRule="auto"/>
        <w:ind w:firstLine="420" w:firstLineChars="200"/>
        <w:rPr>
          <w:rFonts w:ascii="宋体" w:hAnsi="宋体" w:cs="宋体"/>
          <w:color w:val="auto"/>
          <w:szCs w:val="21"/>
          <w:highlight w:val="none"/>
        </w:rPr>
      </w:pPr>
      <w:bookmarkStart w:id="444" w:name="_Ref467379400"/>
      <w:r>
        <w:rPr>
          <w:rFonts w:hint="eastAsia" w:ascii="宋体" w:hAnsi="宋体" w:cs="宋体"/>
          <w:color w:val="auto"/>
          <w:szCs w:val="21"/>
          <w:highlight w:val="none"/>
        </w:rPr>
        <w:t>2.1.5“乙方”系指根据合同约定提供服务的中标或成交供应商</w:t>
      </w:r>
      <w:bookmarkEnd w:id="444"/>
      <w:r>
        <w:rPr>
          <w:rFonts w:hint="eastAsia" w:ascii="宋体" w:hAnsi="宋体" w:cs="宋体"/>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20" w:firstLineChars="200"/>
        <w:rPr>
          <w:rFonts w:ascii="宋体" w:hAnsi="宋体" w:cs="宋体"/>
          <w:color w:val="auto"/>
          <w:szCs w:val="21"/>
          <w:highlight w:val="none"/>
        </w:rPr>
      </w:pPr>
      <w:bookmarkStart w:id="445" w:name="_Ref467379436"/>
      <w:r>
        <w:rPr>
          <w:rFonts w:hint="eastAsia" w:ascii="宋体" w:hAnsi="宋体" w:cs="宋体"/>
          <w:color w:val="auto"/>
          <w:szCs w:val="21"/>
          <w:highlight w:val="none"/>
        </w:rPr>
        <w:t>2.1.6“现场”系指合同约定提供服务的地点。</w:t>
      </w:r>
      <w:bookmarkEnd w:id="445"/>
    </w:p>
    <w:p>
      <w:pPr>
        <w:pStyle w:val="4"/>
        <w:rPr>
          <w:color w:val="auto"/>
          <w:highlight w:val="none"/>
        </w:rPr>
      </w:pPr>
      <w:bookmarkStart w:id="446" w:name="_Toc259093670"/>
      <w:bookmarkStart w:id="447" w:name="_Toc13336"/>
      <w:bookmarkStart w:id="448" w:name="_Toc32504"/>
      <w:bookmarkStart w:id="449" w:name="_Toc487900350"/>
      <w:bookmarkStart w:id="450" w:name="_Toc279701241"/>
      <w:bookmarkStart w:id="451" w:name="_Toc27635"/>
      <w:r>
        <w:rPr>
          <w:rFonts w:hint="eastAsia"/>
          <w:color w:val="auto"/>
          <w:highlight w:val="none"/>
        </w:rPr>
        <w:t>2.2技术规范</w:t>
      </w:r>
      <w:bookmarkEnd w:id="446"/>
      <w:bookmarkEnd w:id="447"/>
      <w:bookmarkEnd w:id="448"/>
      <w:bookmarkEnd w:id="449"/>
      <w:bookmarkEnd w:id="450"/>
      <w:bookmarkEnd w:id="45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4"/>
        <w:rPr>
          <w:color w:val="auto"/>
          <w:highlight w:val="none"/>
        </w:rPr>
      </w:pPr>
      <w:bookmarkStart w:id="452" w:name="_Toc31634"/>
      <w:bookmarkStart w:id="453" w:name="_Toc9829"/>
      <w:bookmarkStart w:id="454" w:name="_Toc279701242"/>
      <w:bookmarkStart w:id="455" w:name="_Toc259093671"/>
      <w:bookmarkStart w:id="456" w:name="_Toc487900351"/>
      <w:bookmarkStart w:id="457" w:name="_Toc27853"/>
      <w:r>
        <w:rPr>
          <w:rFonts w:hint="eastAsia"/>
          <w:color w:val="auto"/>
          <w:highlight w:val="none"/>
        </w:rPr>
        <w:t>2.3知识产权</w:t>
      </w:r>
      <w:bookmarkEnd w:id="452"/>
      <w:bookmarkEnd w:id="453"/>
      <w:bookmarkEnd w:id="454"/>
      <w:bookmarkEnd w:id="455"/>
      <w:bookmarkEnd w:id="456"/>
      <w:bookmarkEnd w:id="45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2.3.2合同涉及技术成果的归属和收益的分成办法的，详见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pStyle w:val="4"/>
        <w:rPr>
          <w:color w:val="auto"/>
          <w:highlight w:val="none"/>
        </w:rPr>
      </w:pPr>
      <w:bookmarkStart w:id="458" w:name="_Toc259093674"/>
      <w:bookmarkStart w:id="459" w:name="_Ref467378541"/>
      <w:bookmarkStart w:id="460" w:name="_Ref467379542"/>
      <w:bookmarkStart w:id="461" w:name="_Toc487900354"/>
      <w:bookmarkStart w:id="462" w:name="_Ref467379527"/>
      <w:bookmarkStart w:id="463" w:name="_Ref467379536"/>
      <w:bookmarkStart w:id="464" w:name="_Toc279701245"/>
      <w:bookmarkStart w:id="465" w:name="_Ref467378591"/>
      <w:bookmarkStart w:id="466" w:name="_Toc26182"/>
      <w:bookmarkStart w:id="467" w:name="_Toc30272"/>
      <w:bookmarkStart w:id="468" w:name="_Toc19074"/>
      <w:r>
        <w:rPr>
          <w:rFonts w:hint="eastAsia"/>
          <w:color w:val="auto"/>
          <w:highlight w:val="none"/>
        </w:rPr>
        <w:t>2.</w:t>
      </w:r>
      <w:bookmarkEnd w:id="458"/>
      <w:bookmarkEnd w:id="459"/>
      <w:bookmarkEnd w:id="460"/>
      <w:bookmarkEnd w:id="461"/>
      <w:bookmarkEnd w:id="462"/>
      <w:bookmarkEnd w:id="463"/>
      <w:bookmarkEnd w:id="464"/>
      <w:bookmarkEnd w:id="465"/>
      <w:r>
        <w:rPr>
          <w:rFonts w:hint="eastAsia"/>
          <w:color w:val="auto"/>
          <w:highlight w:val="none"/>
        </w:rPr>
        <w:t>4履约检查和问题反馈</w:t>
      </w:r>
      <w:bookmarkEnd w:id="466"/>
      <w:bookmarkEnd w:id="467"/>
      <w:bookmarkEnd w:id="468"/>
    </w:p>
    <w:p>
      <w:pPr>
        <w:spacing w:line="360" w:lineRule="auto"/>
        <w:ind w:firstLine="420" w:firstLineChars="200"/>
        <w:rPr>
          <w:rFonts w:ascii="宋体" w:hAnsi="宋体" w:cs="宋体"/>
          <w:color w:val="auto"/>
          <w:szCs w:val="21"/>
          <w:highlight w:val="none"/>
        </w:rPr>
      </w:pPr>
      <w:bookmarkStart w:id="469" w:name="_Ref467379657"/>
      <w:r>
        <w:rPr>
          <w:rFonts w:hint="eastAsia" w:ascii="宋体" w:hAnsi="宋体" w:cs="宋体"/>
          <w:color w:val="auto"/>
          <w:szCs w:val="21"/>
          <w:highlight w:val="none"/>
        </w:rPr>
        <w:t>2.</w:t>
      </w:r>
      <w:bookmarkEnd w:id="469"/>
      <w:bookmarkStart w:id="470" w:name="_Toc186431854"/>
      <w:bookmarkStart w:id="471" w:name="_Ref467379807"/>
      <w:bookmarkStart w:id="472" w:name="_Ref467379793"/>
      <w:bookmarkStart w:id="473" w:name="_Toc259093676"/>
      <w:bookmarkStart w:id="474" w:name="_Toc487900357"/>
      <w:bookmarkStart w:id="475" w:name="_Toc279701247"/>
      <w:r>
        <w:rPr>
          <w:rFonts w:hint="eastAsia" w:ascii="宋体" w:hAnsi="宋体" w:cs="宋体"/>
          <w:color w:val="auto"/>
          <w:szCs w:val="21"/>
          <w:highlight w:val="none"/>
        </w:rPr>
        <w:t>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color w:val="auto"/>
          <w:szCs w:val="21"/>
          <w:highlight w:val="none"/>
        </w:rPr>
        <w:t>。</w:t>
      </w:r>
    </w:p>
    <w:p>
      <w:pPr>
        <w:pStyle w:val="4"/>
        <w:rPr>
          <w:color w:val="auto"/>
          <w:highlight w:val="none"/>
        </w:rPr>
      </w:pPr>
      <w:bookmarkStart w:id="477" w:name="_Toc15447"/>
      <w:bookmarkStart w:id="478" w:name="_Toc31233"/>
      <w:bookmarkStart w:id="479" w:name="_Toc26555"/>
      <w:bookmarkStart w:id="480" w:name="_Toc22011"/>
      <w:bookmarkStart w:id="481" w:name="_Toc32670"/>
      <w:r>
        <w:rPr>
          <w:rFonts w:hint="eastAsia"/>
          <w:color w:val="auto"/>
          <w:highlight w:val="none"/>
        </w:rPr>
        <w:t>2.5结算方式和付款条件</w:t>
      </w:r>
      <w:bookmarkEnd w:id="477"/>
      <w:bookmarkEnd w:id="478"/>
      <w:bookmarkEnd w:id="479"/>
      <w:bookmarkEnd w:id="480"/>
      <w:bookmarkEnd w:id="48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bookmarkEnd w:id="471"/>
    <w:bookmarkEnd w:id="472"/>
    <w:bookmarkEnd w:id="473"/>
    <w:bookmarkEnd w:id="474"/>
    <w:bookmarkEnd w:id="475"/>
    <w:bookmarkEnd w:id="476"/>
    <w:p>
      <w:pPr>
        <w:pStyle w:val="4"/>
        <w:rPr>
          <w:color w:val="auto"/>
          <w:highlight w:val="none"/>
        </w:rPr>
      </w:pPr>
      <w:bookmarkStart w:id="482" w:name="_Ref467379863"/>
      <w:bookmarkStart w:id="483" w:name="_Toc279701248"/>
      <w:bookmarkStart w:id="484" w:name="_Toc487900358"/>
      <w:bookmarkStart w:id="485" w:name="_Ref467379923"/>
      <w:bookmarkStart w:id="486" w:name="_Toc259093677"/>
      <w:bookmarkStart w:id="487" w:name="_Ref467379852"/>
      <w:bookmarkStart w:id="488" w:name="_Toc774"/>
      <w:bookmarkStart w:id="489" w:name="_Toc16110"/>
      <w:bookmarkStart w:id="490" w:name="_Toc3225"/>
      <w:r>
        <w:rPr>
          <w:rFonts w:hint="eastAsia"/>
          <w:color w:val="auto"/>
          <w:highlight w:val="none"/>
        </w:rPr>
        <w:t>2.6技术资料</w:t>
      </w:r>
      <w:bookmarkEnd w:id="482"/>
      <w:bookmarkEnd w:id="483"/>
      <w:bookmarkEnd w:id="484"/>
      <w:bookmarkEnd w:id="485"/>
      <w:bookmarkEnd w:id="486"/>
      <w:bookmarkEnd w:id="487"/>
      <w:r>
        <w:rPr>
          <w:rFonts w:hint="eastAsia"/>
          <w:color w:val="auto"/>
          <w:highlight w:val="none"/>
        </w:rPr>
        <w:t>和保密义务</w:t>
      </w:r>
      <w:bookmarkEnd w:id="488"/>
      <w:bookmarkEnd w:id="489"/>
      <w:bookmarkEnd w:id="49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2.6.1乙方有权依据合同约定和项目需要，向甲方了解有关情况，调阅有关资料等，甲方应予积极配合；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2.6.2乙方有义务妥善保管和保护由甲方提供的前款信息和资料等；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4"/>
        <w:rPr>
          <w:color w:val="auto"/>
          <w:highlight w:val="none"/>
        </w:rPr>
      </w:pPr>
      <w:bookmarkStart w:id="491" w:name="_Toc7860"/>
      <w:r>
        <w:rPr>
          <w:rFonts w:hint="eastAsia"/>
          <w:color w:val="auto"/>
          <w:highlight w:val="none"/>
        </w:rPr>
        <w:t>2.7质量保证</w:t>
      </w:r>
      <w:bookmarkEnd w:id="49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2.7.1乙方应建立和完善履行合同的内部质量保证体系，并提供相关内部规章制度给甲方，以便甲方进行监督检查；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2.7.2乙方应保证履行合同的人员数量和素质、软件和硬件设备的配置、场地、环境和设施等满足全面履行合同的要求，并应接受甲方的监督检查。</w:t>
      </w:r>
    </w:p>
    <w:p>
      <w:pPr>
        <w:pStyle w:val="4"/>
        <w:rPr>
          <w:color w:val="auto"/>
          <w:highlight w:val="none"/>
        </w:rPr>
      </w:pPr>
      <w:bookmarkStart w:id="492" w:name="_Toc17244"/>
      <w:bookmarkStart w:id="493" w:name="_Toc279701252"/>
      <w:bookmarkStart w:id="494" w:name="_Toc487900362"/>
      <w:bookmarkStart w:id="495" w:name="_Toc259093681"/>
      <w:r>
        <w:rPr>
          <w:rFonts w:hint="eastAsia"/>
          <w:color w:val="auto"/>
          <w:highlight w:val="none"/>
        </w:rPr>
        <w:t>2.8</w:t>
      </w:r>
      <w:bookmarkEnd w:id="492"/>
      <w:bookmarkStart w:id="496" w:name="_Toc14055"/>
      <w:r>
        <w:rPr>
          <w:rFonts w:hint="eastAsia"/>
          <w:color w:val="auto"/>
          <w:highlight w:val="none"/>
        </w:rPr>
        <w:t>延迟</w:t>
      </w:r>
      <w:bookmarkEnd w:id="493"/>
      <w:bookmarkEnd w:id="494"/>
      <w:bookmarkEnd w:id="495"/>
      <w:bookmarkEnd w:id="496"/>
      <w:r>
        <w:rPr>
          <w:rFonts w:hint="eastAsia"/>
          <w:color w:val="auto"/>
          <w:highlight w:val="none"/>
        </w:rPr>
        <w:t>履行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pStyle w:val="4"/>
        <w:rPr>
          <w:color w:val="auto"/>
          <w:highlight w:val="none"/>
        </w:rPr>
      </w:pPr>
      <w:bookmarkStart w:id="497" w:name="_Toc7502"/>
      <w:bookmarkStart w:id="498" w:name="_Toc487900364"/>
      <w:bookmarkStart w:id="499" w:name="_Toc279701254"/>
      <w:bookmarkStart w:id="500" w:name="_Toc259093683"/>
      <w:bookmarkStart w:id="501" w:name="_Ref467378121"/>
      <w:r>
        <w:rPr>
          <w:rFonts w:hint="eastAsia"/>
          <w:color w:val="auto"/>
          <w:highlight w:val="none"/>
        </w:rPr>
        <w:t>2.9合同变更</w:t>
      </w:r>
      <w:bookmarkEnd w:id="49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bookmarkStart w:id="502" w:name="_Toc259093688"/>
      <w:bookmarkStart w:id="503" w:name="_Toc279701259"/>
      <w:bookmarkStart w:id="504" w:name="_Toc487900369"/>
    </w:p>
    <w:p>
      <w:pPr>
        <w:pStyle w:val="4"/>
        <w:rPr>
          <w:color w:val="auto"/>
          <w:highlight w:val="none"/>
        </w:rPr>
      </w:pPr>
      <w:bookmarkStart w:id="505" w:name="_Toc22955"/>
      <w:bookmarkStart w:id="506" w:name="_Toc15237"/>
      <w:bookmarkStart w:id="507" w:name="_Toc10366"/>
      <w:r>
        <w:rPr>
          <w:rFonts w:hint="eastAsia"/>
          <w:color w:val="auto"/>
          <w:highlight w:val="none"/>
        </w:rPr>
        <w:t>2.10合同转让</w:t>
      </w:r>
      <w:bookmarkEnd w:id="502"/>
      <w:bookmarkEnd w:id="503"/>
      <w:bookmarkEnd w:id="504"/>
      <w:r>
        <w:rPr>
          <w:rFonts w:hint="eastAsia"/>
          <w:color w:val="auto"/>
          <w:highlight w:val="none"/>
        </w:rPr>
        <w:t>和分包</w:t>
      </w:r>
      <w:bookmarkEnd w:id="505"/>
      <w:bookmarkEnd w:id="506"/>
      <w:bookmarkEnd w:id="50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pStyle w:val="4"/>
        <w:rPr>
          <w:rFonts w:ascii="宋体" w:hAnsi="宋体" w:cs="宋体"/>
          <w:color w:val="auto"/>
          <w:szCs w:val="21"/>
          <w:highlight w:val="none"/>
        </w:rPr>
      </w:pPr>
      <w:r>
        <w:rPr>
          <w:rFonts w:hint="eastAsia" w:ascii="宋体" w:hAnsi="宋体" w:cs="宋体"/>
          <w:color w:val="auto"/>
          <w:szCs w:val="21"/>
          <w:highlight w:val="none"/>
        </w:rPr>
        <w:t>2.</w:t>
      </w:r>
      <w:bookmarkStart w:id="508" w:name="_Toc13566"/>
      <w:bookmarkStart w:id="509" w:name="_Toc16508"/>
      <w:bookmarkStart w:id="510" w:name="_Toc14066"/>
      <w:r>
        <w:rPr>
          <w:rFonts w:hint="eastAsia" w:ascii="宋体" w:hAnsi="宋体" w:cs="宋体"/>
          <w:color w:val="auto"/>
          <w:szCs w:val="21"/>
          <w:highlight w:val="none"/>
        </w:rPr>
        <w:t>11不可抗力</w:t>
      </w:r>
      <w:bookmarkEnd w:id="508"/>
      <w:bookmarkEnd w:id="509"/>
      <w:bookmarkEnd w:id="51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2.11.1如果任何一方遭遇法律规定的不可抗力，致使合同履行受阻时，履行合同的期限应予延长，延长的期限应相当于不可抗力所影响的时间；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2.11.2因不可抗力致使不能实现合同目的的，当事人可以解除合同；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2.11.3因不可抗力致使合同有变更必要的，双方当事人应在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约定时间内以书面形式变更合同；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2.11.4受不可抗力影响的一方在不可抗力发生后，应在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约定时间内以书面形式通知对方当事人，并在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约定时间内，将有关部门出具的证明文件送达对方当事人。</w:t>
      </w:r>
    </w:p>
    <w:p>
      <w:pPr>
        <w:pStyle w:val="4"/>
        <w:rPr>
          <w:color w:val="auto"/>
          <w:highlight w:val="none"/>
        </w:rPr>
      </w:pPr>
      <w:bookmarkStart w:id="511" w:name="_Toc689"/>
      <w:bookmarkStart w:id="512" w:name="_Toc487900365"/>
      <w:bookmarkStart w:id="513" w:name="_Toc279701255"/>
      <w:bookmarkStart w:id="514" w:name="_Toc30676"/>
      <w:bookmarkStart w:id="515" w:name="_Toc6969"/>
      <w:bookmarkStart w:id="516" w:name="_Toc259093684"/>
      <w:r>
        <w:rPr>
          <w:rFonts w:hint="eastAsia"/>
          <w:color w:val="auto"/>
          <w:highlight w:val="none"/>
        </w:rPr>
        <w:t>2.12 税费</w:t>
      </w:r>
      <w:bookmarkEnd w:id="511"/>
      <w:bookmarkEnd w:id="512"/>
      <w:bookmarkEnd w:id="513"/>
      <w:bookmarkEnd w:id="514"/>
      <w:bookmarkEnd w:id="515"/>
      <w:bookmarkEnd w:id="51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与合同有关的一切税费，均按照中华人民共和国法律的相关规定缴纳。</w:t>
      </w:r>
    </w:p>
    <w:p>
      <w:pPr>
        <w:pStyle w:val="4"/>
        <w:rPr>
          <w:color w:val="auto"/>
          <w:highlight w:val="none"/>
        </w:rPr>
      </w:pPr>
      <w:bookmarkStart w:id="517" w:name="_Toc7102"/>
      <w:bookmarkStart w:id="518" w:name="_Toc487900368"/>
      <w:bookmarkStart w:id="519" w:name="_Toc259093687"/>
      <w:bookmarkStart w:id="520" w:name="_Toc8298"/>
      <w:bookmarkStart w:id="521" w:name="_Toc16959"/>
      <w:bookmarkStart w:id="522" w:name="_Toc279701258"/>
      <w:r>
        <w:rPr>
          <w:rFonts w:hint="eastAsia"/>
          <w:color w:val="auto"/>
          <w:highlight w:val="none"/>
        </w:rPr>
        <w:t>2.13乙方破产</w:t>
      </w:r>
      <w:bookmarkEnd w:id="517"/>
      <w:bookmarkEnd w:id="518"/>
      <w:bookmarkEnd w:id="519"/>
      <w:bookmarkEnd w:id="520"/>
      <w:bookmarkEnd w:id="521"/>
      <w:bookmarkEnd w:id="52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4"/>
        <w:rPr>
          <w:color w:val="auto"/>
          <w:highlight w:val="none"/>
        </w:rPr>
      </w:pPr>
      <w:bookmarkStart w:id="523" w:name="_Toc29333"/>
      <w:bookmarkStart w:id="524" w:name="_Toc6134"/>
      <w:bookmarkStart w:id="525" w:name="_Toc15387"/>
      <w:r>
        <w:rPr>
          <w:rFonts w:hint="eastAsia"/>
          <w:color w:val="auto"/>
          <w:highlight w:val="none"/>
        </w:rPr>
        <w:t>2.14合同中止、终止</w:t>
      </w:r>
      <w:bookmarkEnd w:id="523"/>
      <w:bookmarkEnd w:id="524"/>
      <w:bookmarkEnd w:id="52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2.14.1双方当事人不得擅自中止或者终止合同；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pPr>
        <w:ind w:firstLine="420" w:firstLineChars="200"/>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2.14.3“如因政策调整，养老服务电子津贴(爱心卡)服务机构招标方式更改为征集制，本合同终止</w:t>
      </w:r>
    </w:p>
    <w:p>
      <w:pPr>
        <w:pStyle w:val="4"/>
        <w:rPr>
          <w:color w:val="auto"/>
          <w:highlight w:val="none"/>
        </w:rPr>
      </w:pPr>
      <w:bookmarkStart w:id="526" w:name="_Toc14563"/>
      <w:bookmarkStart w:id="527" w:name="_Toc1125"/>
      <w:bookmarkStart w:id="528" w:name="_Toc6596"/>
      <w:r>
        <w:rPr>
          <w:rFonts w:hint="eastAsia"/>
          <w:color w:val="auto"/>
          <w:highlight w:val="none"/>
        </w:rPr>
        <w:t>2.15检验和验收</w:t>
      </w:r>
      <w:bookmarkEnd w:id="526"/>
      <w:bookmarkEnd w:id="527"/>
      <w:bookmarkEnd w:id="528"/>
    </w:p>
    <w:p>
      <w:pPr>
        <w:tabs>
          <w:tab w:val="left" w:pos="360"/>
          <w:tab w:val="left" w:pos="540"/>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2.15.1乙方按照合同</w:t>
      </w:r>
      <w:r>
        <w:rPr>
          <w:rFonts w:hint="eastAsia" w:ascii="宋体" w:hAnsi="宋体" w:cs="宋体"/>
          <w:b/>
          <w:i/>
          <w:color w:val="auto"/>
          <w:szCs w:val="21"/>
          <w:highlight w:val="none"/>
          <w:u w:val="single"/>
        </w:rPr>
        <w:t>专用条款</w:t>
      </w:r>
      <w:r>
        <w:rPr>
          <w:rFonts w:hint="eastAsia" w:ascii="宋体" w:hAnsi="宋体" w:cs="宋体"/>
          <w:color w:val="auto"/>
          <w:szCs w:val="21"/>
          <w:highlight w:val="none"/>
        </w:rPr>
        <w:t>的约定，定期提交服务报告，甲方按照</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的约定进行定期验收；</w:t>
      </w:r>
    </w:p>
    <w:p>
      <w:pPr>
        <w:tabs>
          <w:tab w:val="left" w:pos="360"/>
          <w:tab w:val="left" w:pos="540"/>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2.15.3检验和验收标准、程序等具体内容以及前述验收书的效力详见</w:t>
      </w:r>
      <w:r>
        <w:rPr>
          <w:rFonts w:hint="eastAsia" w:ascii="宋体" w:hAnsi="宋体" w:cs="宋体"/>
          <w:b/>
          <w:i/>
          <w:color w:val="auto"/>
          <w:szCs w:val="21"/>
          <w:highlight w:val="none"/>
          <w:u w:val="single"/>
        </w:rPr>
        <w:t>合同专用条款</w:t>
      </w:r>
      <w:r>
        <w:rPr>
          <w:rFonts w:hint="eastAsia" w:ascii="宋体" w:hAnsi="宋体" w:cs="宋体"/>
          <w:i/>
          <w:color w:val="auto"/>
          <w:szCs w:val="21"/>
          <w:highlight w:val="none"/>
        </w:rPr>
        <w:t>。</w:t>
      </w:r>
    </w:p>
    <w:bookmarkEnd w:id="498"/>
    <w:bookmarkEnd w:id="499"/>
    <w:bookmarkEnd w:id="500"/>
    <w:bookmarkEnd w:id="501"/>
    <w:p>
      <w:pPr>
        <w:pStyle w:val="4"/>
        <w:rPr>
          <w:color w:val="auto"/>
          <w:highlight w:val="none"/>
        </w:rPr>
      </w:pPr>
      <w:bookmarkStart w:id="529" w:name="_Toc487900371"/>
      <w:bookmarkStart w:id="530" w:name="_Toc259093690"/>
      <w:bookmarkStart w:id="531" w:name="_Toc279701261"/>
      <w:bookmarkStart w:id="532" w:name="_Toc25182"/>
      <w:bookmarkStart w:id="533" w:name="_Toc11284"/>
      <w:bookmarkStart w:id="534" w:name="_Toc19604"/>
      <w:r>
        <w:rPr>
          <w:rFonts w:hint="eastAsia"/>
          <w:color w:val="auto"/>
          <w:highlight w:val="none"/>
        </w:rPr>
        <w:t>2.16通知</w:t>
      </w:r>
      <w:bookmarkEnd w:id="529"/>
      <w:bookmarkEnd w:id="530"/>
      <w:bookmarkEnd w:id="531"/>
      <w:r>
        <w:rPr>
          <w:rFonts w:hint="eastAsia"/>
          <w:color w:val="auto"/>
          <w:highlight w:val="none"/>
        </w:rPr>
        <w:t>和送达</w:t>
      </w:r>
      <w:bookmarkEnd w:id="532"/>
      <w:bookmarkEnd w:id="533"/>
      <w:bookmarkEnd w:id="534"/>
    </w:p>
    <w:p>
      <w:pPr>
        <w:spacing w:line="360" w:lineRule="auto"/>
        <w:ind w:firstLine="420" w:firstLineChars="200"/>
        <w:rPr>
          <w:rFonts w:ascii="宋体" w:hAnsi="宋体" w:cs="宋体"/>
          <w:color w:val="auto"/>
          <w:szCs w:val="21"/>
          <w:highlight w:val="none"/>
        </w:rPr>
      </w:pPr>
      <w:bookmarkStart w:id="535" w:name="_Toc3135"/>
      <w:bookmarkStart w:id="536" w:name="_Toc6698"/>
      <w:bookmarkStart w:id="537" w:name="_Toc487900372"/>
      <w:bookmarkStart w:id="538" w:name="_Toc259093691"/>
      <w:bookmarkStart w:id="539" w:name="_Toc279701262"/>
      <w:r>
        <w:rPr>
          <w:rFonts w:hint="eastAsia" w:ascii="宋体" w:hAnsi="宋体" w:cs="宋体"/>
          <w:color w:val="auto"/>
          <w:szCs w:val="21"/>
          <w:highlight w:val="none"/>
        </w:rPr>
        <w:t xml:space="preserve">2.17.1任何一方因履行合同而以合同第一部分尾部所列明的传真或电子邮件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发出的所有通知、文件、材料，均视为已向对方当事人送达；任何一方变更上述送达方式或者地址的，应于</w:t>
      </w:r>
      <w:r>
        <w:rPr>
          <w:rFonts w:hint="eastAsia" w:ascii="宋体" w:hAnsi="宋体" w:cs="宋体"/>
          <w:color w:val="auto"/>
          <w:szCs w:val="21"/>
          <w:highlight w:val="none"/>
          <w:u w:val="single"/>
        </w:rPr>
        <w:t>3</w:t>
      </w:r>
      <w:r>
        <w:rPr>
          <w:rFonts w:hint="eastAsia" w:ascii="宋体" w:hAnsi="宋体" w:cs="宋体"/>
          <w:color w:val="auto"/>
          <w:szCs w:val="21"/>
          <w:highlight w:val="none"/>
        </w:rPr>
        <w:t>个工作日内书面通知对方当事人，在对方当事人收到有关变更通知之前，变更前的约定送达方式或者地址仍视为有效。</w:t>
      </w:r>
      <w:bookmarkEnd w:id="535"/>
      <w:bookmarkEnd w:id="536"/>
    </w:p>
    <w:p>
      <w:pPr>
        <w:spacing w:line="360" w:lineRule="auto"/>
        <w:ind w:firstLine="420" w:firstLineChars="200"/>
        <w:rPr>
          <w:rFonts w:ascii="宋体" w:hAnsi="宋体" w:cs="宋体"/>
          <w:color w:val="auto"/>
          <w:szCs w:val="21"/>
          <w:highlight w:val="none"/>
        </w:rPr>
      </w:pPr>
      <w:bookmarkStart w:id="540" w:name="_Toc23294"/>
      <w:bookmarkStart w:id="541" w:name="_Toc23128"/>
      <w:r>
        <w:rPr>
          <w:rFonts w:hint="eastAsia" w:ascii="宋体" w:hAnsi="宋体" w:cs="宋体"/>
          <w:color w:val="auto"/>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0"/>
      <w:bookmarkEnd w:id="541"/>
    </w:p>
    <w:p>
      <w:pPr>
        <w:pStyle w:val="4"/>
        <w:rPr>
          <w:rFonts w:ascii="宋体" w:hAnsi="宋体" w:cs="宋体"/>
          <w:color w:val="auto"/>
          <w:szCs w:val="21"/>
          <w:highlight w:val="none"/>
        </w:rPr>
      </w:pPr>
      <w:bookmarkStart w:id="542" w:name="_Toc18540"/>
      <w:bookmarkStart w:id="543" w:name="_Toc30599"/>
      <w:bookmarkStart w:id="544" w:name="_Toc4355"/>
      <w:r>
        <w:rPr>
          <w:rFonts w:hint="eastAsia" w:ascii="宋体" w:hAnsi="宋体" w:cs="宋体"/>
          <w:color w:val="auto"/>
          <w:szCs w:val="21"/>
          <w:highlight w:val="none"/>
        </w:rPr>
        <w:t>2.</w:t>
      </w:r>
      <w:bookmarkEnd w:id="537"/>
      <w:bookmarkEnd w:id="538"/>
      <w:bookmarkEnd w:id="539"/>
      <w:bookmarkEnd w:id="542"/>
      <w:bookmarkEnd w:id="543"/>
      <w:bookmarkEnd w:id="544"/>
      <w:r>
        <w:rPr>
          <w:rFonts w:hint="eastAsia" w:ascii="宋体" w:hAnsi="宋体" w:cs="宋体"/>
          <w:color w:val="auto"/>
          <w:szCs w:val="21"/>
          <w:highlight w:val="none"/>
        </w:rPr>
        <w:t>17合同使用</w:t>
      </w:r>
      <w:bookmarkStart w:id="545" w:name="_Toc259093692"/>
      <w:bookmarkStart w:id="546" w:name="_Toc12773"/>
      <w:bookmarkStart w:id="547" w:name="_Toc18567"/>
      <w:bookmarkStart w:id="548" w:name="_Toc487900373"/>
      <w:bookmarkStart w:id="549" w:name="_Toc10330"/>
      <w:bookmarkStart w:id="550" w:name="_Toc279701263"/>
      <w:r>
        <w:rPr>
          <w:rFonts w:hint="eastAsia" w:ascii="宋体" w:hAnsi="宋体" w:cs="宋体"/>
          <w:color w:val="auto"/>
          <w:szCs w:val="21"/>
          <w:highlight w:val="none"/>
        </w:rPr>
        <w:t>的文字和适用的法律</w:t>
      </w:r>
      <w:bookmarkEnd w:id="545"/>
      <w:bookmarkEnd w:id="546"/>
      <w:bookmarkEnd w:id="547"/>
      <w:bookmarkEnd w:id="548"/>
      <w:bookmarkEnd w:id="549"/>
      <w:bookmarkEnd w:id="55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2.17.1合同使用汉语书就、变更和解释；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2.17.2合同适用中华人民共和国法律。</w:t>
      </w:r>
    </w:p>
    <w:p>
      <w:pPr>
        <w:pStyle w:val="4"/>
        <w:rPr>
          <w:rFonts w:ascii="宋体" w:hAnsi="宋体" w:cs="宋体"/>
          <w:color w:val="auto"/>
          <w:szCs w:val="21"/>
          <w:highlight w:val="none"/>
        </w:rPr>
      </w:pPr>
      <w:bookmarkStart w:id="551" w:name="_Toc22266"/>
      <w:bookmarkStart w:id="552" w:name="_Toc27127"/>
      <w:bookmarkStart w:id="553" w:name="_Toc27403"/>
      <w:bookmarkStart w:id="554" w:name="_Toc1492"/>
      <w:bookmarkStart w:id="555" w:name="_Toc30096"/>
      <w:bookmarkStart w:id="556" w:name="_Toc279701264"/>
      <w:bookmarkStart w:id="557" w:name="_Toc487900374"/>
      <w:bookmarkStart w:id="558" w:name="_Toc3148"/>
      <w:bookmarkStart w:id="559" w:name="_Toc259093693"/>
      <w:bookmarkStart w:id="560" w:name="_Toc12004"/>
      <w:bookmarkStart w:id="561" w:name="_Toc16673"/>
      <w:r>
        <w:rPr>
          <w:rFonts w:hint="eastAsia" w:ascii="宋体" w:hAnsi="宋体" w:cs="宋体"/>
          <w:color w:val="auto"/>
          <w:szCs w:val="21"/>
          <w:highlight w:val="none"/>
        </w:rPr>
        <w:t xml:space="preserve">2.18 </w:t>
      </w:r>
      <w:bookmarkEnd w:id="551"/>
      <w:bookmarkEnd w:id="552"/>
      <w:bookmarkEnd w:id="553"/>
      <w:bookmarkEnd w:id="554"/>
      <w:bookmarkEnd w:id="555"/>
      <w:r>
        <w:rPr>
          <w:rFonts w:hint="eastAsia" w:ascii="宋体" w:hAnsi="宋体" w:cs="宋体"/>
          <w:color w:val="auto"/>
          <w:szCs w:val="21"/>
          <w:highlight w:val="none"/>
        </w:rPr>
        <w:t>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除技术规范中另有规定外,合同的计量单位均使用国家法定计量单位。</w:t>
      </w:r>
    </w:p>
    <w:p>
      <w:pPr>
        <w:pStyle w:val="4"/>
        <w:rPr>
          <w:rFonts w:ascii="宋体" w:hAnsi="宋体" w:cs="宋体"/>
          <w:color w:val="auto"/>
          <w:szCs w:val="21"/>
          <w:highlight w:val="none"/>
        </w:rPr>
      </w:pPr>
      <w:r>
        <w:rPr>
          <w:rFonts w:hint="eastAsia" w:ascii="宋体" w:hAnsi="宋体" w:cs="宋体"/>
          <w:color w:val="auto"/>
          <w:szCs w:val="21"/>
          <w:highlight w:val="none"/>
        </w:rPr>
        <w:t>2.19合同份数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合同份数按</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规定，每份均具有同等法律效力。</w:t>
      </w:r>
    </w:p>
    <w:bookmarkEnd w:id="556"/>
    <w:bookmarkEnd w:id="557"/>
    <w:bookmarkEnd w:id="558"/>
    <w:bookmarkEnd w:id="559"/>
    <w:bookmarkEnd w:id="560"/>
    <w:bookmarkEnd w:id="561"/>
    <w:p>
      <w:pPr>
        <w:spacing w:line="360" w:lineRule="auto"/>
        <w:ind w:firstLine="420" w:firstLineChars="200"/>
        <w:rPr>
          <w:rFonts w:ascii="宋体" w:hAnsi="宋体" w:cs="宋体"/>
          <w:color w:val="auto"/>
          <w:szCs w:val="21"/>
          <w:highlight w:val="none"/>
        </w:rPr>
      </w:pPr>
    </w:p>
    <w:p>
      <w:pPr>
        <w:pStyle w:val="968"/>
        <w:rPr>
          <w:color w:val="auto"/>
          <w:highlight w:val="none"/>
        </w:rPr>
      </w:pPr>
    </w:p>
    <w:p>
      <w:pPr>
        <w:pStyle w:val="702"/>
        <w:spacing w:line="560" w:lineRule="exact"/>
        <w:ind w:left="0" w:leftChars="0" w:firstLine="0" w:firstLineChars="0"/>
        <w:jc w:val="center"/>
        <w:rPr>
          <w:rFonts w:ascii="宋体" w:hAnsi="宋体" w:cs="宋体"/>
          <w:b/>
          <w:color w:val="auto"/>
          <w:szCs w:val="24"/>
          <w:highlight w:val="none"/>
        </w:rPr>
      </w:pPr>
      <w:r>
        <w:rPr>
          <w:rFonts w:hint="eastAsia" w:ascii="宋体" w:hAnsi="宋体" w:cs="宋体"/>
          <w:color w:val="auto"/>
          <w:kern w:val="0"/>
          <w:szCs w:val="24"/>
          <w:highlight w:val="none"/>
        </w:rPr>
        <w:br w:type="page"/>
      </w:r>
      <w:r>
        <w:rPr>
          <w:rFonts w:hint="eastAsia" w:ascii="宋体" w:hAnsi="宋体" w:cs="宋体"/>
          <w:b/>
          <w:color w:val="auto"/>
          <w:szCs w:val="24"/>
          <w:highlight w:val="none"/>
        </w:rPr>
        <w:t>第三部分 合同专用条款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89"/>
        <w:gridCol w:w="8137"/>
      </w:tblGrid>
      <w:tr>
        <w:trPr>
          <w:trHeight w:val="391" w:hRule="atLeast"/>
        </w:trPr>
        <w:tc>
          <w:tcPr>
            <w:tcW w:w="989" w:type="dxa"/>
            <w:tcBorders>
              <w:tl2br w:val="nil"/>
              <w:tr2bl w:val="nil"/>
            </w:tcBorders>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条款号</w:t>
            </w:r>
          </w:p>
        </w:tc>
        <w:tc>
          <w:tcPr>
            <w:tcW w:w="8137" w:type="dxa"/>
            <w:tcBorders>
              <w:tl2br w:val="nil"/>
              <w:tr2bl w:val="nil"/>
            </w:tcBorders>
            <w:vAlign w:val="center"/>
          </w:tcPr>
          <w:p>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约定内容</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1.4.2</w:t>
            </w:r>
          </w:p>
        </w:tc>
        <w:tc>
          <w:tcPr>
            <w:tcW w:w="8137" w:type="dxa"/>
            <w:tcBorders>
              <w:tl2br w:val="nil"/>
              <w:tr2bl w:val="nil"/>
            </w:tcBorders>
            <w:vAlign w:val="center"/>
          </w:tcPr>
          <w:p>
            <w:pPr>
              <w:spacing w:line="360" w:lineRule="auto"/>
              <w:rPr>
                <w:color w:val="auto"/>
                <w:sz w:val="21"/>
                <w:szCs w:val="21"/>
                <w:highlight w:val="none"/>
              </w:rPr>
            </w:pPr>
            <w:r>
              <w:rPr>
                <w:rFonts w:hint="eastAsia" w:ascii="宋体" w:hAnsi="宋体" w:cs="宋体"/>
                <w:b/>
                <w:color w:val="auto"/>
                <w:sz w:val="21"/>
                <w:szCs w:val="21"/>
                <w:highlight w:val="none"/>
              </w:rPr>
              <w:t>履约保证金:</w:t>
            </w:r>
            <w:r>
              <w:rPr>
                <w:rFonts w:hint="eastAsia" w:ascii="宋体" w:hAnsi="宋体" w:cs="宋体"/>
                <w:color w:val="auto"/>
                <w:sz w:val="21"/>
                <w:szCs w:val="21"/>
                <w:highlight w:val="none"/>
              </w:rPr>
              <w:t>本项目无履约保证金。</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1.5.1</w:t>
            </w:r>
          </w:p>
        </w:tc>
        <w:tc>
          <w:tcPr>
            <w:tcW w:w="8137" w:type="dxa"/>
            <w:tcBorders>
              <w:tl2br w:val="nil"/>
              <w:tr2bl w:val="nil"/>
            </w:tcBorders>
            <w:vAlign w:val="center"/>
          </w:tcPr>
          <w:p>
            <w:pPr>
              <w:spacing w:line="360" w:lineRule="auto"/>
              <w:rPr>
                <w:rFonts w:hint="eastAsia" w:eastAsia="宋体"/>
                <w:color w:val="auto"/>
                <w:sz w:val="21"/>
                <w:szCs w:val="21"/>
                <w:highlight w:val="none"/>
                <w:lang w:val="en-US" w:eastAsia="zh-CN"/>
              </w:rPr>
            </w:pPr>
            <w:r>
              <w:rPr>
                <w:rFonts w:hint="eastAsia" w:ascii="宋体" w:hAnsi="宋体" w:cs="宋体"/>
                <w:b/>
                <w:color w:val="auto"/>
                <w:sz w:val="21"/>
                <w:szCs w:val="21"/>
                <w:highlight w:val="none"/>
              </w:rPr>
              <w:t>预付款预付款比例、支付方式、时间:</w:t>
            </w:r>
            <w:r>
              <w:rPr>
                <w:rFonts w:hint="eastAsia" w:ascii="宋体" w:hAnsi="宋体" w:cs="宋体"/>
                <w:b/>
                <w:color w:val="auto"/>
                <w:sz w:val="21"/>
                <w:szCs w:val="21"/>
                <w:highlight w:val="none"/>
                <w:lang w:val="en-US" w:eastAsia="zh-CN"/>
              </w:rPr>
              <w:t>/</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1.5.2</w:t>
            </w:r>
          </w:p>
        </w:tc>
        <w:tc>
          <w:tcPr>
            <w:tcW w:w="8137" w:type="dxa"/>
            <w:tcBorders>
              <w:tl2br w:val="nil"/>
              <w:tr2bl w:val="nil"/>
            </w:tcBorders>
            <w:vAlign w:val="center"/>
          </w:tcPr>
          <w:p>
            <w:pPr>
              <w:spacing w:line="360" w:lineRule="auto"/>
              <w:rPr>
                <w:color w:val="auto"/>
                <w:sz w:val="21"/>
                <w:szCs w:val="21"/>
                <w:highlight w:val="none"/>
              </w:rPr>
            </w:pPr>
            <w:r>
              <w:rPr>
                <w:rFonts w:hint="eastAsia"/>
                <w:b/>
                <w:bCs/>
                <w:color w:val="auto"/>
                <w:sz w:val="21"/>
                <w:szCs w:val="21"/>
                <w:highlight w:val="none"/>
              </w:rPr>
              <w:t>预付款的扣回方式：</w:t>
            </w:r>
            <w:r>
              <w:rPr>
                <w:rFonts w:hint="eastAsia"/>
                <w:color w:val="auto"/>
                <w:sz w:val="21"/>
                <w:szCs w:val="21"/>
                <w:highlight w:val="none"/>
              </w:rPr>
              <w:t>/</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1.5.3</w:t>
            </w:r>
          </w:p>
        </w:tc>
        <w:tc>
          <w:tcPr>
            <w:tcW w:w="8137" w:type="dxa"/>
            <w:tcBorders>
              <w:tl2br w:val="nil"/>
              <w:tr2bl w:val="nil"/>
            </w:tcBorders>
            <w:vAlign w:val="center"/>
          </w:tcPr>
          <w:p>
            <w:pPr>
              <w:spacing w:line="360" w:lineRule="auto"/>
              <w:rPr>
                <w:color w:val="auto"/>
                <w:sz w:val="21"/>
                <w:szCs w:val="21"/>
                <w:highlight w:val="none"/>
              </w:rPr>
            </w:pPr>
            <w:r>
              <w:rPr>
                <w:rFonts w:hint="eastAsia"/>
                <w:b/>
                <w:bCs/>
                <w:color w:val="auto"/>
                <w:sz w:val="21"/>
                <w:szCs w:val="21"/>
                <w:highlight w:val="none"/>
              </w:rPr>
              <w:t>预付款的担保措施：</w:t>
            </w:r>
            <w:r>
              <w:rPr>
                <w:rFonts w:hint="eastAsia"/>
                <w:color w:val="auto"/>
                <w:sz w:val="21"/>
                <w:szCs w:val="21"/>
                <w:highlight w:val="none"/>
              </w:rPr>
              <w:t>/</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1.6.2</w:t>
            </w:r>
          </w:p>
        </w:tc>
        <w:tc>
          <w:tcPr>
            <w:tcW w:w="8137" w:type="dxa"/>
            <w:tcBorders>
              <w:tl2br w:val="nil"/>
              <w:tr2bl w:val="nil"/>
            </w:tcBorders>
            <w:vAlign w:val="center"/>
          </w:tcPr>
          <w:p>
            <w:pPr>
              <w:spacing w:line="360" w:lineRule="auto"/>
              <w:rPr>
                <w:rFonts w:hint="eastAsia"/>
                <w:b/>
                <w:bCs/>
                <w:color w:val="auto"/>
                <w:sz w:val="21"/>
                <w:szCs w:val="21"/>
                <w:highlight w:val="none"/>
              </w:rPr>
            </w:pPr>
            <w:r>
              <w:rPr>
                <w:rFonts w:hint="eastAsia"/>
                <w:b/>
                <w:bCs/>
                <w:color w:val="auto"/>
                <w:sz w:val="21"/>
                <w:szCs w:val="21"/>
                <w:highlight w:val="none"/>
              </w:rPr>
              <w:t>资金支付的方式、时间和条件：</w:t>
            </w:r>
          </w:p>
          <w:p>
            <w:pPr>
              <w:spacing w:line="360" w:lineRule="auto"/>
              <w:rPr>
                <w:rFonts w:hint="eastAsia"/>
                <w:b w:val="0"/>
                <w:bCs w:val="0"/>
                <w:color w:val="auto"/>
                <w:sz w:val="21"/>
                <w:szCs w:val="21"/>
                <w:highlight w:val="none"/>
              </w:rPr>
            </w:pPr>
            <w:r>
              <w:rPr>
                <w:rFonts w:hint="eastAsia"/>
                <w:b w:val="0"/>
                <w:bCs w:val="0"/>
                <w:color w:val="auto"/>
                <w:sz w:val="21"/>
                <w:szCs w:val="21"/>
                <w:highlight w:val="none"/>
              </w:rPr>
              <w:t>1.乙方派出的服务人员使用pos机与老年人市民卡或老年卡刷卡结算。服务费每月结算支付一次。</w:t>
            </w:r>
          </w:p>
          <w:p>
            <w:pPr>
              <w:spacing w:line="360" w:lineRule="auto"/>
              <w:rPr>
                <w:color w:val="auto"/>
                <w:sz w:val="21"/>
                <w:szCs w:val="21"/>
                <w:highlight w:val="none"/>
              </w:rPr>
            </w:pPr>
            <w:r>
              <w:rPr>
                <w:rFonts w:hint="eastAsia"/>
                <w:b w:val="0"/>
                <w:bCs w:val="0"/>
                <w:color w:val="auto"/>
                <w:sz w:val="21"/>
                <w:szCs w:val="21"/>
                <w:highlight w:val="none"/>
              </w:rPr>
              <w:t>2.合同支付总额在预算框架范围内予以支付，乙方有义务提醒甲方合同费用总额不应超过项目预算。</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1.7.1</w:t>
            </w:r>
          </w:p>
        </w:tc>
        <w:tc>
          <w:tcPr>
            <w:tcW w:w="8137" w:type="dxa"/>
            <w:tcBorders>
              <w:tl2br w:val="nil"/>
              <w:tr2bl w:val="nil"/>
            </w:tcBorders>
            <w:vAlign w:val="center"/>
          </w:tcPr>
          <w:p>
            <w:pPr>
              <w:spacing w:line="360" w:lineRule="auto"/>
              <w:rPr>
                <w:rFonts w:hint="eastAsia" w:eastAsia="宋体"/>
                <w:color w:val="auto"/>
                <w:sz w:val="21"/>
                <w:szCs w:val="21"/>
                <w:highlight w:val="none"/>
                <w:lang w:eastAsia="zh-CN"/>
              </w:rPr>
            </w:pPr>
            <w:r>
              <w:rPr>
                <w:rFonts w:hint="eastAsia"/>
                <w:b/>
                <w:bCs/>
                <w:color w:val="auto"/>
                <w:sz w:val="21"/>
                <w:szCs w:val="21"/>
                <w:highlight w:val="none"/>
              </w:rPr>
              <w:t>服务交付（实施）的时间（期限）：</w:t>
            </w:r>
            <w:r>
              <w:rPr>
                <w:rFonts w:hint="eastAsia"/>
                <w:b/>
                <w:bCs/>
                <w:color w:val="auto"/>
                <w:sz w:val="21"/>
                <w:szCs w:val="21"/>
                <w:highlight w:val="none"/>
                <w:u w:val="single"/>
                <w:lang w:val="en-US" w:eastAsia="zh-CN"/>
              </w:rPr>
              <w:t>两年（2024年10月1日-2026年9月30日）。</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1.7.2</w:t>
            </w:r>
          </w:p>
        </w:tc>
        <w:tc>
          <w:tcPr>
            <w:tcW w:w="8137" w:type="dxa"/>
            <w:tcBorders>
              <w:tl2br w:val="nil"/>
              <w:tr2bl w:val="nil"/>
            </w:tcBorders>
            <w:vAlign w:val="center"/>
          </w:tcPr>
          <w:p>
            <w:pPr>
              <w:spacing w:line="360" w:lineRule="auto"/>
              <w:rPr>
                <w:color w:val="auto"/>
                <w:sz w:val="21"/>
                <w:szCs w:val="21"/>
                <w:highlight w:val="none"/>
              </w:rPr>
            </w:pPr>
            <w:r>
              <w:rPr>
                <w:rFonts w:hint="eastAsia"/>
                <w:b/>
                <w:bCs/>
                <w:color w:val="auto"/>
                <w:sz w:val="21"/>
                <w:szCs w:val="21"/>
                <w:highlight w:val="none"/>
              </w:rPr>
              <w:t>服务交付（实施）的地点（地域范围）：</w:t>
            </w:r>
            <w:r>
              <w:rPr>
                <w:rFonts w:hint="eastAsia"/>
                <w:color w:val="auto"/>
                <w:sz w:val="21"/>
                <w:szCs w:val="21"/>
                <w:highlight w:val="none"/>
                <w:lang w:eastAsia="zh-CN"/>
              </w:rPr>
              <w:t>杭州市临平区塘栖镇人民政府</w:t>
            </w:r>
            <w:r>
              <w:rPr>
                <w:rFonts w:hint="eastAsia"/>
                <w:color w:val="auto"/>
                <w:sz w:val="21"/>
                <w:szCs w:val="21"/>
                <w:highlight w:val="none"/>
              </w:rPr>
              <w:t>及其指定地点。</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1.7.3</w:t>
            </w:r>
          </w:p>
        </w:tc>
        <w:tc>
          <w:tcPr>
            <w:tcW w:w="8137" w:type="dxa"/>
            <w:tcBorders>
              <w:tl2br w:val="nil"/>
              <w:tr2bl w:val="nil"/>
            </w:tcBorders>
            <w:vAlign w:val="center"/>
          </w:tcPr>
          <w:p>
            <w:pPr>
              <w:spacing w:line="360" w:lineRule="auto"/>
              <w:rPr>
                <w:color w:val="auto"/>
                <w:sz w:val="21"/>
                <w:szCs w:val="21"/>
                <w:highlight w:val="none"/>
              </w:rPr>
            </w:pPr>
            <w:r>
              <w:rPr>
                <w:rFonts w:hint="eastAsia"/>
                <w:b/>
                <w:bCs/>
                <w:color w:val="auto"/>
                <w:sz w:val="21"/>
                <w:szCs w:val="21"/>
                <w:highlight w:val="none"/>
              </w:rPr>
              <w:t>服务交付（实施）的方式：</w:t>
            </w:r>
            <w:r>
              <w:rPr>
                <w:rFonts w:hint="eastAsia"/>
                <w:color w:val="auto"/>
                <w:sz w:val="21"/>
                <w:szCs w:val="21"/>
                <w:highlight w:val="none"/>
              </w:rPr>
              <w:t>按照招标文件及合同要求进行交付。</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1.7.4.1</w:t>
            </w:r>
          </w:p>
        </w:tc>
        <w:tc>
          <w:tcPr>
            <w:tcW w:w="8137" w:type="dxa"/>
            <w:tcBorders>
              <w:tl2br w:val="nil"/>
              <w:tr2bl w:val="nil"/>
            </w:tcBorders>
            <w:vAlign w:val="center"/>
          </w:tcPr>
          <w:p>
            <w:pPr>
              <w:spacing w:line="360" w:lineRule="auto"/>
              <w:rPr>
                <w:color w:val="auto"/>
                <w:sz w:val="21"/>
                <w:szCs w:val="21"/>
                <w:highlight w:val="none"/>
              </w:rPr>
            </w:pPr>
            <w:r>
              <w:rPr>
                <w:rFonts w:hint="eastAsia"/>
                <w:b/>
                <w:bCs/>
                <w:color w:val="auto"/>
                <w:sz w:val="21"/>
                <w:szCs w:val="21"/>
                <w:highlight w:val="none"/>
              </w:rPr>
              <w:t>服务配套货物的交付期限：</w:t>
            </w:r>
            <w:r>
              <w:rPr>
                <w:rFonts w:hint="eastAsia"/>
                <w:color w:val="auto"/>
                <w:sz w:val="21"/>
                <w:szCs w:val="21"/>
                <w:highlight w:val="none"/>
              </w:rPr>
              <w:t>/</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1.7.4.2</w:t>
            </w:r>
          </w:p>
        </w:tc>
        <w:tc>
          <w:tcPr>
            <w:tcW w:w="8137" w:type="dxa"/>
            <w:tcBorders>
              <w:tl2br w:val="nil"/>
              <w:tr2bl w:val="nil"/>
            </w:tcBorders>
            <w:vAlign w:val="center"/>
          </w:tcPr>
          <w:p>
            <w:pPr>
              <w:spacing w:line="360" w:lineRule="auto"/>
              <w:rPr>
                <w:color w:val="auto"/>
                <w:sz w:val="21"/>
                <w:szCs w:val="21"/>
                <w:highlight w:val="none"/>
              </w:rPr>
            </w:pPr>
            <w:r>
              <w:rPr>
                <w:rFonts w:hint="eastAsia"/>
                <w:b/>
                <w:bCs/>
                <w:color w:val="auto"/>
                <w:sz w:val="21"/>
                <w:szCs w:val="21"/>
                <w:highlight w:val="none"/>
              </w:rPr>
              <w:t>服务配套货物的交付地点</w:t>
            </w:r>
            <w:r>
              <w:rPr>
                <w:rFonts w:hint="eastAsia"/>
                <w:color w:val="auto"/>
                <w:sz w:val="21"/>
                <w:szCs w:val="21"/>
                <w:highlight w:val="none"/>
              </w:rPr>
              <w:t>：/</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1.7.4.3</w:t>
            </w:r>
          </w:p>
        </w:tc>
        <w:tc>
          <w:tcPr>
            <w:tcW w:w="8137" w:type="dxa"/>
            <w:tcBorders>
              <w:tl2br w:val="nil"/>
              <w:tr2bl w:val="nil"/>
            </w:tcBorders>
            <w:vAlign w:val="center"/>
          </w:tcPr>
          <w:p>
            <w:pPr>
              <w:spacing w:line="360" w:lineRule="auto"/>
              <w:rPr>
                <w:color w:val="auto"/>
                <w:sz w:val="21"/>
                <w:szCs w:val="21"/>
                <w:highlight w:val="none"/>
              </w:rPr>
            </w:pPr>
            <w:r>
              <w:rPr>
                <w:rFonts w:hint="eastAsia"/>
                <w:b/>
                <w:bCs/>
                <w:color w:val="auto"/>
                <w:sz w:val="21"/>
                <w:szCs w:val="21"/>
                <w:highlight w:val="none"/>
              </w:rPr>
              <w:t>服务配套货物的交付方式：</w:t>
            </w:r>
            <w:r>
              <w:rPr>
                <w:rFonts w:hint="eastAsia"/>
                <w:color w:val="auto"/>
                <w:sz w:val="21"/>
                <w:szCs w:val="21"/>
                <w:highlight w:val="none"/>
              </w:rPr>
              <w:t>/</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1.8.7</w:t>
            </w:r>
          </w:p>
        </w:tc>
        <w:tc>
          <w:tcPr>
            <w:tcW w:w="8137" w:type="dxa"/>
            <w:tcBorders>
              <w:tl2br w:val="nil"/>
              <w:tr2bl w:val="nil"/>
            </w:tcBorders>
            <w:vAlign w:val="center"/>
          </w:tcPr>
          <w:p>
            <w:pPr>
              <w:spacing w:line="360" w:lineRule="auto"/>
              <w:rPr>
                <w:rFonts w:hint="eastAsia" w:eastAsia="宋体"/>
                <w:color w:val="auto"/>
                <w:sz w:val="21"/>
                <w:szCs w:val="21"/>
                <w:highlight w:val="none"/>
                <w:lang w:val="en-US" w:eastAsia="zh-CN"/>
              </w:rPr>
            </w:pPr>
            <w:r>
              <w:rPr>
                <w:rFonts w:hint="eastAsia"/>
                <w:b/>
                <w:bCs/>
                <w:color w:val="auto"/>
                <w:sz w:val="21"/>
                <w:szCs w:val="21"/>
                <w:highlight w:val="none"/>
              </w:rPr>
              <w:t>违约责任：</w:t>
            </w:r>
            <w:r>
              <w:rPr>
                <w:rFonts w:hint="eastAsia"/>
                <w:b/>
                <w:bCs/>
                <w:color w:val="auto"/>
                <w:sz w:val="21"/>
                <w:szCs w:val="21"/>
                <w:highlight w:val="none"/>
                <w:lang w:val="en-US" w:eastAsia="zh-CN"/>
              </w:rPr>
              <w:t>/</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1.9.1</w:t>
            </w:r>
          </w:p>
        </w:tc>
        <w:tc>
          <w:tcPr>
            <w:tcW w:w="8137" w:type="dxa"/>
            <w:tcBorders>
              <w:tl2br w:val="nil"/>
              <w:tr2bl w:val="nil"/>
            </w:tcBorders>
            <w:vAlign w:val="center"/>
          </w:tcPr>
          <w:p>
            <w:pPr>
              <w:spacing w:line="360" w:lineRule="auto"/>
              <w:rPr>
                <w:color w:val="auto"/>
                <w:sz w:val="21"/>
                <w:szCs w:val="21"/>
                <w:highlight w:val="none"/>
              </w:rPr>
            </w:pPr>
            <w:r>
              <w:rPr>
                <w:rFonts w:hint="eastAsia" w:ascii="宋体" w:hAnsi="宋体" w:cs="宋体"/>
                <w:b/>
                <w:color w:val="auto"/>
                <w:sz w:val="21"/>
                <w:szCs w:val="21"/>
                <w:highlight w:val="none"/>
              </w:rPr>
              <w:t>合同争议提交：</w:t>
            </w:r>
            <w:r>
              <w:rPr>
                <w:rFonts w:hint="eastAsia" w:ascii="宋体" w:hAnsi="宋体" w:cs="宋体"/>
                <w:bCs/>
                <w:color w:val="auto"/>
                <w:sz w:val="21"/>
                <w:szCs w:val="21"/>
                <w:highlight w:val="none"/>
              </w:rPr>
              <w:t>/</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1.9.2</w:t>
            </w:r>
          </w:p>
        </w:tc>
        <w:tc>
          <w:tcPr>
            <w:tcW w:w="8137" w:type="dxa"/>
            <w:tcBorders>
              <w:tl2br w:val="nil"/>
              <w:tr2bl w:val="nil"/>
            </w:tcBorders>
            <w:vAlign w:val="center"/>
          </w:tcPr>
          <w:p>
            <w:pPr>
              <w:spacing w:line="360" w:lineRule="auto"/>
              <w:rPr>
                <w:rFonts w:hint="eastAsia" w:eastAsia="宋体"/>
                <w:color w:val="auto"/>
                <w:sz w:val="21"/>
                <w:szCs w:val="21"/>
                <w:highlight w:val="none"/>
                <w:lang w:eastAsia="zh-CN"/>
              </w:rPr>
            </w:pPr>
            <w:r>
              <w:rPr>
                <w:rFonts w:hint="eastAsia" w:ascii="宋体" w:hAnsi="宋体" w:cs="宋体"/>
                <w:b/>
                <w:color w:val="auto"/>
                <w:sz w:val="21"/>
                <w:szCs w:val="21"/>
                <w:highlight w:val="none"/>
              </w:rPr>
              <w:t>合同争议:</w:t>
            </w:r>
            <w:r>
              <w:rPr>
                <w:rFonts w:hint="eastAsia" w:ascii="宋体" w:hAnsi="宋体" w:cs="宋体"/>
                <w:bCs/>
                <w:color w:val="auto"/>
                <w:sz w:val="21"/>
                <w:szCs w:val="21"/>
                <w:highlight w:val="none"/>
              </w:rPr>
              <w:t>向</w:t>
            </w:r>
            <w:r>
              <w:rPr>
                <w:rFonts w:hint="eastAsia" w:ascii="宋体" w:hAnsi="宋体" w:cs="宋体"/>
                <w:bCs/>
                <w:color w:val="auto"/>
                <w:sz w:val="21"/>
                <w:szCs w:val="21"/>
                <w:highlight w:val="none"/>
                <w:lang w:val="en-US" w:eastAsia="zh-CN"/>
              </w:rPr>
              <w:t>采购人所在地</w:t>
            </w:r>
            <w:r>
              <w:rPr>
                <w:rFonts w:hint="eastAsia" w:ascii="宋体" w:hAnsi="宋体" w:cs="宋体"/>
                <w:bCs/>
                <w:color w:val="auto"/>
                <w:sz w:val="21"/>
                <w:szCs w:val="21"/>
                <w:highlight w:val="none"/>
              </w:rPr>
              <w:t>法院起诉</w:t>
            </w:r>
            <w:r>
              <w:rPr>
                <w:rFonts w:hint="eastAsia" w:ascii="宋体" w:hAnsi="宋体" w:cs="宋体"/>
                <w:bCs/>
                <w:color w:val="auto"/>
                <w:sz w:val="21"/>
                <w:szCs w:val="21"/>
                <w:highlight w:val="none"/>
                <w:lang w:eastAsia="zh-CN"/>
              </w:rPr>
              <w:t>。</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2.3.2</w:t>
            </w:r>
          </w:p>
        </w:tc>
        <w:tc>
          <w:tcPr>
            <w:tcW w:w="8137" w:type="dxa"/>
            <w:tcBorders>
              <w:tl2br w:val="nil"/>
              <w:tr2bl w:val="nil"/>
            </w:tcBorders>
            <w:vAlign w:val="center"/>
          </w:tcPr>
          <w:p>
            <w:pPr>
              <w:spacing w:line="360" w:lineRule="auto"/>
              <w:rPr>
                <w:color w:val="auto"/>
                <w:sz w:val="21"/>
                <w:szCs w:val="21"/>
                <w:highlight w:val="none"/>
              </w:rPr>
            </w:pPr>
            <w:r>
              <w:rPr>
                <w:rFonts w:hint="eastAsia"/>
                <w:b/>
                <w:bCs/>
                <w:color w:val="auto"/>
                <w:sz w:val="21"/>
                <w:szCs w:val="21"/>
                <w:highlight w:val="none"/>
              </w:rPr>
              <w:t>知识产权：</w:t>
            </w:r>
            <w:r>
              <w:rPr>
                <w:rFonts w:hint="eastAsia"/>
                <w:color w:val="auto"/>
                <w:sz w:val="21"/>
                <w:szCs w:val="21"/>
                <w:highlight w:val="none"/>
              </w:rPr>
              <w:t>乙方应保证提供的服务不侵犯第三方的专利权、商标权或者其他知识产权。如乙方行为侵犯第三方知识产权并造成第三方追究甲方责任的，甲方因此受到的损失由乙方承担。</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5</w:t>
            </w:r>
          </w:p>
        </w:tc>
        <w:tc>
          <w:tcPr>
            <w:tcW w:w="8137" w:type="dxa"/>
            <w:tcBorders>
              <w:tl2br w:val="nil"/>
              <w:tr2bl w:val="nil"/>
            </w:tcBorders>
            <w:vAlign w:val="center"/>
          </w:tcPr>
          <w:p>
            <w:pPr>
              <w:spacing w:line="360" w:lineRule="auto"/>
              <w:rPr>
                <w:rFonts w:hint="eastAsia"/>
                <w:b/>
                <w:bCs/>
                <w:color w:val="auto"/>
                <w:sz w:val="21"/>
                <w:szCs w:val="21"/>
                <w:highlight w:val="none"/>
              </w:rPr>
            </w:pPr>
            <w:r>
              <w:rPr>
                <w:rFonts w:hint="eastAsia"/>
                <w:b/>
                <w:bCs/>
                <w:color w:val="auto"/>
                <w:sz w:val="21"/>
                <w:szCs w:val="21"/>
                <w:highlight w:val="none"/>
              </w:rPr>
              <w:t>结算方式和付款条件：</w:t>
            </w:r>
          </w:p>
          <w:p>
            <w:pPr>
              <w:spacing w:line="360" w:lineRule="auto"/>
              <w:rPr>
                <w:rFonts w:hint="eastAsia"/>
                <w:b w:val="0"/>
                <w:bCs w:val="0"/>
                <w:color w:val="auto"/>
                <w:sz w:val="21"/>
                <w:szCs w:val="21"/>
                <w:highlight w:val="none"/>
              </w:rPr>
            </w:pPr>
            <w:r>
              <w:rPr>
                <w:rFonts w:hint="eastAsia"/>
                <w:b w:val="0"/>
                <w:bCs w:val="0"/>
                <w:color w:val="auto"/>
                <w:sz w:val="21"/>
                <w:szCs w:val="21"/>
                <w:highlight w:val="none"/>
              </w:rPr>
              <w:t>1.乙方派出的服务人员使用pos机与老年人市民卡或老年卡刷卡结算。服务费每月结算支付一次。</w:t>
            </w:r>
          </w:p>
          <w:p>
            <w:pPr>
              <w:pStyle w:val="23"/>
              <w:rPr>
                <w:color w:val="auto"/>
                <w:highlight w:val="none"/>
              </w:rPr>
            </w:pPr>
            <w:r>
              <w:rPr>
                <w:rFonts w:hint="eastAsia"/>
                <w:b w:val="0"/>
                <w:bCs w:val="0"/>
                <w:color w:val="auto"/>
                <w:sz w:val="21"/>
                <w:szCs w:val="21"/>
                <w:highlight w:val="none"/>
              </w:rPr>
              <w:t>2.合同支付总额在预算框架范围内予以支付，乙方有义务提醒甲方合同费用总额不应超过项目预算。</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11</w:t>
            </w:r>
            <w:r>
              <w:rPr>
                <w:rFonts w:hint="eastAsia" w:ascii="宋体" w:hAnsi="宋体" w:cs="宋体"/>
                <w:color w:val="auto"/>
                <w:sz w:val="21"/>
                <w:szCs w:val="21"/>
                <w:highlight w:val="none"/>
              </w:rPr>
              <w:t>.</w:t>
            </w:r>
            <w:r>
              <w:rPr>
                <w:rFonts w:ascii="宋体" w:hAnsi="宋体" w:cs="宋体"/>
                <w:color w:val="auto"/>
                <w:sz w:val="21"/>
                <w:szCs w:val="21"/>
                <w:highlight w:val="none"/>
              </w:rPr>
              <w:t>3</w:t>
            </w:r>
          </w:p>
        </w:tc>
        <w:tc>
          <w:tcPr>
            <w:tcW w:w="8137" w:type="dxa"/>
            <w:tcBorders>
              <w:tl2br w:val="nil"/>
              <w:tr2bl w:val="nil"/>
            </w:tcBorders>
            <w:vAlign w:val="center"/>
          </w:tcPr>
          <w:p>
            <w:pPr>
              <w:spacing w:line="360" w:lineRule="auto"/>
              <w:rPr>
                <w:color w:val="auto"/>
                <w:sz w:val="21"/>
                <w:szCs w:val="21"/>
                <w:highlight w:val="none"/>
              </w:rPr>
            </w:pPr>
            <w:r>
              <w:rPr>
                <w:rFonts w:hint="eastAsia"/>
                <w:color w:val="auto"/>
                <w:sz w:val="21"/>
                <w:szCs w:val="21"/>
                <w:highlight w:val="none"/>
              </w:rPr>
              <w:t>因不可抗力致使合同有变更必要的，双方当事人应在7个工作日内以书面形式变更合同；</w:t>
            </w:r>
          </w:p>
        </w:tc>
      </w:tr>
      <w:tr>
        <w:trPr>
          <w:trHeight w:val="88" w:hRule="atLeast"/>
        </w:trPr>
        <w:tc>
          <w:tcPr>
            <w:tcW w:w="989" w:type="dxa"/>
            <w:tcBorders>
              <w:tl2br w:val="nil"/>
              <w:tr2bl w:val="nil"/>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11.4</w:t>
            </w:r>
          </w:p>
        </w:tc>
        <w:tc>
          <w:tcPr>
            <w:tcW w:w="8137" w:type="dxa"/>
            <w:tcBorders>
              <w:tl2br w:val="nil"/>
              <w:tr2bl w:val="nil"/>
            </w:tcBorders>
          </w:tcPr>
          <w:p>
            <w:pPr>
              <w:spacing w:line="360" w:lineRule="auto"/>
              <w:rPr>
                <w:color w:val="auto"/>
                <w:sz w:val="21"/>
                <w:szCs w:val="21"/>
                <w:highlight w:val="none"/>
              </w:rPr>
            </w:pPr>
            <w:r>
              <w:rPr>
                <w:rFonts w:hint="eastAsia"/>
                <w:color w:val="auto"/>
                <w:sz w:val="21"/>
                <w:szCs w:val="21"/>
                <w:highlight w:val="none"/>
              </w:rPr>
              <w:t>受不可抗力影响的一方在不可抗力发生后，应在3个工作日内以书面形式通知对方当事人，并在3个工作日内将有关部门出具的证明文件送达对方当事人。</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15</w:t>
            </w:r>
            <w:r>
              <w:rPr>
                <w:rFonts w:hint="eastAsia" w:ascii="宋体" w:hAnsi="宋体" w:cs="宋体"/>
                <w:color w:val="auto"/>
                <w:sz w:val="21"/>
                <w:szCs w:val="21"/>
                <w:highlight w:val="none"/>
              </w:rPr>
              <w:t>.</w:t>
            </w:r>
            <w:r>
              <w:rPr>
                <w:rFonts w:ascii="宋体" w:hAnsi="宋体" w:cs="宋体"/>
                <w:color w:val="auto"/>
                <w:sz w:val="21"/>
                <w:szCs w:val="21"/>
                <w:highlight w:val="none"/>
              </w:rPr>
              <w:t>1</w:t>
            </w:r>
          </w:p>
        </w:tc>
        <w:tc>
          <w:tcPr>
            <w:tcW w:w="8137" w:type="dxa"/>
            <w:tcBorders>
              <w:tl2br w:val="nil"/>
              <w:tr2bl w:val="nil"/>
            </w:tcBorders>
            <w:vAlign w:val="center"/>
          </w:tcPr>
          <w:p>
            <w:pPr>
              <w:spacing w:line="360" w:lineRule="auto"/>
              <w:rPr>
                <w:color w:val="auto"/>
                <w:sz w:val="21"/>
                <w:szCs w:val="21"/>
                <w:highlight w:val="none"/>
              </w:rPr>
            </w:pPr>
            <w:r>
              <w:rPr>
                <w:rFonts w:hint="eastAsia"/>
                <w:b/>
                <w:bCs/>
                <w:color w:val="auto"/>
                <w:sz w:val="21"/>
                <w:szCs w:val="21"/>
                <w:highlight w:val="none"/>
              </w:rPr>
              <w:t>检验和验收：</w:t>
            </w:r>
            <w:r>
              <w:rPr>
                <w:rFonts w:hint="eastAsia"/>
                <w:color w:val="auto"/>
                <w:sz w:val="21"/>
                <w:szCs w:val="21"/>
                <w:highlight w:val="none"/>
              </w:rPr>
              <w:t>按照招标文件和合同进行验收。</w:t>
            </w:r>
          </w:p>
        </w:tc>
      </w:tr>
      <w:tr>
        <w:trPr>
          <w:trHeight w:val="88" w:hRule="atLeast"/>
        </w:trPr>
        <w:tc>
          <w:tcPr>
            <w:tcW w:w="989" w:type="dxa"/>
            <w:tcBorders>
              <w:tl2br w:val="nil"/>
              <w:tr2bl w:val="nil"/>
            </w:tcBorders>
            <w:vAlign w:val="center"/>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15</w:t>
            </w:r>
            <w:r>
              <w:rPr>
                <w:rFonts w:hint="eastAsia" w:ascii="宋体" w:hAnsi="宋体" w:cs="宋体"/>
                <w:color w:val="auto"/>
                <w:sz w:val="21"/>
                <w:szCs w:val="21"/>
                <w:highlight w:val="none"/>
              </w:rPr>
              <w:t>.</w:t>
            </w:r>
            <w:r>
              <w:rPr>
                <w:rFonts w:ascii="宋体" w:hAnsi="宋体" w:cs="宋体"/>
                <w:color w:val="auto"/>
                <w:sz w:val="21"/>
                <w:szCs w:val="21"/>
                <w:highlight w:val="none"/>
              </w:rPr>
              <w:t>3</w:t>
            </w:r>
          </w:p>
        </w:tc>
        <w:tc>
          <w:tcPr>
            <w:tcW w:w="8137" w:type="dxa"/>
            <w:tcBorders>
              <w:tl2br w:val="nil"/>
              <w:tr2bl w:val="nil"/>
            </w:tcBorders>
            <w:vAlign w:val="center"/>
          </w:tcPr>
          <w:p>
            <w:pPr>
              <w:spacing w:line="360" w:lineRule="auto"/>
              <w:rPr>
                <w:color w:val="auto"/>
                <w:sz w:val="21"/>
                <w:szCs w:val="21"/>
                <w:highlight w:val="none"/>
              </w:rPr>
            </w:pPr>
            <w:r>
              <w:rPr>
                <w:rFonts w:hint="eastAsia"/>
                <w:b/>
                <w:bCs/>
                <w:color w:val="auto"/>
                <w:sz w:val="21"/>
                <w:szCs w:val="21"/>
                <w:highlight w:val="none"/>
              </w:rPr>
              <w:t>检验和验收：</w:t>
            </w:r>
            <w:r>
              <w:rPr>
                <w:rFonts w:hint="eastAsia"/>
                <w:color w:val="auto"/>
                <w:sz w:val="21"/>
                <w:szCs w:val="21"/>
                <w:highlight w:val="none"/>
              </w:rPr>
              <w:t>根据合同规定范围提供服务并通过甲方验收后，甲方凭乙方开具的正规发票和甲方认可的各项记录复印件，办理服务费用的支付手续。</w:t>
            </w:r>
          </w:p>
        </w:tc>
      </w:tr>
      <w:tr>
        <w:trPr>
          <w:trHeight w:val="352" w:hRule="atLeast"/>
        </w:trPr>
        <w:tc>
          <w:tcPr>
            <w:tcW w:w="989" w:type="dxa"/>
            <w:tcBorders>
              <w:tl2br w:val="nil"/>
              <w:tr2bl w:val="nil"/>
            </w:tcBorders>
          </w:tcPr>
          <w:p>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2.19</w:t>
            </w:r>
          </w:p>
        </w:tc>
        <w:tc>
          <w:tcPr>
            <w:tcW w:w="8137" w:type="dxa"/>
            <w:tcBorders>
              <w:tl2br w:val="nil"/>
              <w:tr2bl w:val="nil"/>
            </w:tcBorders>
          </w:tcPr>
          <w:p>
            <w:pPr>
              <w:spacing w:line="360" w:lineRule="auto"/>
              <w:rPr>
                <w:color w:val="auto"/>
                <w:sz w:val="21"/>
                <w:szCs w:val="21"/>
                <w:highlight w:val="none"/>
              </w:rPr>
            </w:pPr>
            <w:r>
              <w:rPr>
                <w:rFonts w:hint="eastAsia" w:ascii="宋体" w:hAnsi="宋体" w:cs="宋体"/>
                <w:b/>
                <w:color w:val="auto"/>
                <w:sz w:val="21"/>
                <w:szCs w:val="21"/>
                <w:highlight w:val="none"/>
              </w:rPr>
              <w:t>合同份数：</w:t>
            </w:r>
            <w:r>
              <w:rPr>
                <w:rFonts w:hint="eastAsia"/>
                <w:color w:val="auto"/>
                <w:sz w:val="21"/>
                <w:szCs w:val="21"/>
                <w:highlight w:val="none"/>
              </w:rPr>
              <w:t>本合同一式肆份，甲方执贰份、乙方执贰份，每份均具有同等法律效力。</w:t>
            </w:r>
          </w:p>
        </w:tc>
      </w:tr>
    </w:tbl>
    <w:p>
      <w:pPr>
        <w:rPr>
          <w:color w:val="auto"/>
          <w:highlight w:val="none"/>
        </w:rPr>
      </w:pPr>
    </w:p>
    <w:p>
      <w:pPr>
        <w:rPr>
          <w:color w:val="auto"/>
          <w:highlight w:val="none"/>
        </w:rPr>
      </w:pPr>
    </w:p>
    <w:p>
      <w:pPr>
        <w:rPr>
          <w:color w:val="auto"/>
          <w:highlight w:val="none"/>
        </w:rPr>
      </w:pPr>
      <w:r>
        <w:rPr>
          <w:rFonts w:hint="eastAsia"/>
          <w:color w:val="auto"/>
          <w:highlight w:val="none"/>
        </w:rPr>
        <w:br w:type="page"/>
      </w:r>
    </w:p>
    <w:p>
      <w:pPr>
        <w:pStyle w:val="3"/>
        <w:rPr>
          <w:color w:val="auto"/>
          <w:highlight w:val="none"/>
        </w:rPr>
      </w:pPr>
      <w:bookmarkStart w:id="562" w:name="_Toc31714"/>
      <w:r>
        <w:rPr>
          <w:rFonts w:hint="eastAsia"/>
          <w:color w:val="auto"/>
          <w:highlight w:val="none"/>
        </w:rPr>
        <w:t>第六部分</w:t>
      </w:r>
      <w:bookmarkEnd w:id="416"/>
      <w:r>
        <w:rPr>
          <w:rFonts w:hint="eastAsia"/>
          <w:color w:val="auto"/>
          <w:highlight w:val="none"/>
        </w:rPr>
        <w:t xml:space="preserve"> </w:t>
      </w:r>
      <w:bookmarkEnd w:id="417"/>
      <w:r>
        <w:rPr>
          <w:rFonts w:hint="eastAsia"/>
          <w:color w:val="auto"/>
          <w:highlight w:val="none"/>
        </w:rPr>
        <w:t>应提交的有关格式范例</w:t>
      </w:r>
      <w:bookmarkEnd w:id="562"/>
    </w:p>
    <w:p>
      <w:pPr>
        <w:spacing w:line="360" w:lineRule="auto"/>
        <w:jc w:val="center"/>
        <w:rPr>
          <w:rFonts w:ascii="宋体" w:hAnsi="宋体" w:cs="宋体"/>
          <w:b/>
          <w:color w:val="auto"/>
          <w:kern w:val="0"/>
          <w:szCs w:val="21"/>
          <w:highlight w:val="none"/>
        </w:rPr>
      </w:pPr>
    </w:p>
    <w:p>
      <w:pPr>
        <w:pStyle w:val="2"/>
        <w:ind w:firstLine="0" w:firstLineChars="0"/>
        <w:jc w:val="center"/>
        <w:rPr>
          <w:color w:val="auto"/>
          <w:szCs w:val="21"/>
          <w:highlight w:val="none"/>
        </w:rPr>
      </w:pPr>
      <w:r>
        <w:rPr>
          <w:rFonts w:hint="eastAsia"/>
          <w:color w:val="auto"/>
          <w:szCs w:val="21"/>
          <w:highlight w:val="none"/>
        </w:rPr>
        <w:t>资格文件部分</w:t>
      </w:r>
    </w:p>
    <w:p>
      <w:pPr>
        <w:spacing w:line="360" w:lineRule="auto"/>
        <w:jc w:val="center"/>
        <w:outlineLvl w:val="2"/>
        <w:rPr>
          <w:rFonts w:ascii="宋体" w:hAnsi="宋体" w:cs="宋体"/>
          <w:b/>
          <w:color w:val="auto"/>
          <w:kern w:val="0"/>
          <w:szCs w:val="21"/>
          <w:highlight w:val="none"/>
        </w:rPr>
      </w:pPr>
      <w:r>
        <w:rPr>
          <w:rFonts w:hint="eastAsia" w:ascii="宋体" w:hAnsi="宋体" w:cs="宋体"/>
          <w:b/>
          <w:color w:val="auto"/>
          <w:kern w:val="0"/>
          <w:szCs w:val="21"/>
          <w:highlight w:val="none"/>
        </w:rPr>
        <w:t>目录</w:t>
      </w:r>
    </w:p>
    <w:p>
      <w:pPr>
        <w:spacing w:line="360" w:lineRule="auto"/>
        <w:jc w:val="center"/>
        <w:rPr>
          <w:rFonts w:ascii="宋体" w:hAnsi="宋体" w:cs="宋体"/>
          <w:b/>
          <w:color w:val="auto"/>
          <w:kern w:val="0"/>
          <w:szCs w:val="21"/>
          <w:highlight w:val="none"/>
        </w:rPr>
      </w:pPr>
    </w:p>
    <w:p>
      <w:pPr>
        <w:numPr>
          <w:ilvl w:val="0"/>
          <w:numId w:val="2"/>
        </w:num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符合参加政府采购活动应当具备的一般条件的承诺函……………（页码）</w:t>
      </w:r>
    </w:p>
    <w:p>
      <w:pPr>
        <w:numPr>
          <w:ilvl w:val="0"/>
          <w:numId w:val="2"/>
        </w:num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联合体协议……………………………………………………………（页码）</w:t>
      </w:r>
    </w:p>
    <w:p>
      <w:pPr>
        <w:numPr>
          <w:ilvl w:val="0"/>
          <w:numId w:val="2"/>
        </w:num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落实政府采购政策需满足的资格要求………………………………（页码）</w:t>
      </w:r>
    </w:p>
    <w:p>
      <w:pPr>
        <w:numPr>
          <w:ilvl w:val="0"/>
          <w:numId w:val="2"/>
        </w:num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本项目的特定资格要求………………………………………………（页码）</w:t>
      </w:r>
    </w:p>
    <w:p>
      <w:pPr>
        <w:snapToGrid w:val="0"/>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pStyle w:val="4"/>
        <w:numPr>
          <w:ilvl w:val="0"/>
          <w:numId w:val="3"/>
        </w:numPr>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符合参加政府采购活动应当具备的一般条件的承诺函</w:t>
      </w:r>
    </w:p>
    <w:p>
      <w:pPr>
        <w:pStyle w:val="15"/>
        <w:spacing w:line="360" w:lineRule="auto"/>
        <w:rPr>
          <w:color w:val="auto"/>
          <w:sz w:val="21"/>
          <w:szCs w:val="21"/>
          <w:highlight w:val="none"/>
        </w:rPr>
      </w:pPr>
    </w:p>
    <w:p>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符合参加政府采购活动应当具备的一般条件的承诺函</w:t>
      </w:r>
    </w:p>
    <w:p>
      <w:pPr>
        <w:spacing w:line="360" w:lineRule="auto"/>
        <w:rPr>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杭州市临平区塘栖镇人民政府</w:t>
      </w:r>
      <w:r>
        <w:rPr>
          <w:rFonts w:hint="eastAsia" w:ascii="宋体" w:hAnsi="宋体" w:cs="宋体"/>
          <w:color w:val="auto"/>
          <w:szCs w:val="21"/>
          <w:highlight w:val="none"/>
        </w:rPr>
        <w:t>、</w:t>
      </w:r>
      <w:r>
        <w:rPr>
          <w:rFonts w:hint="eastAsia" w:ascii="宋体" w:hAnsi="宋体" w:cs="宋体"/>
          <w:color w:val="auto"/>
          <w:szCs w:val="21"/>
          <w:highlight w:val="none"/>
          <w:lang w:eastAsia="zh-CN"/>
        </w:rPr>
        <w:t>杭州创丰招标代理有限公司</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我方参与</w:t>
      </w:r>
      <w:r>
        <w:rPr>
          <w:rFonts w:hint="eastAsia" w:ascii="宋体" w:hAnsi="宋体" w:cs="宋体"/>
          <w:color w:val="auto"/>
          <w:szCs w:val="21"/>
          <w:highlight w:val="none"/>
          <w:lang w:eastAsia="zh-CN"/>
        </w:rPr>
        <w:t>2024年塘栖镇养老电子津贴政府采购</w:t>
      </w:r>
      <w:r>
        <w:rPr>
          <w:rFonts w:hint="eastAsia" w:ascii="宋体" w:hAnsi="宋体" w:cs="宋体"/>
          <w:color w:val="auto"/>
          <w:szCs w:val="21"/>
          <w:highlight w:val="none"/>
        </w:rPr>
        <w:t>项目【招标编号：</w:t>
      </w:r>
      <w:r>
        <w:rPr>
          <w:rFonts w:hint="eastAsia" w:ascii="宋体" w:hAnsi="宋体" w:cs="宋体"/>
          <w:color w:val="auto"/>
          <w:szCs w:val="21"/>
          <w:highlight w:val="none"/>
          <w:lang w:eastAsia="zh-CN"/>
        </w:rPr>
        <w:t>CFZB-20240715-TXZF1</w:t>
      </w:r>
      <w:r>
        <w:rPr>
          <w:rFonts w:hint="eastAsia" w:ascii="宋体" w:hAnsi="宋体" w:cs="宋体"/>
          <w:color w:val="auto"/>
          <w:szCs w:val="21"/>
          <w:highlight w:val="none"/>
        </w:rPr>
        <w:t>】政府采购活动，郑重承诺：</w:t>
      </w:r>
    </w:p>
    <w:p>
      <w:pPr>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6、具有法律、行政法规规定的其他条件。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（三）不存在以下情况：</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pPr>
        <w:snapToGrid w:val="0"/>
        <w:spacing w:line="360" w:lineRule="auto"/>
        <w:ind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pPr>
        <w:snapToGrid w:val="0"/>
        <w:spacing w:line="360" w:lineRule="auto"/>
        <w:ind w:firstLine="420" w:firstLineChars="200"/>
        <w:rPr>
          <w:rFonts w:ascii="宋体" w:hAnsi="宋体" w:cs="宋体"/>
          <w:color w:val="auto"/>
          <w:szCs w:val="21"/>
          <w:highlight w:val="none"/>
        </w:rPr>
      </w:pPr>
    </w:p>
    <w:p>
      <w:pPr>
        <w:snapToGrid w:val="0"/>
        <w:spacing w:line="360" w:lineRule="auto"/>
        <w:ind w:firstLine="420" w:firstLineChars="200"/>
        <w:rPr>
          <w:rFonts w:ascii="宋体" w:hAnsi="宋体" w:cs="宋体"/>
          <w:color w:val="auto"/>
          <w:szCs w:val="21"/>
          <w:highlight w:val="none"/>
        </w:rPr>
      </w:pPr>
    </w:p>
    <w:p>
      <w:pPr>
        <w:pStyle w:val="4"/>
        <w:rPr>
          <w:color w:val="auto"/>
          <w:szCs w:val="21"/>
          <w:highlight w:val="none"/>
        </w:rPr>
      </w:pPr>
      <w:r>
        <w:rPr>
          <w:rFonts w:hint="eastAsia"/>
          <w:color w:val="auto"/>
          <w:szCs w:val="21"/>
          <w:highlight w:val="none"/>
        </w:rPr>
        <w:t>二、联合协议（如果有）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[以联合体形式投标的，提供联合协议（附件5）；本项目不接受联合体投标或者投标人不以联合体形式投标的，则不需要提供）]</w:t>
      </w:r>
    </w:p>
    <w:p>
      <w:pPr>
        <w:snapToGrid w:val="0"/>
        <w:spacing w:line="360" w:lineRule="auto"/>
        <w:ind w:firstLine="420" w:firstLineChars="200"/>
        <w:rPr>
          <w:rFonts w:ascii="宋体" w:hAnsi="宋体" w:cs="宋体"/>
          <w:color w:val="auto"/>
          <w:szCs w:val="21"/>
          <w:highlight w:val="none"/>
        </w:rPr>
      </w:pPr>
    </w:p>
    <w:p>
      <w:pPr>
        <w:snapToGrid w:val="0"/>
        <w:spacing w:line="360" w:lineRule="auto"/>
        <w:ind w:firstLine="420" w:firstLineChars="200"/>
        <w:rPr>
          <w:rFonts w:ascii="宋体" w:hAnsi="宋体" w:cs="宋体"/>
          <w:color w:val="auto"/>
          <w:szCs w:val="21"/>
          <w:highlight w:val="none"/>
        </w:rPr>
      </w:pPr>
    </w:p>
    <w:p>
      <w:pPr>
        <w:pStyle w:val="4"/>
        <w:rPr>
          <w:color w:val="auto"/>
          <w:szCs w:val="21"/>
          <w:highlight w:val="none"/>
        </w:rPr>
      </w:pPr>
      <w:r>
        <w:rPr>
          <w:rFonts w:hint="eastAsia"/>
          <w:color w:val="auto"/>
          <w:szCs w:val="21"/>
          <w:highlight w:val="none"/>
        </w:rPr>
        <w:t>三、落实政府采购政策需满足的资格要求</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（根据招标公告落实政府采购政策需满足的资格要求选择提供相应的材料；未要求的，无需提供）</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A.专门面向中小企业，服务全部由符合政策要求的中小企业（或小微企业）承接的，提供相应的中小企业声明函（附件7）。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pPr>
        <w:snapToGrid w:val="0"/>
        <w:spacing w:line="360" w:lineRule="auto"/>
        <w:ind w:firstLine="420" w:firstLineChars="200"/>
        <w:rPr>
          <w:rFonts w:ascii="宋体" w:hAnsi="宋体" w:cs="宋体"/>
          <w:color w:val="auto"/>
          <w:szCs w:val="21"/>
          <w:highlight w:val="none"/>
        </w:rPr>
      </w:pPr>
    </w:p>
    <w:p>
      <w:pPr>
        <w:pStyle w:val="4"/>
        <w:rPr>
          <w:color w:val="auto"/>
          <w:szCs w:val="21"/>
          <w:highlight w:val="none"/>
        </w:rPr>
      </w:pPr>
      <w:r>
        <w:rPr>
          <w:rFonts w:hint="eastAsia"/>
          <w:color w:val="auto"/>
          <w:szCs w:val="21"/>
          <w:highlight w:val="none"/>
        </w:rPr>
        <w:t>四、本项目的特定资格要求</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pPr>
        <w:snapToGrid w:val="0"/>
        <w:spacing w:line="360" w:lineRule="auto"/>
        <w:ind w:right="480"/>
        <w:jc w:val="center"/>
        <w:rPr>
          <w:rFonts w:ascii="宋体" w:hAnsi="宋体" w:cs="宋体"/>
          <w:b/>
          <w:color w:val="auto"/>
          <w:kern w:val="0"/>
          <w:szCs w:val="21"/>
          <w:highlight w:val="none"/>
        </w:rPr>
      </w:pPr>
    </w:p>
    <w:p>
      <w:pPr>
        <w:spacing w:line="360" w:lineRule="auto"/>
        <w:rPr>
          <w:rFonts w:ascii="宋体" w:hAnsi="宋体" w:cs="宋体"/>
          <w:color w:val="auto"/>
          <w:szCs w:val="21"/>
          <w:highlight w:val="none"/>
        </w:rPr>
      </w:pP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right="480"/>
        <w:jc w:val="center"/>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pPr>
        <w:spacing w:line="360" w:lineRule="auto"/>
        <w:rPr>
          <w:rFonts w:ascii="宋体" w:hAnsi="宋体" w:cs="宋体"/>
          <w:b/>
          <w:color w:val="auto"/>
          <w:kern w:val="0"/>
          <w:szCs w:val="21"/>
          <w:highlight w:val="none"/>
        </w:rPr>
      </w:pPr>
    </w:p>
    <w:p>
      <w:pPr>
        <w:pStyle w:val="2"/>
        <w:jc w:val="center"/>
        <w:rPr>
          <w:color w:val="auto"/>
          <w:szCs w:val="21"/>
          <w:highlight w:val="none"/>
        </w:rPr>
      </w:pPr>
      <w:r>
        <w:rPr>
          <w:rFonts w:hint="eastAsia"/>
          <w:color w:val="auto"/>
          <w:szCs w:val="21"/>
          <w:highlight w:val="none"/>
        </w:rPr>
        <w:t>商务技术文件部分</w:t>
      </w:r>
    </w:p>
    <w:p>
      <w:pPr>
        <w:spacing w:line="360" w:lineRule="auto"/>
        <w:jc w:val="center"/>
        <w:rPr>
          <w:rFonts w:ascii="宋体" w:hAnsi="宋体" w:cs="宋体"/>
          <w:b/>
          <w:color w:val="auto"/>
          <w:kern w:val="0"/>
          <w:szCs w:val="21"/>
          <w:highlight w:val="none"/>
        </w:rPr>
      </w:pPr>
    </w:p>
    <w:p>
      <w:pPr>
        <w:spacing w:line="360" w:lineRule="auto"/>
        <w:jc w:val="center"/>
        <w:outlineLvl w:val="2"/>
        <w:rPr>
          <w:rFonts w:ascii="宋体" w:hAnsi="宋体" w:cs="宋体"/>
          <w:b/>
          <w:color w:val="auto"/>
          <w:kern w:val="0"/>
          <w:szCs w:val="21"/>
          <w:highlight w:val="none"/>
        </w:rPr>
      </w:pPr>
      <w:r>
        <w:rPr>
          <w:rFonts w:hint="eastAsia" w:ascii="宋体" w:hAnsi="宋体" w:cs="宋体"/>
          <w:b/>
          <w:color w:val="auto"/>
          <w:kern w:val="0"/>
          <w:szCs w:val="21"/>
          <w:highlight w:val="none"/>
        </w:rPr>
        <w:t>目录</w:t>
      </w:r>
    </w:p>
    <w:p>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（1）投标函…………………………………………………………………………………（页码）（2）授权委托书或法定代表人（单位负责人、自然人本人）身份证明………………（页码）</w:t>
      </w:r>
    </w:p>
    <w:p>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（3）分包意向协议…………………………………………………………………………（页码）</w:t>
      </w:r>
    </w:p>
    <w:p>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（4）符合性审查资料………………………………………………………………………（页码）</w:t>
      </w:r>
    </w:p>
    <w:p>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（5）评标标准相应的商务技术资料………………………………………………………（页码）</w:t>
      </w:r>
    </w:p>
    <w:p>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rPr>
        <w:t>（6）投标标的清单…………………………………………………………………………（页码）</w:t>
      </w:r>
    </w:p>
    <w:p>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rPr>
        <w:t>（7）商务技术偏离表………………………………………………………………………（页码）</w:t>
      </w:r>
    </w:p>
    <w:p>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……………………………………………………（页码）</w:t>
      </w:r>
    </w:p>
    <w:p>
      <w:pPr>
        <w:spacing w:line="360" w:lineRule="auto"/>
        <w:rPr>
          <w:color w:val="auto"/>
          <w:szCs w:val="21"/>
          <w:highlight w:val="none"/>
        </w:rPr>
      </w:pPr>
      <w:r>
        <w:rPr>
          <w:rFonts w:hint="eastAsia"/>
          <w:color w:val="auto"/>
          <w:szCs w:val="21"/>
          <w:highlight w:val="none"/>
        </w:rPr>
        <w:br w:type="page"/>
      </w:r>
    </w:p>
    <w:p>
      <w:pPr>
        <w:pStyle w:val="4"/>
        <w:numPr>
          <w:ilvl w:val="0"/>
          <w:numId w:val="4"/>
        </w:numPr>
        <w:rPr>
          <w:color w:val="auto"/>
          <w:szCs w:val="21"/>
          <w:highlight w:val="none"/>
        </w:rPr>
      </w:pPr>
      <w:r>
        <w:rPr>
          <w:rFonts w:hint="eastAsia"/>
          <w:color w:val="auto"/>
          <w:szCs w:val="21"/>
          <w:highlight w:val="none"/>
        </w:rPr>
        <w:t>投标函</w:t>
      </w:r>
    </w:p>
    <w:p>
      <w:pPr>
        <w:spacing w:line="360" w:lineRule="auto"/>
        <w:jc w:val="center"/>
        <w:rPr>
          <w:b/>
          <w:bCs/>
          <w:color w:val="auto"/>
          <w:szCs w:val="21"/>
          <w:highlight w:val="none"/>
        </w:rPr>
      </w:pPr>
      <w:r>
        <w:rPr>
          <w:rFonts w:hint="eastAsia"/>
          <w:b/>
          <w:bCs/>
          <w:color w:val="auto"/>
          <w:szCs w:val="21"/>
          <w:highlight w:val="none"/>
        </w:rPr>
        <w:t>投标函</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杭州市临平区塘栖镇人民政府</w:t>
      </w:r>
      <w:r>
        <w:rPr>
          <w:rFonts w:hint="eastAsia" w:ascii="宋体" w:hAnsi="宋体" w:cs="宋体"/>
          <w:color w:val="auto"/>
          <w:szCs w:val="21"/>
          <w:highlight w:val="none"/>
        </w:rPr>
        <w:t>、</w:t>
      </w:r>
      <w:r>
        <w:rPr>
          <w:rFonts w:hint="eastAsia" w:ascii="宋体" w:hAnsi="宋体" w:cs="宋体"/>
          <w:color w:val="auto"/>
          <w:szCs w:val="21"/>
          <w:highlight w:val="none"/>
          <w:lang w:eastAsia="zh-CN"/>
        </w:rPr>
        <w:t>杭州创丰招标代理有限公司</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我方参加你方组织的</w:t>
      </w:r>
      <w:r>
        <w:rPr>
          <w:rFonts w:hint="eastAsia" w:ascii="宋体" w:hAnsi="宋体" w:cs="宋体"/>
          <w:color w:val="auto"/>
          <w:szCs w:val="21"/>
          <w:highlight w:val="none"/>
          <w:lang w:eastAsia="zh-CN"/>
        </w:rPr>
        <w:t>2024年塘栖镇养老电子津贴政府采购</w:t>
      </w:r>
      <w:r>
        <w:rPr>
          <w:rFonts w:hint="eastAsia" w:ascii="宋体" w:hAnsi="宋体" w:cs="宋体"/>
          <w:color w:val="auto"/>
          <w:szCs w:val="21"/>
          <w:highlight w:val="none"/>
        </w:rPr>
        <w:t>项目【招标编号：</w:t>
      </w:r>
      <w:r>
        <w:rPr>
          <w:rFonts w:hint="eastAsia" w:ascii="宋体" w:hAnsi="宋体" w:cs="宋体"/>
          <w:color w:val="auto"/>
          <w:szCs w:val="21"/>
          <w:highlight w:val="none"/>
          <w:lang w:eastAsia="zh-CN"/>
        </w:rPr>
        <w:t>CFZB-20240715-TXZF1</w:t>
      </w:r>
      <w:r>
        <w:rPr>
          <w:rFonts w:hint="eastAsia" w:ascii="宋体" w:hAnsi="宋体" w:cs="宋体"/>
          <w:color w:val="auto"/>
          <w:szCs w:val="21"/>
          <w:highlight w:val="none"/>
        </w:rPr>
        <w:t>】招标的有关活动，并对此项目进行投标。为此：</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天（不少于90天），本投标文件在投标有效期满之前均具有约束力。</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2、我方的投标文件包括以下内容：</w:t>
      </w:r>
    </w:p>
    <w:p>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2.1资格文件：</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2.1.1承诺函；</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2.1.2联合协议</w:t>
      </w:r>
      <w:bookmarkStart w:id="563" w:name="_Hlk101257010"/>
      <w:r>
        <w:rPr>
          <w:rFonts w:hint="eastAsia" w:ascii="宋体" w:hAnsi="宋体" w:cs="宋体"/>
          <w:color w:val="auto"/>
          <w:szCs w:val="21"/>
          <w:highlight w:val="none"/>
        </w:rPr>
        <w:t>（如果有)</w:t>
      </w:r>
      <w:bookmarkEnd w:id="563"/>
      <w:r>
        <w:rPr>
          <w:rFonts w:hint="eastAsia" w:ascii="宋体" w:hAnsi="宋体" w:cs="宋体"/>
          <w:color w:val="auto"/>
          <w:szCs w:val="21"/>
          <w:highlight w:val="none"/>
        </w:rPr>
        <w:t>；</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2.1.3落实政府采购政策需满足的资格要求；</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2.1.4本项目的特定资格要求（如果有)。</w:t>
      </w:r>
    </w:p>
    <w:p>
      <w:pPr>
        <w:snapToGrid w:val="0"/>
        <w:spacing w:line="360" w:lineRule="auto"/>
        <w:ind w:left="420" w:leftChars="2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2.2.1投标函；</w:t>
      </w:r>
      <w:r>
        <w:rPr>
          <w:rFonts w:hint="eastAsia" w:ascii="宋体" w:hAnsi="宋体" w:cs="宋体"/>
          <w:color w:val="auto"/>
          <w:szCs w:val="21"/>
          <w:highlight w:val="none"/>
          <w:lang w:val="zh-CN"/>
        </w:rPr>
        <w:t xml:space="preserve"> </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2.2.2授权委托书或法定代表人（单位负责人）身份证明；</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2.2.3分包意向协议（如果有)；</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2.2.4符合性审查资料；</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2.2.5评标标准相应的商务技术资料；</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2.2.6投标标的清单；</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2.2.7商务技术偏离表；</w:t>
      </w:r>
    </w:p>
    <w:p>
      <w:pPr>
        <w:snapToGrid w:val="0"/>
        <w:spacing w:line="360" w:lineRule="auto"/>
        <w:ind w:left="420" w:leftChars="2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2.3.1开标一览表（报价表）。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4、如我方中标，我方承诺：</w:t>
      </w:r>
    </w:p>
    <w:p>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4.1在收到中标通知书后，在中标通知书规定的期限内与你方签订合同； </w:t>
      </w:r>
    </w:p>
    <w:p>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4.3按照招标文件要求提交履约保证金； </w:t>
      </w:r>
    </w:p>
    <w:p>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4.4在合同约定的期限内完成合同规定的全部义务。</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我方承诺除商务技术偏离表列出的偏离外，我方响应招标文件的全部要求。对投标文件中材料的真实性、合法性负责。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、其他补充说明: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b/>
          <w:color w:val="auto"/>
          <w:kern w:val="0"/>
          <w:szCs w:val="21"/>
          <w:highlight w:val="none"/>
          <w:lang w:val="zh-CN"/>
        </w:rPr>
      </w:pPr>
      <w:r>
        <w:rPr>
          <w:rFonts w:hint="eastAsia" w:ascii="宋体" w:hAnsi="宋体" w:cs="宋体"/>
          <w:color w:val="auto"/>
          <w:szCs w:val="21"/>
          <w:highlight w:val="none"/>
        </w:rPr>
        <w:t>投标人名称（电子签名）：                        日期：  年   月   日</w:t>
      </w:r>
      <w:r>
        <w:rPr>
          <w:rFonts w:hint="eastAsia" w:ascii="宋体" w:hAnsi="宋体" w:cs="宋体"/>
          <w:b/>
          <w:color w:val="auto"/>
          <w:kern w:val="0"/>
          <w:szCs w:val="21"/>
          <w:highlight w:val="none"/>
          <w:lang w:val="zh-CN"/>
        </w:rPr>
        <w:br w:type="page"/>
      </w:r>
    </w:p>
    <w:p>
      <w:pPr>
        <w:pStyle w:val="4"/>
        <w:rPr>
          <w:color w:val="auto"/>
          <w:szCs w:val="21"/>
          <w:highlight w:val="none"/>
          <w:lang w:val="zh-CN"/>
        </w:rPr>
      </w:pPr>
      <w:r>
        <w:rPr>
          <w:rFonts w:hint="eastAsia"/>
          <w:color w:val="auto"/>
          <w:szCs w:val="21"/>
          <w:highlight w:val="none"/>
          <w:lang w:val="zh-CN"/>
        </w:rPr>
        <w:t>二、授权委托书或法定代表人（单位负责人、自然人本人）身份证明</w:t>
      </w:r>
    </w:p>
    <w:p>
      <w:pPr>
        <w:snapToGrid w:val="0"/>
        <w:spacing w:line="360" w:lineRule="auto"/>
        <w:jc w:val="center"/>
        <w:rPr>
          <w:rFonts w:ascii="宋体" w:hAnsi="宋体" w:cs="宋体"/>
          <w:b/>
          <w:color w:val="auto"/>
          <w:kern w:val="0"/>
          <w:szCs w:val="21"/>
          <w:highlight w:val="none"/>
          <w:lang w:val="zh-CN"/>
        </w:rPr>
      </w:pPr>
    </w:p>
    <w:p>
      <w:pPr>
        <w:snapToGrid w:val="0"/>
        <w:spacing w:line="360" w:lineRule="auto"/>
        <w:jc w:val="center"/>
        <w:rPr>
          <w:rFonts w:ascii="宋体" w:hAnsi="宋体" w:cs="宋体"/>
          <w:color w:val="auto"/>
          <w:szCs w:val="21"/>
          <w:highlight w:val="none"/>
        </w:rPr>
      </w:pPr>
      <w:r>
        <w:rPr>
          <w:rFonts w:hint="eastAsia" w:ascii="宋体" w:hAnsi="宋体" w:cs="宋体"/>
          <w:b/>
          <w:color w:val="auto"/>
          <w:kern w:val="0"/>
          <w:szCs w:val="21"/>
          <w:highlight w:val="none"/>
          <w:lang w:val="zh-CN"/>
        </w:rPr>
        <w:t>授权委托书（适用于非联合体投标）</w:t>
      </w:r>
    </w:p>
    <w:p>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lang w:eastAsia="zh-CN"/>
        </w:rPr>
        <w:t>杭州市临平区塘栖镇人民政府</w:t>
      </w:r>
      <w:r>
        <w:rPr>
          <w:rFonts w:hint="eastAsia" w:ascii="宋体" w:hAnsi="宋体" w:cs="宋体"/>
          <w:color w:val="auto"/>
          <w:szCs w:val="21"/>
          <w:highlight w:val="none"/>
        </w:rPr>
        <w:t>、</w:t>
      </w:r>
      <w:r>
        <w:rPr>
          <w:rFonts w:hint="eastAsia" w:ascii="宋体" w:hAnsi="宋体" w:cs="宋体"/>
          <w:color w:val="auto"/>
          <w:szCs w:val="21"/>
          <w:highlight w:val="none"/>
          <w:lang w:eastAsia="zh-CN"/>
        </w:rPr>
        <w:t>杭州创丰招标代理有限公司</w:t>
      </w:r>
      <w:r>
        <w:rPr>
          <w:rFonts w:hint="eastAsia" w:ascii="宋体" w:hAnsi="宋体" w:cs="宋体"/>
          <w:color w:val="auto"/>
          <w:kern w:val="0"/>
          <w:szCs w:val="21"/>
          <w:highlight w:val="none"/>
          <w:lang w:val="zh-CN"/>
        </w:rPr>
        <w:t>：</w:t>
      </w:r>
    </w:p>
    <w:p>
      <w:pPr>
        <w:snapToGrid w:val="0"/>
        <w:spacing w:line="360" w:lineRule="auto"/>
        <w:ind w:firstLine="576"/>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lang w:eastAsia="zh-CN"/>
        </w:rPr>
        <w:t>2024年塘栖镇养老电子津贴政府采购</w:t>
      </w:r>
      <w:r>
        <w:rPr>
          <w:rFonts w:hint="eastAsia" w:ascii="宋体" w:hAnsi="宋体" w:cs="宋体"/>
          <w:color w:val="auto"/>
          <w:szCs w:val="21"/>
          <w:highlight w:val="none"/>
        </w:rPr>
        <w:t>项目【招标编号：</w:t>
      </w:r>
      <w:r>
        <w:rPr>
          <w:rFonts w:hint="eastAsia" w:ascii="宋体" w:hAnsi="宋体" w:cs="宋体"/>
          <w:color w:val="auto"/>
          <w:szCs w:val="21"/>
          <w:highlight w:val="none"/>
          <w:lang w:eastAsia="zh-CN"/>
        </w:rPr>
        <w:t>CFZB-20240715-TXZF1</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政府采购投标的一切事项，其法律后果由我方承担。</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投标人名称(电子签名)：</w:t>
      </w:r>
    </w:p>
    <w:p>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签发日期：  年  月   日</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p>
    <w:p>
      <w:pPr>
        <w:snapToGrid w:val="0"/>
        <w:spacing w:line="360" w:lineRule="auto"/>
        <w:jc w:val="cente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授权委托书（适用于联合体投标）</w:t>
      </w:r>
    </w:p>
    <w:p>
      <w:pPr>
        <w:spacing w:line="360" w:lineRule="auto"/>
        <w:rPr>
          <w:color w:val="auto"/>
          <w:szCs w:val="21"/>
          <w:highlight w:val="none"/>
          <w:lang w:val="zh-CN"/>
        </w:rPr>
      </w:pPr>
    </w:p>
    <w:p>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lang w:eastAsia="zh-CN"/>
        </w:rPr>
        <w:t>杭州市临平区塘栖镇人民政府</w:t>
      </w:r>
      <w:r>
        <w:rPr>
          <w:rFonts w:hint="eastAsia" w:ascii="宋体" w:hAnsi="宋体" w:cs="宋体"/>
          <w:color w:val="auto"/>
          <w:szCs w:val="21"/>
          <w:highlight w:val="none"/>
        </w:rPr>
        <w:t>、</w:t>
      </w:r>
      <w:r>
        <w:rPr>
          <w:rFonts w:hint="eastAsia" w:ascii="宋体" w:hAnsi="宋体" w:cs="宋体"/>
          <w:color w:val="auto"/>
          <w:szCs w:val="21"/>
          <w:highlight w:val="none"/>
          <w:lang w:eastAsia="zh-CN"/>
        </w:rPr>
        <w:t>杭州创丰招标代理有限公司</w:t>
      </w:r>
      <w:r>
        <w:rPr>
          <w:rFonts w:hint="eastAsia" w:ascii="宋体" w:hAnsi="宋体" w:cs="宋体"/>
          <w:color w:val="auto"/>
          <w:kern w:val="0"/>
          <w:szCs w:val="21"/>
          <w:highlight w:val="none"/>
          <w:lang w:val="zh-CN"/>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现委托</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（姓名）为我方代理人（身份证号码：</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，手机：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，所在单位：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），以我方名义处理（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项目名称</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）【招标编号：</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采购编号</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】政府采购投标的一切事项，其法律后果由我方承担。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pPr>
        <w:spacing w:line="360" w:lineRule="auto"/>
        <w:rPr>
          <w:rFonts w:ascii="宋体" w:hAnsi="宋体" w:cs="宋体"/>
          <w:b/>
          <w:color w:val="auto"/>
          <w:kern w:val="0"/>
          <w:szCs w:val="21"/>
          <w:highlight w:val="none"/>
        </w:rPr>
      </w:pPr>
    </w:p>
    <w:p>
      <w:pPr>
        <w:spacing w:line="360" w:lineRule="auto"/>
        <w:rPr>
          <w:rFonts w:ascii="宋体" w:hAnsi="宋体" w:cs="宋体"/>
          <w:color w:val="auto"/>
          <w:szCs w:val="21"/>
          <w:highlight w:val="none"/>
        </w:rPr>
      </w:pPr>
    </w:p>
    <w:p>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Cs w:val="21"/>
          <w:highlight w:val="none"/>
          <w:lang w:val="zh-CN"/>
        </w:rPr>
        <w:t>……</w:t>
      </w:r>
    </w:p>
    <w:p>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pPr>
        <w:spacing w:line="360" w:lineRule="auto"/>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br w:type="page"/>
      </w:r>
    </w:p>
    <w:p>
      <w:pPr>
        <w:snapToGrid w:val="0"/>
        <w:spacing w:line="360" w:lineRule="auto"/>
        <w:jc w:val="cente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法定代表人、单位负责人或自然人本人的身份证明（适用于法定代表人、单位负责人或者自然人本人代表投标人参加投标）</w:t>
      </w:r>
    </w:p>
    <w:p>
      <w:pPr>
        <w:pStyle w:val="153"/>
        <w:spacing w:line="360" w:lineRule="auto"/>
        <w:rPr>
          <w:rFonts w:hAnsi="宋体" w:cs="宋体"/>
          <w:bCs/>
          <w:color w:val="auto"/>
          <w:highlight w:val="none"/>
        </w:rPr>
      </w:pPr>
    </w:p>
    <w:p>
      <w:pPr>
        <w:pStyle w:val="153"/>
        <w:spacing w:line="360" w:lineRule="auto"/>
        <w:rPr>
          <w:rFonts w:hAnsi="宋体" w:cs="宋体"/>
          <w:bCs/>
          <w:color w:val="auto"/>
          <w:highlight w:val="none"/>
        </w:rPr>
      </w:pPr>
      <w:r>
        <w:rPr>
          <w:rFonts w:hint="eastAsia" w:hAnsi="宋体" w:cs="宋体"/>
          <w:bCs/>
          <w:color w:val="auto"/>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rPr>
          <w:trHeight w:val="4812" w:hRule="atLeast"/>
          <w:jc w:val="center"/>
        </w:trPr>
        <w:tc>
          <w:tcPr>
            <w:tcW w:w="9207" w:type="dxa"/>
          </w:tcPr>
          <w:p>
            <w:pPr>
              <w:pStyle w:val="153"/>
              <w:adjustRightInd w:val="0"/>
              <w:spacing w:line="360" w:lineRule="auto"/>
              <w:rPr>
                <w:rFonts w:hAnsi="宋体" w:cs="宋体"/>
                <w:bCs/>
                <w:color w:val="auto"/>
                <w:highlight w:val="none"/>
              </w:rPr>
            </w:pPr>
            <w:r>
              <w:rPr>
                <w:rFonts w:hint="eastAsia" w:hAnsi="宋体" w:cs="宋体"/>
                <w:bCs/>
                <w:color w:val="auto"/>
                <w:highlight w:val="none"/>
              </w:rPr>
              <w:t>正面：                                 反面：</w:t>
            </w:r>
          </w:p>
          <w:p>
            <w:pPr>
              <w:pStyle w:val="153"/>
              <w:adjustRightInd w:val="0"/>
              <w:spacing w:line="360" w:lineRule="auto"/>
              <w:rPr>
                <w:rFonts w:hAnsi="宋体" w:cs="宋体"/>
                <w:bCs/>
                <w:color w:val="auto"/>
                <w:highlight w:val="none"/>
              </w:rPr>
            </w:pPr>
          </w:p>
        </w:tc>
      </w:tr>
    </w:tbl>
    <w:p>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投标人名称(电子签名)：</w:t>
      </w:r>
    </w:p>
    <w:p>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val="zh-CN"/>
        </w:rPr>
        <w:t>日期：  年  月  日</w:t>
      </w:r>
    </w:p>
    <w:p>
      <w:pPr>
        <w:spacing w:line="360" w:lineRule="auto"/>
        <w:rPr>
          <w:rFonts w:ascii="宋体" w:hAnsi="宋体" w:cs="宋体"/>
          <w:b/>
          <w:color w:val="auto"/>
          <w:kern w:val="0"/>
          <w:szCs w:val="21"/>
          <w:highlight w:val="none"/>
        </w:rPr>
      </w:pPr>
    </w:p>
    <w:p>
      <w:pPr>
        <w:spacing w:line="360" w:lineRule="auto"/>
        <w:jc w:val="center"/>
        <w:rPr>
          <w:rFonts w:ascii="宋体" w:hAnsi="宋体" w:cs="宋体"/>
          <w:b/>
          <w:color w:val="auto"/>
          <w:kern w:val="0"/>
          <w:szCs w:val="21"/>
          <w:highlight w:val="none"/>
        </w:rPr>
      </w:pPr>
    </w:p>
    <w:p>
      <w:pPr>
        <w:spacing w:line="360" w:lineRule="auto"/>
        <w:jc w:val="center"/>
        <w:rPr>
          <w:rFonts w:ascii="宋体" w:hAnsi="宋体" w:cs="宋体"/>
          <w:b/>
          <w:color w:val="auto"/>
          <w:kern w:val="0"/>
          <w:szCs w:val="21"/>
          <w:highlight w:val="none"/>
        </w:rPr>
      </w:pPr>
    </w:p>
    <w:p>
      <w:pPr>
        <w:spacing w:line="360" w:lineRule="auto"/>
        <w:jc w:val="center"/>
        <w:rPr>
          <w:rFonts w:ascii="宋体" w:hAnsi="宋体" w:cs="宋体"/>
          <w:b/>
          <w:color w:val="auto"/>
          <w:kern w:val="0"/>
          <w:szCs w:val="21"/>
          <w:highlight w:val="none"/>
        </w:rPr>
      </w:pPr>
    </w:p>
    <w:p>
      <w:pPr>
        <w:pStyle w:val="61"/>
        <w:spacing w:line="360" w:lineRule="auto"/>
        <w:ind w:firstLine="422"/>
        <w:rPr>
          <w:rFonts w:cs="宋体"/>
          <w:b/>
          <w:color w:val="auto"/>
          <w:kern w:val="0"/>
          <w:szCs w:val="21"/>
          <w:highlight w:val="none"/>
        </w:rPr>
      </w:pPr>
    </w:p>
    <w:p>
      <w:pPr>
        <w:pStyle w:val="61"/>
        <w:spacing w:line="360" w:lineRule="auto"/>
        <w:ind w:firstLine="422"/>
        <w:rPr>
          <w:rFonts w:cs="宋体"/>
          <w:b/>
          <w:color w:val="auto"/>
          <w:kern w:val="0"/>
          <w:szCs w:val="21"/>
          <w:highlight w:val="none"/>
        </w:rPr>
      </w:pPr>
    </w:p>
    <w:p>
      <w:pPr>
        <w:pStyle w:val="61"/>
        <w:spacing w:line="360" w:lineRule="auto"/>
        <w:ind w:firstLine="422"/>
        <w:rPr>
          <w:rFonts w:cs="宋体"/>
          <w:b/>
          <w:color w:val="auto"/>
          <w:kern w:val="0"/>
          <w:szCs w:val="21"/>
          <w:highlight w:val="none"/>
        </w:rPr>
      </w:pPr>
    </w:p>
    <w:p>
      <w:pPr>
        <w:pStyle w:val="61"/>
        <w:spacing w:line="360" w:lineRule="auto"/>
        <w:ind w:firstLine="422"/>
        <w:rPr>
          <w:rFonts w:cs="宋体"/>
          <w:b/>
          <w:color w:val="auto"/>
          <w:kern w:val="0"/>
          <w:szCs w:val="21"/>
          <w:highlight w:val="none"/>
        </w:rPr>
      </w:pPr>
    </w:p>
    <w:p>
      <w:pPr>
        <w:pStyle w:val="61"/>
        <w:spacing w:line="360" w:lineRule="auto"/>
        <w:ind w:firstLine="422"/>
        <w:rPr>
          <w:rFonts w:cs="宋体"/>
          <w:b/>
          <w:color w:val="auto"/>
          <w:kern w:val="0"/>
          <w:szCs w:val="21"/>
          <w:highlight w:val="none"/>
        </w:rPr>
      </w:pPr>
    </w:p>
    <w:p>
      <w:pPr>
        <w:pStyle w:val="61"/>
        <w:spacing w:line="360" w:lineRule="auto"/>
        <w:ind w:firstLine="422"/>
        <w:rPr>
          <w:rFonts w:cs="宋体"/>
          <w:b/>
          <w:color w:val="auto"/>
          <w:kern w:val="0"/>
          <w:szCs w:val="21"/>
          <w:highlight w:val="none"/>
        </w:rPr>
      </w:pPr>
    </w:p>
    <w:p>
      <w:pPr>
        <w:pStyle w:val="61"/>
        <w:spacing w:line="360" w:lineRule="auto"/>
        <w:ind w:firstLine="422"/>
        <w:rPr>
          <w:rFonts w:cs="宋体"/>
          <w:b/>
          <w:color w:val="auto"/>
          <w:kern w:val="0"/>
          <w:szCs w:val="21"/>
          <w:highlight w:val="none"/>
        </w:rPr>
      </w:pPr>
    </w:p>
    <w:p>
      <w:pPr>
        <w:spacing w:line="360" w:lineRule="auto"/>
        <w:jc w:val="center"/>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pPr>
        <w:pStyle w:val="4"/>
        <w:rPr>
          <w:color w:val="auto"/>
          <w:szCs w:val="21"/>
          <w:highlight w:val="none"/>
        </w:rPr>
      </w:pPr>
      <w:r>
        <w:rPr>
          <w:rFonts w:hint="eastAsia"/>
          <w:color w:val="auto"/>
          <w:szCs w:val="21"/>
          <w:highlight w:val="none"/>
        </w:rPr>
        <w:t>三、分包意向协议（如果有）</w:t>
      </w:r>
    </w:p>
    <w:p>
      <w:pPr>
        <w:widowControl/>
        <w:spacing w:line="360" w:lineRule="auto"/>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[中标后以分包方式履行合同的，提供分包意向协议(附件6)；采购人不同意分包或者投标人中标后不以分包方式履行合同的，则不需要提供。]</w:t>
      </w:r>
    </w:p>
    <w:p>
      <w:pPr>
        <w:snapToGrid w:val="0"/>
        <w:spacing w:line="360" w:lineRule="auto"/>
        <w:ind w:firstLine="576"/>
        <w:rPr>
          <w:rFonts w:ascii="宋体" w:hAnsi="宋体" w:cs="宋体"/>
          <w:color w:val="auto"/>
          <w:kern w:val="0"/>
          <w:szCs w:val="21"/>
          <w:highlight w:val="none"/>
          <w:lang w:val="zh-CN"/>
        </w:rPr>
      </w:pPr>
    </w:p>
    <w:p>
      <w:pPr>
        <w:pStyle w:val="4"/>
        <w:rPr>
          <w:color w:val="auto"/>
          <w:szCs w:val="21"/>
          <w:highlight w:val="none"/>
        </w:rPr>
      </w:pPr>
      <w:r>
        <w:rPr>
          <w:rFonts w:hint="eastAsia"/>
          <w:color w:val="auto"/>
          <w:szCs w:val="21"/>
          <w:highlight w:val="none"/>
        </w:rPr>
        <w:t>四、符合性审查资料</w:t>
      </w:r>
    </w:p>
    <w:p>
      <w:pPr>
        <w:spacing w:line="360" w:lineRule="auto"/>
        <w:jc w:val="center"/>
        <w:rPr>
          <w:rFonts w:ascii="宋体" w:hAnsi="宋体" w:cs="宋体"/>
          <w:b/>
          <w:color w:val="auto"/>
          <w:kern w:val="0"/>
          <w:szCs w:val="21"/>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614"/>
        <w:gridCol w:w="3383"/>
        <w:gridCol w:w="1963"/>
      </w:tblGrid>
      <w:tr>
        <w:trPr>
          <w:trHeight w:val="882" w:hRule="atLeast"/>
        </w:trPr>
        <w:tc>
          <w:tcPr>
            <w:tcW w:w="646" w:type="dxa"/>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614" w:type="dxa"/>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实质性要求</w:t>
            </w:r>
          </w:p>
        </w:tc>
        <w:tc>
          <w:tcPr>
            <w:tcW w:w="3383" w:type="dxa"/>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需要提供的符合性审查资料</w:t>
            </w:r>
          </w:p>
        </w:tc>
        <w:tc>
          <w:tcPr>
            <w:tcW w:w="1963" w:type="dxa"/>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投标文件中的</w:t>
            </w:r>
          </w:p>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页码位置</w:t>
            </w:r>
          </w:p>
        </w:tc>
      </w:tr>
      <w:tr>
        <w:trPr>
          <w:trHeight w:val="860" w:hRule="atLeast"/>
        </w:trPr>
        <w:tc>
          <w:tcPr>
            <w:tcW w:w="6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61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3383"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1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见投标文件</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rPr>
          <w:trHeight w:val="860" w:hRule="atLeast"/>
        </w:trPr>
        <w:tc>
          <w:tcPr>
            <w:tcW w:w="6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61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3383"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投标函</w:t>
            </w:r>
          </w:p>
        </w:tc>
        <w:tc>
          <w:tcPr>
            <w:tcW w:w="1963" w:type="dxa"/>
            <w:vAlign w:val="center"/>
          </w:tcPr>
          <w:p>
            <w:pPr>
              <w:pStyle w:val="2"/>
              <w:jc w:val="center"/>
              <w:rPr>
                <w:rFonts w:ascii="宋体" w:hAnsi="宋体" w:cs="宋体"/>
                <w:color w:val="auto"/>
                <w:szCs w:val="21"/>
                <w:highlight w:val="none"/>
                <w:lang w:val="en-US"/>
              </w:rPr>
            </w:pPr>
            <w:r>
              <w:rPr>
                <w:rFonts w:hint="eastAsia" w:ascii="宋体" w:hAnsi="宋体" w:cs="宋体"/>
                <w:color w:val="auto"/>
                <w:szCs w:val="21"/>
                <w:highlight w:val="none"/>
              </w:rPr>
              <w:t>见投标文件</w:t>
            </w:r>
            <w:r>
              <w:rPr>
                <w:rFonts w:hint="eastAsia" w:ascii="宋体" w:hAnsi="宋体" w:cs="宋体"/>
                <w:b w:val="0"/>
                <w:bCs w:val="0"/>
                <w:color w:val="auto"/>
                <w:szCs w:val="21"/>
                <w:highlight w:val="none"/>
                <w:lang w:val="en-US"/>
              </w:rPr>
              <w:t>第</w:t>
            </w:r>
            <w:r>
              <w:rPr>
                <w:rFonts w:hint="eastAsia" w:ascii="宋体" w:hAnsi="宋体" w:cs="宋体"/>
                <w:b w:val="0"/>
                <w:bCs w:val="0"/>
                <w:color w:val="auto"/>
                <w:szCs w:val="21"/>
                <w:highlight w:val="none"/>
                <w:u w:val="single"/>
                <w:lang w:val="en-US"/>
              </w:rPr>
              <w:t xml:space="preserve">  </w:t>
            </w:r>
            <w:r>
              <w:rPr>
                <w:rFonts w:hint="eastAsia" w:ascii="宋体" w:hAnsi="宋体" w:cs="宋体"/>
                <w:b w:val="0"/>
                <w:bCs w:val="0"/>
                <w:color w:val="auto"/>
                <w:szCs w:val="21"/>
                <w:highlight w:val="none"/>
                <w:lang w:val="en-US"/>
              </w:rPr>
              <w:t>页</w:t>
            </w:r>
          </w:p>
        </w:tc>
      </w:tr>
      <w:tr>
        <w:trPr>
          <w:trHeight w:val="860" w:hRule="atLeast"/>
        </w:trPr>
        <w:tc>
          <w:tcPr>
            <w:tcW w:w="6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61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投标文件满足招标文件的其它实质性要求。</w:t>
            </w:r>
          </w:p>
        </w:tc>
        <w:tc>
          <w:tcPr>
            <w:tcW w:w="3383" w:type="dxa"/>
            <w:vAlign w:val="center"/>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招标文件其它实质性要求相应的材料（“▲” 系指实质性要求条款，招标文件无其它实质性要求的，无需提供）</w:t>
            </w:r>
          </w:p>
        </w:tc>
        <w:tc>
          <w:tcPr>
            <w:tcW w:w="1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spacing w:line="360" w:lineRule="auto"/>
        <w:jc w:val="center"/>
        <w:rPr>
          <w:rFonts w:ascii="宋体" w:hAnsi="宋体" w:cs="宋体"/>
          <w:b/>
          <w:color w:val="auto"/>
          <w:kern w:val="0"/>
          <w:szCs w:val="21"/>
          <w:highlight w:val="none"/>
        </w:rPr>
      </w:pPr>
    </w:p>
    <w:p>
      <w:pPr>
        <w:spacing w:line="360" w:lineRule="auto"/>
        <w:jc w:val="center"/>
        <w:rPr>
          <w:rFonts w:ascii="宋体" w:hAnsi="宋体" w:cs="宋体"/>
          <w:b/>
          <w:color w:val="auto"/>
          <w:kern w:val="0"/>
          <w:szCs w:val="21"/>
          <w:highlight w:val="none"/>
        </w:rPr>
      </w:pPr>
    </w:p>
    <w:p>
      <w:pPr>
        <w:spacing w:line="360" w:lineRule="auto"/>
        <w:jc w:val="center"/>
        <w:rPr>
          <w:rFonts w:ascii="宋体" w:hAnsi="宋体" w:cs="宋体"/>
          <w:b/>
          <w:color w:val="auto"/>
          <w:kern w:val="0"/>
          <w:szCs w:val="21"/>
          <w:highlight w:val="none"/>
        </w:rPr>
      </w:pPr>
    </w:p>
    <w:p>
      <w:pPr>
        <w:spacing w:line="360" w:lineRule="auto"/>
        <w:jc w:val="center"/>
        <w:rPr>
          <w:rFonts w:ascii="宋体" w:hAnsi="宋体" w:cs="宋体"/>
          <w:b/>
          <w:color w:val="auto"/>
          <w:kern w:val="0"/>
          <w:szCs w:val="21"/>
          <w:highlight w:val="none"/>
        </w:rPr>
      </w:pPr>
    </w:p>
    <w:p>
      <w:pPr>
        <w:spacing w:line="360" w:lineRule="auto"/>
        <w:jc w:val="center"/>
        <w:rPr>
          <w:rFonts w:ascii="宋体" w:hAnsi="宋体" w:cs="宋体"/>
          <w:b/>
          <w:color w:val="auto"/>
          <w:kern w:val="0"/>
          <w:szCs w:val="21"/>
          <w:highlight w:val="none"/>
        </w:rPr>
      </w:pPr>
    </w:p>
    <w:p>
      <w:pPr>
        <w:spacing w:line="360" w:lineRule="auto"/>
        <w:jc w:val="center"/>
        <w:rPr>
          <w:rFonts w:ascii="宋体" w:hAnsi="宋体" w:cs="宋体"/>
          <w:b/>
          <w:color w:val="auto"/>
          <w:kern w:val="0"/>
          <w:szCs w:val="21"/>
          <w:highlight w:val="none"/>
        </w:rPr>
      </w:pPr>
    </w:p>
    <w:p>
      <w:pPr>
        <w:spacing w:line="360" w:lineRule="auto"/>
        <w:jc w:val="center"/>
        <w:rPr>
          <w:rFonts w:ascii="宋体" w:hAnsi="宋体" w:cs="宋体"/>
          <w:b/>
          <w:color w:val="auto"/>
          <w:kern w:val="0"/>
          <w:szCs w:val="21"/>
          <w:highlight w:val="none"/>
        </w:rPr>
      </w:pPr>
    </w:p>
    <w:p>
      <w:pPr>
        <w:spacing w:line="360" w:lineRule="auto"/>
        <w:jc w:val="center"/>
        <w:rPr>
          <w:rFonts w:ascii="宋体" w:hAnsi="宋体" w:cs="宋体"/>
          <w:b/>
          <w:color w:val="auto"/>
          <w:kern w:val="0"/>
          <w:szCs w:val="21"/>
          <w:highlight w:val="none"/>
        </w:rPr>
      </w:pPr>
    </w:p>
    <w:p>
      <w:pPr>
        <w:spacing w:line="360" w:lineRule="auto"/>
        <w:jc w:val="center"/>
        <w:rPr>
          <w:rFonts w:ascii="宋体" w:hAnsi="宋体" w:cs="宋体"/>
          <w:b/>
          <w:color w:val="auto"/>
          <w:kern w:val="0"/>
          <w:szCs w:val="21"/>
          <w:highlight w:val="none"/>
        </w:rPr>
      </w:pPr>
    </w:p>
    <w:p>
      <w:pPr>
        <w:spacing w:line="360" w:lineRule="auto"/>
        <w:jc w:val="center"/>
        <w:rPr>
          <w:rFonts w:ascii="宋体" w:hAnsi="宋体" w:cs="宋体"/>
          <w:b/>
          <w:color w:val="auto"/>
          <w:kern w:val="0"/>
          <w:szCs w:val="21"/>
          <w:highlight w:val="none"/>
        </w:rPr>
      </w:pPr>
    </w:p>
    <w:p>
      <w:pPr>
        <w:spacing w:line="360" w:lineRule="auto"/>
        <w:jc w:val="center"/>
        <w:rPr>
          <w:rFonts w:ascii="宋体" w:hAnsi="宋体" w:cs="宋体"/>
          <w:b/>
          <w:color w:val="auto"/>
          <w:kern w:val="0"/>
          <w:szCs w:val="21"/>
          <w:highlight w:val="none"/>
        </w:rPr>
      </w:pPr>
    </w:p>
    <w:p>
      <w:pPr>
        <w:spacing w:line="360" w:lineRule="auto"/>
        <w:jc w:val="center"/>
        <w:rPr>
          <w:rFonts w:ascii="宋体" w:hAnsi="宋体" w:cs="宋体"/>
          <w:b/>
          <w:color w:val="auto"/>
          <w:kern w:val="0"/>
          <w:szCs w:val="21"/>
          <w:highlight w:val="none"/>
        </w:rPr>
      </w:pPr>
    </w:p>
    <w:p>
      <w:pPr>
        <w:spacing w:line="360" w:lineRule="auto"/>
        <w:jc w:val="center"/>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pPr>
        <w:pStyle w:val="4"/>
        <w:rPr>
          <w:color w:val="auto"/>
          <w:szCs w:val="21"/>
          <w:highlight w:val="none"/>
        </w:rPr>
      </w:pPr>
      <w:r>
        <w:rPr>
          <w:rFonts w:hint="eastAsia"/>
          <w:color w:val="auto"/>
          <w:szCs w:val="21"/>
          <w:highlight w:val="none"/>
        </w:rPr>
        <w:t>五、评标标准相应的商务技术资料</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（按招标文件第四部分评标办法前附表中“投标文件中评标标准相应的商务技术资料目录”提供资料。）</w:t>
      </w:r>
    </w:p>
    <w:p>
      <w:pPr>
        <w:spacing w:line="360" w:lineRule="auto"/>
        <w:jc w:val="center"/>
        <w:rPr>
          <w:rFonts w:ascii="仿宋_GB2312" w:hAnsi="仿宋" w:eastAsia="仿宋_GB2312" w:cs="仿宋_GB2312"/>
          <w:b/>
          <w:color w:val="auto"/>
          <w:kern w:val="0"/>
          <w:szCs w:val="21"/>
          <w:highlight w:val="none"/>
        </w:rPr>
      </w:pPr>
    </w:p>
    <w:p>
      <w:pPr>
        <w:spacing w:line="360" w:lineRule="auto"/>
        <w:jc w:val="center"/>
        <w:rPr>
          <w:rFonts w:ascii="仿宋_GB2312" w:hAnsi="仿宋" w:eastAsia="仿宋_GB2312" w:cs="仿宋_GB2312"/>
          <w:b/>
          <w:color w:val="auto"/>
          <w:kern w:val="0"/>
          <w:szCs w:val="21"/>
          <w:highlight w:val="none"/>
        </w:rPr>
      </w:pPr>
    </w:p>
    <w:p>
      <w:pPr>
        <w:pStyle w:val="4"/>
        <w:rPr>
          <w:color w:val="auto"/>
          <w:szCs w:val="21"/>
          <w:highlight w:val="none"/>
        </w:rPr>
      </w:pPr>
      <w:r>
        <w:rPr>
          <w:rFonts w:hint="eastAsia"/>
          <w:color w:val="auto"/>
          <w:szCs w:val="21"/>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Cs w:val="21"/>
                <w:highlight w:val="none"/>
              </w:rPr>
            </w:pP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备注（如果有）</w:t>
            </w:r>
          </w:p>
          <w:p>
            <w:pPr>
              <w:spacing w:line="360" w:lineRule="auto"/>
              <w:jc w:val="center"/>
              <w:rPr>
                <w:rFonts w:ascii="宋体" w:hAnsi="宋体" w:cs="宋体"/>
                <w:b/>
                <w:color w:val="auto"/>
                <w:szCs w:val="21"/>
                <w:highlight w:val="none"/>
              </w:rPr>
            </w:pPr>
          </w:p>
        </w:tc>
      </w:tr>
      <w:tr>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bl>
    <w:p>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spacing w:line="360" w:lineRule="auto"/>
        <w:jc w:val="center"/>
        <w:rPr>
          <w:rFonts w:ascii="宋体" w:hAnsi="宋体" w:cs="宋体"/>
          <w:b/>
          <w:color w:val="auto"/>
          <w:kern w:val="0"/>
          <w:szCs w:val="21"/>
          <w:highlight w:val="none"/>
        </w:rPr>
      </w:pPr>
    </w:p>
    <w:p>
      <w:pPr>
        <w:pStyle w:val="4"/>
        <w:numPr>
          <w:ilvl w:val="0"/>
          <w:numId w:val="5"/>
        </w:numPr>
        <w:rPr>
          <w:color w:val="auto"/>
          <w:szCs w:val="21"/>
          <w:highlight w:val="none"/>
        </w:rPr>
      </w:pPr>
      <w:r>
        <w:rPr>
          <w:rFonts w:hint="eastAsia"/>
          <w:color w:val="auto"/>
          <w:szCs w:val="21"/>
          <w:highlight w:val="none"/>
        </w:rPr>
        <w:t>商务技术偏离表</w:t>
      </w:r>
    </w:p>
    <w:p>
      <w:pPr>
        <w:spacing w:line="360" w:lineRule="auto"/>
        <w:rPr>
          <w:color w:val="auto"/>
          <w:szCs w:val="21"/>
          <w:highlight w:val="none"/>
        </w:rPr>
      </w:pPr>
    </w:p>
    <w:tbl>
      <w:tblPr>
        <w:tblStyle w:val="63"/>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89"/>
        <w:gridCol w:w="3551"/>
        <w:gridCol w:w="1278"/>
      </w:tblGrid>
      <w:tr>
        <w:trPr>
          <w:trHeight w:val="423" w:hRule="atLeast"/>
        </w:trPr>
        <w:tc>
          <w:tcPr>
            <w:tcW w:w="960" w:type="dxa"/>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689" w:type="dxa"/>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招标文件章节及具体内容</w:t>
            </w:r>
          </w:p>
        </w:tc>
        <w:tc>
          <w:tcPr>
            <w:tcW w:w="3551" w:type="dxa"/>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投标文件章节及具体内容</w:t>
            </w:r>
          </w:p>
        </w:tc>
        <w:tc>
          <w:tcPr>
            <w:tcW w:w="1278" w:type="dxa"/>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偏离说明</w:t>
            </w:r>
          </w:p>
        </w:tc>
      </w:tr>
      <w:tr>
        <w:trPr>
          <w:trHeight w:val="423" w:hRule="atLeast"/>
        </w:trPr>
        <w:tc>
          <w:tcPr>
            <w:tcW w:w="960" w:type="dxa"/>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89" w:type="dxa"/>
          </w:tcPr>
          <w:p>
            <w:pPr>
              <w:spacing w:line="360" w:lineRule="auto"/>
              <w:jc w:val="center"/>
              <w:rPr>
                <w:rFonts w:ascii="宋体" w:hAnsi="宋体" w:cs="宋体"/>
                <w:bCs/>
                <w:color w:val="auto"/>
                <w:kern w:val="0"/>
                <w:szCs w:val="21"/>
                <w:highlight w:val="none"/>
              </w:rPr>
            </w:pPr>
          </w:p>
        </w:tc>
        <w:tc>
          <w:tcPr>
            <w:tcW w:w="3551" w:type="dxa"/>
          </w:tcPr>
          <w:p>
            <w:pPr>
              <w:spacing w:line="360" w:lineRule="auto"/>
              <w:jc w:val="center"/>
              <w:rPr>
                <w:rFonts w:ascii="宋体" w:hAnsi="宋体" w:cs="宋体"/>
                <w:bCs/>
                <w:color w:val="auto"/>
                <w:kern w:val="0"/>
                <w:szCs w:val="21"/>
                <w:highlight w:val="none"/>
              </w:rPr>
            </w:pPr>
          </w:p>
        </w:tc>
        <w:tc>
          <w:tcPr>
            <w:tcW w:w="1278" w:type="dxa"/>
          </w:tcPr>
          <w:p>
            <w:pPr>
              <w:spacing w:line="360" w:lineRule="auto"/>
              <w:jc w:val="center"/>
              <w:rPr>
                <w:rFonts w:ascii="宋体" w:hAnsi="宋体" w:cs="宋体"/>
                <w:b/>
                <w:color w:val="auto"/>
                <w:kern w:val="0"/>
                <w:szCs w:val="21"/>
                <w:highlight w:val="none"/>
              </w:rPr>
            </w:pPr>
          </w:p>
        </w:tc>
      </w:tr>
      <w:tr>
        <w:trPr>
          <w:trHeight w:val="423" w:hRule="atLeast"/>
        </w:trPr>
        <w:tc>
          <w:tcPr>
            <w:tcW w:w="960" w:type="dxa"/>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89" w:type="dxa"/>
          </w:tcPr>
          <w:p>
            <w:pPr>
              <w:spacing w:line="360" w:lineRule="auto"/>
              <w:jc w:val="center"/>
              <w:rPr>
                <w:rFonts w:ascii="宋体" w:hAnsi="宋体" w:cs="宋体"/>
                <w:bCs/>
                <w:color w:val="auto"/>
                <w:kern w:val="0"/>
                <w:szCs w:val="21"/>
                <w:highlight w:val="none"/>
              </w:rPr>
            </w:pPr>
          </w:p>
        </w:tc>
        <w:tc>
          <w:tcPr>
            <w:tcW w:w="3551" w:type="dxa"/>
          </w:tcPr>
          <w:p>
            <w:pPr>
              <w:spacing w:line="360" w:lineRule="auto"/>
              <w:jc w:val="center"/>
              <w:rPr>
                <w:rFonts w:ascii="宋体" w:hAnsi="宋体" w:cs="宋体"/>
                <w:bCs/>
                <w:color w:val="auto"/>
                <w:kern w:val="0"/>
                <w:szCs w:val="21"/>
                <w:highlight w:val="none"/>
              </w:rPr>
            </w:pPr>
          </w:p>
        </w:tc>
        <w:tc>
          <w:tcPr>
            <w:tcW w:w="1278" w:type="dxa"/>
          </w:tcPr>
          <w:p>
            <w:pPr>
              <w:spacing w:line="360" w:lineRule="auto"/>
              <w:jc w:val="center"/>
              <w:rPr>
                <w:rFonts w:ascii="宋体" w:hAnsi="宋体" w:cs="宋体"/>
                <w:b/>
                <w:color w:val="auto"/>
                <w:kern w:val="0"/>
                <w:szCs w:val="21"/>
                <w:highlight w:val="none"/>
              </w:rPr>
            </w:pPr>
          </w:p>
        </w:tc>
      </w:tr>
      <w:tr>
        <w:trPr>
          <w:trHeight w:val="438" w:hRule="atLeast"/>
        </w:trPr>
        <w:tc>
          <w:tcPr>
            <w:tcW w:w="960" w:type="dxa"/>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89" w:type="dxa"/>
          </w:tcPr>
          <w:p>
            <w:pPr>
              <w:spacing w:line="360" w:lineRule="auto"/>
              <w:jc w:val="center"/>
              <w:rPr>
                <w:rFonts w:ascii="宋体" w:hAnsi="宋体" w:cs="宋体"/>
                <w:b/>
                <w:color w:val="auto"/>
                <w:kern w:val="0"/>
                <w:szCs w:val="21"/>
                <w:highlight w:val="none"/>
              </w:rPr>
            </w:pPr>
          </w:p>
        </w:tc>
        <w:tc>
          <w:tcPr>
            <w:tcW w:w="3551" w:type="dxa"/>
          </w:tcPr>
          <w:p>
            <w:pPr>
              <w:spacing w:line="360" w:lineRule="auto"/>
              <w:jc w:val="center"/>
              <w:rPr>
                <w:rFonts w:ascii="宋体" w:hAnsi="宋体" w:cs="宋体"/>
                <w:b/>
                <w:color w:val="auto"/>
                <w:kern w:val="0"/>
                <w:szCs w:val="21"/>
                <w:highlight w:val="none"/>
              </w:rPr>
            </w:pPr>
          </w:p>
        </w:tc>
        <w:tc>
          <w:tcPr>
            <w:tcW w:w="1278" w:type="dxa"/>
          </w:tcPr>
          <w:p>
            <w:pPr>
              <w:spacing w:line="360" w:lineRule="auto"/>
              <w:jc w:val="center"/>
              <w:rPr>
                <w:rFonts w:ascii="宋体" w:hAnsi="宋体" w:cs="宋体"/>
                <w:b/>
                <w:color w:val="auto"/>
                <w:kern w:val="0"/>
                <w:szCs w:val="21"/>
                <w:highlight w:val="none"/>
              </w:rPr>
            </w:pPr>
          </w:p>
        </w:tc>
      </w:tr>
    </w:tbl>
    <w:p>
      <w:pPr>
        <w:spacing w:line="360" w:lineRule="auto"/>
        <w:jc w:val="left"/>
        <w:rPr>
          <w:rFonts w:ascii="宋体" w:hAnsi="宋体" w:cs="宋体"/>
          <w:color w:val="auto"/>
          <w:kern w:val="0"/>
          <w:szCs w:val="21"/>
          <w:highlight w:val="none"/>
        </w:rPr>
      </w:pPr>
    </w:p>
    <w:p>
      <w:pPr>
        <w:spacing w:line="360" w:lineRule="auto"/>
        <w:jc w:val="left"/>
        <w:rPr>
          <w:rFonts w:ascii="宋体" w:hAnsi="宋体" w:cs="宋体"/>
          <w:color w:val="auto"/>
          <w:kern w:val="0"/>
          <w:szCs w:val="21"/>
          <w:highlight w:val="none"/>
        </w:rPr>
      </w:pPr>
      <w:r>
        <w:rPr>
          <w:rFonts w:ascii="宋体" w:hAnsi="宋体" w:cs="宋体"/>
          <w:color w:val="auto"/>
          <w:kern w:val="0"/>
          <w:szCs w:val="21"/>
          <w:highlight w:val="none"/>
        </w:rPr>
        <w:t>投标人保证：除商务技术偏离表列出的偏离外，投标人响应招标文件的全部要求。</w:t>
      </w:r>
    </w:p>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w:t>
      </w:r>
    </w:p>
    <w:p>
      <w:pPr>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按本格式和要求提供。</w:t>
      </w:r>
    </w:p>
    <w:p>
      <w:pPr>
        <w:spacing w:line="360" w:lineRule="auto"/>
        <w:rPr>
          <w:rFonts w:ascii="宋体" w:hAnsi="宋体" w:cs="宋体"/>
          <w:b/>
          <w:color w:val="auto"/>
          <w:kern w:val="0"/>
          <w:szCs w:val="21"/>
          <w:highlight w:val="none"/>
        </w:rPr>
      </w:pPr>
    </w:p>
    <w:p>
      <w:pPr>
        <w:spacing w:line="360" w:lineRule="auto"/>
        <w:ind w:firstLine="2171" w:firstLineChars="1033"/>
        <w:rPr>
          <w:rFonts w:ascii="宋体" w:hAnsi="宋体" w:cs="宋体"/>
          <w:b/>
          <w:color w:val="auto"/>
          <w:kern w:val="0"/>
          <w:szCs w:val="21"/>
          <w:highlight w:val="none"/>
        </w:rPr>
      </w:pPr>
    </w:p>
    <w:p>
      <w:pPr>
        <w:spacing w:line="360" w:lineRule="auto"/>
        <w:rPr>
          <w:color w:val="auto"/>
          <w:szCs w:val="21"/>
          <w:highlight w:val="none"/>
        </w:rPr>
      </w:pPr>
      <w:r>
        <w:rPr>
          <w:rFonts w:hint="eastAsia"/>
          <w:color w:val="auto"/>
          <w:szCs w:val="21"/>
          <w:highlight w:val="none"/>
        </w:rPr>
        <w:br w:type="page"/>
      </w:r>
    </w:p>
    <w:p>
      <w:pPr>
        <w:pStyle w:val="4"/>
        <w:rPr>
          <w:color w:val="auto"/>
          <w:szCs w:val="21"/>
          <w:highlight w:val="none"/>
        </w:rPr>
      </w:pPr>
      <w:r>
        <w:rPr>
          <w:rFonts w:hint="eastAsia"/>
          <w:color w:val="auto"/>
          <w:szCs w:val="21"/>
          <w:highlight w:val="none"/>
        </w:rPr>
        <w:t>八、</w:t>
      </w:r>
      <w:r>
        <w:rPr>
          <w:rFonts w:hint="eastAsia"/>
          <w:color w:val="auto"/>
          <w:szCs w:val="21"/>
          <w:highlight w:val="none"/>
          <w:lang w:val="zh-CN"/>
        </w:rPr>
        <w:t>政府采购供应商廉洁自律承诺书</w:t>
      </w:r>
    </w:p>
    <w:p>
      <w:pPr>
        <w:snapToGrid w:val="0"/>
        <w:spacing w:line="360" w:lineRule="auto"/>
        <w:jc w:val="center"/>
        <w:rPr>
          <w:b/>
          <w:bCs/>
          <w:color w:val="auto"/>
          <w:szCs w:val="21"/>
          <w:highlight w:val="none"/>
          <w:lang w:val="zh-CN"/>
        </w:rPr>
      </w:pPr>
    </w:p>
    <w:p>
      <w:pPr>
        <w:snapToGrid w:val="0"/>
        <w:spacing w:line="360" w:lineRule="auto"/>
        <w:jc w:val="center"/>
        <w:rPr>
          <w:b/>
          <w:bCs/>
          <w:color w:val="auto"/>
          <w:szCs w:val="21"/>
          <w:highlight w:val="none"/>
          <w:lang w:val="zh-CN"/>
        </w:rPr>
      </w:pPr>
      <w:r>
        <w:rPr>
          <w:rFonts w:hint="eastAsia"/>
          <w:b/>
          <w:bCs/>
          <w:color w:val="auto"/>
          <w:szCs w:val="21"/>
          <w:highlight w:val="none"/>
          <w:lang w:val="zh-CN"/>
        </w:rPr>
        <w:t>政府采购供应商廉洁自律承诺书</w:t>
      </w:r>
    </w:p>
    <w:p>
      <w:pPr>
        <w:spacing w:line="360" w:lineRule="auto"/>
        <w:rPr>
          <w:color w:val="auto"/>
          <w:szCs w:val="21"/>
          <w:highlight w:val="none"/>
        </w:rPr>
      </w:pPr>
    </w:p>
    <w:p>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lang w:eastAsia="zh-CN"/>
        </w:rPr>
        <w:t>杭州市临平区塘栖镇人民政府</w:t>
      </w:r>
      <w:r>
        <w:rPr>
          <w:rFonts w:hint="eastAsia" w:ascii="宋体" w:hAnsi="宋体" w:cs="宋体"/>
          <w:color w:val="auto"/>
          <w:szCs w:val="21"/>
          <w:highlight w:val="none"/>
        </w:rPr>
        <w:t>、</w:t>
      </w:r>
      <w:r>
        <w:rPr>
          <w:rFonts w:hint="eastAsia" w:ascii="宋体" w:hAnsi="宋体" w:cs="宋体"/>
          <w:color w:val="auto"/>
          <w:szCs w:val="21"/>
          <w:highlight w:val="none"/>
          <w:lang w:eastAsia="zh-CN"/>
        </w:rPr>
        <w:t>杭州创丰招标代理有限公司</w:t>
      </w:r>
      <w:r>
        <w:rPr>
          <w:rFonts w:hint="eastAsia" w:ascii="宋体" w:hAnsi="宋体" w:cs="宋体"/>
          <w:color w:val="auto"/>
          <w:kern w:val="0"/>
          <w:szCs w:val="21"/>
          <w:highlight w:val="none"/>
          <w:lang w:val="zh-CN"/>
        </w:rPr>
        <w:t>：</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好处；</w:t>
      </w:r>
    </w:p>
    <w:p>
      <w:pPr>
        <w:autoSpaceDE w:val="0"/>
        <w:autoSpaceDN w:val="0"/>
        <w:spacing w:line="360" w:lineRule="auto"/>
        <w:ind w:left="481" w:leftChars="229"/>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六、严格遵守《</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政府采购法》《</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招标投标法》</w:t>
      </w:r>
      <w:r>
        <w:rPr>
          <w:rFonts w:hint="eastAsia" w:ascii="宋体" w:hAnsi="宋体" w:cs="宋体"/>
          <w:color w:val="auto"/>
          <w:szCs w:val="21"/>
          <w:highlight w:val="none"/>
          <w:lang w:val="zh-CN"/>
        </w:rPr>
        <w:t>《中华人民共和国民法典》</w:t>
      </w:r>
      <w:r>
        <w:rPr>
          <w:rFonts w:hint="eastAsia" w:ascii="宋体" w:hAnsi="宋体" w:cs="宋体"/>
          <w:color w:val="auto"/>
          <w:kern w:val="0"/>
          <w:szCs w:val="21"/>
          <w:highlight w:val="none"/>
          <w:lang w:val="zh-CN"/>
        </w:rPr>
        <w:t xml:space="preserve">等法律法规，诚实守信，合法经营，坚决抵制各种违法违纪行为。 </w:t>
      </w:r>
    </w:p>
    <w:p>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进行项目建设或其他经营活动，并通报</w:t>
      </w:r>
      <w:r>
        <w:rPr>
          <w:rFonts w:hint="eastAsia" w:ascii="宋体" w:hAnsi="宋体" w:cs="宋体"/>
          <w:color w:val="auto"/>
          <w:kern w:val="0"/>
          <w:szCs w:val="21"/>
          <w:highlight w:val="none"/>
        </w:rPr>
        <w:t>省财政厅</w:t>
      </w:r>
      <w:r>
        <w:rPr>
          <w:rFonts w:hint="eastAsia" w:ascii="宋体" w:hAnsi="宋体" w:cs="宋体"/>
          <w:color w:val="auto"/>
          <w:kern w:val="0"/>
          <w:szCs w:val="21"/>
          <w:highlight w:val="none"/>
          <w:lang w:val="zh-CN"/>
        </w:rPr>
        <w:t>。由此引起的相应损失均由我单位承担。</w:t>
      </w:r>
    </w:p>
    <w:p>
      <w:pPr>
        <w:autoSpaceDE w:val="0"/>
        <w:autoSpaceDN w:val="0"/>
        <w:spacing w:line="360" w:lineRule="auto"/>
        <w:ind w:left="2" w:leftChars="1" w:right="1120" w:firstLine="4620" w:firstLineChars="2200"/>
        <w:jc w:val="left"/>
        <w:rPr>
          <w:rFonts w:ascii="宋体" w:hAnsi="宋体" w:cs="宋体"/>
          <w:color w:val="auto"/>
          <w:kern w:val="0"/>
          <w:szCs w:val="21"/>
          <w:highlight w:val="none"/>
          <w:lang w:val="zh-CN"/>
        </w:rPr>
      </w:pPr>
    </w:p>
    <w:p>
      <w:pPr>
        <w:autoSpaceDE w:val="0"/>
        <w:autoSpaceDN w:val="0"/>
        <w:spacing w:line="360" w:lineRule="auto"/>
        <w:ind w:left="2" w:leftChars="1" w:right="1120" w:firstLine="4620" w:firstLineChars="2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szCs w:val="21"/>
          <w:highlight w:val="none"/>
        </w:rPr>
        <w:t>电子签名</w:t>
      </w:r>
      <w:r>
        <w:rPr>
          <w:rFonts w:hint="eastAsia" w:ascii="宋体" w:hAnsi="宋体" w:cs="宋体"/>
          <w:color w:val="auto"/>
          <w:kern w:val="0"/>
          <w:szCs w:val="21"/>
          <w:highlight w:val="none"/>
          <w:lang w:val="zh-CN"/>
        </w:rPr>
        <w:t xml:space="preserve">）：                   </w:t>
      </w:r>
    </w:p>
    <w:p>
      <w:pPr>
        <w:spacing w:line="360" w:lineRule="auto"/>
        <w:ind w:left="4620" w:leftChars="2200"/>
        <w:rPr>
          <w:rFonts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pPr>
        <w:spacing w:line="360" w:lineRule="auto"/>
        <w:jc w:val="center"/>
        <w:rPr>
          <w:rFonts w:ascii="宋体" w:hAnsi="宋体" w:cs="宋体"/>
          <w:b/>
          <w:bCs/>
          <w:color w:val="auto"/>
          <w:szCs w:val="21"/>
          <w:highlight w:val="none"/>
        </w:rPr>
      </w:pPr>
    </w:p>
    <w:p>
      <w:pPr>
        <w:spacing w:line="360" w:lineRule="auto"/>
        <w:jc w:val="center"/>
        <w:rPr>
          <w:rFonts w:ascii="宋体" w:hAnsi="宋体" w:cs="宋体"/>
          <w:b/>
          <w:bCs/>
          <w:color w:val="auto"/>
          <w:szCs w:val="21"/>
          <w:highlight w:val="none"/>
        </w:rPr>
        <w:sectPr>
          <w:footerReference r:id="rId10" w:type="first"/>
          <w:footerReference r:id="rId9" w:type="default"/>
          <w:pgSz w:w="11906" w:h="16838"/>
          <w:pgMar w:top="680" w:right="1418" w:bottom="471"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2"/>
        <w:jc w:val="center"/>
        <w:rPr>
          <w:color w:val="auto"/>
          <w:szCs w:val="21"/>
          <w:highlight w:val="none"/>
        </w:rPr>
      </w:pPr>
      <w:r>
        <w:rPr>
          <w:rFonts w:hint="eastAsia"/>
          <w:color w:val="auto"/>
          <w:szCs w:val="21"/>
          <w:highlight w:val="none"/>
        </w:rPr>
        <w:t>报价文件部分</w:t>
      </w:r>
    </w:p>
    <w:p>
      <w:pPr>
        <w:spacing w:line="360" w:lineRule="auto"/>
        <w:rPr>
          <w:color w:val="auto"/>
          <w:szCs w:val="21"/>
          <w:highlight w:val="none"/>
        </w:rPr>
      </w:pPr>
    </w:p>
    <w:p>
      <w:pPr>
        <w:spacing w:line="360" w:lineRule="auto"/>
        <w:jc w:val="center"/>
        <w:outlineLvl w:val="2"/>
        <w:rPr>
          <w:rFonts w:ascii="宋体" w:hAnsi="宋体" w:cs="宋体"/>
          <w:b/>
          <w:color w:val="auto"/>
          <w:kern w:val="0"/>
          <w:szCs w:val="21"/>
          <w:highlight w:val="none"/>
        </w:rPr>
      </w:pPr>
      <w:r>
        <w:rPr>
          <w:rFonts w:hint="eastAsia" w:ascii="宋体" w:hAnsi="宋体" w:cs="宋体"/>
          <w:b/>
          <w:color w:val="auto"/>
          <w:kern w:val="0"/>
          <w:szCs w:val="21"/>
          <w:highlight w:val="none"/>
        </w:rPr>
        <w:t>目录</w:t>
      </w:r>
    </w:p>
    <w:p>
      <w:pPr>
        <w:spacing w:line="360" w:lineRule="auto"/>
        <w:jc w:val="center"/>
        <w:rPr>
          <w:rFonts w:ascii="宋体" w:hAnsi="宋体" w:cs="宋体"/>
          <w:b/>
          <w:color w:val="auto"/>
          <w:kern w:val="0"/>
          <w:szCs w:val="21"/>
          <w:highlight w:val="none"/>
        </w:rPr>
      </w:pPr>
    </w:p>
    <w:p>
      <w:pPr>
        <w:numPr>
          <w:ilvl w:val="0"/>
          <w:numId w:val="6"/>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开标一览表（报价表）…………………………………………………………（页码）</w:t>
      </w:r>
    </w:p>
    <w:p>
      <w:pPr>
        <w:numPr>
          <w:ilvl w:val="0"/>
          <w:numId w:val="6"/>
        </w:numP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报价情况说明（</w:t>
      </w:r>
      <w:r>
        <w:rPr>
          <w:rFonts w:hint="eastAsia" w:ascii="宋体" w:hAnsi="宋体" w:cs="宋体"/>
          <w:bCs/>
          <w:color w:val="auto"/>
          <w:szCs w:val="21"/>
          <w:highlight w:val="none"/>
          <w:lang w:val="en-US" w:eastAsia="zh-CN"/>
        </w:rPr>
        <w:t>若有，</w:t>
      </w:r>
      <w:r>
        <w:rPr>
          <w:rFonts w:hint="eastAsia" w:ascii="宋体" w:hAnsi="宋体" w:cs="宋体"/>
          <w:bCs/>
          <w:color w:val="auto"/>
          <w:szCs w:val="21"/>
          <w:highlight w:val="none"/>
        </w:rPr>
        <w:t>如供应商报价低于项目预算50%的，应当提交本文档，详细阐述不影响产品质量或者诚信履约的具体原因）</w:t>
      </w:r>
      <w:r>
        <w:rPr>
          <w:rFonts w:hint="eastAsia" w:ascii="宋体" w:hAnsi="宋体" w:cs="宋体"/>
          <w:color w:val="auto"/>
          <w:szCs w:val="21"/>
          <w:highlight w:val="none"/>
        </w:rPr>
        <w:t>…………………………………………………………（页码）</w:t>
      </w:r>
    </w:p>
    <w:p>
      <w:pPr>
        <w:spacing w:line="360" w:lineRule="auto"/>
        <w:rPr>
          <w:rFonts w:hint="eastAsia" w:eastAsia="宋体"/>
          <w:color w:val="auto"/>
          <w:szCs w:val="21"/>
          <w:highlight w:val="none"/>
          <w:lang w:eastAsia="zh-CN"/>
        </w:rPr>
      </w:pP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right="480"/>
        <w:jc w:val="center"/>
        <w:rPr>
          <w:rFonts w:ascii="宋体" w:hAnsi="宋体" w:cs="宋体"/>
          <w:b/>
          <w:color w:val="auto"/>
          <w:kern w:val="0"/>
          <w:szCs w:val="21"/>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sectPr>
          <w:footerReference r:id="rId13" w:type="first"/>
          <w:headerReference r:id="rId11"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4"/>
        <w:rPr>
          <w:color w:val="auto"/>
          <w:szCs w:val="21"/>
          <w:highlight w:val="none"/>
        </w:rPr>
      </w:pPr>
      <w:r>
        <w:rPr>
          <w:rFonts w:hint="eastAsia"/>
          <w:color w:val="auto"/>
          <w:szCs w:val="21"/>
          <w:highlight w:val="none"/>
        </w:rPr>
        <w:t>一、开标一览表（报价表）</w:t>
      </w:r>
    </w:p>
    <w:p>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lang w:eastAsia="zh-CN"/>
        </w:rPr>
        <w:t>杭州市临平区塘栖镇人民政府</w:t>
      </w:r>
      <w:r>
        <w:rPr>
          <w:rFonts w:hint="eastAsia" w:ascii="宋体" w:hAnsi="宋体" w:cs="宋体"/>
          <w:color w:val="auto"/>
          <w:szCs w:val="21"/>
          <w:highlight w:val="none"/>
        </w:rPr>
        <w:t>、</w:t>
      </w:r>
      <w:r>
        <w:rPr>
          <w:rFonts w:hint="eastAsia" w:ascii="宋体" w:hAnsi="宋体" w:cs="宋体"/>
          <w:color w:val="auto"/>
          <w:szCs w:val="21"/>
          <w:highlight w:val="none"/>
          <w:lang w:eastAsia="zh-CN"/>
        </w:rPr>
        <w:t>杭州创丰招标代理有限公司</w:t>
      </w:r>
      <w:r>
        <w:rPr>
          <w:rFonts w:hint="eastAsia" w:ascii="宋体" w:hAnsi="宋体" w:cs="宋体"/>
          <w:color w:val="auto"/>
          <w:kern w:val="0"/>
          <w:szCs w:val="21"/>
          <w:highlight w:val="none"/>
          <w:lang w:val="zh-CN"/>
        </w:rPr>
        <w:t>：</w:t>
      </w:r>
    </w:p>
    <w:p>
      <w:pPr>
        <w:snapToGrid w:val="0"/>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lang w:eastAsia="zh-CN"/>
        </w:rPr>
        <w:t>2024年塘栖镇养老电子津贴政府采购</w:t>
      </w:r>
      <w:r>
        <w:rPr>
          <w:rFonts w:hint="eastAsia" w:ascii="宋体" w:hAnsi="宋体" w:cs="宋体"/>
          <w:color w:val="auto"/>
          <w:szCs w:val="21"/>
          <w:highlight w:val="none"/>
        </w:rPr>
        <w:t>项目</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lang w:eastAsia="zh-CN"/>
        </w:rPr>
        <w:t>CFZB-20240715-TXZF1</w:t>
      </w:r>
      <w:r>
        <w:rPr>
          <w:rFonts w:hint="eastAsia" w:ascii="宋体" w:hAnsi="宋体" w:cs="宋体"/>
          <w:color w:val="auto"/>
          <w:szCs w:val="21"/>
          <w:highlight w:val="none"/>
        </w:rPr>
        <w:t>】的实施</w:t>
      </w:r>
      <w:r>
        <w:rPr>
          <w:rFonts w:hint="eastAsia" w:ascii="宋体" w:hAnsi="宋体" w:cs="宋体"/>
          <w:color w:val="auto"/>
          <w:kern w:val="0"/>
          <w:szCs w:val="21"/>
          <w:highlight w:val="none"/>
          <w:lang w:val="zh-CN"/>
        </w:rPr>
        <w:t>。</w:t>
      </w:r>
    </w:p>
    <w:p>
      <w:pPr>
        <w:spacing w:line="360" w:lineRule="auto"/>
        <w:jc w:val="cente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开标一览表（报价表）(</w:t>
      </w:r>
      <w:r>
        <w:rPr>
          <w:rFonts w:hint="eastAsia" w:ascii="宋体" w:hAnsi="宋体" w:cs="宋体"/>
          <w:b/>
          <w:color w:val="auto"/>
          <w:kern w:val="0"/>
          <w:szCs w:val="21"/>
          <w:highlight w:val="none"/>
          <w:lang w:val="en-US" w:eastAsia="zh-CN"/>
        </w:rPr>
        <w:t>按标项分别填写、</w:t>
      </w:r>
      <w:r>
        <w:rPr>
          <w:rFonts w:hint="eastAsia" w:ascii="宋体" w:hAnsi="宋体" w:cs="宋体"/>
          <w:b/>
          <w:color w:val="auto"/>
          <w:kern w:val="0"/>
          <w:szCs w:val="21"/>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33"/>
        <w:gridCol w:w="2142"/>
        <w:gridCol w:w="2127"/>
        <w:gridCol w:w="1322"/>
        <w:gridCol w:w="1722"/>
        <w:gridCol w:w="1668"/>
        <w:gridCol w:w="3119"/>
      </w:tblGrid>
      <w:tr>
        <w:trPr>
          <w:trHeight w:val="1373" w:hRule="atLeast"/>
        </w:trPr>
        <w:tc>
          <w:tcPr>
            <w:tcW w:w="534"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933" w:type="dxa"/>
            <w:vAlign w:val="center"/>
          </w:tcPr>
          <w:p>
            <w:pPr>
              <w:spacing w:line="360" w:lineRule="auto"/>
              <w:jc w:val="center"/>
              <w:rPr>
                <w:rFonts w:ascii="宋体" w:hAnsi="宋体" w:cs="宋体"/>
                <w:b/>
                <w:color w:val="auto"/>
                <w:szCs w:val="21"/>
                <w:highlight w:val="none"/>
              </w:rPr>
            </w:pPr>
            <w:r>
              <w:rPr>
                <w:rFonts w:hint="eastAsia" w:ascii="宋体" w:hAnsi="宋体" w:eastAsia="宋体" w:cs="宋体"/>
                <w:b/>
                <w:color w:val="auto"/>
                <w:szCs w:val="21"/>
                <w:highlight w:val="none"/>
              </w:rPr>
              <w:t>名称</w:t>
            </w:r>
          </w:p>
        </w:tc>
        <w:tc>
          <w:tcPr>
            <w:tcW w:w="2142" w:type="dxa"/>
            <w:vAlign w:val="center"/>
          </w:tcPr>
          <w:p>
            <w:pPr>
              <w:spacing w:line="360" w:lineRule="auto"/>
              <w:jc w:val="center"/>
              <w:rPr>
                <w:rFonts w:ascii="宋体" w:hAnsi="宋体" w:cs="宋体"/>
                <w:b/>
                <w:color w:val="auto"/>
                <w:szCs w:val="21"/>
                <w:highlight w:val="none"/>
              </w:rPr>
            </w:pPr>
            <w:r>
              <w:rPr>
                <w:rFonts w:hint="eastAsia" w:ascii="宋体" w:hAnsi="宋体" w:eastAsia="宋体" w:cs="宋体"/>
                <w:b/>
                <w:color w:val="auto"/>
                <w:szCs w:val="21"/>
                <w:highlight w:val="none"/>
                <w:lang w:val="en-US" w:eastAsia="zh-CN"/>
              </w:rPr>
              <w:t>标项名称</w:t>
            </w:r>
          </w:p>
        </w:tc>
        <w:tc>
          <w:tcPr>
            <w:tcW w:w="2127"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服务范围</w:t>
            </w:r>
          </w:p>
        </w:tc>
        <w:tc>
          <w:tcPr>
            <w:tcW w:w="1322" w:type="dxa"/>
            <w:vAlign w:val="center"/>
          </w:tcPr>
          <w:p>
            <w:pPr>
              <w:spacing w:line="360" w:lineRule="auto"/>
              <w:jc w:val="center"/>
              <w:rPr>
                <w:rFonts w:ascii="宋体" w:hAnsi="宋体" w:cs="宋体"/>
                <w:b/>
                <w:color w:val="auto"/>
                <w:szCs w:val="21"/>
                <w:highlight w:val="none"/>
              </w:rPr>
            </w:pPr>
            <w:r>
              <w:rPr>
                <w:rFonts w:hint="eastAsia" w:ascii="宋体" w:hAnsi="宋体" w:eastAsia="宋体" w:cs="宋体"/>
                <w:b/>
                <w:color w:val="auto"/>
                <w:szCs w:val="21"/>
                <w:highlight w:val="none"/>
              </w:rPr>
              <w:t>服务</w:t>
            </w:r>
            <w:r>
              <w:rPr>
                <w:rFonts w:hint="eastAsia" w:ascii="宋体" w:hAnsi="宋体" w:cs="宋体"/>
                <w:b/>
                <w:color w:val="auto"/>
                <w:szCs w:val="21"/>
                <w:highlight w:val="none"/>
              </w:rPr>
              <w:t>要求</w:t>
            </w:r>
          </w:p>
        </w:tc>
        <w:tc>
          <w:tcPr>
            <w:tcW w:w="1722"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服务时间</w:t>
            </w:r>
          </w:p>
        </w:tc>
        <w:tc>
          <w:tcPr>
            <w:tcW w:w="1668"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服务标准</w:t>
            </w:r>
          </w:p>
        </w:tc>
        <w:tc>
          <w:tcPr>
            <w:tcW w:w="3119"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服务人数</w:t>
            </w:r>
          </w:p>
        </w:tc>
      </w:tr>
      <w:tr>
        <w:trPr>
          <w:trHeight w:val="441" w:hRule="atLeast"/>
        </w:trPr>
        <w:tc>
          <w:tcPr>
            <w:tcW w:w="53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93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 w:val="21"/>
                <w:szCs w:val="21"/>
                <w:highlight w:val="none"/>
                <w:lang w:eastAsia="zh-CN"/>
              </w:rPr>
              <w:t>2024年塘栖镇养老电子津贴政府采购</w:t>
            </w:r>
            <w:r>
              <w:rPr>
                <w:rFonts w:hint="eastAsia" w:ascii="宋体" w:hAnsi="宋体" w:eastAsia="宋体" w:cs="宋体"/>
                <w:color w:val="auto"/>
                <w:sz w:val="21"/>
                <w:szCs w:val="21"/>
                <w:highlight w:val="none"/>
              </w:rPr>
              <w:t>项目</w:t>
            </w:r>
          </w:p>
        </w:tc>
        <w:tc>
          <w:tcPr>
            <w:tcW w:w="2142" w:type="dxa"/>
            <w:vAlign w:val="center"/>
          </w:tcPr>
          <w:p>
            <w:pPr>
              <w:snapToGrid w:val="0"/>
              <w:spacing w:line="360" w:lineRule="auto"/>
              <w:jc w:val="center"/>
              <w:rPr>
                <w:rFonts w:ascii="宋体" w:hAnsi="宋体" w:cs="宋体"/>
                <w:color w:val="auto"/>
                <w:szCs w:val="21"/>
                <w:highlight w:val="none"/>
              </w:rPr>
            </w:pPr>
          </w:p>
        </w:tc>
        <w:tc>
          <w:tcPr>
            <w:tcW w:w="2127" w:type="dxa"/>
            <w:vAlign w:val="center"/>
          </w:tcPr>
          <w:p>
            <w:pPr>
              <w:snapToGrid w:val="0"/>
              <w:spacing w:line="360" w:lineRule="auto"/>
              <w:jc w:val="center"/>
              <w:rPr>
                <w:rFonts w:ascii="宋体" w:hAnsi="宋体" w:cs="宋体"/>
                <w:color w:val="auto"/>
                <w:szCs w:val="21"/>
                <w:highlight w:val="none"/>
              </w:rPr>
            </w:pPr>
          </w:p>
        </w:tc>
        <w:tc>
          <w:tcPr>
            <w:tcW w:w="1322" w:type="dxa"/>
            <w:vAlign w:val="center"/>
          </w:tcPr>
          <w:p>
            <w:pPr>
              <w:snapToGrid w:val="0"/>
              <w:spacing w:line="360" w:lineRule="auto"/>
              <w:jc w:val="center"/>
              <w:rPr>
                <w:rFonts w:ascii="宋体" w:hAnsi="宋体" w:cs="宋体"/>
                <w:color w:val="auto"/>
                <w:szCs w:val="21"/>
                <w:highlight w:val="none"/>
              </w:rPr>
            </w:pPr>
          </w:p>
        </w:tc>
        <w:tc>
          <w:tcPr>
            <w:tcW w:w="1722" w:type="dxa"/>
            <w:vAlign w:val="center"/>
          </w:tcPr>
          <w:p>
            <w:pPr>
              <w:spacing w:line="360" w:lineRule="auto"/>
              <w:jc w:val="center"/>
              <w:rPr>
                <w:rFonts w:ascii="宋体" w:hAnsi="宋体" w:cs="宋体"/>
                <w:color w:val="auto"/>
                <w:szCs w:val="21"/>
                <w:highlight w:val="none"/>
              </w:rPr>
            </w:pPr>
          </w:p>
        </w:tc>
        <w:tc>
          <w:tcPr>
            <w:tcW w:w="1668" w:type="dxa"/>
            <w:vAlign w:val="center"/>
          </w:tcPr>
          <w:p>
            <w:pPr>
              <w:spacing w:line="360" w:lineRule="auto"/>
              <w:jc w:val="center"/>
              <w:rPr>
                <w:rFonts w:ascii="宋体" w:hAnsi="宋体" w:cs="宋体"/>
                <w:color w:val="auto"/>
                <w:szCs w:val="21"/>
                <w:highlight w:val="none"/>
              </w:rPr>
            </w:pPr>
          </w:p>
        </w:tc>
        <w:tc>
          <w:tcPr>
            <w:tcW w:w="3119" w:type="dxa"/>
            <w:vAlign w:val="center"/>
          </w:tcPr>
          <w:p>
            <w:pPr>
              <w:spacing w:line="360" w:lineRule="auto"/>
              <w:jc w:val="center"/>
              <w:rPr>
                <w:rFonts w:hint="default" w:ascii="宋体" w:hAnsi="宋体" w:eastAsia="宋体" w:cs="宋体"/>
                <w:color w:val="auto"/>
                <w:szCs w:val="21"/>
                <w:highlight w:val="none"/>
                <w:lang w:val="en-US" w:eastAsia="zh-CN"/>
              </w:rPr>
            </w:pPr>
          </w:p>
        </w:tc>
      </w:tr>
      <w:tr>
        <w:trPr>
          <w:trHeight w:val="886" w:hRule="atLeast"/>
        </w:trPr>
        <w:tc>
          <w:tcPr>
            <w:tcW w:w="14567" w:type="dxa"/>
            <w:gridSpan w:val="8"/>
            <w:vAlign w:val="center"/>
          </w:tcPr>
          <w:p>
            <w:pPr>
              <w:spacing w:line="360" w:lineRule="auto"/>
              <w:jc w:val="left"/>
              <w:rPr>
                <w:rFonts w:ascii="宋体" w:hAnsi="宋体" w:cs="宋体"/>
                <w:color w:val="auto"/>
                <w:szCs w:val="21"/>
                <w:highlight w:val="none"/>
              </w:rPr>
            </w:pPr>
            <w:r>
              <w:rPr>
                <w:rFonts w:hint="eastAsia" w:ascii="宋体" w:hAnsi="宋体" w:eastAsia="宋体" w:cs="宋体"/>
                <w:b/>
                <w:color w:val="auto"/>
                <w:kern w:val="0"/>
                <w:sz w:val="21"/>
                <w:szCs w:val="21"/>
                <w:highlight w:val="none"/>
              </w:rPr>
              <w:t>报价特别说明：</w:t>
            </w:r>
            <w:r>
              <w:rPr>
                <w:rFonts w:hint="eastAsia" w:ascii="宋体" w:hAnsi="宋体" w:eastAsia="宋体" w:cs="宋体"/>
                <w:b/>
                <w:bCs w:val="0"/>
                <w:color w:val="auto"/>
                <w:kern w:val="0"/>
                <w:sz w:val="21"/>
                <w:szCs w:val="21"/>
                <w:highlight w:val="none"/>
                <w:u w:val="single"/>
                <w:lang w:val="zh-CN"/>
              </w:rPr>
              <w:t>根据《杭州市临平区养老服务电子津贴实施办法（试行）》 (临民〔2021〕42号)文件精神（</w:t>
            </w:r>
            <w:r>
              <w:rPr>
                <w:rFonts w:hint="eastAsia" w:ascii="宋体" w:hAnsi="宋体" w:cs="宋体"/>
                <w:b/>
                <w:bCs w:val="0"/>
                <w:color w:val="auto"/>
                <w:kern w:val="0"/>
                <w:sz w:val="21"/>
                <w:szCs w:val="21"/>
                <w:highlight w:val="none"/>
                <w:u w:val="single"/>
                <w:lang w:val="zh-CN"/>
              </w:rPr>
              <w:t>详见附件8</w:t>
            </w:r>
            <w:r>
              <w:rPr>
                <w:rFonts w:hint="eastAsia" w:ascii="宋体" w:hAnsi="宋体" w:eastAsia="宋体" w:cs="宋体"/>
                <w:b/>
                <w:bCs w:val="0"/>
                <w:color w:val="auto"/>
                <w:kern w:val="0"/>
                <w:sz w:val="21"/>
                <w:szCs w:val="21"/>
                <w:highlight w:val="none"/>
                <w:u w:val="single"/>
                <w:lang w:val="zh-CN"/>
              </w:rPr>
              <w:t>）</w:t>
            </w:r>
            <w:r>
              <w:rPr>
                <w:rFonts w:hint="eastAsia" w:ascii="宋体" w:hAnsi="宋体" w:eastAsia="宋体" w:cs="宋体"/>
                <w:b/>
                <w:bCs w:val="0"/>
                <w:color w:val="auto"/>
                <w:kern w:val="0"/>
                <w:sz w:val="21"/>
                <w:szCs w:val="21"/>
                <w:highlight w:val="none"/>
                <w:u w:val="single"/>
                <w:lang w:val="zh-CN"/>
              </w:rPr>
              <w:t>，</w:t>
            </w:r>
            <w:r>
              <w:rPr>
                <w:rFonts w:hint="eastAsia" w:ascii="宋体" w:hAnsi="宋体" w:eastAsia="宋体" w:cs="宋体"/>
                <w:b/>
                <w:bCs w:val="0"/>
                <w:color w:val="auto"/>
                <w:kern w:val="0"/>
                <w:sz w:val="21"/>
                <w:szCs w:val="21"/>
                <w:highlight w:val="none"/>
                <w:u w:val="single"/>
                <w:lang w:val="zh-CN"/>
              </w:rPr>
              <w:t>中标人最终执行价格按《杭州市临平区养老服务电子津贴实施办法（试行）》 (临民〔2021〕42号)文件按实际服务进行结算，投标人在政采云系统填报投标价格时请统一填写标项预算价格，如投标人填写的报价与预算不符，由评标委员会进行修正，投标人不接受修正的，做无效标处理。本项目</w:t>
            </w:r>
            <w:r>
              <w:rPr>
                <w:rFonts w:hint="eastAsia" w:ascii="宋体" w:hAnsi="宋体" w:cs="宋体"/>
                <w:b/>
                <w:bCs w:val="0"/>
                <w:color w:val="auto"/>
                <w:kern w:val="0"/>
                <w:sz w:val="21"/>
                <w:szCs w:val="21"/>
                <w:highlight w:val="none"/>
                <w:u w:val="single"/>
                <w:lang w:val="en-US" w:eastAsia="zh-CN"/>
              </w:rPr>
              <w:t>每个标项</w:t>
            </w:r>
            <w:r>
              <w:rPr>
                <w:rFonts w:hint="eastAsia" w:ascii="宋体" w:hAnsi="宋体" w:eastAsia="宋体" w:cs="宋体"/>
                <w:b/>
                <w:bCs w:val="0"/>
                <w:color w:val="auto"/>
                <w:kern w:val="0"/>
                <w:sz w:val="21"/>
                <w:szCs w:val="21"/>
                <w:highlight w:val="none"/>
                <w:u w:val="single"/>
                <w:lang w:val="zh-CN"/>
              </w:rPr>
              <w:t>预算为采购人根据上年度资金使用和本年度需要扩面的所需预估金额，最终结算根据具体根据实际服务进行结算，投标人自行考虑相关风险</w:t>
            </w:r>
            <w:r>
              <w:rPr>
                <w:rFonts w:hint="eastAsia" w:ascii="宋体" w:hAnsi="宋体" w:eastAsia="宋体" w:cs="宋体"/>
                <w:b/>
                <w:bCs w:val="0"/>
                <w:color w:val="auto"/>
                <w:kern w:val="0"/>
                <w:sz w:val="21"/>
                <w:szCs w:val="21"/>
                <w:highlight w:val="none"/>
                <w:u w:val="none"/>
                <w:lang w:val="zh-CN"/>
              </w:rPr>
              <w:t>。</w:t>
            </w:r>
            <w:r>
              <w:rPr>
                <w:rFonts w:hint="eastAsia" w:ascii="宋体" w:hAnsi="宋体" w:cs="宋体"/>
                <w:b/>
                <w:bCs/>
                <w:color w:val="auto"/>
                <w:kern w:val="0"/>
                <w:szCs w:val="21"/>
                <w:highlight w:val="none"/>
                <w:lang w:val="en-US" w:eastAsia="zh-CN"/>
              </w:rPr>
              <w:t>价格分由评审小组统一一致计算。</w:t>
            </w:r>
          </w:p>
        </w:tc>
      </w:tr>
      <w:tr>
        <w:trPr>
          <w:trHeight w:val="659" w:hRule="atLeast"/>
        </w:trPr>
        <w:tc>
          <w:tcPr>
            <w:tcW w:w="6736" w:type="dxa"/>
            <w:gridSpan w:val="4"/>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投标报价（小写）</w:t>
            </w:r>
          </w:p>
        </w:tc>
        <w:tc>
          <w:tcPr>
            <w:tcW w:w="7831" w:type="dxa"/>
            <w:gridSpan w:val="4"/>
            <w:vAlign w:val="center"/>
          </w:tcPr>
          <w:p>
            <w:pPr>
              <w:spacing w:line="360" w:lineRule="auto"/>
              <w:jc w:val="center"/>
              <w:rPr>
                <w:rFonts w:ascii="宋体" w:hAnsi="宋体" w:cs="宋体"/>
                <w:color w:val="auto"/>
                <w:szCs w:val="21"/>
                <w:highlight w:val="none"/>
              </w:rPr>
            </w:pPr>
          </w:p>
        </w:tc>
      </w:tr>
      <w:tr>
        <w:trPr>
          <w:trHeight w:val="792" w:hRule="atLeast"/>
        </w:trPr>
        <w:tc>
          <w:tcPr>
            <w:tcW w:w="6736" w:type="dxa"/>
            <w:gridSpan w:val="4"/>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投标报价（大写）</w:t>
            </w:r>
          </w:p>
        </w:tc>
        <w:tc>
          <w:tcPr>
            <w:tcW w:w="7831" w:type="dxa"/>
            <w:gridSpan w:val="4"/>
            <w:vAlign w:val="center"/>
          </w:tcPr>
          <w:p>
            <w:pPr>
              <w:spacing w:line="360" w:lineRule="auto"/>
              <w:jc w:val="center"/>
              <w:rPr>
                <w:rFonts w:ascii="宋体" w:hAnsi="宋体" w:cs="宋体"/>
                <w:color w:val="auto"/>
                <w:szCs w:val="21"/>
                <w:highlight w:val="none"/>
              </w:rPr>
            </w:pPr>
          </w:p>
        </w:tc>
      </w:tr>
    </w:tbl>
    <w:p>
      <w:pPr>
        <w:spacing w:line="360" w:lineRule="auto"/>
        <w:ind w:firstLine="420" w:firstLineChars="200"/>
        <w:rPr>
          <w:rFonts w:ascii="宋体" w:hAnsi="宋体" w:cs="宋体"/>
          <w:bCs/>
          <w:color w:val="auto"/>
          <w:kern w:val="0"/>
          <w:szCs w:val="21"/>
          <w:highlight w:val="none"/>
          <w:lang w:val="zh-CN"/>
        </w:rPr>
      </w:pPr>
    </w:p>
    <w:p>
      <w:pPr>
        <w:spacing w:line="360" w:lineRule="auto"/>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注：</w:t>
      </w:r>
    </w:p>
    <w:p>
      <w:pPr>
        <w:spacing w:line="360" w:lineRule="auto"/>
        <w:ind w:firstLine="420" w:firstLineChars="200"/>
        <w:rPr>
          <w:rFonts w:ascii="宋体" w:hAnsi="宋体" w:cs="宋体"/>
          <w:bCs/>
          <w:color w:val="auto"/>
          <w:kern w:val="0"/>
          <w:szCs w:val="21"/>
          <w:highlight w:val="none"/>
          <w:lang w:val="zh-CN"/>
        </w:rPr>
      </w:pPr>
      <w:r>
        <w:rPr>
          <w:rFonts w:ascii="宋体" w:hAnsi="宋体" w:cs="宋体"/>
          <w:bCs/>
          <w:color w:val="auto"/>
          <w:kern w:val="0"/>
          <w:szCs w:val="21"/>
          <w:highlight w:val="none"/>
          <w:lang w:val="zh-CN"/>
        </w:rPr>
        <w:t>1、投标人需按本表格式填写，</w:t>
      </w:r>
      <w:r>
        <w:rPr>
          <w:rFonts w:hint="eastAsia" w:ascii="宋体" w:hAnsi="宋体" w:cs="宋体"/>
          <w:bCs/>
          <w:color w:val="auto"/>
          <w:kern w:val="0"/>
          <w:szCs w:val="21"/>
          <w:highlight w:val="none"/>
        </w:rPr>
        <w:t>否则视为投标文件含有采购人不能接受的附加条件，投标无效。</w:t>
      </w:r>
    </w:p>
    <w:p>
      <w:pPr>
        <w:spacing w:line="360" w:lineRule="auto"/>
        <w:ind w:firstLine="420" w:firstLineChars="200"/>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pPr>
        <w:spacing w:line="360" w:lineRule="auto"/>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w:t>
      </w:r>
      <w:r>
        <w:rPr>
          <w:rFonts w:ascii="宋体" w:hAnsi="宋体" w:cs="宋体"/>
          <w:bCs/>
          <w:color w:val="auto"/>
          <w:kern w:val="0"/>
          <w:szCs w:val="21"/>
          <w:highlight w:val="none"/>
          <w:lang w:val="zh-CN"/>
        </w:rPr>
        <w:t>、特别提示：</w:t>
      </w:r>
      <w:r>
        <w:rPr>
          <w:rFonts w:hint="eastAsia" w:ascii="宋体" w:hAnsi="宋体" w:cs="宋体"/>
          <w:bCs/>
          <w:color w:val="auto"/>
          <w:kern w:val="0"/>
          <w:szCs w:val="21"/>
          <w:highlight w:val="none"/>
          <w:lang w:val="zh-CN"/>
        </w:rPr>
        <w:t>采购代理机构</w:t>
      </w:r>
      <w:r>
        <w:rPr>
          <w:rFonts w:ascii="宋体" w:hAnsi="宋体" w:cs="宋体"/>
          <w:bCs/>
          <w:color w:val="auto"/>
          <w:kern w:val="0"/>
          <w:szCs w:val="21"/>
          <w:highlight w:val="none"/>
          <w:lang w:val="zh-CN"/>
        </w:rPr>
        <w:t>将对项目名称和项目编号，中标供应商名称、地址和中标金额，主要中标标的</w:t>
      </w:r>
      <w:r>
        <w:rPr>
          <w:rFonts w:hint="eastAsia" w:ascii="宋体" w:hAnsi="宋体" w:cs="宋体"/>
          <w:bCs/>
          <w:color w:val="auto"/>
          <w:kern w:val="0"/>
          <w:szCs w:val="21"/>
          <w:highlight w:val="none"/>
          <w:lang w:val="zh-CN"/>
        </w:rPr>
        <w:t>名称、服务范围、服务要求、服务时间、服务标准等予以公示。</w:t>
      </w:r>
    </w:p>
    <w:p>
      <w:pPr>
        <w:spacing w:line="360" w:lineRule="auto"/>
        <w:ind w:firstLine="420" w:firstLineChars="200"/>
        <w:rPr>
          <w:rFonts w:ascii="宋体" w:hAnsi="宋体" w:cs="宋体"/>
          <w:b/>
          <w:color w:val="auto"/>
          <w:kern w:val="0"/>
          <w:szCs w:val="21"/>
          <w:highlight w:val="none"/>
        </w:rPr>
      </w:pPr>
      <w:r>
        <w:rPr>
          <w:rFonts w:ascii="宋体" w:hAnsi="宋体" w:cs="宋体"/>
          <w:bCs/>
          <w:color w:val="auto"/>
          <w:kern w:val="0"/>
          <w:szCs w:val="21"/>
          <w:highlight w:val="none"/>
          <w:lang w:val="zh-CN"/>
        </w:rPr>
        <w:t>4、</w:t>
      </w:r>
      <w:r>
        <w:rPr>
          <w:rFonts w:hint="eastAsia" w:ascii="宋体" w:hAnsi="宋体" w:cs="宋体"/>
          <w:bCs/>
          <w:color w:val="auto"/>
          <w:kern w:val="0"/>
          <w:szCs w:val="21"/>
          <w:highlight w:val="none"/>
          <w:lang w:val="zh-CN"/>
        </w:rPr>
        <w:t>符合招标文件中列明的可享受中小企业扶持政策的投标人，请填写中小企业声明函。注：投标人</w:t>
      </w:r>
      <w:r>
        <w:rPr>
          <w:rFonts w:ascii="宋体" w:hAnsi="宋体" w:cs="宋体"/>
          <w:bCs/>
          <w:color w:val="auto"/>
          <w:kern w:val="0"/>
          <w:szCs w:val="21"/>
          <w:highlight w:val="none"/>
          <w:lang w:val="zh-CN"/>
        </w:rPr>
        <w:t>提供</w:t>
      </w:r>
      <w:r>
        <w:rPr>
          <w:rFonts w:hint="eastAsia" w:ascii="宋体" w:hAnsi="宋体" w:cs="宋体"/>
          <w:bCs/>
          <w:color w:val="auto"/>
          <w:kern w:val="0"/>
          <w:szCs w:val="21"/>
          <w:highlight w:val="none"/>
          <w:lang w:val="zh-CN"/>
        </w:rPr>
        <w:t>的中小企业</w:t>
      </w:r>
      <w:r>
        <w:rPr>
          <w:rFonts w:ascii="宋体" w:hAnsi="宋体" w:cs="宋体"/>
          <w:bCs/>
          <w:color w:val="auto"/>
          <w:kern w:val="0"/>
          <w:szCs w:val="21"/>
          <w:highlight w:val="none"/>
          <w:lang w:val="zh-CN"/>
        </w:rPr>
        <w:t>声明函内容不实的，属于提供虚假材料谋取中标、成交，依照《中华人民共和国政府采购法》等国家有关规定追究相应责任。</w:t>
      </w: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4"/>
        <w:pageBreakBefore w:val="0"/>
        <w:widowControl w:val="0"/>
        <w:kinsoku/>
        <w:wordWrap/>
        <w:overflowPunct/>
        <w:topLinePunct w:val="0"/>
        <w:autoSpaceDE/>
        <w:autoSpaceDN/>
        <w:bidi w:val="0"/>
        <w:adjustRightInd w:val="0"/>
        <w:snapToGrid w:val="0"/>
        <w:spacing w:before="60" w:after="60" w:line="360" w:lineRule="auto"/>
        <w:textAlignment w:val="auto"/>
        <w:rPr>
          <w:rFonts w:ascii="宋体" w:hAnsi="宋体" w:cs="宋体"/>
          <w:color w:val="auto"/>
          <w:szCs w:val="21"/>
          <w:highlight w:val="none"/>
        </w:rPr>
      </w:pPr>
      <w:r>
        <w:rPr>
          <w:rFonts w:hint="eastAsia" w:ascii="宋体" w:hAnsi="宋体" w:cs="宋体"/>
          <w:color w:val="auto"/>
          <w:szCs w:val="21"/>
          <w:highlight w:val="none"/>
        </w:rPr>
        <w:t>附件</w:t>
      </w:r>
    </w:p>
    <w:p>
      <w:pPr>
        <w:pStyle w:val="4"/>
        <w:pageBreakBefore w:val="0"/>
        <w:widowControl w:val="0"/>
        <w:kinsoku/>
        <w:wordWrap/>
        <w:overflowPunct/>
        <w:topLinePunct w:val="0"/>
        <w:autoSpaceDE/>
        <w:autoSpaceDN/>
        <w:bidi w:val="0"/>
        <w:adjustRightInd w:val="0"/>
        <w:snapToGrid w:val="0"/>
        <w:spacing w:before="60" w:after="60" w:line="360" w:lineRule="auto"/>
        <w:textAlignment w:val="auto"/>
        <w:rPr>
          <w:rFonts w:ascii="宋体" w:hAnsi="宋体" w:cs="宋体"/>
          <w:color w:val="auto"/>
          <w:szCs w:val="21"/>
          <w:highlight w:val="none"/>
        </w:rPr>
      </w:pPr>
      <w:r>
        <w:rPr>
          <w:rFonts w:hint="eastAsia" w:ascii="宋体" w:hAnsi="宋体" w:cs="宋体"/>
          <w:color w:val="auto"/>
          <w:szCs w:val="21"/>
          <w:highlight w:val="none"/>
        </w:rPr>
        <w:t>附件1：</w:t>
      </w:r>
    </w:p>
    <w:p>
      <w:pPr>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pacing w:val="6"/>
          <w:szCs w:val="21"/>
          <w:highlight w:val="none"/>
        </w:rPr>
      </w:pPr>
      <w:bookmarkStart w:id="564" w:name="OLE_LINK14"/>
      <w:bookmarkStart w:id="565" w:name="OLE_LINK13"/>
      <w:r>
        <w:rPr>
          <w:rFonts w:hint="eastAsia" w:ascii="宋体" w:hAnsi="宋体" w:cs="宋体"/>
          <w:b/>
          <w:color w:val="auto"/>
          <w:spacing w:val="6"/>
          <w:szCs w:val="21"/>
          <w:highlight w:val="none"/>
        </w:rPr>
        <w:t>残疾人福利性单位声明函</w:t>
      </w:r>
    </w:p>
    <w:bookmarkEnd w:id="564"/>
    <w:bookmarkEnd w:id="565"/>
    <w:p>
      <w:pPr>
        <w:keepNext w:val="0"/>
        <w:keepLines w:val="0"/>
        <w:pageBreakBefore w:val="0"/>
        <w:widowControl w:val="0"/>
        <w:kinsoku/>
        <w:wordWrap/>
        <w:overflowPunct/>
        <w:topLinePunct w:val="0"/>
        <w:autoSpaceDE/>
        <w:autoSpaceDN/>
        <w:bidi w:val="0"/>
        <w:adjustRightInd w:val="0"/>
        <w:snapToGrid w:val="0"/>
        <w:spacing w:line="360" w:lineRule="auto"/>
        <w:ind w:firstLine="432" w:firstLineChars="200"/>
        <w:jc w:val="both"/>
        <w:textAlignment w:val="auto"/>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bCs/>
          <w:color w:val="auto"/>
          <w:kern w:val="0"/>
          <w:szCs w:val="21"/>
          <w:highlight w:val="none"/>
          <w:u w:val="single"/>
          <w:lang w:val="zh-CN"/>
        </w:rPr>
        <w:t>(采购人)</w:t>
      </w:r>
      <w:r>
        <w:rPr>
          <w:rFonts w:hint="eastAsia" w:ascii="宋体" w:hAnsi="宋体" w:eastAsia="宋体" w:cs="宋体"/>
          <w:bCs/>
          <w:color w:val="auto"/>
          <w:kern w:val="0"/>
          <w:szCs w:val="21"/>
          <w:highlight w:val="none"/>
          <w:lang w:val="zh-CN"/>
        </w:rPr>
        <w:t>单位的</w:t>
      </w:r>
      <w:r>
        <w:rPr>
          <w:rFonts w:hint="eastAsia" w:ascii="宋体" w:hAnsi="宋体" w:eastAsia="宋体" w:cs="宋体"/>
          <w:bCs/>
          <w:color w:val="auto"/>
          <w:kern w:val="0"/>
          <w:szCs w:val="21"/>
          <w:highlight w:val="none"/>
          <w:u w:val="single"/>
          <w:lang w:val="zh-CN"/>
        </w:rPr>
        <w:t>（项目名称）</w:t>
      </w:r>
      <w:r>
        <w:rPr>
          <w:rFonts w:hint="eastAsia" w:ascii="宋体" w:hAnsi="宋体" w:eastAsia="宋体" w:cs="宋体"/>
          <w:bCs/>
          <w:color w:val="auto"/>
          <w:kern w:val="0"/>
          <w:szCs w:val="21"/>
          <w:highlight w:val="none"/>
          <w:lang w:val="zh-CN"/>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val="0"/>
        <w:spacing w:line="360" w:lineRule="auto"/>
        <w:ind w:firstLine="432" w:firstLineChars="200"/>
        <w:jc w:val="both"/>
        <w:textAlignment w:val="auto"/>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本单位对上述声明的真实性负责。如有虚假，将依法承担相应责任。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432" w:firstLineChars="200"/>
        <w:textAlignment w:val="auto"/>
        <w:rPr>
          <w:rFonts w:ascii="宋体" w:hAnsi="宋体" w:cs="宋体"/>
          <w:color w:val="auto"/>
          <w:szCs w:val="21"/>
          <w:highlight w:val="none"/>
        </w:rPr>
      </w:pPr>
    </w:p>
    <w:p>
      <w:pPr>
        <w:pageBreakBefore w:val="0"/>
        <w:widowControl w:val="0"/>
        <w:kinsoku/>
        <w:wordWrap/>
        <w:overflowPunct/>
        <w:topLinePunct w:val="0"/>
        <w:autoSpaceDE/>
        <w:autoSpaceDN/>
        <w:bidi w:val="0"/>
        <w:adjustRightInd w:val="0"/>
        <w:snapToGrid w:val="0"/>
        <w:spacing w:line="360" w:lineRule="auto"/>
        <w:ind w:firstLine="432" w:firstLineChars="200"/>
        <w:textAlignment w:val="auto"/>
        <w:rPr>
          <w:rFonts w:ascii="宋体" w:hAnsi="宋体" w:cs="宋体"/>
          <w:color w:val="auto"/>
          <w:szCs w:val="21"/>
          <w:highlight w:val="none"/>
        </w:rPr>
      </w:pPr>
    </w:p>
    <w:p>
      <w:pPr>
        <w:pageBreakBefore w:val="0"/>
        <w:widowControl w:val="0"/>
        <w:tabs>
          <w:tab w:val="left" w:pos="4860"/>
        </w:tabs>
        <w:kinsoku/>
        <w:wordWrap/>
        <w:overflowPunct/>
        <w:topLinePunct w:val="0"/>
        <w:autoSpaceDE/>
        <w:autoSpaceDN/>
        <w:bidi w:val="0"/>
        <w:adjustRightInd w:val="0"/>
        <w:snapToGrid w:val="0"/>
        <w:spacing w:line="360" w:lineRule="auto"/>
        <w:ind w:right="1560" w:firstLine="432" w:firstLineChars="200"/>
        <w:jc w:val="center"/>
        <w:textAlignment w:val="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CN"/>
        </w:rPr>
        <w:t>投标人名称（电子签名）</w:t>
      </w:r>
      <w:r>
        <w:rPr>
          <w:rFonts w:hint="eastAsia" w:ascii="宋体" w:hAnsi="宋体" w:cs="宋体"/>
          <w:color w:val="auto"/>
          <w:szCs w:val="21"/>
          <w:highlight w:val="none"/>
        </w:rPr>
        <w:t>：</w:t>
      </w:r>
    </w:p>
    <w:p>
      <w:pPr>
        <w:pageBreakBefore w:val="0"/>
        <w:widowControl w:val="0"/>
        <w:tabs>
          <w:tab w:val="left" w:pos="4860"/>
        </w:tabs>
        <w:kinsoku/>
        <w:wordWrap/>
        <w:overflowPunct/>
        <w:topLinePunct w:val="0"/>
        <w:autoSpaceDE/>
        <w:autoSpaceDN/>
        <w:bidi w:val="0"/>
        <w:adjustRightInd w:val="0"/>
        <w:snapToGrid w:val="0"/>
        <w:spacing w:line="360" w:lineRule="auto"/>
        <w:ind w:right="1560" w:firstLine="432" w:firstLineChars="200"/>
        <w:jc w:val="center"/>
        <w:textAlignment w:val="auto"/>
        <w:rPr>
          <w:rFonts w:ascii="宋体" w:hAnsi="宋体" w:cs="宋体"/>
          <w:b/>
          <w:color w:val="auto"/>
          <w:spacing w:val="6"/>
          <w:szCs w:val="21"/>
          <w:highlight w:val="none"/>
        </w:rPr>
      </w:pPr>
      <w:r>
        <w:rPr>
          <w:rFonts w:hint="eastAsia" w:ascii="宋体" w:hAnsi="宋体" w:cs="宋体"/>
          <w:color w:val="auto"/>
          <w:szCs w:val="21"/>
          <w:highlight w:val="none"/>
        </w:rPr>
        <w:t xml:space="preserve">       日  期：</w:t>
      </w:r>
      <w:r>
        <w:rPr>
          <w:rFonts w:hint="eastAsia" w:ascii="宋体" w:hAnsi="宋体" w:cs="宋体"/>
          <w:b/>
          <w:color w:val="auto"/>
          <w:spacing w:val="6"/>
          <w:szCs w:val="21"/>
          <w:highlight w:val="none"/>
        </w:rPr>
        <w:br w:type="page"/>
      </w:r>
    </w:p>
    <w:p>
      <w:pPr>
        <w:pStyle w:val="4"/>
        <w:spacing w:line="360" w:lineRule="auto"/>
        <w:rPr>
          <w:color w:val="auto"/>
          <w:szCs w:val="21"/>
          <w:highlight w:val="none"/>
        </w:rPr>
      </w:pPr>
      <w:r>
        <w:rPr>
          <w:rFonts w:hint="eastAsia"/>
          <w:color w:val="auto"/>
          <w:szCs w:val="21"/>
          <w:highlight w:val="none"/>
        </w:rPr>
        <w:t>附件2：质疑函范本及制作说明</w:t>
      </w:r>
    </w:p>
    <w:p>
      <w:pPr>
        <w:spacing w:line="360" w:lineRule="auto"/>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质疑函范本</w:t>
      </w:r>
    </w:p>
    <w:p>
      <w:pPr>
        <w:snapToGrid w:val="0"/>
        <w:spacing w:before="240" w:beforeLines="100" w:line="360" w:lineRule="auto"/>
        <w:rPr>
          <w:rFonts w:ascii="宋体" w:hAnsi="宋体" w:cs="宋体"/>
          <w:bCs/>
          <w:color w:val="auto"/>
          <w:szCs w:val="21"/>
          <w:highlight w:val="none"/>
        </w:rPr>
      </w:pPr>
      <w:r>
        <w:rPr>
          <w:rFonts w:hint="eastAsia" w:ascii="宋体" w:hAnsi="宋体" w:cs="宋体"/>
          <w:bCs/>
          <w:color w:val="auto"/>
          <w:szCs w:val="21"/>
          <w:highlight w:val="none"/>
        </w:rPr>
        <w:t>一、质疑供应商基本信息</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二、质疑项目基本情况</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三、质疑事项具体内容</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质疑事项2</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日期：    </w:t>
      </w:r>
    </w:p>
    <w:p>
      <w:pPr>
        <w:pageBreakBefore w:val="0"/>
        <w:kinsoku/>
        <w:wordWrap/>
        <w:overflowPunct/>
        <w:topLinePunct w:val="0"/>
        <w:bidi w:val="0"/>
        <w:adjustRightInd w:val="0"/>
        <w:snapToGrid w:val="0"/>
        <w:spacing w:line="360" w:lineRule="auto"/>
        <w:textAlignment w:val="auto"/>
        <w:rPr>
          <w:rFonts w:ascii="宋体" w:hAnsi="宋体" w:cs="宋体"/>
          <w:b/>
          <w:color w:val="auto"/>
          <w:szCs w:val="21"/>
          <w:highlight w:val="none"/>
        </w:rPr>
      </w:pPr>
      <w:r>
        <w:rPr>
          <w:rFonts w:hint="eastAsia" w:ascii="宋体" w:hAnsi="宋体" w:cs="宋体"/>
          <w:b/>
          <w:color w:val="auto"/>
          <w:szCs w:val="21"/>
          <w:highlight w:val="none"/>
        </w:rPr>
        <w:t>质疑函制作说明：</w:t>
      </w:r>
    </w:p>
    <w:p>
      <w:pPr>
        <w:pageBreakBefore w:val="0"/>
        <w:widowControl/>
        <w:kinsoku/>
        <w:wordWrap/>
        <w:overflowPunct/>
        <w:topLinePunct w:val="0"/>
        <w:bidi w:val="0"/>
        <w:adjustRightInd w:val="0"/>
        <w:snapToGrid w:val="0"/>
        <w:spacing w:line="360" w:lineRule="auto"/>
        <w:ind w:firstLine="432"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pPr>
        <w:pageBreakBefore w:val="0"/>
        <w:widowControl/>
        <w:kinsoku/>
        <w:wordWrap/>
        <w:overflowPunct/>
        <w:topLinePunct w:val="0"/>
        <w:bidi w:val="0"/>
        <w:adjustRightInd w:val="0"/>
        <w:snapToGrid w:val="0"/>
        <w:spacing w:line="360" w:lineRule="auto"/>
        <w:ind w:firstLine="432"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pPr>
        <w:pageBreakBefore w:val="0"/>
        <w:widowControl/>
        <w:kinsoku/>
        <w:wordWrap/>
        <w:overflowPunct/>
        <w:topLinePunct w:val="0"/>
        <w:bidi w:val="0"/>
        <w:adjustRightInd w:val="0"/>
        <w:snapToGrid w:val="0"/>
        <w:spacing w:line="360" w:lineRule="auto"/>
        <w:ind w:firstLine="432"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pPr>
        <w:pageBreakBefore w:val="0"/>
        <w:widowControl/>
        <w:kinsoku/>
        <w:wordWrap/>
        <w:overflowPunct/>
        <w:topLinePunct w:val="0"/>
        <w:bidi w:val="0"/>
        <w:adjustRightInd w:val="0"/>
        <w:snapToGrid w:val="0"/>
        <w:spacing w:line="360" w:lineRule="auto"/>
        <w:ind w:firstLine="432"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pPr>
        <w:pageBreakBefore w:val="0"/>
        <w:widowControl/>
        <w:kinsoku/>
        <w:wordWrap/>
        <w:overflowPunct/>
        <w:topLinePunct w:val="0"/>
        <w:bidi w:val="0"/>
        <w:adjustRightInd w:val="0"/>
        <w:snapToGrid w:val="0"/>
        <w:spacing w:line="360" w:lineRule="auto"/>
        <w:ind w:firstLine="432"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pPr>
        <w:pageBreakBefore w:val="0"/>
        <w:widowControl/>
        <w:kinsoku/>
        <w:wordWrap/>
        <w:overflowPunct/>
        <w:topLinePunct w:val="0"/>
        <w:bidi w:val="0"/>
        <w:adjustRightInd w:val="0"/>
        <w:snapToGrid w:val="0"/>
        <w:spacing w:line="360" w:lineRule="auto"/>
        <w:ind w:firstLine="432"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pPr>
        <w:pageBreakBefore w:val="0"/>
        <w:widowControl/>
        <w:kinsoku/>
        <w:wordWrap/>
        <w:overflowPunct/>
        <w:topLinePunct w:val="0"/>
        <w:bidi w:val="0"/>
        <w:adjustRightInd w:val="0"/>
        <w:snapToGrid w:val="0"/>
        <w:spacing w:line="360" w:lineRule="auto"/>
        <w:ind w:firstLine="432" w:firstLineChars="200"/>
        <w:jc w:val="left"/>
        <w:textAlignment w:val="auto"/>
        <w:rPr>
          <w:rFonts w:ascii="宋体" w:hAnsi="宋体" w:cs="宋体"/>
          <w:color w:val="auto"/>
          <w:szCs w:val="21"/>
          <w:highlight w:val="none"/>
        </w:rPr>
      </w:pPr>
    </w:p>
    <w:p>
      <w:pPr>
        <w:pageBreakBefore w:val="0"/>
        <w:kinsoku/>
        <w:wordWrap/>
        <w:overflowPunct/>
        <w:topLinePunct w:val="0"/>
        <w:bidi w:val="0"/>
        <w:adjustRightInd w:val="0"/>
        <w:snapToGrid w:val="0"/>
        <w:spacing w:line="360" w:lineRule="auto"/>
        <w:jc w:val="left"/>
        <w:textAlignment w:val="auto"/>
        <w:rPr>
          <w:rFonts w:ascii="宋体" w:hAnsi="宋体" w:cs="宋体"/>
          <w:b/>
          <w:color w:val="auto"/>
          <w:spacing w:val="6"/>
          <w:szCs w:val="21"/>
          <w:highlight w:val="none"/>
        </w:rPr>
      </w:pPr>
    </w:p>
    <w:p>
      <w:pPr>
        <w:pageBreakBefore w:val="0"/>
        <w:kinsoku/>
        <w:wordWrap/>
        <w:overflowPunct/>
        <w:topLinePunct w:val="0"/>
        <w:bidi w:val="0"/>
        <w:adjustRightInd w:val="0"/>
        <w:snapToGrid w:val="0"/>
        <w:textAlignment w:val="auto"/>
        <w:rPr>
          <w:rFonts w:hint="eastAsia"/>
          <w:color w:val="auto"/>
          <w:szCs w:val="21"/>
          <w:highlight w:val="none"/>
        </w:rPr>
      </w:pPr>
      <w:r>
        <w:rPr>
          <w:rFonts w:hint="eastAsia"/>
          <w:color w:val="auto"/>
          <w:szCs w:val="21"/>
          <w:highlight w:val="none"/>
        </w:rPr>
        <w:br w:type="page"/>
      </w:r>
    </w:p>
    <w:p>
      <w:pPr>
        <w:pStyle w:val="4"/>
        <w:pageBreakBefore w:val="0"/>
        <w:kinsoku/>
        <w:wordWrap/>
        <w:overflowPunct/>
        <w:topLinePunct w:val="0"/>
        <w:bidi w:val="0"/>
        <w:adjustRightInd w:val="0"/>
        <w:snapToGrid w:val="0"/>
        <w:spacing w:line="360" w:lineRule="auto"/>
        <w:textAlignment w:val="auto"/>
        <w:rPr>
          <w:color w:val="auto"/>
          <w:szCs w:val="21"/>
          <w:highlight w:val="none"/>
        </w:rPr>
      </w:pPr>
      <w:r>
        <w:rPr>
          <w:rFonts w:hint="eastAsia"/>
          <w:color w:val="auto"/>
          <w:szCs w:val="21"/>
          <w:highlight w:val="none"/>
        </w:rPr>
        <w:t>附件3：投诉书范本及制作说明</w:t>
      </w:r>
    </w:p>
    <w:p>
      <w:pPr>
        <w:pageBreakBefore w:val="0"/>
        <w:kinsoku/>
        <w:wordWrap/>
        <w:overflowPunct/>
        <w:topLinePunct w:val="0"/>
        <w:bidi w:val="0"/>
        <w:adjustRightInd w:val="0"/>
        <w:snapToGrid w:val="0"/>
        <w:spacing w:line="360" w:lineRule="auto"/>
        <w:jc w:val="center"/>
        <w:textAlignment w:val="auto"/>
        <w:rPr>
          <w:rFonts w:ascii="宋体" w:hAnsi="宋体" w:cs="宋体"/>
          <w:b/>
          <w:color w:val="auto"/>
          <w:spacing w:val="6"/>
          <w:szCs w:val="21"/>
          <w:highlight w:val="none"/>
        </w:rPr>
      </w:pPr>
      <w:r>
        <w:rPr>
          <w:rFonts w:hint="eastAsia" w:ascii="宋体" w:hAnsi="宋体" w:cs="宋体"/>
          <w:b/>
          <w:color w:val="auto"/>
          <w:spacing w:val="6"/>
          <w:szCs w:val="21"/>
          <w:highlight w:val="none"/>
        </w:rPr>
        <w:t>投诉书范本</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一、投诉相关主体基本情况</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dotted"/>
        </w:rPr>
      </w:pPr>
      <w:r>
        <w:rPr>
          <w:rFonts w:hint="eastAsia" w:ascii="宋体" w:hAnsi="宋体" w:cs="宋体"/>
          <w:color w:val="auto"/>
          <w:szCs w:val="21"/>
          <w:highlight w:val="none"/>
        </w:rPr>
        <w:t>投诉人：</w:t>
      </w:r>
      <w:r>
        <w:rPr>
          <w:rFonts w:hint="eastAsia" w:ascii="宋体" w:hAnsi="宋体" w:cs="宋体"/>
          <w:color w:val="auto"/>
          <w:szCs w:val="21"/>
          <w:highlight w:val="none"/>
          <w:u w:val="dotted"/>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pageBreakBefore w:val="0"/>
        <w:tabs>
          <w:tab w:val="left" w:pos="6510"/>
        </w:tabs>
        <w:kinsoku/>
        <w:wordWrap/>
        <w:overflowPunct/>
        <w:topLinePunct w:val="0"/>
        <w:bidi w:val="0"/>
        <w:adjustRightInd w:val="0"/>
        <w:snapToGrid w:val="0"/>
        <w:spacing w:line="36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法定代表人/主要负责人：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pageBreakBefore w:val="0"/>
        <w:tabs>
          <w:tab w:val="left" w:pos="6510"/>
        </w:tabs>
        <w:kinsoku/>
        <w:wordWrap/>
        <w:overflowPunct/>
        <w:topLinePunct w:val="0"/>
        <w:bidi w:val="0"/>
        <w:adjustRightInd w:val="0"/>
        <w:snapToGrid w:val="0"/>
        <w:spacing w:line="360" w:lineRule="auto"/>
        <w:textAlignment w:val="auto"/>
        <w:rPr>
          <w:rFonts w:ascii="宋体" w:hAnsi="宋体" w:cs="宋体"/>
          <w:color w:val="auto"/>
          <w:szCs w:val="21"/>
          <w:highlight w:val="none"/>
          <w:u w:val="dotted"/>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dotted"/>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dotted"/>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被投诉人1：</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被投诉人2</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dotted"/>
        </w:rPr>
      </w:pPr>
      <w:r>
        <w:rPr>
          <w:rFonts w:hint="eastAsia" w:ascii="宋体" w:hAnsi="宋体" w:cs="宋体"/>
          <w:color w:val="auto"/>
          <w:szCs w:val="21"/>
          <w:highlight w:val="none"/>
        </w:rPr>
        <w:t>……</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相关供应商：</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二、投诉项目基本情况</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dotted"/>
        </w:rPr>
      </w:pPr>
      <w:r>
        <w:rPr>
          <w:rFonts w:hint="eastAsia" w:ascii="宋体" w:hAnsi="宋体" w:cs="宋体"/>
          <w:color w:val="auto"/>
          <w:szCs w:val="21"/>
          <w:highlight w:val="none"/>
        </w:rPr>
        <w:t>采购项目名称：</w:t>
      </w:r>
      <w:r>
        <w:rPr>
          <w:rFonts w:hint="eastAsia" w:ascii="宋体" w:hAnsi="宋体" w:cs="宋体"/>
          <w:color w:val="auto"/>
          <w:szCs w:val="21"/>
          <w:highlight w:val="none"/>
          <w:u w:val="dotted"/>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代理机构名称：</w:t>
      </w:r>
      <w:r>
        <w:rPr>
          <w:rFonts w:hint="eastAsia" w:ascii="宋体" w:hAnsi="宋体" w:cs="宋体"/>
          <w:color w:val="auto"/>
          <w:szCs w:val="21"/>
          <w:highlight w:val="none"/>
          <w:u w:val="dotted"/>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三、质疑基本情况</w:t>
      </w:r>
    </w:p>
    <w:p>
      <w:pPr>
        <w:pageBreakBefore w:val="0"/>
        <w:kinsoku/>
        <w:wordWrap/>
        <w:overflowPunct/>
        <w:topLinePunct w:val="0"/>
        <w:bidi w:val="0"/>
        <w:adjustRightInd w:val="0"/>
        <w:snapToGrid w:val="0"/>
        <w:spacing w:line="360" w:lineRule="auto"/>
        <w:ind w:firstLine="432" w:firstLineChars="200"/>
        <w:textAlignment w:val="auto"/>
        <w:rPr>
          <w:rFonts w:ascii="宋体" w:hAnsi="宋体" w:cs="宋体"/>
          <w:color w:val="auto"/>
          <w:szCs w:val="21"/>
          <w:highlight w:val="none"/>
          <w:u w:val="dotted"/>
        </w:rPr>
      </w:pPr>
      <w:r>
        <w:rPr>
          <w:rFonts w:hint="eastAsia" w:ascii="宋体" w:hAnsi="宋体" w:cs="宋体"/>
          <w:color w:val="auto"/>
          <w:szCs w:val="21"/>
          <w:highlight w:val="none"/>
        </w:rPr>
        <w:t>投诉人于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日,向</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提出质疑，质疑事项为：</w:t>
      </w:r>
      <w:r>
        <w:rPr>
          <w:rFonts w:hint="eastAsia" w:ascii="宋体" w:hAnsi="宋体" w:cs="宋体"/>
          <w:color w:val="auto"/>
          <w:szCs w:val="21"/>
          <w:highlight w:val="none"/>
          <w:u w:val="dotted"/>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pageBreakBefore w:val="0"/>
        <w:kinsoku/>
        <w:wordWrap/>
        <w:overflowPunct/>
        <w:topLinePunct w:val="0"/>
        <w:bidi w:val="0"/>
        <w:adjustRightInd w:val="0"/>
        <w:snapToGrid w:val="0"/>
        <w:spacing w:line="360" w:lineRule="auto"/>
        <w:ind w:firstLine="324" w:firstLineChars="150"/>
        <w:textAlignment w:val="auto"/>
        <w:rPr>
          <w:rFonts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日,就质疑事项作出了答复/没有在法定期限内作出答复。</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四、投诉事项具体内容</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投诉事项 1：</w:t>
      </w:r>
      <w:r>
        <w:rPr>
          <w:rFonts w:hint="eastAsia" w:ascii="宋体" w:hAnsi="宋体" w:cs="宋体"/>
          <w:color w:val="auto"/>
          <w:szCs w:val="21"/>
          <w:highlight w:val="none"/>
          <w:u w:val="dotted"/>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投诉事项2</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dotted"/>
        </w:rPr>
      </w:pPr>
      <w:r>
        <w:rPr>
          <w:rFonts w:hint="eastAsia" w:ascii="宋体" w:hAnsi="宋体" w:cs="宋体"/>
          <w:color w:val="auto"/>
          <w:szCs w:val="21"/>
          <w:highlight w:val="none"/>
        </w:rPr>
        <w:t>……</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五、与投诉事项相关的投诉请求</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 xml:space="preserve">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 xml:space="preserve">日期：    </w:t>
      </w:r>
    </w:p>
    <w:p>
      <w:pPr>
        <w:pageBreakBefore w:val="0"/>
        <w:kinsoku/>
        <w:wordWrap/>
        <w:overflowPunct/>
        <w:topLinePunct w:val="0"/>
        <w:bidi w:val="0"/>
        <w:adjustRightInd w:val="0"/>
        <w:snapToGrid w:val="0"/>
        <w:spacing w:line="360" w:lineRule="auto"/>
        <w:textAlignment w:val="auto"/>
        <w:rPr>
          <w:rFonts w:ascii="宋体" w:hAnsi="宋体" w:cs="宋体"/>
          <w:b/>
          <w:color w:val="auto"/>
          <w:szCs w:val="21"/>
          <w:highlight w:val="none"/>
        </w:rPr>
      </w:pPr>
    </w:p>
    <w:p>
      <w:pPr>
        <w:pageBreakBefore w:val="0"/>
        <w:kinsoku/>
        <w:wordWrap/>
        <w:overflowPunct/>
        <w:topLinePunct w:val="0"/>
        <w:bidi w:val="0"/>
        <w:adjustRightInd w:val="0"/>
        <w:snapToGrid w:val="0"/>
        <w:spacing w:line="360" w:lineRule="auto"/>
        <w:textAlignment w:val="auto"/>
        <w:rPr>
          <w:rFonts w:ascii="宋体" w:hAnsi="宋体" w:cs="宋体"/>
          <w:b/>
          <w:color w:val="auto"/>
          <w:szCs w:val="21"/>
          <w:highlight w:val="none"/>
        </w:rPr>
      </w:pPr>
    </w:p>
    <w:p>
      <w:pPr>
        <w:pageBreakBefore w:val="0"/>
        <w:kinsoku/>
        <w:wordWrap/>
        <w:overflowPunct/>
        <w:topLinePunct w:val="0"/>
        <w:bidi w:val="0"/>
        <w:adjustRightInd w:val="0"/>
        <w:snapToGrid w:val="0"/>
        <w:spacing w:line="360" w:lineRule="auto"/>
        <w:textAlignment w:val="auto"/>
        <w:rPr>
          <w:rFonts w:ascii="宋体" w:hAnsi="宋体" w:cs="宋体"/>
          <w:b/>
          <w:color w:val="auto"/>
          <w:szCs w:val="21"/>
          <w:highlight w:val="none"/>
        </w:rPr>
      </w:pPr>
      <w:r>
        <w:rPr>
          <w:rFonts w:hint="eastAsia" w:ascii="宋体" w:hAnsi="宋体" w:cs="宋体"/>
          <w:b/>
          <w:color w:val="auto"/>
          <w:szCs w:val="21"/>
          <w:highlight w:val="none"/>
        </w:rPr>
        <w:t>投诉书制作说明：</w:t>
      </w:r>
    </w:p>
    <w:p>
      <w:pPr>
        <w:pageBreakBefore w:val="0"/>
        <w:widowControl/>
        <w:kinsoku/>
        <w:wordWrap/>
        <w:overflowPunct/>
        <w:topLinePunct w:val="0"/>
        <w:bidi w:val="0"/>
        <w:adjustRightInd w:val="0"/>
        <w:snapToGrid w:val="0"/>
        <w:spacing w:line="360" w:lineRule="auto"/>
        <w:ind w:firstLine="432" w:firstLineChars="200"/>
        <w:textAlignment w:val="auto"/>
        <w:rPr>
          <w:rFonts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pPr>
        <w:pageBreakBefore w:val="0"/>
        <w:widowControl/>
        <w:kinsoku/>
        <w:wordWrap/>
        <w:overflowPunct/>
        <w:topLinePunct w:val="0"/>
        <w:bidi w:val="0"/>
        <w:adjustRightInd w:val="0"/>
        <w:snapToGrid w:val="0"/>
        <w:spacing w:line="360" w:lineRule="auto"/>
        <w:ind w:firstLine="432" w:firstLineChars="200"/>
        <w:jc w:val="left"/>
        <w:textAlignment w:val="auto"/>
        <w:rPr>
          <w:rFonts w:ascii="宋体" w:hAnsi="宋体" w:cs="宋体"/>
          <w:color w:val="auto"/>
          <w:kern w:val="0"/>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pPr>
        <w:pageBreakBefore w:val="0"/>
        <w:widowControl/>
        <w:kinsoku/>
        <w:wordWrap/>
        <w:overflowPunct/>
        <w:topLinePunct w:val="0"/>
        <w:bidi w:val="0"/>
        <w:adjustRightInd w:val="0"/>
        <w:snapToGrid w:val="0"/>
        <w:spacing w:line="360" w:lineRule="auto"/>
        <w:ind w:firstLine="432"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pPr>
        <w:pageBreakBefore w:val="0"/>
        <w:widowControl/>
        <w:kinsoku/>
        <w:wordWrap/>
        <w:overflowPunct/>
        <w:topLinePunct w:val="0"/>
        <w:bidi w:val="0"/>
        <w:adjustRightInd w:val="0"/>
        <w:snapToGrid w:val="0"/>
        <w:spacing w:line="360" w:lineRule="auto"/>
        <w:ind w:firstLine="432"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pPr>
        <w:pageBreakBefore w:val="0"/>
        <w:widowControl/>
        <w:kinsoku/>
        <w:wordWrap/>
        <w:overflowPunct/>
        <w:topLinePunct w:val="0"/>
        <w:bidi w:val="0"/>
        <w:adjustRightInd w:val="0"/>
        <w:snapToGrid w:val="0"/>
        <w:spacing w:line="360" w:lineRule="auto"/>
        <w:ind w:firstLine="432"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pPr>
        <w:pageBreakBefore w:val="0"/>
        <w:widowControl/>
        <w:kinsoku/>
        <w:wordWrap/>
        <w:overflowPunct/>
        <w:topLinePunct w:val="0"/>
        <w:bidi w:val="0"/>
        <w:adjustRightInd w:val="0"/>
        <w:snapToGrid w:val="0"/>
        <w:spacing w:line="360" w:lineRule="auto"/>
        <w:ind w:firstLine="432"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pPr>
        <w:pageBreakBefore w:val="0"/>
        <w:widowControl/>
        <w:kinsoku/>
        <w:wordWrap/>
        <w:overflowPunct/>
        <w:topLinePunct w:val="0"/>
        <w:bidi w:val="0"/>
        <w:adjustRightInd w:val="0"/>
        <w:snapToGrid w:val="0"/>
        <w:spacing w:line="360" w:lineRule="auto"/>
        <w:ind w:firstLine="432" w:firstLineChars="200"/>
        <w:jc w:val="left"/>
        <w:textAlignment w:val="auto"/>
        <w:rPr>
          <w:rFonts w:ascii="宋体" w:hAnsi="宋体" w:cs="宋体"/>
          <w:b/>
          <w:color w:val="auto"/>
          <w:spacing w:val="6"/>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r>
        <w:rPr>
          <w:rFonts w:hint="eastAsia" w:ascii="宋体" w:hAnsi="宋体" w:cs="宋体"/>
          <w:b/>
          <w:color w:val="auto"/>
          <w:spacing w:val="6"/>
          <w:szCs w:val="21"/>
          <w:highlight w:val="none"/>
        </w:rPr>
        <w:br w:type="page"/>
      </w:r>
    </w:p>
    <w:p>
      <w:pPr>
        <w:pStyle w:val="4"/>
        <w:pageBreakBefore w:val="0"/>
        <w:kinsoku/>
        <w:wordWrap/>
        <w:overflowPunct/>
        <w:topLinePunct w:val="0"/>
        <w:bidi w:val="0"/>
        <w:adjustRightInd w:val="0"/>
        <w:snapToGrid w:val="0"/>
        <w:spacing w:line="360" w:lineRule="auto"/>
        <w:textAlignment w:val="auto"/>
        <w:rPr>
          <w:color w:val="auto"/>
          <w:szCs w:val="21"/>
          <w:highlight w:val="none"/>
        </w:rPr>
      </w:pPr>
      <w:r>
        <w:rPr>
          <w:rFonts w:hint="eastAsia"/>
          <w:color w:val="auto"/>
          <w:szCs w:val="21"/>
          <w:highlight w:val="none"/>
        </w:rPr>
        <w:t>附件4：业务专用章使用说明函</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（采购人）、（采购代理机构）：</w:t>
      </w:r>
    </w:p>
    <w:p>
      <w:pPr>
        <w:pageBreakBefore w:val="0"/>
        <w:kinsoku/>
        <w:wordWrap/>
        <w:overflowPunct/>
        <w:topLinePunct w:val="0"/>
        <w:bidi w:val="0"/>
        <w:adjustRightInd w:val="0"/>
        <w:snapToGrid w:val="0"/>
        <w:spacing w:line="360" w:lineRule="auto"/>
        <w:ind w:firstLine="432"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lang w:val="zh-CN"/>
        </w:rPr>
        <w:t>我方</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(投标人全称)是中华人民共和国依法登记注册的合法企业，</w:t>
      </w:r>
      <w:r>
        <w:rPr>
          <w:rFonts w:hint="eastAsia" w:ascii="宋体" w:hAnsi="宋体" w:cs="宋体"/>
          <w:bCs/>
          <w:color w:val="auto"/>
          <w:szCs w:val="21"/>
          <w:highlight w:val="none"/>
        </w:rPr>
        <w:t>在参加</w:t>
      </w:r>
      <w:r>
        <w:rPr>
          <w:rFonts w:hint="eastAsia" w:ascii="宋体" w:hAnsi="宋体" w:cs="宋体"/>
          <w:color w:val="auto"/>
          <w:szCs w:val="21"/>
          <w:highlight w:val="none"/>
        </w:rPr>
        <w:t>你方组织的（项目名称）【招标编号：（采购编号）】</w:t>
      </w:r>
      <w:r>
        <w:rPr>
          <w:rFonts w:hint="eastAsia" w:ascii="宋体" w:hAnsi="宋体" w:cs="宋体"/>
          <w:bCs/>
          <w:color w:val="auto"/>
          <w:szCs w:val="21"/>
          <w:highlight w:val="none"/>
        </w:rPr>
        <w:t>投标活动中作如下说明：</w:t>
      </w:r>
      <w:r>
        <w:rPr>
          <w:rFonts w:hint="eastAsia" w:ascii="宋体" w:hAnsi="宋体" w:cs="宋体"/>
          <w:color w:val="auto"/>
          <w:szCs w:val="21"/>
          <w:highlight w:val="none"/>
        </w:rPr>
        <w:t xml:space="preserve">我方所使用的“XX专用章”与法定名称章具有同等的法律效力，对使用“XX专用章”的行为予以完全承认，并愿意承担相应责任。   </w:t>
      </w:r>
    </w:p>
    <w:p>
      <w:pPr>
        <w:pageBreakBefore w:val="0"/>
        <w:kinsoku/>
        <w:wordWrap/>
        <w:overflowPunct/>
        <w:topLinePunct w:val="0"/>
        <w:bidi w:val="0"/>
        <w:adjustRightInd w:val="0"/>
        <w:snapToGrid w:val="0"/>
        <w:spacing w:line="360" w:lineRule="auto"/>
        <w:ind w:firstLine="432" w:firstLineChars="200"/>
        <w:textAlignment w:val="auto"/>
        <w:rPr>
          <w:rFonts w:ascii="宋体" w:hAnsi="宋体" w:cs="宋体"/>
          <w:color w:val="auto"/>
          <w:szCs w:val="21"/>
          <w:highlight w:val="none"/>
        </w:rPr>
      </w:pPr>
      <w:r>
        <w:rPr>
          <w:rFonts w:hint="eastAsia" w:ascii="宋体" w:hAnsi="宋体" w:cs="宋体"/>
          <w:color w:val="auto"/>
          <w:szCs w:val="21"/>
          <w:highlight w:val="none"/>
        </w:rPr>
        <w:t>特此说明。</w:t>
      </w:r>
    </w:p>
    <w:p>
      <w:pPr>
        <w:pageBreakBefore w:val="0"/>
        <w:kinsoku/>
        <w:wordWrap/>
        <w:overflowPunct/>
        <w:topLinePunct w:val="0"/>
        <w:bidi w:val="0"/>
        <w:adjustRightInd w:val="0"/>
        <w:snapToGrid w:val="0"/>
        <w:spacing w:line="360" w:lineRule="auto"/>
        <w:ind w:right="480" w:firstLine="3672" w:firstLineChars="1700"/>
        <w:textAlignment w:val="auto"/>
        <w:rPr>
          <w:rFonts w:ascii="宋体" w:hAnsi="宋体" w:cs="宋体"/>
          <w:color w:val="auto"/>
          <w:szCs w:val="21"/>
          <w:highlight w:val="none"/>
        </w:rPr>
      </w:pPr>
      <w:r>
        <w:rPr>
          <w:rFonts w:hint="eastAsia" w:ascii="宋体" w:hAnsi="宋体" w:cs="宋体"/>
          <w:color w:val="auto"/>
          <w:szCs w:val="21"/>
          <w:highlight w:val="none"/>
        </w:rPr>
        <w:t>投标单位（法定名称章）：</w:t>
      </w:r>
    </w:p>
    <w:p>
      <w:pPr>
        <w:pageBreakBefore w:val="0"/>
        <w:kinsoku/>
        <w:wordWrap/>
        <w:overflowPunct/>
        <w:topLinePunct w:val="0"/>
        <w:bidi w:val="0"/>
        <w:adjustRightInd w:val="0"/>
        <w:snapToGrid w:val="0"/>
        <w:spacing w:line="360" w:lineRule="auto"/>
        <w:ind w:right="1440" w:firstLine="494"/>
        <w:jc w:val="center"/>
        <w:textAlignment w:val="auto"/>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pPr>
        <w:pageBreakBefore w:val="0"/>
        <w:kinsoku/>
        <w:wordWrap/>
        <w:overflowPunct/>
        <w:topLinePunct w:val="0"/>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b/>
          <w:bCs/>
          <w:color w:val="auto"/>
          <w:szCs w:val="21"/>
          <w:highlight w:val="none"/>
        </w:rPr>
        <w:t>附：</w:t>
      </w:r>
    </w:p>
    <w:p>
      <w:pPr>
        <w:pageBreakBefore w:val="0"/>
        <w:kinsoku/>
        <w:wordWrap/>
        <w:overflowPunct/>
        <w:topLinePunct w:val="0"/>
        <w:bidi w:val="0"/>
        <w:adjustRightInd w:val="0"/>
        <w:snapToGrid w:val="0"/>
        <w:spacing w:line="360" w:lineRule="auto"/>
        <w:textAlignment w:val="auto"/>
        <w:rPr>
          <w:rFonts w:ascii="宋体" w:hAnsi="宋体" w:cs="宋体"/>
          <w:bCs/>
          <w:color w:val="auto"/>
          <w:szCs w:val="21"/>
          <w:highlight w:val="none"/>
        </w:rPr>
      </w:pPr>
      <w:r>
        <w:rPr>
          <w:rFonts w:hint="eastAsia" w:ascii="宋体" w:hAnsi="宋体" w:cs="宋体"/>
          <w:b/>
          <w:bCs/>
          <w:color w:val="auto"/>
          <w:szCs w:val="21"/>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9ZAPP9gAAAAKAQAADwAAAAAAAAABACAAAAA4AAAA&#10;ZHJzL2Rvd25yZXYueG1sUEsBAhQAFAAAAAgAh07iQOLXmAkqAgAAdAQAAA4AAAAAAAAAAQAgAAAA&#10;PQEAAGRycy9lMm9Eb2MueG1sUEsFBgAAAAAGAAYAWQEAANkFAAAAAA==&#10;">
                <v:fill on="t" focussize="0,0"/>
                <v:stroke color="#000000" miterlimit="2" joinstyle="miter"/>
                <v:imagedata o:title=""/>
                <o:lock v:ext="edit" aspectratio="f"/>
              </v:rect>
            </w:pict>
          </mc:Fallback>
        </mc:AlternateContent>
      </w:r>
      <w:r>
        <w:rPr>
          <w:rFonts w:hint="eastAsia" w:ascii="宋体" w:hAnsi="宋体" w:cs="宋体"/>
          <w:b/>
          <w:bCs/>
          <w:color w:val="auto"/>
          <w:szCs w:val="21"/>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GYxHptgAAAAKAQAADwAAAAAAAAABACAAAAA4AAAA&#10;ZHJzL2Rvd25yZXYueG1sUEsBAhQAFAAAAAgAh07iQHeCfUQqAgAAdAQAAA4AAAAAAAAAAQAgAAAA&#10;PQEAAGRycy9lMm9Eb2MueG1sUEsFBgAAAAAGAAYAWQEAANkFAAAAAA==&#10;">
                <v:fill on="t" focussize="0,0"/>
                <v:stroke color="#000000" miterlimit="2" joinstyle="miter"/>
                <v:imagedata o:title=""/>
                <o:lock v:ext="edit" aspectratio="f"/>
              </v:rect>
            </w:pict>
          </mc:Fallback>
        </mc:AlternateContent>
      </w:r>
      <w:r>
        <w:rPr>
          <w:rFonts w:hint="eastAsia" w:ascii="宋体" w:hAnsi="宋体" w:cs="宋体"/>
          <w:color w:val="auto"/>
          <w:szCs w:val="21"/>
          <w:highlight w:val="none"/>
        </w:rPr>
        <w:t>投标单位法定名称章（印模）                       投标单位“XX专用章”（印模）</w:t>
      </w:r>
    </w:p>
    <w:p>
      <w:pPr>
        <w:pageBreakBefore w:val="0"/>
        <w:kinsoku/>
        <w:wordWrap/>
        <w:overflowPunct/>
        <w:topLinePunct w:val="0"/>
        <w:autoSpaceDE w:val="0"/>
        <w:autoSpaceDN w:val="0"/>
        <w:bidi w:val="0"/>
        <w:adjustRightInd w:val="0"/>
        <w:snapToGrid w:val="0"/>
        <w:spacing w:line="360" w:lineRule="auto"/>
        <w:jc w:val="center"/>
        <w:textAlignment w:val="auto"/>
        <w:rPr>
          <w:rFonts w:ascii="宋体" w:hAnsi="宋体" w:cs="宋体"/>
          <w:b/>
          <w:color w:val="auto"/>
          <w:spacing w:val="6"/>
          <w:szCs w:val="21"/>
          <w:highlight w:val="none"/>
        </w:rPr>
      </w:pPr>
    </w:p>
    <w:p>
      <w:pPr>
        <w:pageBreakBefore w:val="0"/>
        <w:kinsoku/>
        <w:wordWrap/>
        <w:overflowPunct/>
        <w:topLinePunct w:val="0"/>
        <w:autoSpaceDE w:val="0"/>
        <w:autoSpaceDN w:val="0"/>
        <w:bidi w:val="0"/>
        <w:adjustRightInd w:val="0"/>
        <w:snapToGrid w:val="0"/>
        <w:spacing w:line="360" w:lineRule="auto"/>
        <w:jc w:val="center"/>
        <w:textAlignment w:val="auto"/>
        <w:rPr>
          <w:rFonts w:ascii="宋体" w:hAnsi="宋体" w:cs="宋体"/>
          <w:b/>
          <w:color w:val="auto"/>
          <w:spacing w:val="6"/>
          <w:szCs w:val="21"/>
          <w:highlight w:val="none"/>
        </w:rPr>
      </w:pPr>
    </w:p>
    <w:p>
      <w:pPr>
        <w:pageBreakBefore w:val="0"/>
        <w:kinsoku/>
        <w:wordWrap/>
        <w:overflowPunct/>
        <w:topLinePunct w:val="0"/>
        <w:autoSpaceDE w:val="0"/>
        <w:autoSpaceDN w:val="0"/>
        <w:bidi w:val="0"/>
        <w:adjustRightInd w:val="0"/>
        <w:snapToGrid w:val="0"/>
        <w:spacing w:line="360" w:lineRule="auto"/>
        <w:jc w:val="center"/>
        <w:textAlignment w:val="auto"/>
        <w:rPr>
          <w:rFonts w:ascii="宋体" w:hAnsi="宋体" w:cs="宋体"/>
          <w:b/>
          <w:color w:val="auto"/>
          <w:spacing w:val="6"/>
          <w:szCs w:val="21"/>
          <w:highlight w:val="none"/>
        </w:rPr>
      </w:pPr>
    </w:p>
    <w:p>
      <w:pPr>
        <w:pageBreakBefore w:val="0"/>
        <w:kinsoku/>
        <w:wordWrap/>
        <w:overflowPunct/>
        <w:topLinePunct w:val="0"/>
        <w:bidi w:val="0"/>
        <w:adjustRightInd w:val="0"/>
        <w:snapToGrid w:val="0"/>
        <w:spacing w:line="360" w:lineRule="auto"/>
        <w:textAlignment w:val="auto"/>
        <w:rPr>
          <w:rFonts w:ascii="宋体" w:hAnsi="宋体" w:cs="宋体"/>
          <w:b/>
          <w:color w:val="auto"/>
          <w:spacing w:val="6"/>
          <w:szCs w:val="21"/>
          <w:highlight w:val="none"/>
        </w:rPr>
      </w:pPr>
      <w:r>
        <w:rPr>
          <w:rFonts w:hint="eastAsia" w:ascii="宋体" w:hAnsi="宋体" w:cs="宋体"/>
          <w:b/>
          <w:color w:val="auto"/>
          <w:spacing w:val="6"/>
          <w:szCs w:val="21"/>
          <w:highlight w:val="none"/>
        </w:rPr>
        <w:br w:type="page"/>
      </w:r>
    </w:p>
    <w:p>
      <w:pPr>
        <w:pStyle w:val="4"/>
        <w:pageBreakBefore w:val="0"/>
        <w:kinsoku/>
        <w:wordWrap/>
        <w:overflowPunct/>
        <w:topLinePunct w:val="0"/>
        <w:bidi w:val="0"/>
        <w:adjustRightInd w:val="0"/>
        <w:snapToGrid w:val="0"/>
        <w:spacing w:line="360" w:lineRule="auto"/>
        <w:textAlignment w:val="auto"/>
        <w:rPr>
          <w:color w:val="auto"/>
          <w:szCs w:val="21"/>
          <w:highlight w:val="none"/>
          <w:lang w:val="zh-CN"/>
        </w:rPr>
      </w:pPr>
      <w:r>
        <w:rPr>
          <w:rFonts w:hint="eastAsia"/>
          <w:color w:val="auto"/>
          <w:szCs w:val="21"/>
          <w:highlight w:val="none"/>
        </w:rPr>
        <w:t>附件5：</w:t>
      </w:r>
      <w:r>
        <w:rPr>
          <w:rFonts w:hint="eastAsia"/>
          <w:color w:val="auto"/>
          <w:szCs w:val="21"/>
          <w:highlight w:val="none"/>
          <w:lang w:val="zh-CN"/>
        </w:rPr>
        <w:t>联合协议</w:t>
      </w:r>
    </w:p>
    <w:p>
      <w:pPr>
        <w:pageBreakBefore w:val="0"/>
        <w:widowControl/>
        <w:kinsoku/>
        <w:wordWrap/>
        <w:overflowPunct/>
        <w:topLinePunct w:val="0"/>
        <w:bidi w:val="0"/>
        <w:adjustRightInd w:val="0"/>
        <w:snapToGrid w:val="0"/>
        <w:spacing w:line="360" w:lineRule="auto"/>
        <w:ind w:firstLine="432" w:firstLineChars="200"/>
        <w:jc w:val="left"/>
        <w:textAlignment w:val="auto"/>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 xml:space="preserve">投标。 </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（联合体成员2）</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w:t>
      </w:r>
    </w:p>
    <w:p>
      <w:pPr>
        <w:pageBreakBefore w:val="0"/>
        <w:kinsoku/>
        <w:wordWrap/>
        <w:overflowPunct/>
        <w:topLinePunct w:val="0"/>
        <w:bidi w:val="0"/>
        <w:adjustRightInd w:val="0"/>
        <w:snapToGrid w:val="0"/>
        <w:spacing w:line="360" w:lineRule="auto"/>
        <w:ind w:firstLine="576"/>
        <w:textAlignment w:val="auto"/>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w:t>
      </w:r>
      <w:bookmarkStart w:id="566" w:name="_Hlk101131882"/>
      <w:r>
        <w:rPr>
          <w:rFonts w:hint="eastAsia" w:ascii="宋体" w:hAnsi="宋体" w:cs="宋体"/>
          <w:color w:val="auto"/>
          <w:kern w:val="0"/>
          <w:szCs w:val="21"/>
          <w:highlight w:val="none"/>
          <w:u w:val="single"/>
        </w:rPr>
        <w:t>联合体成员X,……</w:t>
      </w:r>
      <w:bookmarkEnd w:id="566"/>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提供的服务由小微企业承接，其合同份额占到合同总金额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pPr>
        <w:pageBreakBefore w:val="0"/>
        <w:kinsoku/>
        <w:wordWrap/>
        <w:overflowPunct/>
        <w:topLinePunct w:val="0"/>
        <w:bidi w:val="0"/>
        <w:adjustRightInd w:val="0"/>
        <w:snapToGrid w:val="0"/>
        <w:spacing w:line="360" w:lineRule="auto"/>
        <w:ind w:firstLine="432" w:firstLineChars="200"/>
        <w:textAlignment w:val="auto"/>
        <w:rPr>
          <w:rFonts w:ascii="宋体" w:hAnsi="宋体" w:cs="宋体"/>
          <w:b/>
          <w:bCs/>
          <w:color w:val="auto"/>
          <w:kern w:val="0"/>
          <w:szCs w:val="21"/>
          <w:highlight w:val="none"/>
          <w:lang w:val="zh-CN"/>
        </w:rPr>
      </w:pPr>
      <w:r>
        <w:rPr>
          <w:rFonts w:hint="eastAsia" w:ascii="宋体" w:hAnsi="宋体" w:cs="宋体"/>
          <w:color w:val="auto"/>
          <w:szCs w:val="21"/>
          <w:highlight w:val="none"/>
        </w:rPr>
        <w:t>2、</w:t>
      </w:r>
      <w:bookmarkStart w:id="567" w:name="_Hlk101133173"/>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bookmarkEnd w:id="567"/>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3、本协议提交采购人、采购代理机构后，联合体各方不得以任何形式对上述内容进行修改或撤销。</w:t>
      </w:r>
    </w:p>
    <w:p>
      <w:pPr>
        <w:pageBreakBefore w:val="0"/>
        <w:kinsoku/>
        <w:wordWrap/>
        <w:overflowPunct/>
        <w:topLinePunct w:val="0"/>
        <w:bidi w:val="0"/>
        <w:adjustRightInd w:val="0"/>
        <w:snapToGrid w:val="0"/>
        <w:spacing w:line="360" w:lineRule="auto"/>
        <w:ind w:firstLine="4536" w:firstLineChars="2100"/>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pageBreakBefore w:val="0"/>
        <w:kinsoku/>
        <w:wordWrap/>
        <w:overflowPunct/>
        <w:topLinePunct w:val="0"/>
        <w:bidi w:val="0"/>
        <w:adjustRightInd w:val="0"/>
        <w:snapToGrid w:val="0"/>
        <w:spacing w:line="360" w:lineRule="auto"/>
        <w:ind w:firstLine="4536" w:firstLineChars="2100"/>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pageBreakBefore w:val="0"/>
        <w:kinsoku/>
        <w:wordWrap/>
        <w:overflowPunct/>
        <w:topLinePunct w:val="0"/>
        <w:bidi w:val="0"/>
        <w:adjustRightInd w:val="0"/>
        <w:snapToGrid w:val="0"/>
        <w:spacing w:line="360" w:lineRule="auto"/>
        <w:ind w:right="960"/>
        <w:jc w:val="center"/>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pPr>
        <w:pageBreakBefore w:val="0"/>
        <w:kinsoku/>
        <w:wordWrap/>
        <w:overflowPunct/>
        <w:topLinePunct w:val="0"/>
        <w:bidi w:val="0"/>
        <w:adjustRightInd w:val="0"/>
        <w:snapToGrid w:val="0"/>
        <w:spacing w:line="360" w:lineRule="auto"/>
        <w:jc w:val="right"/>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  年  月   日</w:t>
      </w:r>
    </w:p>
    <w:p>
      <w:pPr>
        <w:pageBreakBefore w:val="0"/>
        <w:kinsoku/>
        <w:wordWrap/>
        <w:overflowPunct/>
        <w:topLinePunct w:val="0"/>
        <w:bidi w:val="0"/>
        <w:adjustRightInd w:val="0"/>
        <w:snapToGrid w:val="0"/>
        <w:spacing w:line="360" w:lineRule="auto"/>
        <w:textAlignment w:val="auto"/>
        <w:rPr>
          <w:rFonts w:ascii="宋体" w:hAnsi="宋体" w:cs="宋体"/>
          <w:b/>
          <w:color w:val="auto"/>
          <w:spacing w:val="6"/>
          <w:szCs w:val="21"/>
          <w:highlight w:val="none"/>
        </w:rPr>
      </w:pPr>
      <w:r>
        <w:rPr>
          <w:rFonts w:hint="eastAsia" w:ascii="宋体" w:hAnsi="宋体" w:cs="宋体"/>
          <w:color w:val="auto"/>
          <w:szCs w:val="21"/>
          <w:highlight w:val="none"/>
        </w:rPr>
        <w:t>注：按本格式和要求提供。</w:t>
      </w:r>
    </w:p>
    <w:p>
      <w:pPr>
        <w:pageBreakBefore w:val="0"/>
        <w:kinsoku/>
        <w:wordWrap/>
        <w:overflowPunct/>
        <w:topLinePunct w:val="0"/>
        <w:bidi w:val="0"/>
        <w:adjustRightInd w:val="0"/>
        <w:snapToGrid w:val="0"/>
        <w:textAlignment w:val="auto"/>
        <w:rPr>
          <w:rFonts w:hint="eastAsia"/>
          <w:color w:val="auto"/>
          <w:szCs w:val="21"/>
          <w:highlight w:val="none"/>
        </w:rPr>
      </w:pPr>
      <w:r>
        <w:rPr>
          <w:rFonts w:hint="eastAsia"/>
          <w:color w:val="auto"/>
          <w:szCs w:val="21"/>
          <w:highlight w:val="none"/>
        </w:rPr>
        <w:br w:type="page"/>
      </w:r>
    </w:p>
    <w:p>
      <w:pPr>
        <w:pStyle w:val="4"/>
        <w:pageBreakBefore w:val="0"/>
        <w:kinsoku/>
        <w:wordWrap/>
        <w:overflowPunct/>
        <w:topLinePunct w:val="0"/>
        <w:bidi w:val="0"/>
        <w:adjustRightInd w:val="0"/>
        <w:snapToGrid w:val="0"/>
        <w:spacing w:line="360" w:lineRule="auto"/>
        <w:textAlignment w:val="auto"/>
        <w:rPr>
          <w:color w:val="auto"/>
          <w:szCs w:val="21"/>
          <w:highlight w:val="none"/>
        </w:rPr>
      </w:pPr>
      <w:r>
        <w:rPr>
          <w:rFonts w:hint="eastAsia"/>
          <w:color w:val="auto"/>
          <w:szCs w:val="21"/>
          <w:highlight w:val="none"/>
        </w:rPr>
        <w:t>附件6：分包意向协议</w:t>
      </w:r>
    </w:p>
    <w:p>
      <w:pPr>
        <w:pageBreakBefore w:val="0"/>
        <w:widowControl/>
        <w:kinsoku/>
        <w:wordWrap/>
        <w:overflowPunct/>
        <w:topLinePunct w:val="0"/>
        <w:bidi w:val="0"/>
        <w:adjustRightInd w:val="0"/>
        <w:snapToGrid w:val="0"/>
        <w:spacing w:line="360" w:lineRule="auto"/>
        <w:ind w:firstLine="108" w:firstLineChars="5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中标后以分包方式履行合同的，提供分包意向协议；</w:t>
      </w:r>
      <w:r>
        <w:rPr>
          <w:rFonts w:hint="eastAsia" w:ascii="宋体" w:hAnsi="宋体" w:cs="宋体"/>
          <w:color w:val="auto"/>
          <w:szCs w:val="21"/>
          <w:highlight w:val="none"/>
        </w:rPr>
        <w:t>采购</w:t>
      </w:r>
      <w:r>
        <w:rPr>
          <w:rFonts w:hint="eastAsia" w:ascii="宋体" w:hAnsi="宋体" w:cs="宋体"/>
          <w:b/>
          <w:color w:val="auto"/>
          <w:szCs w:val="21"/>
          <w:highlight w:val="none"/>
        </w:rPr>
        <w:t>人不同意分包或者投标人中标后不以分包方式履行合同的，则不需要提供。</w:t>
      </w:r>
      <w:r>
        <w:rPr>
          <w:rFonts w:hint="eastAsia" w:ascii="宋体" w:hAnsi="宋体" w:cs="宋体"/>
          <w:color w:val="auto"/>
          <w:szCs w:val="21"/>
          <w:highlight w:val="none"/>
        </w:rPr>
        <w:t>）</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w:t>
      </w:r>
      <w:r>
        <w:rPr>
          <w:rFonts w:hint="eastAsia" w:ascii="宋体" w:hAnsi="宋体" w:cs="宋体"/>
          <w:color w:val="auto"/>
          <w:szCs w:val="21"/>
          <w:highlight w:val="none"/>
        </w:rPr>
        <w:t>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的中标供应商，将依法采取分包方式履行合同。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w:t>
      </w:r>
      <w:r>
        <w:rPr>
          <w:rFonts w:hint="eastAsia" w:ascii="宋体" w:hAnsi="宋体" w:cs="宋体"/>
          <w:color w:val="auto"/>
          <w:szCs w:val="21"/>
          <w:highlight w:val="none"/>
        </w:rPr>
        <w:t>分包意向协议</w:t>
      </w:r>
      <w:r>
        <w:rPr>
          <w:rFonts w:hint="eastAsia" w:ascii="宋体" w:hAnsi="宋体" w:cs="宋体"/>
          <w:color w:val="auto"/>
          <w:kern w:val="0"/>
          <w:szCs w:val="21"/>
          <w:highlight w:val="none"/>
          <w:lang w:val="zh-CN"/>
        </w:rPr>
        <w:t xml:space="preserve">。 </w:t>
      </w:r>
    </w:p>
    <w:p>
      <w:pPr>
        <w:pageBreakBefore w:val="0"/>
        <w:kinsoku/>
        <w:wordWrap/>
        <w:overflowPunct/>
        <w:topLinePunct w:val="0"/>
        <w:bidi w:val="0"/>
        <w:adjustRightInd w:val="0"/>
        <w:snapToGrid w:val="0"/>
        <w:spacing w:line="360" w:lineRule="auto"/>
        <w:ind w:firstLine="432"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lang w:val="zh-CN"/>
        </w:rPr>
        <w:t>一、分包标的及数量</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w:t>
      </w:r>
      <w:r>
        <w:rPr>
          <w:rFonts w:hint="eastAsia" w:ascii="宋体" w:hAnsi="宋体" w:cs="宋体"/>
          <w:color w:val="auto"/>
          <w:szCs w:val="21"/>
          <w:highlight w:val="none"/>
          <w:u w:val="single"/>
        </w:rPr>
        <w:t>名称）</w:t>
      </w:r>
      <w:r>
        <w:rPr>
          <w:rFonts w:hint="eastAsia" w:ascii="宋体" w:hAnsi="宋体" w:cs="宋体"/>
          <w:color w:val="auto"/>
          <w:kern w:val="0"/>
          <w:szCs w:val="21"/>
          <w:highlight w:val="none"/>
          <w:lang w:val="zh-CN"/>
        </w:rPr>
        <w:t>将</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pPr>
        <w:pageBreakBefore w:val="0"/>
        <w:kinsoku/>
        <w:wordWrap/>
        <w:overflowPunct/>
        <w:topLinePunct w:val="0"/>
        <w:bidi w:val="0"/>
        <w:adjustRightInd w:val="0"/>
        <w:snapToGrid w:val="0"/>
        <w:spacing w:line="360" w:lineRule="auto"/>
        <w:textAlignment w:val="auto"/>
        <w:rPr>
          <w:color w:val="auto"/>
          <w:szCs w:val="21"/>
          <w:highlight w:val="none"/>
        </w:rPr>
      </w:pPr>
      <w:r>
        <w:rPr>
          <w:rFonts w:hint="eastAsia"/>
          <w:color w:val="auto"/>
          <w:szCs w:val="21"/>
          <w:highlight w:val="none"/>
        </w:rPr>
        <w:t>……</w:t>
      </w:r>
    </w:p>
    <w:p>
      <w:pPr>
        <w:pageBreakBefore w:val="0"/>
        <w:kinsoku/>
        <w:wordWrap/>
        <w:overflowPunct/>
        <w:topLinePunct w:val="0"/>
        <w:bidi w:val="0"/>
        <w:adjustRightInd w:val="0"/>
        <w:snapToGrid w:val="0"/>
        <w:spacing w:line="360" w:lineRule="auto"/>
        <w:textAlignment w:val="auto"/>
        <w:rPr>
          <w:rFonts w:ascii="宋体" w:hAnsi="宋体" w:cs="宋体"/>
          <w:color w:val="auto"/>
          <w:kern w:val="0"/>
          <w:szCs w:val="21"/>
          <w:highlight w:val="none"/>
          <w:lang w:val="zh-CN"/>
        </w:rPr>
      </w:pPr>
      <w:r>
        <w:rPr>
          <w:rFonts w:hint="eastAsia" w:ascii="宋体" w:hAnsi="宋体" w:cs="宋体"/>
          <w:color w:val="auto"/>
          <w:szCs w:val="21"/>
          <w:highlight w:val="none"/>
          <w:lang w:val="zh-CN"/>
        </w:rPr>
        <w:t xml:space="preserve"> </w:t>
      </w:r>
      <w:r>
        <w:rPr>
          <w:rFonts w:hint="eastAsia" w:ascii="宋体" w:hAnsi="宋体" w:cs="宋体"/>
          <w:color w:val="auto"/>
          <w:kern w:val="0"/>
          <w:szCs w:val="21"/>
          <w:highlight w:val="none"/>
          <w:lang w:val="zh-CN"/>
        </w:rPr>
        <w:t>二、分包供应商中小企业合同份额</w:t>
      </w:r>
    </w:p>
    <w:p>
      <w:pPr>
        <w:pageBreakBefore w:val="0"/>
        <w:kinsoku/>
        <w:wordWrap/>
        <w:overflowPunct/>
        <w:topLinePunct w:val="0"/>
        <w:bidi w:val="0"/>
        <w:adjustRightInd w:val="0"/>
        <w:snapToGrid w:val="0"/>
        <w:spacing w:line="360" w:lineRule="auto"/>
        <w:ind w:firstLine="432"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（分包供应商X,……）提供的服务全部由小微</w:t>
      </w:r>
      <w:r>
        <w:rPr>
          <w:rFonts w:hint="eastAsia" w:ascii="宋体" w:hAnsi="宋体" w:cs="宋体"/>
          <w:color w:val="auto"/>
          <w:szCs w:val="21"/>
          <w:highlight w:val="none"/>
          <w:u w:val="single"/>
        </w:rPr>
        <w:t>企业</w:t>
      </w:r>
      <w:r>
        <w:rPr>
          <w:rFonts w:hint="eastAsia" w:ascii="宋体" w:hAnsi="宋体" w:cs="宋体"/>
          <w:color w:val="auto"/>
          <w:kern w:val="0"/>
          <w:szCs w:val="21"/>
          <w:highlight w:val="none"/>
          <w:u w:val="single"/>
        </w:rPr>
        <w:t>承接，</w:t>
      </w:r>
      <w:r>
        <w:rPr>
          <w:rFonts w:hint="eastAsia" w:ascii="宋体" w:hAnsi="宋体" w:cs="宋体"/>
          <w:color w:val="auto"/>
          <w:kern w:val="0"/>
          <w:szCs w:val="21"/>
          <w:highlight w:val="none"/>
        </w:rPr>
        <w:t>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（未预留份额专门面向中小企业采购的的采购项目，以及预留份额中的非预留部分采购包，允许分包的，分包意向协议约定小微</w:t>
      </w:r>
      <w:r>
        <w:rPr>
          <w:rFonts w:hint="eastAsia" w:ascii="宋体" w:hAnsi="宋体" w:cs="宋体"/>
          <w:color w:val="auto"/>
          <w:szCs w:val="21"/>
          <w:highlight w:val="none"/>
          <w:u w:val="single"/>
        </w:rPr>
        <w:t>企业</w:t>
      </w:r>
      <w:r>
        <w:rPr>
          <w:rFonts w:hint="eastAsia" w:ascii="宋体" w:hAnsi="宋体" w:cs="宋体"/>
          <w:b/>
          <w:color w:val="auto"/>
          <w:kern w:val="0"/>
          <w:szCs w:val="21"/>
          <w:highlight w:val="none"/>
          <w:lang w:val="zh-CN"/>
        </w:rPr>
        <w:t>的合同份额占到合同总金额30%以上的，对大中型</w:t>
      </w:r>
      <w:r>
        <w:rPr>
          <w:rFonts w:hint="eastAsia" w:ascii="宋体" w:hAnsi="宋体" w:cs="宋体"/>
          <w:color w:val="auto"/>
          <w:szCs w:val="21"/>
          <w:highlight w:val="none"/>
          <w:u w:val="single"/>
        </w:rPr>
        <w:t>企业</w:t>
      </w:r>
      <w:r>
        <w:rPr>
          <w:rFonts w:hint="eastAsia" w:ascii="宋体" w:hAnsi="宋体" w:cs="宋体"/>
          <w:b/>
          <w:color w:val="auto"/>
          <w:kern w:val="0"/>
          <w:szCs w:val="21"/>
          <w:highlight w:val="none"/>
          <w:lang w:val="zh-CN"/>
        </w:rPr>
        <w:t>的报价按评标标准确定的比例给予扣除。供应商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pPr>
        <w:pageBreakBefore w:val="0"/>
        <w:kinsoku/>
        <w:wordWrap/>
        <w:overflowPunct/>
        <w:topLinePunct w:val="0"/>
        <w:bidi w:val="0"/>
        <w:adjustRightInd w:val="0"/>
        <w:snapToGrid w:val="0"/>
        <w:spacing w:line="360" w:lineRule="auto"/>
        <w:ind w:firstLine="432" w:firstLineChars="200"/>
        <w:textAlignment w:val="auto"/>
        <w:rPr>
          <w:rFonts w:ascii="宋体" w:hAnsi="宋体" w:cs="宋体"/>
          <w:b/>
          <w:bCs/>
          <w:color w:val="auto"/>
          <w:kern w:val="0"/>
          <w:szCs w:val="21"/>
          <w:highlight w:val="none"/>
          <w:lang w:val="zh-CN"/>
        </w:rPr>
      </w:pPr>
      <w:r>
        <w:rPr>
          <w:rFonts w:hint="eastAsia" w:ascii="宋体" w:hAnsi="宋体" w:cs="宋体"/>
          <w:color w:val="auto"/>
          <w:szCs w:val="21"/>
          <w:highlight w:val="none"/>
        </w:rPr>
        <w:t>2、中小企业合同金额达到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w:t>
      </w:r>
      <w:r>
        <w:rPr>
          <w:rFonts w:hint="eastAsia" w:ascii="宋体" w:hAnsi="宋体" w:cs="宋体"/>
          <w:color w:val="auto"/>
          <w:szCs w:val="21"/>
          <w:highlight w:val="none"/>
          <w:u w:val="single"/>
        </w:rPr>
        <w:t>采购</w:t>
      </w:r>
      <w:r>
        <w:rPr>
          <w:rFonts w:hint="eastAsia" w:ascii="宋体" w:hAnsi="宋体" w:cs="宋体"/>
          <w:b/>
          <w:bCs/>
          <w:color w:val="auto"/>
          <w:szCs w:val="21"/>
          <w:highlight w:val="none"/>
        </w:rPr>
        <w:t>包，供应商按招标</w:t>
      </w:r>
      <w:r>
        <w:rPr>
          <w:rFonts w:hint="eastAsia" w:ascii="宋体" w:hAnsi="宋体" w:cs="宋体"/>
          <w:color w:val="auto"/>
          <w:szCs w:val="21"/>
          <w:highlight w:val="none"/>
          <w:u w:val="single"/>
        </w:rPr>
        <w:t>文件</w:t>
      </w:r>
      <w:r>
        <w:rPr>
          <w:rFonts w:hint="eastAsia" w:ascii="宋体" w:hAnsi="宋体" w:cs="宋体"/>
          <w:b/>
          <w:bCs/>
          <w:color w:val="auto"/>
          <w:szCs w:val="21"/>
          <w:highlight w:val="none"/>
        </w:rPr>
        <w:t>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w:t>
      </w:r>
      <w:r>
        <w:rPr>
          <w:rFonts w:hint="eastAsia" w:ascii="宋体" w:hAnsi="宋体" w:cs="宋体"/>
          <w:color w:val="auto"/>
          <w:szCs w:val="21"/>
          <w:highlight w:val="none"/>
          <w:u w:val="single"/>
        </w:rPr>
        <w:t>企业</w:t>
      </w:r>
      <w:r>
        <w:rPr>
          <w:rFonts w:hint="eastAsia" w:ascii="宋体" w:hAnsi="宋体" w:cs="宋体"/>
          <w:b/>
          <w:bCs/>
          <w:color w:val="auto"/>
          <w:szCs w:val="21"/>
          <w:highlight w:val="none"/>
        </w:rPr>
        <w:t>合同金额应当达到的比例要求填写。</w:t>
      </w:r>
      <w:r>
        <w:rPr>
          <w:rFonts w:hint="eastAsia" w:ascii="宋体" w:hAnsi="宋体" w:cs="宋体"/>
          <w:b/>
          <w:bCs/>
          <w:color w:val="auto"/>
          <w:kern w:val="0"/>
          <w:szCs w:val="21"/>
          <w:highlight w:val="none"/>
          <w:lang w:val="zh-CN"/>
        </w:rPr>
        <w:t>）</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pPr>
        <w:pageBreakBefore w:val="0"/>
        <w:kinsoku/>
        <w:wordWrap/>
        <w:overflowPunct/>
        <w:topLinePunct w:val="0"/>
        <w:bidi w:val="0"/>
        <w:adjustRightInd w:val="0"/>
        <w:snapToGrid w:val="0"/>
        <w:spacing w:line="360" w:lineRule="auto"/>
        <w:ind w:left="589" w:leftChars="273"/>
        <w:textAlignment w:val="auto"/>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pPr>
        <w:pageBreakBefore w:val="0"/>
        <w:kinsoku/>
        <w:wordWrap/>
        <w:overflowPunct/>
        <w:topLinePunct w:val="0"/>
        <w:bidi w:val="0"/>
        <w:adjustRightInd w:val="0"/>
        <w:snapToGrid w:val="0"/>
        <w:spacing w:line="360" w:lineRule="auto"/>
        <w:ind w:left="589" w:leftChars="273"/>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pPr>
        <w:pageBreakBefore w:val="0"/>
        <w:kinsoku/>
        <w:wordWrap/>
        <w:overflowPunct/>
        <w:topLinePunct w:val="0"/>
        <w:bidi w:val="0"/>
        <w:adjustRightInd w:val="0"/>
        <w:snapToGrid w:val="0"/>
        <w:spacing w:line="360" w:lineRule="auto"/>
        <w:ind w:firstLine="576"/>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八、其他</w:t>
      </w:r>
    </w:p>
    <w:p>
      <w:pPr>
        <w:pageBreakBefore w:val="0"/>
        <w:kinsoku/>
        <w:wordWrap/>
        <w:overflowPunct/>
        <w:topLinePunct w:val="0"/>
        <w:bidi w:val="0"/>
        <w:adjustRightInd w:val="0"/>
        <w:snapToGrid w:val="0"/>
        <w:spacing w:line="360" w:lineRule="auto"/>
        <w:ind w:left="5274" w:leftChars="342" w:hanging="4536" w:hangingChars="2100"/>
        <w:jc w:val="left"/>
        <w:textAlignment w:val="auto"/>
        <w:rPr>
          <w:rFonts w:ascii="宋体" w:hAnsi="宋体" w:cs="宋体"/>
          <w:color w:val="auto"/>
          <w:kern w:val="0"/>
          <w:szCs w:val="21"/>
          <w:highlight w:val="none"/>
          <w:lang w:val="zh-CN"/>
        </w:rPr>
      </w:pPr>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 xml:space="preserve">。                                  </w:t>
      </w:r>
    </w:p>
    <w:p>
      <w:pPr>
        <w:pageBreakBefore w:val="0"/>
        <w:kinsoku/>
        <w:wordWrap/>
        <w:overflowPunct/>
        <w:topLinePunct w:val="0"/>
        <w:bidi w:val="0"/>
        <w:adjustRightInd w:val="0"/>
        <w:snapToGrid w:val="0"/>
        <w:spacing w:line="360" w:lineRule="auto"/>
        <w:ind w:left="5274" w:leftChars="342" w:hanging="4536" w:hangingChars="2100"/>
        <w:jc w:val="left"/>
        <w:textAlignment w:val="auto"/>
        <w:rPr>
          <w:rFonts w:ascii="宋体" w:hAnsi="宋体" w:cs="宋体"/>
          <w:color w:val="auto"/>
          <w:szCs w:val="21"/>
          <w:highlight w:val="none"/>
        </w:rPr>
      </w:pPr>
      <w:r>
        <w:rPr>
          <w:rFonts w:hint="eastAsia" w:ascii="宋体" w:hAnsi="宋体" w:cs="宋体"/>
          <w:color w:val="auto"/>
          <w:kern w:val="0"/>
          <w:szCs w:val="21"/>
          <w:highlight w:val="none"/>
          <w:lang w:val="zh-CN"/>
        </w:rPr>
        <w:t>投标人名称(电子签名)：</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分包供应商名称(电子签名/公章)：</w:t>
      </w:r>
    </w:p>
    <w:p>
      <w:pPr>
        <w:pageBreakBefore w:val="0"/>
        <w:kinsoku/>
        <w:wordWrap/>
        <w:overflowPunct/>
        <w:topLinePunct w:val="0"/>
        <w:bidi w:val="0"/>
        <w:adjustRightInd w:val="0"/>
        <w:snapToGrid w:val="0"/>
        <w:spacing w:line="360" w:lineRule="auto"/>
        <w:ind w:firstLine="432"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p>
    <w:p>
      <w:pPr>
        <w:pageBreakBefore w:val="0"/>
        <w:kinsoku/>
        <w:wordWrap/>
        <w:overflowPunct/>
        <w:topLinePunct w:val="0"/>
        <w:bidi w:val="0"/>
        <w:adjustRightInd w:val="0"/>
        <w:snapToGrid w:val="0"/>
        <w:spacing w:line="360" w:lineRule="auto"/>
        <w:jc w:val="righ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pPr>
        <w:pageBreakBefore w:val="0"/>
        <w:kinsoku/>
        <w:wordWrap/>
        <w:overflowPunct/>
        <w:topLinePunct w:val="0"/>
        <w:bidi w:val="0"/>
        <w:adjustRightInd w:val="0"/>
        <w:snapToGrid w:val="0"/>
        <w:spacing w:line="360" w:lineRule="auto"/>
        <w:ind w:right="420" w:firstLine="432" w:firstLineChars="200"/>
        <w:textAlignment w:val="auto"/>
        <w:rPr>
          <w:rFonts w:ascii="宋体" w:hAnsi="宋体" w:cs="宋体"/>
          <w:color w:val="auto"/>
          <w:szCs w:val="21"/>
          <w:highlight w:val="none"/>
        </w:rPr>
      </w:pPr>
      <w:r>
        <w:rPr>
          <w:rFonts w:hint="eastAsia" w:ascii="宋体" w:hAnsi="宋体" w:cs="宋体"/>
          <w:color w:val="auto"/>
          <w:szCs w:val="21"/>
          <w:highlight w:val="none"/>
        </w:rPr>
        <w:t>注：按本格式和要求提供。</w:t>
      </w:r>
    </w:p>
    <w:p>
      <w:pPr>
        <w:pageBreakBefore w:val="0"/>
        <w:kinsoku/>
        <w:wordWrap/>
        <w:overflowPunct/>
        <w:topLinePunct w:val="0"/>
        <w:bidi w:val="0"/>
        <w:adjustRightInd w:val="0"/>
        <w:snapToGrid w:val="0"/>
        <w:textAlignment w:val="auto"/>
        <w:rPr>
          <w:rFonts w:hint="eastAsia"/>
          <w:color w:val="auto"/>
          <w:szCs w:val="21"/>
          <w:highlight w:val="none"/>
        </w:rPr>
      </w:pPr>
      <w:r>
        <w:rPr>
          <w:rFonts w:hint="eastAsia"/>
          <w:color w:val="auto"/>
          <w:szCs w:val="21"/>
          <w:highlight w:val="none"/>
        </w:rPr>
        <w:br w:type="page"/>
      </w:r>
    </w:p>
    <w:p>
      <w:pPr>
        <w:pStyle w:val="4"/>
        <w:pageBreakBefore w:val="0"/>
        <w:kinsoku/>
        <w:wordWrap/>
        <w:overflowPunct/>
        <w:topLinePunct w:val="0"/>
        <w:bidi w:val="0"/>
        <w:adjustRightInd w:val="0"/>
        <w:snapToGrid w:val="0"/>
        <w:spacing w:line="360" w:lineRule="auto"/>
        <w:textAlignment w:val="auto"/>
        <w:rPr>
          <w:color w:val="auto"/>
          <w:szCs w:val="21"/>
          <w:highlight w:val="none"/>
        </w:rPr>
      </w:pPr>
      <w:r>
        <w:rPr>
          <w:rFonts w:hint="eastAsia"/>
          <w:color w:val="auto"/>
          <w:szCs w:val="21"/>
          <w:highlight w:val="none"/>
        </w:rPr>
        <w:t>附件7：中小企业声明函</w:t>
      </w:r>
    </w:p>
    <w:p>
      <w:pPr>
        <w:pageBreakBefore w:val="0"/>
        <w:kinsoku/>
        <w:wordWrap/>
        <w:overflowPunct/>
        <w:topLinePunct w:val="0"/>
        <w:bidi w:val="0"/>
        <w:adjustRightInd w:val="0"/>
        <w:snapToGrid w:val="0"/>
        <w:spacing w:line="360" w:lineRule="auto"/>
        <w:jc w:val="center"/>
        <w:textAlignment w:val="auto"/>
        <w:rPr>
          <w:rFonts w:ascii="宋体" w:hAnsi="宋体" w:cs="宋体"/>
          <w:b/>
          <w:color w:val="auto"/>
          <w:szCs w:val="21"/>
          <w:highlight w:val="none"/>
        </w:rPr>
      </w:pPr>
      <w:r>
        <w:rPr>
          <w:rFonts w:hint="eastAsia" w:ascii="宋体" w:hAnsi="宋体" w:cs="宋体"/>
          <w:b/>
          <w:color w:val="auto"/>
          <w:szCs w:val="21"/>
          <w:highlight w:val="none"/>
        </w:rPr>
        <w:t>中小企业声明函（服务）</w:t>
      </w:r>
    </w:p>
    <w:p>
      <w:pPr>
        <w:pageBreakBefore w:val="0"/>
        <w:kinsoku/>
        <w:wordWrap/>
        <w:overflowPunct/>
        <w:topLinePunct w:val="0"/>
        <w:bidi w:val="0"/>
        <w:adjustRightInd w:val="0"/>
        <w:snapToGrid w:val="0"/>
        <w:spacing w:line="360" w:lineRule="auto"/>
        <w:ind w:firstLine="324" w:firstLineChars="150"/>
        <w:jc w:val="left"/>
        <w:textAlignment w:val="auto"/>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杭州市临平区塘栖镇人民政府</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的 </w:t>
      </w:r>
      <w:r>
        <w:rPr>
          <w:rFonts w:hint="eastAsia" w:ascii="宋体" w:hAnsi="宋体" w:cs="宋体"/>
          <w:color w:val="auto"/>
          <w:szCs w:val="21"/>
          <w:highlight w:val="none"/>
          <w:u w:val="single"/>
          <w:lang w:eastAsia="zh-CN"/>
        </w:rPr>
        <w:t>2024年塘栖镇养老电子津贴政府采购</w:t>
      </w:r>
      <w:r>
        <w:rPr>
          <w:rFonts w:hint="eastAsia" w:ascii="宋体" w:hAnsi="宋体" w:cs="宋体"/>
          <w:color w:val="auto"/>
          <w:szCs w:val="21"/>
          <w:highlight w:val="none"/>
          <w:u w:val="single"/>
        </w:rPr>
        <w:t xml:space="preserve">项目 </w:t>
      </w:r>
      <w:r>
        <w:rPr>
          <w:rFonts w:hint="eastAsia" w:ascii="宋体" w:hAnsi="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ageBreakBefore w:val="0"/>
        <w:kinsoku/>
        <w:wordWrap/>
        <w:overflowPunct/>
        <w:topLinePunct w:val="0"/>
        <w:bidi w:val="0"/>
        <w:adjustRightInd w:val="0"/>
        <w:snapToGrid w:val="0"/>
        <w:spacing w:line="360" w:lineRule="auto"/>
        <w:ind w:firstLine="432"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lang w:eastAsia="zh-CN"/>
        </w:rPr>
        <w:t>2024年塘栖镇养老电子津贴政府采购</w:t>
      </w:r>
      <w:r>
        <w:rPr>
          <w:rFonts w:hint="eastAsia" w:ascii="宋体" w:hAnsi="宋体" w:cs="宋体"/>
          <w:color w:val="auto"/>
          <w:szCs w:val="21"/>
          <w:highlight w:val="none"/>
        </w:rPr>
        <w:t xml:space="preserve">，属于 </w:t>
      </w:r>
      <w:r>
        <w:rPr>
          <w:rFonts w:hint="eastAsia" w:ascii="宋体" w:hAnsi="宋体" w:cs="宋体"/>
          <w:color w:val="auto"/>
          <w:szCs w:val="21"/>
          <w:highlight w:val="none"/>
          <w:u w:val="single"/>
          <w:lang w:eastAsia="zh-CN"/>
        </w:rPr>
        <w:t>其他未列明行业</w:t>
      </w:r>
      <w:r>
        <w:rPr>
          <w:rFonts w:hint="eastAsia" w:ascii="宋体" w:hAnsi="宋体" w:cs="宋体"/>
          <w:color w:val="auto"/>
          <w:szCs w:val="21"/>
          <w:highlight w:val="none"/>
        </w:rPr>
        <w:t xml:space="preserve"> ；承建（承接）企业为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（小型企业、微型企业） </w:t>
      </w:r>
      <w:r>
        <w:rPr>
          <w:rFonts w:hint="eastAsia" w:ascii="宋体" w:hAnsi="宋体" w:cs="宋体"/>
          <w:color w:val="auto"/>
          <w:szCs w:val="21"/>
          <w:highlight w:val="none"/>
        </w:rPr>
        <w:t>；</w:t>
      </w:r>
    </w:p>
    <w:p>
      <w:pPr>
        <w:pageBreakBefore w:val="0"/>
        <w:kinsoku/>
        <w:wordWrap/>
        <w:overflowPunct/>
        <w:topLinePunct w:val="0"/>
        <w:bidi w:val="0"/>
        <w:adjustRightInd w:val="0"/>
        <w:snapToGrid w:val="0"/>
        <w:spacing w:line="360" w:lineRule="auto"/>
        <w:ind w:firstLine="432"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pageBreakBefore w:val="0"/>
        <w:kinsoku/>
        <w:wordWrap/>
        <w:overflowPunct/>
        <w:topLinePunct w:val="0"/>
        <w:bidi w:val="0"/>
        <w:adjustRightInd w:val="0"/>
        <w:snapToGrid w:val="0"/>
        <w:spacing w:line="360" w:lineRule="auto"/>
        <w:ind w:firstLine="432"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pageBreakBefore w:val="0"/>
        <w:kinsoku/>
        <w:wordWrap/>
        <w:overflowPunct/>
        <w:topLinePunct w:val="0"/>
        <w:bidi w:val="0"/>
        <w:adjustRightInd w:val="0"/>
        <w:snapToGrid w:val="0"/>
        <w:spacing w:line="360" w:lineRule="auto"/>
        <w:ind w:right="1760" w:firstLine="432" w:firstLineChars="200"/>
        <w:textAlignment w:val="auto"/>
        <w:rPr>
          <w:rFonts w:ascii="宋体" w:hAnsi="宋体" w:cs="宋体"/>
          <w:color w:val="auto"/>
          <w:szCs w:val="21"/>
          <w:highlight w:val="none"/>
        </w:rPr>
      </w:pPr>
    </w:p>
    <w:p>
      <w:pPr>
        <w:pageBreakBefore w:val="0"/>
        <w:kinsoku/>
        <w:wordWrap/>
        <w:overflowPunct/>
        <w:topLinePunct w:val="0"/>
        <w:bidi w:val="0"/>
        <w:adjustRightInd w:val="0"/>
        <w:snapToGrid w:val="0"/>
        <w:spacing w:line="360" w:lineRule="auto"/>
        <w:ind w:right="1760" w:firstLine="432" w:firstLineChars="200"/>
        <w:textAlignment w:val="auto"/>
        <w:rPr>
          <w:rFonts w:ascii="宋体" w:hAnsi="宋体" w:cs="宋体"/>
          <w:color w:val="auto"/>
          <w:szCs w:val="21"/>
          <w:highlight w:val="none"/>
        </w:rPr>
      </w:pPr>
      <w:r>
        <w:rPr>
          <w:rFonts w:hint="eastAsia" w:ascii="宋体" w:hAnsi="宋体" w:cs="宋体"/>
          <w:color w:val="auto"/>
          <w:szCs w:val="21"/>
          <w:highlight w:val="none"/>
        </w:rPr>
        <w:t>投标人名称（电子签名）：</w:t>
      </w:r>
    </w:p>
    <w:p>
      <w:pPr>
        <w:pageBreakBefore w:val="0"/>
        <w:kinsoku/>
        <w:wordWrap/>
        <w:overflowPunct/>
        <w:topLinePunct w:val="0"/>
        <w:bidi w:val="0"/>
        <w:adjustRightInd w:val="0"/>
        <w:snapToGrid w:val="0"/>
        <w:spacing w:line="360" w:lineRule="auto"/>
        <w:ind w:right="1120" w:firstLine="432" w:firstLineChars="200"/>
        <w:textAlignment w:val="auto"/>
        <w:rPr>
          <w:rFonts w:ascii="宋体" w:hAnsi="宋体" w:cs="宋体"/>
          <w:color w:val="auto"/>
          <w:szCs w:val="21"/>
          <w:highlight w:val="none"/>
        </w:rPr>
      </w:pPr>
      <w:r>
        <w:rPr>
          <w:rFonts w:hint="eastAsia" w:ascii="宋体" w:hAnsi="宋体" w:cs="宋体"/>
          <w:color w:val="auto"/>
          <w:szCs w:val="21"/>
          <w:highlight w:val="none"/>
        </w:rPr>
        <w:t>日 期：</w:t>
      </w:r>
    </w:p>
    <w:p>
      <w:pPr>
        <w:pageBreakBefore w:val="0"/>
        <w:kinsoku/>
        <w:wordWrap/>
        <w:overflowPunct/>
        <w:topLinePunct w:val="0"/>
        <w:bidi w:val="0"/>
        <w:adjustRightInd w:val="0"/>
        <w:snapToGrid w:val="0"/>
        <w:spacing w:line="360" w:lineRule="auto"/>
        <w:ind w:firstLine="316" w:firstLineChars="147"/>
        <w:jc w:val="left"/>
        <w:textAlignment w:val="auto"/>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pageBreakBefore w:val="0"/>
        <w:kinsoku/>
        <w:wordWrap/>
        <w:overflowPunct/>
        <w:topLinePunct w:val="0"/>
        <w:bidi w:val="0"/>
        <w:adjustRightInd w:val="0"/>
        <w:snapToGrid w:val="0"/>
        <w:spacing w:line="360" w:lineRule="auto"/>
        <w:ind w:right="420"/>
        <w:textAlignment w:val="auto"/>
        <w:rPr>
          <w:rFonts w:ascii="宋体" w:hAnsi="宋体" w:cs="宋体"/>
          <w:color w:val="auto"/>
          <w:szCs w:val="21"/>
          <w:highlight w:val="none"/>
        </w:rPr>
      </w:pPr>
      <w:r>
        <w:rPr>
          <w:rFonts w:hint="eastAsia" w:ascii="宋体" w:hAnsi="宋体" w:cs="宋体"/>
          <w:color w:val="auto"/>
          <w:szCs w:val="21"/>
          <w:highlight w:val="none"/>
        </w:rPr>
        <w:t xml:space="preserve">   注：</w:t>
      </w:r>
    </w:p>
    <w:p>
      <w:pPr>
        <w:pageBreakBefore w:val="0"/>
        <w:kinsoku/>
        <w:wordWrap/>
        <w:overflowPunct/>
        <w:topLinePunct w:val="0"/>
        <w:bidi w:val="0"/>
        <w:adjustRightInd w:val="0"/>
        <w:snapToGrid w:val="0"/>
        <w:spacing w:line="360" w:lineRule="auto"/>
        <w:ind w:right="420" w:firstLine="432" w:firstLineChars="200"/>
        <w:textAlignment w:val="auto"/>
        <w:rPr>
          <w:rFonts w:ascii="宋体" w:hAnsi="宋体" w:cs="宋体"/>
          <w:color w:val="auto"/>
          <w:szCs w:val="21"/>
          <w:highlight w:val="none"/>
        </w:rPr>
      </w:pPr>
      <w:r>
        <w:rPr>
          <w:rFonts w:hint="eastAsia" w:ascii="宋体" w:hAnsi="宋体" w:cs="宋体"/>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pageBreakBefore w:val="0"/>
        <w:kinsoku/>
        <w:wordWrap/>
        <w:overflowPunct/>
        <w:topLinePunct w:val="0"/>
        <w:bidi w:val="0"/>
        <w:adjustRightInd w:val="0"/>
        <w:snapToGrid w:val="0"/>
        <w:spacing w:line="360" w:lineRule="auto"/>
        <w:ind w:right="420" w:firstLine="432" w:firstLineChars="200"/>
        <w:textAlignment w:val="auto"/>
        <w:rPr>
          <w:rFonts w:ascii="宋体" w:hAnsi="宋体" w:cs="宋体"/>
          <w:color w:val="auto"/>
          <w:szCs w:val="21"/>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ageBreakBefore w:val="0"/>
        <w:kinsoku/>
        <w:wordWrap/>
        <w:overflowPunct/>
        <w:topLinePunct w:val="0"/>
        <w:bidi w:val="0"/>
        <w:adjustRightInd w:val="0"/>
        <w:snapToGrid w:val="0"/>
        <w:spacing w:line="360" w:lineRule="auto"/>
        <w:ind w:right="420" w:firstLine="432" w:firstLineChars="200"/>
        <w:textAlignment w:val="auto"/>
        <w:rPr>
          <w:rFonts w:ascii="宋体" w:hAnsi="宋体" w:cs="宋体"/>
          <w:color w:val="auto"/>
          <w:szCs w:val="21"/>
          <w:highlight w:val="none"/>
        </w:rPr>
      </w:pPr>
      <w:r>
        <w:rPr>
          <w:rFonts w:hint="eastAsia" w:ascii="宋体" w:hAnsi="宋体" w:cs="宋体"/>
          <w:color w:val="auto"/>
          <w:szCs w:val="21"/>
          <w:highlight w:val="none"/>
        </w:rPr>
        <w:br w:type="page"/>
      </w:r>
    </w:p>
    <w:p>
      <w:pPr>
        <w:pStyle w:val="4"/>
        <w:pageBreakBefore w:val="0"/>
        <w:kinsoku/>
        <w:wordWrap/>
        <w:overflowPunct/>
        <w:topLinePunct w:val="0"/>
        <w:bidi w:val="0"/>
        <w:adjustRightInd w:val="0"/>
        <w:snapToGrid w:val="0"/>
        <w:ind w:firstLine="446"/>
        <w:textAlignment w:val="auto"/>
        <w:rPr>
          <w:rFonts w:hint="eastAsia" w:ascii="宋体" w:hAnsi="宋体" w:cs="宋体"/>
          <w:color w:val="auto"/>
          <w:spacing w:val="6"/>
          <w:szCs w:val="21"/>
          <w:highlight w:val="none"/>
          <w:lang w:eastAsia="zh-CN"/>
        </w:rPr>
      </w:pPr>
      <w:r>
        <w:rPr>
          <w:rFonts w:hint="eastAsia" w:ascii="宋体" w:hAnsi="宋体" w:cs="宋体"/>
          <w:color w:val="auto"/>
          <w:spacing w:val="6"/>
          <w:szCs w:val="21"/>
          <w:highlight w:val="none"/>
        </w:rPr>
        <w:t>附件8：杭州</w:t>
      </w:r>
      <w:r>
        <w:rPr>
          <w:rFonts w:hint="eastAsia" w:ascii="宋体" w:hAnsi="宋体" w:cs="宋体"/>
          <w:color w:val="auto"/>
          <w:spacing w:val="6"/>
          <w:szCs w:val="21"/>
          <w:highlight w:val="none"/>
          <w:lang w:val="en-US" w:eastAsia="zh-CN"/>
        </w:rPr>
        <w:t>市临平区</w:t>
      </w:r>
      <w:r>
        <w:rPr>
          <w:rFonts w:hint="eastAsia" w:ascii="宋体" w:hAnsi="宋体" w:cs="宋体"/>
          <w:color w:val="auto"/>
          <w:spacing w:val="6"/>
          <w:szCs w:val="21"/>
          <w:highlight w:val="none"/>
        </w:rPr>
        <w:t>养老服务电子津贴实施</w:t>
      </w:r>
      <w:r>
        <w:rPr>
          <w:rFonts w:hint="eastAsia" w:ascii="宋体" w:hAnsi="宋体" w:cs="宋体"/>
          <w:color w:val="auto"/>
          <w:spacing w:val="6"/>
          <w:szCs w:val="21"/>
          <w:highlight w:val="none"/>
          <w:lang w:eastAsia="zh-CN"/>
        </w:rPr>
        <w:t>办法（试行）</w:t>
      </w:r>
    </w:p>
    <w:p>
      <w:pPr>
        <w:pageBreakBefore w:val="0"/>
        <w:widowControl w:val="0"/>
        <w:kinsoku/>
        <w:wordWrap/>
        <w:overflowPunct/>
        <w:topLinePunct w:val="0"/>
        <w:bidi w:val="0"/>
        <w:adjustRightInd w:val="0"/>
        <w:snapToGrid w:val="0"/>
        <w:spacing w:line="540" w:lineRule="exact"/>
        <w:jc w:val="center"/>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杭州</w:t>
      </w:r>
      <w:r>
        <w:rPr>
          <w:rFonts w:hint="eastAsia" w:ascii="宋体" w:hAnsi="宋体" w:eastAsia="宋体" w:cs="宋体"/>
          <w:b/>
          <w:bCs/>
          <w:color w:val="auto"/>
          <w:sz w:val="30"/>
          <w:szCs w:val="30"/>
          <w:highlight w:val="none"/>
          <w:lang w:val="en-US" w:eastAsia="zh-CN"/>
        </w:rPr>
        <w:t>市临平区</w:t>
      </w:r>
      <w:r>
        <w:rPr>
          <w:rFonts w:hint="eastAsia" w:ascii="宋体" w:hAnsi="宋体" w:eastAsia="宋体" w:cs="宋体"/>
          <w:b/>
          <w:bCs/>
          <w:color w:val="auto"/>
          <w:sz w:val="30"/>
          <w:szCs w:val="30"/>
          <w:highlight w:val="none"/>
        </w:rPr>
        <w:t>养老服务电子津贴实施</w:t>
      </w:r>
      <w:r>
        <w:rPr>
          <w:rFonts w:hint="eastAsia" w:ascii="宋体" w:hAnsi="宋体" w:eastAsia="宋体" w:cs="宋体"/>
          <w:b/>
          <w:bCs/>
          <w:color w:val="auto"/>
          <w:sz w:val="30"/>
          <w:szCs w:val="30"/>
          <w:highlight w:val="none"/>
          <w:lang w:eastAsia="zh-CN"/>
        </w:rPr>
        <w:t>办法（试行）</w:t>
      </w:r>
    </w:p>
    <w:p>
      <w:pPr>
        <w:pageBreakBefore w:val="0"/>
        <w:widowControl w:val="0"/>
        <w:kinsoku/>
        <w:wordWrap/>
        <w:overflowPunct/>
        <w:topLinePunct w:val="0"/>
        <w:bidi w:val="0"/>
        <w:adjustRightInd w:val="0"/>
        <w:snapToGrid w:val="0"/>
        <w:spacing w:line="54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zh-CN" w:eastAsia="zh-CN"/>
        </w:rPr>
        <w:t>临民〔2021〕42号</w:t>
      </w:r>
    </w:p>
    <w:p>
      <w:pPr>
        <w:pageBreakBefore w:val="0"/>
        <w:widowControl w:val="0"/>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为贯彻落实《杭州市居家养老服务条例》，进一步完善</w:t>
      </w:r>
      <w:r>
        <w:rPr>
          <w:rFonts w:hint="eastAsia" w:ascii="宋体" w:hAnsi="宋体" w:eastAsia="宋体" w:cs="宋体"/>
          <w:color w:val="auto"/>
          <w:sz w:val="21"/>
          <w:szCs w:val="21"/>
          <w:highlight w:val="none"/>
          <w:lang w:eastAsia="zh-CN"/>
        </w:rPr>
        <w:t>临平</w:t>
      </w:r>
      <w:r>
        <w:rPr>
          <w:rFonts w:hint="eastAsia" w:ascii="宋体" w:hAnsi="宋体" w:eastAsia="宋体" w:cs="宋体"/>
          <w:color w:val="auto"/>
          <w:sz w:val="21"/>
          <w:szCs w:val="21"/>
          <w:highlight w:val="none"/>
        </w:rPr>
        <w:t>区养老服务体系建设，建立健全高龄、失能</w:t>
      </w:r>
      <w:r>
        <w:rPr>
          <w:rFonts w:hint="eastAsia" w:ascii="宋体" w:hAnsi="宋体" w:eastAsia="宋体" w:cs="宋体"/>
          <w:color w:val="auto"/>
          <w:sz w:val="21"/>
          <w:szCs w:val="21"/>
          <w:highlight w:val="none"/>
          <w:lang w:eastAsia="zh-CN"/>
        </w:rPr>
        <w:t>失智</w:t>
      </w:r>
      <w:r>
        <w:rPr>
          <w:rFonts w:hint="eastAsia" w:ascii="宋体" w:hAnsi="宋体" w:eastAsia="宋体" w:cs="宋体"/>
          <w:color w:val="auto"/>
          <w:sz w:val="21"/>
          <w:szCs w:val="21"/>
          <w:highlight w:val="none"/>
        </w:rPr>
        <w:t>老年人政策保障体系，持续提升养老服务质量，提高养老服务供给保障，根据《杭州市人民政府办公厅关于贯彻落实&lt;杭州市居家养老服务条例&gt;的实施意见》（杭政办函〔2020〕47号）</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《杭州市民政局 杭州市财政局关于印发杭州市养老服务电子津贴制度的实施意见》（杭</w:t>
      </w:r>
      <w:r>
        <w:rPr>
          <w:rFonts w:hint="eastAsia" w:ascii="宋体" w:hAnsi="宋体" w:eastAsia="宋体" w:cs="宋体"/>
          <w:color w:val="auto"/>
          <w:sz w:val="21"/>
          <w:szCs w:val="21"/>
          <w:highlight w:val="none"/>
          <w:lang w:eastAsia="zh-CN"/>
        </w:rPr>
        <w:t>民发</w:t>
      </w:r>
      <w:r>
        <w:rPr>
          <w:rFonts w:hint="eastAsia" w:ascii="宋体" w:hAnsi="宋体" w:eastAsia="宋体" w:cs="宋体"/>
          <w:color w:val="auto"/>
          <w:sz w:val="21"/>
          <w:szCs w:val="21"/>
          <w:highlight w:val="none"/>
        </w:rPr>
        <w:t>〔2020〕</w:t>
      </w:r>
      <w:r>
        <w:rPr>
          <w:rFonts w:hint="eastAsia" w:ascii="宋体" w:hAnsi="宋体" w:eastAsia="宋体" w:cs="宋体"/>
          <w:color w:val="auto"/>
          <w:sz w:val="21"/>
          <w:szCs w:val="21"/>
          <w:highlight w:val="none"/>
          <w:lang w:val="en-US" w:eastAsia="zh-CN"/>
        </w:rPr>
        <w:t>108</w:t>
      </w:r>
      <w:r>
        <w:rPr>
          <w:rFonts w:hint="eastAsia" w:ascii="宋体" w:hAnsi="宋体" w:eastAsia="宋体" w:cs="宋体"/>
          <w:color w:val="auto"/>
          <w:sz w:val="21"/>
          <w:szCs w:val="21"/>
          <w:highlight w:val="none"/>
        </w:rPr>
        <w:t>号）的通知</w:t>
      </w:r>
      <w:r>
        <w:rPr>
          <w:rFonts w:hint="eastAsia" w:ascii="宋体" w:hAnsi="宋体" w:eastAsia="宋体" w:cs="宋体"/>
          <w:color w:val="auto"/>
          <w:sz w:val="21"/>
          <w:szCs w:val="21"/>
          <w:highlight w:val="none"/>
          <w:lang w:eastAsia="zh-CN"/>
        </w:rPr>
        <w:t>精神</w:t>
      </w:r>
      <w:r>
        <w:rPr>
          <w:rFonts w:hint="eastAsia" w:ascii="宋体" w:hAnsi="宋体" w:eastAsia="宋体" w:cs="宋体"/>
          <w:color w:val="auto"/>
          <w:sz w:val="21"/>
          <w:szCs w:val="21"/>
          <w:highlight w:val="none"/>
        </w:rPr>
        <w:t>，现就</w:t>
      </w:r>
      <w:r>
        <w:rPr>
          <w:rFonts w:hint="eastAsia" w:ascii="宋体" w:hAnsi="宋体" w:eastAsia="宋体" w:cs="宋体"/>
          <w:color w:val="auto"/>
          <w:sz w:val="21"/>
          <w:szCs w:val="21"/>
          <w:highlight w:val="none"/>
          <w:lang w:eastAsia="zh-CN"/>
        </w:rPr>
        <w:t>建立临平区</w:t>
      </w:r>
      <w:r>
        <w:rPr>
          <w:rFonts w:hint="eastAsia" w:ascii="宋体" w:hAnsi="宋体" w:eastAsia="宋体" w:cs="宋体"/>
          <w:color w:val="auto"/>
          <w:sz w:val="21"/>
          <w:szCs w:val="21"/>
          <w:highlight w:val="none"/>
        </w:rPr>
        <w:t>养老服务电子津贴制度提出如下实施</w:t>
      </w:r>
      <w:r>
        <w:rPr>
          <w:rFonts w:hint="eastAsia" w:ascii="宋体" w:hAnsi="宋体" w:eastAsia="宋体" w:cs="宋体"/>
          <w:color w:val="auto"/>
          <w:sz w:val="21"/>
          <w:szCs w:val="21"/>
          <w:highlight w:val="none"/>
          <w:lang w:eastAsia="zh-CN"/>
        </w:rPr>
        <w:t>办法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（以下简称办法）</w:t>
      </w:r>
    </w:p>
    <w:p>
      <w:pPr>
        <w:pageBreakBefore w:val="0"/>
        <w:widowControl w:val="0"/>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一</w:t>
      </w:r>
      <w:r>
        <w:rPr>
          <w:rFonts w:hint="eastAsia" w:ascii="宋体" w:hAnsi="宋体" w:eastAsia="宋体" w:cs="宋体"/>
          <w:b w:val="0"/>
          <w:bCs w:val="0"/>
          <w:color w:val="auto"/>
          <w:sz w:val="21"/>
          <w:szCs w:val="21"/>
          <w:highlight w:val="none"/>
        </w:rPr>
        <w:t>、基本原则</w:t>
      </w:r>
    </w:p>
    <w:p>
      <w:pPr>
        <w:pageBreakBefore w:val="0"/>
        <w:widowControl w:val="0"/>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（一）保障基本，适度普惠。</w:t>
      </w:r>
      <w:r>
        <w:rPr>
          <w:rFonts w:hint="eastAsia" w:ascii="宋体" w:hAnsi="宋体" w:eastAsia="宋体" w:cs="宋体"/>
          <w:color w:val="auto"/>
          <w:sz w:val="21"/>
          <w:szCs w:val="21"/>
          <w:highlight w:val="none"/>
        </w:rPr>
        <w:t>积极应对人口老龄化，持续完善以居家为基础的养老服务体系。根据不同年龄情况、经济条件和身体状况，结合本地实际，为老年人享受养老服务提供保障，逐步形成合理保障梯度。</w:t>
      </w:r>
    </w:p>
    <w:p>
      <w:pPr>
        <w:pageBreakBefore w:val="0"/>
        <w:widowControl w:val="0"/>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（二）需求导向，精准服务。</w:t>
      </w:r>
      <w:r>
        <w:rPr>
          <w:rFonts w:hint="eastAsia" w:ascii="宋体" w:hAnsi="宋体" w:eastAsia="宋体" w:cs="宋体"/>
          <w:color w:val="auto"/>
          <w:sz w:val="21"/>
          <w:szCs w:val="21"/>
          <w:highlight w:val="none"/>
        </w:rPr>
        <w:t>立足基本养老服务需求，加强老年人能力评估体系建设，优先保障失能失智老年人服务需求，为老年人自愿、就近选择养老服务提供便利。</w:t>
      </w:r>
    </w:p>
    <w:p>
      <w:pPr>
        <w:pageBreakBefore w:val="0"/>
        <w:widowControl w:val="0"/>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（三）志愿服务，社会参与。</w:t>
      </w:r>
      <w:r>
        <w:rPr>
          <w:rFonts w:hint="eastAsia" w:ascii="宋体" w:hAnsi="宋体" w:eastAsia="宋体" w:cs="宋体"/>
          <w:color w:val="auto"/>
          <w:sz w:val="21"/>
          <w:szCs w:val="21"/>
          <w:highlight w:val="none"/>
        </w:rPr>
        <w:t>深化放管服改革，激发养老服务市场活力，通过社会力量参与、志愿服务提供等多种形式进一步丰富养老服务供给，提升服务专业化水平。</w:t>
      </w:r>
    </w:p>
    <w:p>
      <w:pPr>
        <w:pageBreakBefore w:val="0"/>
        <w:widowControl w:val="0"/>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（四）创新机制，加强监管。</w:t>
      </w:r>
      <w:r>
        <w:rPr>
          <w:rFonts w:hint="eastAsia" w:ascii="宋体" w:hAnsi="宋体" w:eastAsia="宋体" w:cs="宋体"/>
          <w:color w:val="auto"/>
          <w:sz w:val="21"/>
          <w:szCs w:val="21"/>
          <w:highlight w:val="none"/>
        </w:rPr>
        <w:t>加强“互联网+养老”信息技术应用，探索和实施数字支付、统一支付模式，实现数据归集和闭环管理。</w:t>
      </w:r>
    </w:p>
    <w:p>
      <w:pPr>
        <w:pageBreakBefore w:val="0"/>
        <w:widowControl w:val="0"/>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二、电子津贴实施对象与标准</w:t>
      </w:r>
    </w:p>
    <w:p>
      <w:pPr>
        <w:pageBreakBefore w:val="0"/>
        <w:widowControl w:val="0"/>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lang w:val="en-US" w:eastAsia="zh-CN"/>
        </w:rPr>
        <w:t>享受对象。</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eastAsia="zh-CN"/>
        </w:rPr>
        <w:t>临平区</w:t>
      </w:r>
      <w:r>
        <w:rPr>
          <w:rFonts w:hint="eastAsia" w:ascii="宋体" w:hAnsi="宋体" w:eastAsia="宋体" w:cs="宋体"/>
          <w:color w:val="auto"/>
          <w:sz w:val="21"/>
          <w:szCs w:val="21"/>
          <w:highlight w:val="none"/>
        </w:rPr>
        <w:t>户籍并居住在本市</w:t>
      </w:r>
      <w:r>
        <w:rPr>
          <w:rFonts w:hint="eastAsia" w:ascii="宋体" w:hAnsi="宋体" w:eastAsia="宋体" w:cs="宋体"/>
          <w:color w:val="auto"/>
          <w:sz w:val="21"/>
          <w:szCs w:val="21"/>
          <w:highlight w:val="none"/>
          <w:lang w:eastAsia="zh-CN"/>
        </w:rPr>
        <w:t>，年满</w:t>
      </w:r>
      <w:r>
        <w:rPr>
          <w:rFonts w:hint="eastAsia" w:ascii="宋体" w:hAnsi="宋体" w:eastAsia="宋体" w:cs="宋体"/>
          <w:color w:val="auto"/>
          <w:sz w:val="21"/>
          <w:szCs w:val="21"/>
          <w:highlight w:val="none"/>
          <w:lang w:val="en-US" w:eastAsia="zh-CN"/>
        </w:rPr>
        <w:t>60周岁以上的</w:t>
      </w:r>
      <w:r>
        <w:rPr>
          <w:rFonts w:hint="eastAsia" w:ascii="宋体" w:hAnsi="宋体" w:eastAsia="宋体" w:cs="宋体"/>
          <w:color w:val="auto"/>
          <w:sz w:val="21"/>
          <w:szCs w:val="21"/>
          <w:highlight w:val="none"/>
        </w:rPr>
        <w:t>居家老年人，享受</w:t>
      </w:r>
      <w:r>
        <w:rPr>
          <w:rFonts w:hint="eastAsia" w:ascii="宋体" w:hAnsi="宋体" w:eastAsia="宋体" w:cs="宋体"/>
          <w:color w:val="auto"/>
          <w:sz w:val="21"/>
          <w:szCs w:val="21"/>
          <w:highlight w:val="none"/>
          <w:lang w:val="en-US" w:eastAsia="zh-CN"/>
        </w:rPr>
        <w:t>电子津贴</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en-US" w:eastAsia="zh-CN"/>
        </w:rPr>
        <w:t>以下</w:t>
      </w:r>
      <w:r>
        <w:rPr>
          <w:rFonts w:hint="eastAsia" w:ascii="宋体" w:hAnsi="宋体" w:eastAsia="宋体" w:cs="宋体"/>
          <w:color w:val="auto"/>
          <w:sz w:val="21"/>
          <w:szCs w:val="21"/>
          <w:highlight w:val="none"/>
        </w:rPr>
        <w:t>两类服务就高享受）。</w:t>
      </w:r>
    </w:p>
    <w:p>
      <w:pPr>
        <w:pageBreakBefore w:val="0"/>
        <w:widowControl w:val="0"/>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pacing w:val="10"/>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高龄普惠服务</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符合本《办法》所指的高龄老人照料服务：</w:t>
      </w:r>
      <w:r>
        <w:rPr>
          <w:rFonts w:hint="eastAsia" w:ascii="宋体" w:hAnsi="宋体" w:eastAsia="宋体" w:cs="宋体"/>
          <w:color w:val="auto"/>
          <w:sz w:val="21"/>
          <w:szCs w:val="21"/>
          <w:highlight w:val="none"/>
        </w:rPr>
        <w:t>80至89周岁老年人享受每人每月</w:t>
      </w:r>
      <w:r>
        <w:rPr>
          <w:rFonts w:hint="eastAsia" w:ascii="宋体" w:hAnsi="宋体" w:eastAsia="宋体" w:cs="宋体"/>
          <w:color w:val="auto"/>
          <w:sz w:val="21"/>
          <w:szCs w:val="21"/>
          <w:highlight w:val="none"/>
          <w:lang w:eastAsia="zh-CN"/>
        </w:rPr>
        <w:t>养老服务</w:t>
      </w:r>
      <w:r>
        <w:rPr>
          <w:rFonts w:hint="eastAsia" w:ascii="宋体" w:hAnsi="宋体" w:eastAsia="宋体" w:cs="宋体"/>
          <w:color w:val="auto"/>
          <w:sz w:val="21"/>
          <w:szCs w:val="21"/>
          <w:highlight w:val="none"/>
          <w:lang w:val="en-US" w:eastAsia="zh-CN"/>
        </w:rPr>
        <w:t>4小时</w:t>
      </w:r>
      <w:r>
        <w:rPr>
          <w:rFonts w:hint="eastAsia" w:ascii="宋体" w:hAnsi="宋体" w:eastAsia="宋体" w:cs="宋体"/>
          <w:color w:val="auto"/>
          <w:sz w:val="21"/>
          <w:szCs w:val="21"/>
          <w:highlight w:val="none"/>
        </w:rPr>
        <w:t>；90周岁及以上老年人享受每人每月</w:t>
      </w:r>
      <w:r>
        <w:rPr>
          <w:rFonts w:hint="eastAsia" w:ascii="宋体" w:hAnsi="宋体" w:eastAsia="宋体" w:cs="宋体"/>
          <w:color w:val="auto"/>
          <w:sz w:val="21"/>
          <w:szCs w:val="21"/>
          <w:highlight w:val="none"/>
          <w:lang w:eastAsia="zh-CN"/>
        </w:rPr>
        <w:t>养老服务</w:t>
      </w:r>
      <w:r>
        <w:rPr>
          <w:rFonts w:hint="eastAsia" w:ascii="宋体" w:hAnsi="宋体" w:eastAsia="宋体" w:cs="宋体"/>
          <w:color w:val="auto"/>
          <w:sz w:val="21"/>
          <w:szCs w:val="21"/>
          <w:highlight w:val="none"/>
          <w:lang w:val="en-US" w:eastAsia="zh-CN"/>
        </w:rPr>
        <w:t>8小时</w:t>
      </w:r>
      <w:r>
        <w:rPr>
          <w:rFonts w:hint="eastAsia" w:ascii="宋体" w:hAnsi="宋体" w:eastAsia="宋体" w:cs="宋体"/>
          <w:color w:val="auto"/>
          <w:sz w:val="21"/>
          <w:szCs w:val="21"/>
          <w:highlight w:val="none"/>
        </w:rPr>
        <w:t>。</w:t>
      </w:r>
    </w:p>
    <w:p>
      <w:pPr>
        <w:pageBreakBefore w:val="0"/>
        <w:widowControl w:val="0"/>
        <w:numPr>
          <w:ilvl w:val="0"/>
          <w:numId w:val="0"/>
        </w:numPr>
        <w:kinsoku/>
        <w:wordWrap/>
        <w:overflowPunct/>
        <w:topLinePunct w:val="0"/>
        <w:bidi w:val="0"/>
        <w:adjustRightInd w:val="0"/>
        <w:snapToGrid w:val="0"/>
        <w:spacing w:line="360" w:lineRule="auto"/>
        <w:ind w:firstLine="47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10"/>
          <w:sz w:val="21"/>
          <w:szCs w:val="21"/>
          <w:highlight w:val="none"/>
          <w:lang w:val="en-US" w:eastAsia="zh-CN"/>
        </w:rPr>
        <w:t>2.</w:t>
      </w:r>
      <w:r>
        <w:rPr>
          <w:rFonts w:hint="eastAsia" w:ascii="宋体" w:hAnsi="宋体" w:eastAsia="宋体" w:cs="宋体"/>
          <w:b/>
          <w:bCs/>
          <w:color w:val="auto"/>
          <w:spacing w:val="10"/>
          <w:sz w:val="21"/>
          <w:szCs w:val="21"/>
          <w:highlight w:val="none"/>
        </w:rPr>
        <w:t>失能失智照料服务</w:t>
      </w:r>
      <w:r>
        <w:rPr>
          <w:rFonts w:hint="eastAsia" w:ascii="宋体" w:hAnsi="宋体" w:eastAsia="宋体" w:cs="宋体"/>
          <w:b/>
          <w:bCs/>
          <w:color w:val="auto"/>
          <w:spacing w:val="10"/>
          <w:sz w:val="21"/>
          <w:szCs w:val="21"/>
          <w:highlight w:val="none"/>
          <w:lang w:eastAsia="zh-CN"/>
        </w:rPr>
        <w:t>。</w:t>
      </w:r>
      <w:r>
        <w:rPr>
          <w:rFonts w:hint="eastAsia" w:ascii="宋体" w:hAnsi="宋体" w:eastAsia="宋体" w:cs="宋体"/>
          <w:color w:val="auto"/>
          <w:sz w:val="21"/>
          <w:szCs w:val="21"/>
          <w:highlight w:val="none"/>
          <w:lang w:eastAsia="zh-CN"/>
        </w:rPr>
        <w:t>符合本《办法》所指的失能（失智）照料服务：</w:t>
      </w:r>
      <w:r>
        <w:rPr>
          <w:rFonts w:hint="eastAsia" w:ascii="宋体" w:hAnsi="宋体" w:eastAsia="宋体" w:cs="宋体"/>
          <w:color w:val="auto"/>
          <w:sz w:val="21"/>
          <w:szCs w:val="21"/>
          <w:highlight w:val="none"/>
        </w:rPr>
        <w:t>计划生育特殊家庭和最低生活保障家庭、最低生活保障边缘家庭、支出型贫困基本生活救助家庭中，经评估为重度失能失智的老年人享受每人每月</w:t>
      </w:r>
      <w:r>
        <w:rPr>
          <w:rFonts w:hint="eastAsia" w:ascii="宋体" w:hAnsi="宋体" w:eastAsia="宋体" w:cs="宋体"/>
          <w:color w:val="auto"/>
          <w:sz w:val="21"/>
          <w:szCs w:val="21"/>
          <w:highlight w:val="none"/>
          <w:lang w:eastAsia="zh-CN"/>
        </w:rPr>
        <w:t>养老服务</w:t>
      </w:r>
      <w:r>
        <w:rPr>
          <w:rFonts w:hint="eastAsia" w:ascii="宋体" w:hAnsi="宋体" w:eastAsia="宋体" w:cs="宋体"/>
          <w:color w:val="auto"/>
          <w:sz w:val="21"/>
          <w:szCs w:val="21"/>
          <w:highlight w:val="none"/>
          <w:lang w:val="en-US" w:eastAsia="zh-CN"/>
        </w:rPr>
        <w:t>56小时</w:t>
      </w:r>
      <w:r>
        <w:rPr>
          <w:rFonts w:hint="eastAsia" w:ascii="宋体" w:hAnsi="宋体" w:eastAsia="宋体" w:cs="宋体"/>
          <w:color w:val="auto"/>
          <w:sz w:val="21"/>
          <w:szCs w:val="21"/>
          <w:highlight w:val="none"/>
        </w:rPr>
        <w:t>；经评估为中度失能失智的老年人享受每人每月</w:t>
      </w:r>
      <w:r>
        <w:rPr>
          <w:rFonts w:hint="eastAsia" w:ascii="宋体" w:hAnsi="宋体" w:eastAsia="宋体" w:cs="宋体"/>
          <w:color w:val="auto"/>
          <w:sz w:val="21"/>
          <w:szCs w:val="21"/>
          <w:highlight w:val="none"/>
          <w:lang w:eastAsia="zh-CN"/>
        </w:rPr>
        <w:t>养老服务</w:t>
      </w:r>
      <w:r>
        <w:rPr>
          <w:rFonts w:hint="eastAsia" w:ascii="宋体" w:hAnsi="宋体" w:eastAsia="宋体" w:cs="宋体"/>
          <w:color w:val="auto"/>
          <w:sz w:val="21"/>
          <w:szCs w:val="21"/>
          <w:highlight w:val="none"/>
          <w:lang w:val="en-US" w:eastAsia="zh-CN"/>
        </w:rPr>
        <w:t>38小时</w:t>
      </w:r>
      <w:r>
        <w:rPr>
          <w:rFonts w:hint="eastAsia" w:ascii="宋体" w:hAnsi="宋体" w:eastAsia="宋体" w:cs="宋体"/>
          <w:color w:val="auto"/>
          <w:sz w:val="21"/>
          <w:szCs w:val="21"/>
          <w:highlight w:val="none"/>
          <w:lang w:eastAsia="zh-CN"/>
        </w:rPr>
        <w:t>。</w:t>
      </w:r>
    </w:p>
    <w:p>
      <w:pPr>
        <w:pageBreakBefore w:val="0"/>
        <w:widowControl w:val="0"/>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lang w:val="en-US" w:eastAsia="zh-CN"/>
        </w:rPr>
        <w:t>享受方法和标准。</w:t>
      </w:r>
      <w:r>
        <w:rPr>
          <w:rFonts w:hint="eastAsia" w:ascii="宋体" w:hAnsi="宋体" w:eastAsia="宋体" w:cs="宋体"/>
          <w:color w:val="auto"/>
          <w:sz w:val="21"/>
          <w:szCs w:val="21"/>
          <w:highlight w:val="none"/>
        </w:rPr>
        <w:t>养老服务电子津贴作为老年人享受政府提供服务的电子权益，依托杭州市“互联网+养老”系统平台，以“重阳分”形式按月发放至老年人本人社保卡（市民卡）养老服务专户中。养老服务电子津贴不可提现，</w:t>
      </w:r>
      <w:r>
        <w:rPr>
          <w:rFonts w:hint="eastAsia" w:ascii="宋体" w:hAnsi="宋体" w:eastAsia="宋体" w:cs="宋体"/>
          <w:color w:val="auto"/>
          <w:sz w:val="21"/>
          <w:szCs w:val="21"/>
          <w:highlight w:val="none"/>
          <w:shd w:val="clear" w:color="auto" w:fill="FFFFFF"/>
        </w:rPr>
        <w:t>采用虚拟额度后结算制，</w:t>
      </w:r>
      <w:r>
        <w:rPr>
          <w:rFonts w:hint="eastAsia" w:ascii="宋体" w:hAnsi="宋体" w:eastAsia="宋体" w:cs="宋体"/>
          <w:color w:val="auto"/>
          <w:sz w:val="21"/>
          <w:szCs w:val="21"/>
          <w:highlight w:val="none"/>
          <w:shd w:val="clear" w:color="auto" w:fill="FFFFFF"/>
          <w:lang w:eastAsia="zh-CN"/>
        </w:rPr>
        <w:t>并</w:t>
      </w:r>
      <w:r>
        <w:rPr>
          <w:rFonts w:hint="eastAsia" w:ascii="宋体" w:hAnsi="宋体" w:eastAsia="宋体" w:cs="宋体"/>
          <w:color w:val="auto"/>
          <w:sz w:val="21"/>
          <w:szCs w:val="21"/>
          <w:highlight w:val="none"/>
          <w:shd w:val="clear" w:color="auto" w:fill="FFFFFF"/>
        </w:rPr>
        <w:t>按照老年人实际使用情况进行结算</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lang w:eastAsia="zh-CN"/>
        </w:rPr>
        <w:t>电子津贴</w:t>
      </w:r>
      <w:r>
        <w:rPr>
          <w:rFonts w:hint="eastAsia" w:ascii="宋体" w:hAnsi="宋体" w:eastAsia="宋体" w:cs="宋体"/>
          <w:color w:val="auto"/>
          <w:sz w:val="21"/>
          <w:szCs w:val="21"/>
          <w:highlight w:val="none"/>
        </w:rPr>
        <w:t>服务价格为</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/小时</w:t>
      </w:r>
      <w:r>
        <w:rPr>
          <w:rFonts w:hint="eastAsia" w:ascii="宋体" w:hAnsi="宋体" w:eastAsia="宋体" w:cs="宋体"/>
          <w:color w:val="auto"/>
          <w:sz w:val="21"/>
          <w:szCs w:val="21"/>
          <w:highlight w:val="none"/>
        </w:rPr>
        <w:t>，养老服务电子津贴根据服务</w:t>
      </w:r>
      <w:r>
        <w:rPr>
          <w:rFonts w:hint="eastAsia" w:ascii="宋体" w:hAnsi="宋体" w:eastAsia="宋体" w:cs="宋体"/>
          <w:color w:val="auto"/>
          <w:sz w:val="21"/>
          <w:szCs w:val="21"/>
          <w:highlight w:val="none"/>
          <w:lang w:eastAsia="zh-CN"/>
        </w:rPr>
        <w:t>支出</w:t>
      </w:r>
      <w:r>
        <w:rPr>
          <w:rFonts w:hint="eastAsia" w:ascii="宋体" w:hAnsi="宋体" w:eastAsia="宋体" w:cs="宋体"/>
          <w:color w:val="auto"/>
          <w:sz w:val="21"/>
          <w:szCs w:val="21"/>
          <w:highlight w:val="none"/>
        </w:rPr>
        <w:t>由区和街道按照</w:t>
      </w:r>
      <w:r>
        <w:rPr>
          <w:rFonts w:hint="eastAsia" w:ascii="宋体" w:hAnsi="宋体" w:eastAsia="宋体" w:cs="宋体"/>
          <w:color w:val="auto"/>
          <w:sz w:val="21"/>
          <w:szCs w:val="21"/>
          <w:highlight w:val="none"/>
          <w:lang w:val="en-US" w:eastAsia="zh-CN"/>
        </w:rPr>
        <w:t>财政</w:t>
      </w:r>
      <w:r>
        <w:rPr>
          <w:rFonts w:hint="eastAsia" w:ascii="宋体" w:hAnsi="宋体" w:eastAsia="宋体" w:cs="宋体"/>
          <w:color w:val="auto"/>
          <w:sz w:val="21"/>
          <w:szCs w:val="21"/>
          <w:highlight w:val="none"/>
        </w:rPr>
        <w:t>比例补助。</w:t>
      </w:r>
      <w:r>
        <w:rPr>
          <w:rFonts w:hint="eastAsia" w:ascii="宋体" w:hAnsi="宋体" w:eastAsia="宋体" w:cs="宋体"/>
          <w:color w:val="auto"/>
          <w:sz w:val="21"/>
          <w:szCs w:val="21"/>
          <w:highlight w:val="none"/>
          <w:lang w:eastAsia="zh-CN"/>
        </w:rPr>
        <w:t>后期</w:t>
      </w:r>
      <w:r>
        <w:rPr>
          <w:rFonts w:hint="eastAsia" w:ascii="宋体" w:hAnsi="宋体" w:eastAsia="宋体" w:cs="宋体"/>
          <w:color w:val="auto"/>
          <w:sz w:val="21"/>
          <w:szCs w:val="21"/>
          <w:highlight w:val="none"/>
        </w:rPr>
        <w:t>如出台相关政策，从其规定。</w:t>
      </w:r>
    </w:p>
    <w:p>
      <w:pPr>
        <w:pageBreakBefore w:val="0"/>
        <w:widowControl w:val="0"/>
        <w:numPr>
          <w:ilvl w:val="0"/>
          <w:numId w:val="0"/>
        </w:numPr>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养老服务电子津贴与特困人员救助供养、重度残疾人护理补贴、养老服务补贴、入住养老机构护理补贴和家庭养老床位补助等不叠加享受。</w:t>
      </w:r>
      <w:r>
        <w:rPr>
          <w:rFonts w:hint="eastAsia" w:ascii="宋体" w:hAnsi="宋体" w:eastAsia="宋体" w:cs="宋体"/>
          <w:color w:val="auto"/>
          <w:sz w:val="21"/>
          <w:szCs w:val="21"/>
          <w:highlight w:val="none"/>
          <w:lang w:val="en-US" w:eastAsia="zh-CN"/>
        </w:rPr>
        <w:t xml:space="preserve"> </w:t>
      </w:r>
    </w:p>
    <w:p>
      <w:pPr>
        <w:pageBreakBefore w:val="0"/>
        <w:widowControl w:val="0"/>
        <w:tabs>
          <w:tab w:val="left" w:pos="6050"/>
        </w:tabs>
        <w:kinsoku/>
        <w:wordWrap/>
        <w:overflowPunct/>
        <w:topLinePunct w:val="0"/>
        <w:bidi w:val="0"/>
        <w:adjustRightInd w:val="0"/>
        <w:snapToGrid w:val="0"/>
        <w:spacing w:line="360" w:lineRule="auto"/>
        <w:ind w:firstLine="43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eastAsia="zh-CN"/>
        </w:rPr>
        <w:t>三、办理程序</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tabs>
          <w:tab w:val="left" w:pos="6050"/>
        </w:tabs>
        <w:kinsoku/>
        <w:wordWrap/>
        <w:overflowPunct/>
        <w:topLinePunct w:val="0"/>
        <w:autoSpaceDE/>
        <w:autoSpaceDN/>
        <w:bidi w:val="0"/>
        <w:adjustRightInd w:val="0"/>
        <w:snapToGrid w:val="0"/>
        <w:spacing w:line="360" w:lineRule="auto"/>
        <w:ind w:firstLine="43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（一）信息录入。</w:t>
      </w:r>
      <w:r>
        <w:rPr>
          <w:rFonts w:hint="eastAsia" w:ascii="宋体" w:hAnsi="宋体" w:eastAsia="宋体" w:cs="宋体"/>
          <w:b w:val="0"/>
          <w:bCs w:val="0"/>
          <w:color w:val="auto"/>
          <w:sz w:val="21"/>
          <w:szCs w:val="21"/>
          <w:highlight w:val="none"/>
        </w:rPr>
        <w:t>高龄照料服务无需申请，</w:t>
      </w:r>
      <w:r>
        <w:rPr>
          <w:rFonts w:hint="eastAsia" w:ascii="宋体" w:hAnsi="宋体" w:eastAsia="宋体" w:cs="宋体"/>
          <w:b w:val="0"/>
          <w:bCs w:val="0"/>
          <w:color w:val="auto"/>
          <w:sz w:val="21"/>
          <w:szCs w:val="21"/>
          <w:highlight w:val="none"/>
          <w:lang w:eastAsia="zh-CN"/>
        </w:rPr>
        <w:t>各镇街应主动发现</w:t>
      </w:r>
      <w:r>
        <w:rPr>
          <w:rFonts w:hint="eastAsia" w:ascii="宋体" w:hAnsi="宋体" w:eastAsia="宋体" w:cs="宋体"/>
          <w:b w:val="0"/>
          <w:bCs w:val="0"/>
          <w:color w:val="auto"/>
          <w:sz w:val="21"/>
          <w:szCs w:val="21"/>
          <w:highlight w:val="none"/>
        </w:rPr>
        <w:t>并确认享受对象。失能失智照料服务由申请人本人向户籍地或居住地</w:t>
      </w:r>
      <w:r>
        <w:rPr>
          <w:rFonts w:hint="eastAsia" w:ascii="宋体" w:hAnsi="宋体" w:eastAsia="宋体" w:cs="宋体"/>
          <w:b w:val="0"/>
          <w:bCs w:val="0"/>
          <w:color w:val="auto"/>
          <w:sz w:val="21"/>
          <w:szCs w:val="21"/>
          <w:highlight w:val="none"/>
          <w:lang w:eastAsia="zh-CN"/>
        </w:rPr>
        <w:t>镇（</w:t>
      </w:r>
      <w:r>
        <w:rPr>
          <w:rFonts w:hint="eastAsia" w:ascii="宋体" w:hAnsi="宋体" w:eastAsia="宋体" w:cs="宋体"/>
          <w:b w:val="0"/>
          <w:bCs w:val="0"/>
          <w:color w:val="auto"/>
          <w:sz w:val="21"/>
          <w:szCs w:val="21"/>
          <w:highlight w:val="none"/>
        </w:rPr>
        <w:t>街道</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提出申请。因客观原因无法提出申请的，可由监护人、家庭成员或所在村（</w:t>
      </w:r>
      <w:r>
        <w:rPr>
          <w:rFonts w:hint="eastAsia" w:ascii="宋体" w:hAnsi="宋体" w:eastAsia="宋体" w:cs="宋体"/>
          <w:b w:val="0"/>
          <w:bCs w:val="0"/>
          <w:color w:val="auto"/>
          <w:sz w:val="21"/>
          <w:szCs w:val="21"/>
          <w:highlight w:val="none"/>
          <w:lang w:eastAsia="zh-CN"/>
        </w:rPr>
        <w:t>社区</w:t>
      </w:r>
      <w:r>
        <w:rPr>
          <w:rFonts w:hint="eastAsia" w:ascii="宋体" w:hAnsi="宋体" w:eastAsia="宋体" w:cs="宋体"/>
          <w:b w:val="0"/>
          <w:bCs w:val="0"/>
          <w:color w:val="auto"/>
          <w:sz w:val="21"/>
          <w:szCs w:val="21"/>
          <w:highlight w:val="none"/>
        </w:rPr>
        <w:t>）代为申请。</w:t>
      </w:r>
      <w:r>
        <w:rPr>
          <w:rFonts w:hint="eastAsia" w:ascii="宋体" w:hAnsi="宋体" w:eastAsia="宋体" w:cs="宋体"/>
          <w:b w:val="0"/>
          <w:bCs w:val="0"/>
          <w:color w:val="auto"/>
          <w:sz w:val="21"/>
          <w:szCs w:val="21"/>
          <w:highlight w:val="none"/>
          <w:lang w:eastAsia="zh-CN"/>
        </w:rPr>
        <w:t>申请材料包括：《养老服务电子津贴申请表》（见附件</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）和本人有效身份证件原件。</w:t>
      </w:r>
    </w:p>
    <w:p>
      <w:pPr>
        <w:keepNext w:val="0"/>
        <w:keepLines w:val="0"/>
        <w:pageBreakBefore w:val="0"/>
        <w:widowControl w:val="0"/>
        <w:tabs>
          <w:tab w:val="left" w:pos="6050"/>
        </w:tabs>
        <w:kinsoku/>
        <w:wordWrap/>
        <w:overflowPunct/>
        <w:topLinePunct w:val="0"/>
        <w:autoSpaceDE/>
        <w:autoSpaceDN/>
        <w:bidi w:val="0"/>
        <w:adjustRightInd w:val="0"/>
        <w:snapToGrid w:val="0"/>
        <w:spacing w:line="360" w:lineRule="auto"/>
        <w:ind w:firstLine="43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（二）受理评估。</w:t>
      </w:r>
      <w:r>
        <w:rPr>
          <w:rFonts w:hint="eastAsia" w:ascii="宋体" w:hAnsi="宋体" w:eastAsia="宋体" w:cs="宋体"/>
          <w:b w:val="0"/>
          <w:bCs w:val="0"/>
          <w:color w:val="auto"/>
          <w:sz w:val="21"/>
          <w:szCs w:val="21"/>
          <w:highlight w:val="none"/>
          <w:lang w:eastAsia="zh-CN"/>
        </w:rPr>
        <w:t>各镇（</w:t>
      </w:r>
      <w:r>
        <w:rPr>
          <w:rFonts w:hint="eastAsia" w:ascii="宋体" w:hAnsi="宋体" w:eastAsia="宋体" w:cs="宋体"/>
          <w:b w:val="0"/>
          <w:bCs w:val="0"/>
          <w:color w:val="auto"/>
          <w:sz w:val="21"/>
          <w:szCs w:val="21"/>
          <w:highlight w:val="none"/>
        </w:rPr>
        <w:t>街道</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对于申请材料齐全、符合规定格式的应当场受理。需要进行评估的按照统一的老年人能力评估标准，由区民政局确定的评估机构进行评估。今后评估政策有变化的，从其规定。</w:t>
      </w:r>
    </w:p>
    <w:p>
      <w:pPr>
        <w:pageBreakBefore w:val="0"/>
        <w:widowControl w:val="0"/>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（三）审核公示。</w:t>
      </w:r>
      <w:r>
        <w:rPr>
          <w:rFonts w:hint="eastAsia" w:ascii="宋体" w:hAnsi="宋体" w:eastAsia="宋体" w:cs="宋体"/>
          <w:color w:val="auto"/>
          <w:sz w:val="21"/>
          <w:szCs w:val="21"/>
          <w:highlight w:val="none"/>
          <w:lang w:eastAsia="zh-CN"/>
        </w:rPr>
        <w:t>各镇（</w:t>
      </w:r>
      <w:r>
        <w:rPr>
          <w:rFonts w:hint="eastAsia" w:ascii="宋体" w:hAnsi="宋体" w:eastAsia="宋体" w:cs="宋体"/>
          <w:color w:val="auto"/>
          <w:sz w:val="21"/>
          <w:szCs w:val="21"/>
          <w:highlight w:val="none"/>
        </w:rPr>
        <w:t>街道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根据申请材料和评估结果进行审核，并将审核结果在申请地村（</w:t>
      </w:r>
      <w:r>
        <w:rPr>
          <w:rFonts w:hint="eastAsia" w:ascii="宋体" w:hAnsi="宋体" w:eastAsia="宋体" w:cs="宋体"/>
          <w:color w:val="auto"/>
          <w:sz w:val="21"/>
          <w:szCs w:val="21"/>
          <w:highlight w:val="none"/>
          <w:lang w:eastAsia="zh-CN"/>
        </w:rPr>
        <w:t>社区</w:t>
      </w:r>
      <w:r>
        <w:rPr>
          <w:rFonts w:hint="eastAsia" w:ascii="宋体" w:hAnsi="宋体" w:eastAsia="宋体" w:cs="宋体"/>
          <w:color w:val="auto"/>
          <w:sz w:val="21"/>
          <w:szCs w:val="21"/>
          <w:highlight w:val="none"/>
        </w:rPr>
        <w:t>）公示</w:t>
      </w:r>
      <w:r>
        <w:rPr>
          <w:rFonts w:hint="eastAsia" w:ascii="宋体" w:hAnsi="宋体" w:eastAsia="宋体" w:cs="宋体"/>
          <w:color w:val="auto"/>
          <w:sz w:val="21"/>
          <w:szCs w:val="21"/>
          <w:highlight w:val="none"/>
          <w:lang w:eastAsia="zh-CN"/>
        </w:rPr>
        <w:t>，公示期为</w:t>
      </w:r>
      <w:r>
        <w:rPr>
          <w:rFonts w:hint="eastAsia" w:ascii="宋体" w:hAnsi="宋体" w:eastAsia="宋体" w:cs="宋体"/>
          <w:color w:val="auto"/>
          <w:sz w:val="21"/>
          <w:szCs w:val="21"/>
          <w:highlight w:val="none"/>
          <w:lang w:val="en-US" w:eastAsia="zh-CN"/>
        </w:rPr>
        <w:t>7天。</w:t>
      </w:r>
      <w:r>
        <w:rPr>
          <w:rFonts w:hint="eastAsia" w:ascii="宋体" w:hAnsi="宋体" w:eastAsia="宋体" w:cs="宋体"/>
          <w:color w:val="auto"/>
          <w:sz w:val="21"/>
          <w:szCs w:val="21"/>
          <w:highlight w:val="none"/>
        </w:rPr>
        <w:t>公示</w:t>
      </w:r>
      <w:r>
        <w:rPr>
          <w:rFonts w:hint="eastAsia" w:ascii="宋体" w:hAnsi="宋体" w:eastAsia="宋体" w:cs="宋体"/>
          <w:color w:val="auto"/>
          <w:sz w:val="21"/>
          <w:szCs w:val="21"/>
          <w:highlight w:val="none"/>
          <w:lang w:eastAsia="zh-CN"/>
        </w:rPr>
        <w:t>期满</w:t>
      </w:r>
      <w:r>
        <w:rPr>
          <w:rFonts w:hint="eastAsia" w:ascii="宋体" w:hAnsi="宋体" w:eastAsia="宋体" w:cs="宋体"/>
          <w:color w:val="auto"/>
          <w:sz w:val="21"/>
          <w:szCs w:val="21"/>
          <w:highlight w:val="none"/>
        </w:rPr>
        <w:t>无异议的报</w:t>
      </w:r>
      <w:r>
        <w:rPr>
          <w:rFonts w:hint="eastAsia" w:ascii="宋体" w:hAnsi="宋体" w:eastAsia="宋体" w:cs="宋体"/>
          <w:color w:val="auto"/>
          <w:sz w:val="21"/>
          <w:szCs w:val="21"/>
          <w:highlight w:val="none"/>
          <w:lang w:val="en-US" w:eastAsia="zh-CN"/>
        </w:rPr>
        <w:t>区民政</w:t>
      </w:r>
      <w:r>
        <w:rPr>
          <w:rFonts w:hint="eastAsia" w:ascii="宋体" w:hAnsi="宋体" w:eastAsia="宋体" w:cs="宋体"/>
          <w:color w:val="auto"/>
          <w:sz w:val="21"/>
          <w:szCs w:val="21"/>
          <w:highlight w:val="none"/>
          <w:lang w:eastAsia="zh-CN"/>
        </w:rPr>
        <w:t>局</w:t>
      </w:r>
      <w:r>
        <w:rPr>
          <w:rFonts w:hint="eastAsia" w:ascii="宋体" w:hAnsi="宋体" w:eastAsia="宋体" w:cs="宋体"/>
          <w:color w:val="auto"/>
          <w:sz w:val="21"/>
          <w:szCs w:val="21"/>
          <w:highlight w:val="none"/>
        </w:rPr>
        <w:t>。群众</w:t>
      </w:r>
      <w:r>
        <w:rPr>
          <w:rFonts w:hint="eastAsia" w:ascii="宋体" w:hAnsi="宋体" w:eastAsia="宋体" w:cs="宋体"/>
          <w:color w:val="auto"/>
          <w:sz w:val="21"/>
          <w:szCs w:val="21"/>
          <w:highlight w:val="none"/>
          <w:lang w:eastAsia="zh-CN"/>
        </w:rPr>
        <w:t>对能力评估</w:t>
      </w:r>
      <w:r>
        <w:rPr>
          <w:rFonts w:hint="eastAsia" w:ascii="宋体" w:hAnsi="宋体" w:eastAsia="宋体" w:cs="宋体"/>
          <w:color w:val="auto"/>
          <w:sz w:val="21"/>
          <w:szCs w:val="21"/>
          <w:highlight w:val="none"/>
        </w:rPr>
        <w:t>有异议的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eastAsia="zh-CN"/>
        </w:rPr>
        <w:t>在收到评估结论</w:t>
      </w:r>
      <w:r>
        <w:rPr>
          <w:rFonts w:hint="eastAsia" w:ascii="宋体" w:hAnsi="宋体" w:eastAsia="宋体" w:cs="宋体"/>
          <w:color w:val="auto"/>
          <w:sz w:val="21"/>
          <w:szCs w:val="21"/>
          <w:highlight w:val="none"/>
          <w:lang w:val="en-US" w:eastAsia="zh-CN"/>
        </w:rPr>
        <w:t>5个工作日内，申请</w:t>
      </w:r>
      <w:r>
        <w:rPr>
          <w:rFonts w:hint="eastAsia" w:ascii="宋体" w:hAnsi="宋体" w:eastAsia="宋体" w:cs="宋体"/>
          <w:color w:val="auto"/>
          <w:sz w:val="21"/>
          <w:szCs w:val="21"/>
          <w:highlight w:val="none"/>
        </w:rPr>
        <w:t>进行复核评估，复核评估结果为最终结果，复核评估后不符合条件的，书面通知申请对象。</w:t>
      </w:r>
    </w:p>
    <w:p>
      <w:pPr>
        <w:pageBreakBefore w:val="0"/>
        <w:widowControl w:val="0"/>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（四）审批。</w:t>
      </w:r>
      <w:r>
        <w:rPr>
          <w:rFonts w:hint="eastAsia" w:ascii="宋体" w:hAnsi="宋体" w:eastAsia="宋体" w:cs="宋体"/>
          <w:color w:val="auto"/>
          <w:sz w:val="21"/>
          <w:szCs w:val="21"/>
          <w:highlight w:val="none"/>
          <w:lang w:val="en-US" w:eastAsia="zh-CN"/>
        </w:rPr>
        <w:t>区民政局</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各镇（</w:t>
      </w:r>
      <w:r>
        <w:rPr>
          <w:rFonts w:hint="eastAsia" w:ascii="宋体" w:hAnsi="宋体" w:eastAsia="宋体" w:cs="宋体"/>
          <w:color w:val="auto"/>
          <w:sz w:val="21"/>
          <w:szCs w:val="21"/>
          <w:highlight w:val="none"/>
        </w:rPr>
        <w:t>街道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上报的材料进行审批。批准养老服务电子津贴的，从批准之日次月起享受；未予批准的，</w:t>
      </w:r>
      <w:r>
        <w:rPr>
          <w:rFonts w:hint="eastAsia" w:ascii="宋体" w:hAnsi="宋体" w:eastAsia="宋体" w:cs="宋体"/>
          <w:color w:val="auto"/>
          <w:sz w:val="21"/>
          <w:szCs w:val="21"/>
          <w:highlight w:val="none"/>
          <w:lang w:eastAsia="zh-CN"/>
        </w:rPr>
        <w:t>由区民政局通过镇（街道）</w:t>
      </w:r>
      <w:r>
        <w:rPr>
          <w:rFonts w:hint="eastAsia" w:ascii="宋体" w:hAnsi="宋体" w:eastAsia="宋体" w:cs="宋体"/>
          <w:color w:val="auto"/>
          <w:sz w:val="21"/>
          <w:szCs w:val="21"/>
          <w:highlight w:val="none"/>
        </w:rPr>
        <w:t>书面</w:t>
      </w:r>
      <w:r>
        <w:rPr>
          <w:rFonts w:hint="eastAsia" w:ascii="宋体" w:hAnsi="宋体" w:eastAsia="宋体" w:cs="宋体"/>
          <w:color w:val="auto"/>
          <w:sz w:val="21"/>
          <w:szCs w:val="21"/>
          <w:highlight w:val="none"/>
          <w:lang w:eastAsia="zh-CN"/>
        </w:rPr>
        <w:t>告知</w:t>
      </w:r>
      <w:r>
        <w:rPr>
          <w:rFonts w:hint="eastAsia" w:ascii="宋体" w:hAnsi="宋体" w:eastAsia="宋体" w:cs="宋体"/>
          <w:color w:val="auto"/>
          <w:sz w:val="21"/>
          <w:szCs w:val="21"/>
          <w:highlight w:val="none"/>
        </w:rPr>
        <w:t>申请人，申请人可在6个月后再次申请。</w:t>
      </w:r>
    </w:p>
    <w:p>
      <w:pPr>
        <w:pageBreakBefore w:val="0"/>
        <w:widowControl w:val="0"/>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（五）</w:t>
      </w:r>
      <w:r>
        <w:rPr>
          <w:rFonts w:hint="eastAsia" w:ascii="宋体" w:hAnsi="宋体" w:eastAsia="宋体" w:cs="宋体"/>
          <w:b/>
          <w:bCs/>
          <w:color w:val="auto"/>
          <w:sz w:val="21"/>
          <w:szCs w:val="21"/>
          <w:highlight w:val="none"/>
          <w:lang w:eastAsia="zh-CN"/>
        </w:rPr>
        <w:t>终止。</w:t>
      </w:r>
      <w:r>
        <w:rPr>
          <w:rFonts w:hint="eastAsia" w:ascii="宋体" w:hAnsi="宋体" w:eastAsia="宋体" w:cs="宋体"/>
          <w:color w:val="auto"/>
          <w:sz w:val="21"/>
          <w:szCs w:val="21"/>
          <w:highlight w:val="none"/>
          <w:lang w:eastAsia="zh-CN"/>
        </w:rPr>
        <w:t>养老服务电子津贴对象有下列情形之一的，应当及时终止发放：</w:t>
      </w:r>
    </w:p>
    <w:p>
      <w:pPr>
        <w:pageBreakBefore w:val="0"/>
        <w:widowControl w:val="0"/>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（1）死亡、被宣告失踪或者死亡；</w:t>
      </w:r>
    </w:p>
    <w:p>
      <w:pPr>
        <w:pageBreakBefore w:val="0"/>
        <w:widowControl w:val="0"/>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（2）经过康复治疗能力评估达到轻度或完全自理；</w:t>
      </w:r>
    </w:p>
    <w:p>
      <w:pPr>
        <w:pageBreakBefore w:val="0"/>
        <w:widowControl w:val="0"/>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（3）能力评估到期（评估结论有效期2年），其本人或代理人未提出重新能力评估；</w:t>
      </w:r>
    </w:p>
    <w:p>
      <w:pPr>
        <w:pageBreakBefore w:val="0"/>
        <w:widowControl w:val="0"/>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（4）依法被判处刑罚，且在监狱服刑；</w:t>
      </w:r>
    </w:p>
    <w:p>
      <w:pPr>
        <w:pageBreakBefore w:val="0"/>
        <w:widowControl w:val="0"/>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（5）申请人身份不再符合特殊计生、低保、低保边缘和支出型贫困基本生活救助认定。</w:t>
      </w:r>
    </w:p>
    <w:p>
      <w:pPr>
        <w:pageBreakBefore w:val="0"/>
        <w:widowControl w:val="0"/>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养老服务</w:t>
      </w:r>
      <w:r>
        <w:rPr>
          <w:rFonts w:hint="eastAsia" w:ascii="宋体" w:hAnsi="宋体" w:eastAsia="宋体" w:cs="宋体"/>
          <w:color w:val="auto"/>
          <w:sz w:val="21"/>
          <w:szCs w:val="21"/>
          <w:highlight w:val="none"/>
          <w:lang w:eastAsia="zh-CN"/>
        </w:rPr>
        <w:t>电子津贴</w:t>
      </w:r>
      <w:r>
        <w:rPr>
          <w:rFonts w:hint="eastAsia" w:ascii="宋体" w:hAnsi="宋体" w:eastAsia="宋体" w:cs="宋体"/>
          <w:color w:val="auto"/>
          <w:sz w:val="21"/>
          <w:szCs w:val="21"/>
          <w:highlight w:val="none"/>
        </w:rPr>
        <w:t>实行动态管理，区民政局应及时清退不符合条件的对象。老人去世次月停发养老服务电子津贴并停止使用社保卡（市民卡）养老服务专户，养老服务电子津贴失效。</w:t>
      </w:r>
    </w:p>
    <w:p>
      <w:pPr>
        <w:pageBreakBefore w:val="0"/>
        <w:widowControl w:val="0"/>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四、其他事项</w:t>
      </w:r>
    </w:p>
    <w:p>
      <w:pPr>
        <w:pageBreakBefore w:val="0"/>
        <w:widowControl w:val="0"/>
        <w:numPr>
          <w:ilvl w:val="0"/>
          <w:numId w:val="0"/>
        </w:numPr>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养老服务电子津贴以满足老年人必要的生活照护需求为原则，通过提供服务的方式实施。</w:t>
      </w:r>
      <w:r>
        <w:rPr>
          <w:rFonts w:hint="eastAsia" w:ascii="宋体" w:hAnsi="宋体" w:eastAsia="宋体" w:cs="宋体"/>
          <w:color w:val="auto"/>
          <w:sz w:val="21"/>
          <w:szCs w:val="21"/>
          <w:highlight w:val="none"/>
          <w:lang w:val="en-US" w:eastAsia="zh-CN"/>
        </w:rPr>
        <w:t>各镇（街道）自行确定</w:t>
      </w:r>
      <w:r>
        <w:rPr>
          <w:rFonts w:hint="eastAsia" w:ascii="宋体" w:hAnsi="宋体" w:eastAsia="宋体" w:cs="宋体"/>
          <w:color w:val="auto"/>
          <w:sz w:val="21"/>
          <w:szCs w:val="21"/>
          <w:highlight w:val="none"/>
          <w:lang w:eastAsia="zh-CN"/>
        </w:rPr>
        <w:t>养老服务电子津贴</w:t>
      </w:r>
      <w:r>
        <w:rPr>
          <w:rFonts w:hint="eastAsia" w:ascii="宋体" w:hAnsi="宋体" w:eastAsia="宋体" w:cs="宋体"/>
          <w:color w:val="auto"/>
          <w:sz w:val="21"/>
          <w:szCs w:val="21"/>
          <w:highlight w:val="none"/>
        </w:rPr>
        <w:t>服务商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老年人可根据实际需求</w:t>
      </w:r>
      <w:r>
        <w:rPr>
          <w:rFonts w:hint="eastAsia" w:ascii="宋体" w:hAnsi="宋体" w:eastAsia="宋体" w:cs="宋体"/>
          <w:color w:val="auto"/>
          <w:sz w:val="21"/>
          <w:szCs w:val="21"/>
          <w:highlight w:val="none"/>
          <w:lang w:eastAsia="zh-CN"/>
        </w:rPr>
        <w:t>在《临平区养老服务电子津贴“重阳分”使用指导目录》（见附件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内自行选择养老服务</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w:t>
      </w:r>
    </w:p>
    <w:p>
      <w:pPr>
        <w:pageBreakBefore w:val="0"/>
        <w:widowControl w:val="0"/>
        <w:numPr>
          <w:ilvl w:val="0"/>
          <w:numId w:val="0"/>
        </w:numPr>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临平区户籍在杭州市其他县市区居住的</w:t>
      </w:r>
      <w:r>
        <w:rPr>
          <w:rFonts w:hint="eastAsia" w:ascii="宋体" w:hAnsi="宋体" w:eastAsia="宋体" w:cs="宋体"/>
          <w:color w:val="auto"/>
          <w:sz w:val="21"/>
          <w:szCs w:val="21"/>
          <w:highlight w:val="none"/>
        </w:rPr>
        <w:t>老年人，可由</w:t>
      </w: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民政</w:t>
      </w:r>
      <w:r>
        <w:rPr>
          <w:rFonts w:hint="eastAsia" w:ascii="宋体" w:hAnsi="宋体" w:eastAsia="宋体" w:cs="宋体"/>
          <w:color w:val="auto"/>
          <w:sz w:val="21"/>
          <w:szCs w:val="21"/>
          <w:highlight w:val="none"/>
          <w:lang w:eastAsia="zh-CN"/>
        </w:rPr>
        <w:t>局</w:t>
      </w:r>
      <w:r>
        <w:rPr>
          <w:rFonts w:hint="eastAsia" w:ascii="宋体" w:hAnsi="宋体" w:eastAsia="宋体" w:cs="宋体"/>
          <w:color w:val="auto"/>
          <w:sz w:val="21"/>
          <w:szCs w:val="21"/>
          <w:highlight w:val="none"/>
        </w:rPr>
        <w:t>委托居住地民政部门负责评估，电子津贴发放按照户籍地相关规定执行。</w:t>
      </w:r>
    </w:p>
    <w:p>
      <w:pPr>
        <w:pageBreakBefore w:val="0"/>
        <w:widowControl w:val="0"/>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lang w:val="en-US" w:eastAsia="zh-CN"/>
        </w:rPr>
        <w:t>为保持政策的延续性，</w:t>
      </w:r>
      <w:r>
        <w:rPr>
          <w:rFonts w:hint="eastAsia" w:ascii="宋体" w:hAnsi="宋体" w:eastAsia="宋体" w:cs="宋体"/>
          <w:color w:val="auto"/>
          <w:sz w:val="21"/>
          <w:szCs w:val="21"/>
          <w:highlight w:val="none"/>
          <w:lang w:val="en-US" w:eastAsia="zh-CN"/>
        </w:rPr>
        <w:t>原享受养老服务补贴的老年人，经评估达到轻度、中度、重度的，按原标准享受服务补贴。</w:t>
      </w:r>
    </w:p>
    <w:p>
      <w:pPr>
        <w:pageBreakBefore w:val="0"/>
        <w:widowControl w:val="0"/>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老年人能力评估机构和居家养老上门服务实施机构应当进行回避，评估机构与服务实施机构的管理人不能为同一人或者不能存在直接控股、管理关系。从事养老服务电子津贴审核审批的工作人员直系亲属不得在同一行政区域从事与养老服务评估、养老服务项目提供有关的工作。</w:t>
      </w:r>
    </w:p>
    <w:p>
      <w:pPr>
        <w:pageBreakBefore w:val="0"/>
        <w:widowControl w:val="0"/>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）按规定实施老年人能力评估，首次评估费用由</w:t>
      </w: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财政保障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评估</w:t>
      </w:r>
      <w:r>
        <w:rPr>
          <w:rFonts w:hint="eastAsia" w:ascii="宋体" w:hAnsi="宋体" w:eastAsia="宋体" w:cs="宋体"/>
          <w:color w:val="auto"/>
          <w:sz w:val="21"/>
          <w:szCs w:val="21"/>
          <w:highlight w:val="none"/>
          <w:lang w:eastAsia="zh-CN"/>
        </w:rPr>
        <w:t>费用标准</w:t>
      </w:r>
      <w:r>
        <w:rPr>
          <w:rFonts w:hint="eastAsia" w:ascii="宋体" w:hAnsi="宋体" w:eastAsia="宋体" w:cs="宋体"/>
          <w:color w:val="auto"/>
          <w:sz w:val="21"/>
          <w:szCs w:val="21"/>
          <w:highlight w:val="none"/>
        </w:rPr>
        <w:t>为每</w:t>
      </w:r>
      <w:r>
        <w:rPr>
          <w:rFonts w:hint="eastAsia" w:ascii="宋体" w:hAnsi="宋体" w:eastAsia="宋体" w:cs="宋体"/>
          <w:color w:val="auto"/>
          <w:sz w:val="21"/>
          <w:szCs w:val="21"/>
          <w:highlight w:val="none"/>
          <w:lang w:eastAsia="zh-CN"/>
        </w:rPr>
        <w:t>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0元</w:t>
      </w:r>
      <w:r>
        <w:rPr>
          <w:rFonts w:hint="eastAsia" w:ascii="宋体" w:hAnsi="宋体" w:eastAsia="宋体" w:cs="宋体"/>
          <w:color w:val="auto"/>
          <w:sz w:val="21"/>
          <w:szCs w:val="21"/>
          <w:highlight w:val="none"/>
          <w:lang w:eastAsia="zh-CN"/>
        </w:rPr>
        <w:t>（按实际招标中标价为准）</w:t>
      </w:r>
      <w:r>
        <w:rPr>
          <w:rFonts w:hint="eastAsia" w:ascii="宋体" w:hAnsi="宋体" w:eastAsia="宋体" w:cs="宋体"/>
          <w:color w:val="auto"/>
          <w:sz w:val="21"/>
          <w:szCs w:val="21"/>
          <w:highlight w:val="none"/>
        </w:rPr>
        <w:t>。老年人再次评估或对评估结果有异议且复核评估维持原结果的，评估费用由老人自理，可使用养老服务电子津贴抵扣。</w:t>
      </w:r>
    </w:p>
    <w:p>
      <w:pPr>
        <w:pageBreakBefore w:val="0"/>
        <w:widowControl w:val="0"/>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五、工作要求</w:t>
      </w:r>
    </w:p>
    <w:p>
      <w:pPr>
        <w:pageBreakBefore w:val="0"/>
        <w:widowControl w:val="0"/>
        <w:tabs>
          <w:tab w:val="left" w:pos="6050"/>
        </w:tabs>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（一）加强</w:t>
      </w:r>
      <w:r>
        <w:rPr>
          <w:rFonts w:hint="eastAsia" w:ascii="宋体" w:hAnsi="宋体" w:eastAsia="宋体" w:cs="宋体"/>
          <w:b/>
          <w:bCs/>
          <w:color w:val="auto"/>
          <w:sz w:val="21"/>
          <w:szCs w:val="21"/>
          <w:highlight w:val="none"/>
          <w:lang w:eastAsia="zh-CN"/>
        </w:rPr>
        <w:t>服务保障</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各</w:t>
      </w:r>
      <w:r>
        <w:rPr>
          <w:rFonts w:hint="eastAsia" w:ascii="宋体" w:hAnsi="宋体" w:eastAsia="宋体" w:cs="宋体"/>
          <w:color w:val="auto"/>
          <w:sz w:val="21"/>
          <w:szCs w:val="21"/>
          <w:highlight w:val="none"/>
          <w:lang w:eastAsia="zh-CN"/>
        </w:rPr>
        <w:t>镇（街道）和相关服务单位</w:t>
      </w:r>
      <w:r>
        <w:rPr>
          <w:rFonts w:hint="eastAsia" w:ascii="宋体" w:hAnsi="宋体" w:eastAsia="宋体" w:cs="宋体"/>
          <w:color w:val="auto"/>
          <w:sz w:val="21"/>
          <w:szCs w:val="21"/>
          <w:highlight w:val="none"/>
        </w:rPr>
        <w:t>要高度重视老年人服务保障，通过实施养老服务电子津贴增加服务供给、提高服务质量，促进幸福</w:t>
      </w:r>
      <w:r>
        <w:rPr>
          <w:rFonts w:hint="eastAsia" w:ascii="宋体" w:hAnsi="宋体" w:eastAsia="宋体" w:cs="宋体"/>
          <w:color w:val="auto"/>
          <w:sz w:val="21"/>
          <w:szCs w:val="21"/>
          <w:highlight w:val="none"/>
          <w:lang w:eastAsia="zh-CN"/>
        </w:rPr>
        <w:t>颐养样板区</w:t>
      </w:r>
      <w:r>
        <w:rPr>
          <w:rFonts w:hint="eastAsia" w:ascii="宋体" w:hAnsi="宋体" w:eastAsia="宋体" w:cs="宋体"/>
          <w:color w:val="auto"/>
          <w:sz w:val="21"/>
          <w:szCs w:val="21"/>
          <w:highlight w:val="none"/>
        </w:rPr>
        <w:t>建设。</w:t>
      </w:r>
      <w:r>
        <w:rPr>
          <w:rFonts w:hint="eastAsia" w:ascii="宋体" w:hAnsi="宋体" w:eastAsia="宋体" w:cs="宋体"/>
          <w:color w:val="auto"/>
          <w:sz w:val="21"/>
          <w:szCs w:val="21"/>
          <w:highlight w:val="none"/>
          <w:lang w:eastAsia="zh-CN"/>
        </w:rPr>
        <w:t>区民政局要做好</w:t>
      </w:r>
      <w:r>
        <w:rPr>
          <w:rFonts w:hint="eastAsia" w:ascii="宋体" w:hAnsi="宋体" w:eastAsia="宋体" w:cs="宋体"/>
          <w:color w:val="auto"/>
          <w:sz w:val="21"/>
          <w:szCs w:val="21"/>
          <w:highlight w:val="none"/>
        </w:rPr>
        <w:t>养老服务电子津贴</w:t>
      </w:r>
      <w:r>
        <w:rPr>
          <w:rFonts w:hint="eastAsia" w:ascii="宋体" w:hAnsi="宋体" w:eastAsia="宋体" w:cs="宋体"/>
          <w:color w:val="auto"/>
          <w:sz w:val="21"/>
          <w:szCs w:val="21"/>
          <w:highlight w:val="none"/>
          <w:lang w:eastAsia="zh-CN"/>
        </w:rPr>
        <w:t>资金的测算和发放工作，所需</w:t>
      </w:r>
      <w:r>
        <w:rPr>
          <w:rFonts w:hint="eastAsia" w:ascii="宋体" w:hAnsi="宋体" w:eastAsia="宋体" w:cs="宋体"/>
          <w:color w:val="auto"/>
          <w:sz w:val="21"/>
          <w:szCs w:val="21"/>
          <w:highlight w:val="none"/>
        </w:rPr>
        <w:t>经费列入</w:t>
      </w: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财政预算。</w:t>
      </w:r>
      <w:r>
        <w:rPr>
          <w:rFonts w:hint="eastAsia" w:ascii="宋体" w:hAnsi="宋体" w:eastAsia="宋体" w:cs="宋体"/>
          <w:color w:val="auto"/>
          <w:sz w:val="21"/>
          <w:szCs w:val="21"/>
          <w:highlight w:val="none"/>
          <w:lang w:eastAsia="zh-CN"/>
        </w:rPr>
        <w:t>探索推进志愿服务“时间银行”和“电子津贴”共享互换机制。</w:t>
      </w:r>
    </w:p>
    <w:p>
      <w:pPr>
        <w:pageBreakBefore w:val="0"/>
        <w:widowControl w:val="0"/>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）加强监督管理。</w:t>
      </w:r>
      <w:r>
        <w:rPr>
          <w:rFonts w:hint="eastAsia" w:ascii="宋体" w:hAnsi="宋体" w:eastAsia="宋体" w:cs="宋体"/>
          <w:i w:val="0"/>
          <w:caps w:val="0"/>
          <w:color w:val="auto"/>
          <w:spacing w:val="0"/>
          <w:sz w:val="21"/>
          <w:szCs w:val="21"/>
          <w:highlight w:val="none"/>
          <w:shd w:val="clear" w:color="auto" w:fill="FFFFFF"/>
        </w:rPr>
        <w:t>各养老服务电子津贴享受对象提供虚假材料或做虚假陈述经查实的，</w:t>
      </w:r>
      <w:r>
        <w:rPr>
          <w:rFonts w:hint="eastAsia" w:ascii="宋体" w:hAnsi="宋体" w:eastAsia="宋体" w:cs="宋体"/>
          <w:i w:val="0"/>
          <w:caps w:val="0"/>
          <w:color w:val="auto"/>
          <w:spacing w:val="0"/>
          <w:sz w:val="21"/>
          <w:szCs w:val="21"/>
          <w:highlight w:val="none"/>
          <w:shd w:val="clear" w:color="auto" w:fill="FFFFFF"/>
          <w:lang w:eastAsia="zh-CN"/>
        </w:rPr>
        <w:t>区民政局将</w:t>
      </w:r>
      <w:r>
        <w:rPr>
          <w:rFonts w:hint="eastAsia" w:ascii="宋体" w:hAnsi="宋体" w:eastAsia="宋体" w:cs="宋体"/>
          <w:i w:val="0"/>
          <w:caps w:val="0"/>
          <w:color w:val="auto"/>
          <w:spacing w:val="0"/>
          <w:sz w:val="21"/>
          <w:szCs w:val="21"/>
          <w:highlight w:val="none"/>
          <w:shd w:val="clear" w:color="auto" w:fill="FFFFFF"/>
        </w:rPr>
        <w:t>责令退回非法获取的电子津贴。</w:t>
      </w:r>
      <w:r>
        <w:rPr>
          <w:rFonts w:hint="eastAsia" w:ascii="宋体" w:hAnsi="宋体" w:eastAsia="宋体" w:cs="宋体"/>
          <w:color w:val="auto"/>
          <w:sz w:val="21"/>
          <w:szCs w:val="21"/>
          <w:highlight w:val="none"/>
          <w:lang w:val="en-US" w:eastAsia="zh-CN"/>
        </w:rPr>
        <w:t>各服务机构在实施能力评估、服务监管和开展养老服务时，必须严格按照合同约定条款执行。接受民政、财政等部门核查时，必须如实提供真实、有效、完备的数据、资料、凭证，如有弄虚作假、骗取财政资金等行为，一经查实，除追回财政资金外，依法追究机构法人责任；情节严重的，将依法实施失信联合惩戒；涉嫌犯罪的，移送司法机关处理。</w:t>
      </w:r>
    </w:p>
    <w:p>
      <w:pPr>
        <w:pageBreakBefore w:val="0"/>
        <w:widowControl w:val="0"/>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）加强宣传引导。</w:t>
      </w:r>
      <w:r>
        <w:rPr>
          <w:rFonts w:hint="eastAsia" w:ascii="宋体" w:hAnsi="宋体" w:eastAsia="宋体" w:cs="宋体"/>
          <w:color w:val="auto"/>
          <w:sz w:val="21"/>
          <w:szCs w:val="21"/>
          <w:highlight w:val="none"/>
          <w:lang w:eastAsia="zh-CN"/>
        </w:rPr>
        <w:t>各镇（街道）要</w:t>
      </w:r>
      <w:r>
        <w:rPr>
          <w:rFonts w:hint="eastAsia" w:ascii="宋体" w:hAnsi="宋体" w:eastAsia="宋体" w:cs="宋体"/>
          <w:color w:val="auto"/>
          <w:sz w:val="21"/>
          <w:szCs w:val="21"/>
          <w:highlight w:val="none"/>
        </w:rPr>
        <w:t>做好基层工作人员培训，贯彻落实“最多跑一次”要求，通过多种途径和媒介对养老服务电子津贴制度进行宣传、解释，使老年人及家属知晓制度内容和办理程序，营造关心、关爱老年人的良好社会氛围。</w:t>
      </w:r>
    </w:p>
    <w:p>
      <w:pPr>
        <w:pageBreakBefore w:val="0"/>
        <w:widowControl w:val="0"/>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六、实施时间</w:t>
      </w:r>
    </w:p>
    <w:p>
      <w:pPr>
        <w:pageBreakBefore w:val="0"/>
        <w:widowControl w:val="0"/>
        <w:kinsoku/>
        <w:wordWrap/>
        <w:overflowPunct/>
        <w:topLinePunct w:val="0"/>
        <w:bidi w:val="0"/>
        <w:adjustRightInd w:val="0"/>
        <w:snapToGrid w:val="0"/>
        <w:spacing w:line="360" w:lineRule="auto"/>
        <w:ind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《办法》自</w:t>
      </w:r>
      <w:r>
        <w:rPr>
          <w:rFonts w:hint="eastAsia" w:ascii="宋体" w:hAnsi="宋体" w:eastAsia="宋体" w:cs="宋体"/>
          <w:color w:val="auto"/>
          <w:sz w:val="21"/>
          <w:szCs w:val="21"/>
          <w:highlight w:val="none"/>
          <w:lang w:val="en-US" w:eastAsia="zh-CN"/>
        </w:rPr>
        <w:t>2022年1月1日起施行。上级政策文件有变动的以上级政策文件为准，具体由区民政局和区财政局负责解释。</w:t>
      </w:r>
    </w:p>
    <w:p>
      <w:pPr>
        <w:pageBreakBefore w:val="0"/>
        <w:widowControl w:val="0"/>
        <w:tabs>
          <w:tab w:val="left" w:pos="6050"/>
        </w:tabs>
        <w:kinsoku/>
        <w:wordWrap/>
        <w:overflowPunct/>
        <w:topLinePunct w:val="0"/>
        <w:bidi w:val="0"/>
        <w:adjustRightInd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1.临平</w:t>
      </w:r>
      <w:r>
        <w:rPr>
          <w:rFonts w:hint="eastAsia" w:ascii="宋体" w:hAnsi="宋体" w:eastAsia="宋体" w:cs="宋体"/>
          <w:color w:val="auto"/>
          <w:sz w:val="21"/>
          <w:szCs w:val="21"/>
          <w:highlight w:val="none"/>
          <w:lang w:eastAsia="zh-CN"/>
        </w:rPr>
        <w:t>区</w:t>
      </w:r>
      <w:r>
        <w:rPr>
          <w:rFonts w:hint="eastAsia" w:ascii="宋体" w:hAnsi="宋体" w:eastAsia="宋体" w:cs="宋体"/>
          <w:color w:val="auto"/>
          <w:sz w:val="21"/>
          <w:szCs w:val="21"/>
          <w:highlight w:val="none"/>
        </w:rPr>
        <w:t>养老服务电子津贴“重阳分”使用指导目录</w:t>
      </w:r>
    </w:p>
    <w:p>
      <w:pPr>
        <w:pageBreakBefore w:val="0"/>
        <w:widowControl w:val="0"/>
        <w:tabs>
          <w:tab w:val="left" w:pos="6050"/>
        </w:tabs>
        <w:kinsoku/>
        <w:wordWrap/>
        <w:overflowPunct/>
        <w:topLinePunct w:val="0"/>
        <w:bidi w:val="0"/>
        <w:adjustRightInd w:val="0"/>
        <w:snapToGrid w:val="0"/>
        <w:spacing w:line="360" w:lineRule="auto"/>
        <w:ind w:left="1520" w:leftChars="304" w:hanging="864" w:hangingChars="4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lang w:val="en-US" w:eastAsia="zh-CN"/>
        </w:rPr>
        <w:t xml:space="preserve">     2.</w:t>
      </w:r>
      <w:r>
        <w:rPr>
          <w:rFonts w:hint="eastAsia" w:ascii="宋体" w:hAnsi="宋体" w:eastAsia="宋体" w:cs="宋体"/>
          <w:color w:val="auto"/>
          <w:sz w:val="21"/>
          <w:szCs w:val="21"/>
          <w:highlight w:val="none"/>
          <w:lang w:eastAsia="zh-CN"/>
        </w:rPr>
        <w:t>临平</w:t>
      </w:r>
      <w:r>
        <w:rPr>
          <w:rFonts w:hint="eastAsia" w:ascii="宋体" w:hAnsi="宋体" w:eastAsia="宋体" w:cs="宋体"/>
          <w:color w:val="auto"/>
          <w:sz w:val="21"/>
          <w:szCs w:val="21"/>
          <w:highlight w:val="none"/>
        </w:rPr>
        <w:t>区养老服务电子津贴申请表</w:t>
      </w:r>
    </w:p>
    <w:p>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pPr>
        <w:tabs>
          <w:tab w:val="left" w:pos="6050"/>
        </w:tabs>
        <w:snapToGrid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附件</w:t>
      </w:r>
      <w:r>
        <w:rPr>
          <w:rFonts w:hint="eastAsia" w:ascii="宋体" w:hAnsi="宋体" w:eastAsia="宋体" w:cs="宋体"/>
          <w:b w:val="0"/>
          <w:bCs/>
          <w:color w:val="auto"/>
          <w:sz w:val="21"/>
          <w:szCs w:val="21"/>
          <w:highlight w:val="none"/>
          <w:lang w:val="en-US" w:eastAsia="zh-CN"/>
        </w:rPr>
        <w:t>1：</w:t>
      </w:r>
    </w:p>
    <w:p>
      <w:pPr>
        <w:tabs>
          <w:tab w:val="left" w:pos="6050"/>
        </w:tabs>
        <w:spacing w:line="5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临平</w:t>
      </w:r>
      <w:r>
        <w:rPr>
          <w:rFonts w:hint="eastAsia" w:ascii="宋体" w:hAnsi="宋体" w:eastAsia="宋体" w:cs="宋体"/>
          <w:b/>
          <w:bCs/>
          <w:color w:val="auto"/>
          <w:sz w:val="24"/>
          <w:szCs w:val="24"/>
          <w:highlight w:val="none"/>
          <w:lang w:eastAsia="zh-CN"/>
        </w:rPr>
        <w:t>区</w:t>
      </w:r>
      <w:r>
        <w:rPr>
          <w:rFonts w:hint="eastAsia" w:ascii="宋体" w:hAnsi="宋体" w:eastAsia="宋体" w:cs="宋体"/>
          <w:b/>
          <w:bCs/>
          <w:color w:val="auto"/>
          <w:sz w:val="24"/>
          <w:szCs w:val="24"/>
          <w:highlight w:val="none"/>
        </w:rPr>
        <w:t>养老服务电子津贴“重阳分”使用指导目录</w:t>
      </w:r>
    </w:p>
    <w:tbl>
      <w:tblPr>
        <w:tblStyle w:val="62"/>
        <w:tblpPr w:leftFromText="180" w:rightFromText="180" w:vertAnchor="text" w:horzAnchor="page" w:tblpX="1588"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491"/>
        <w:gridCol w:w="4753"/>
        <w:gridCol w:w="2101"/>
      </w:tblGrid>
      <w:tr>
        <w:trPr>
          <w:trHeight w:val="568" w:hRule="atLeast"/>
        </w:trPr>
        <w:tc>
          <w:tcPr>
            <w:tcW w:w="603" w:type="dxa"/>
            <w:noWrap w:val="0"/>
            <w:vAlign w:val="center"/>
          </w:tcPr>
          <w:p>
            <w:pPr>
              <w:adjustRightInd w:val="0"/>
              <w:snapToGrid w:val="0"/>
              <w:ind w:left="-108" w:leftChars="-50" w:right="-108" w:right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服务项目</w:t>
            </w:r>
          </w:p>
        </w:tc>
        <w:tc>
          <w:tcPr>
            <w:tcW w:w="475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210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rPr>
          <w:trHeight w:val="475"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基本生活</w:t>
            </w:r>
          </w:p>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照料</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身体清洁、衣物穿脱、协助移动、喂食喝水、排泄清洁等</w:t>
            </w:r>
          </w:p>
        </w:tc>
        <w:tc>
          <w:tcPr>
            <w:tcW w:w="2101" w:type="dxa"/>
            <w:noWrap w:val="0"/>
            <w:vAlign w:val="center"/>
          </w:tcPr>
          <w:p>
            <w:pPr>
              <w:snapToGrid w:val="0"/>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可根据老人需求提供固定频次的服务包</w:t>
            </w:r>
          </w:p>
        </w:tc>
      </w:tr>
      <w:tr>
        <w:trPr>
          <w:trHeight w:val="362"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  餐</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送餐、取餐和做餐等</w:t>
            </w:r>
          </w:p>
        </w:tc>
        <w:tc>
          <w:tcPr>
            <w:tcW w:w="2101"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不含食材费</w:t>
            </w:r>
          </w:p>
        </w:tc>
      </w:tr>
      <w:tr>
        <w:trPr>
          <w:trHeight w:val="414"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  浴</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擦浴、淋浴和外出送浴等</w:t>
            </w:r>
          </w:p>
        </w:tc>
        <w:tc>
          <w:tcPr>
            <w:tcW w:w="2101" w:type="dxa"/>
            <w:noWrap w:val="0"/>
            <w:vAlign w:val="center"/>
          </w:tcPr>
          <w:p>
            <w:pPr>
              <w:snapToGrid w:val="0"/>
              <w:rPr>
                <w:rFonts w:hint="eastAsia" w:ascii="宋体" w:hAnsi="宋体" w:eastAsia="宋体" w:cs="宋体"/>
                <w:color w:val="auto"/>
                <w:sz w:val="21"/>
                <w:szCs w:val="21"/>
                <w:highlight w:val="none"/>
              </w:rPr>
            </w:pPr>
          </w:p>
        </w:tc>
      </w:tr>
      <w:tr>
        <w:trPr>
          <w:trHeight w:val="414"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  洁</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清洁老年人居室，清洗老年人衣物</w:t>
            </w:r>
          </w:p>
        </w:tc>
        <w:tc>
          <w:tcPr>
            <w:tcW w:w="2101" w:type="dxa"/>
            <w:noWrap w:val="0"/>
            <w:vAlign w:val="center"/>
          </w:tcPr>
          <w:p>
            <w:pPr>
              <w:snapToGrid w:val="0"/>
              <w:rPr>
                <w:rFonts w:hint="eastAsia" w:ascii="宋体" w:hAnsi="宋体" w:eastAsia="宋体" w:cs="宋体"/>
                <w:color w:val="auto"/>
                <w:sz w:val="21"/>
                <w:szCs w:val="21"/>
                <w:highlight w:val="none"/>
              </w:rPr>
            </w:pPr>
          </w:p>
        </w:tc>
      </w:tr>
      <w:tr>
        <w:trPr>
          <w:trHeight w:val="379"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  行</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协助老年人室内外散步、外出等</w:t>
            </w:r>
          </w:p>
        </w:tc>
        <w:tc>
          <w:tcPr>
            <w:tcW w:w="2101" w:type="dxa"/>
            <w:noWrap w:val="0"/>
            <w:vAlign w:val="center"/>
          </w:tcPr>
          <w:p>
            <w:pPr>
              <w:snapToGrid w:val="0"/>
              <w:rPr>
                <w:rFonts w:hint="eastAsia" w:ascii="宋体" w:hAnsi="宋体" w:eastAsia="宋体" w:cs="宋体"/>
                <w:color w:val="auto"/>
                <w:sz w:val="21"/>
                <w:szCs w:val="21"/>
                <w:highlight w:val="none"/>
              </w:rPr>
            </w:pPr>
          </w:p>
        </w:tc>
      </w:tr>
      <w:tr>
        <w:trPr>
          <w:trHeight w:val="379"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  办</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帮助老年人外出办理社会事务活动等</w:t>
            </w:r>
          </w:p>
        </w:tc>
        <w:tc>
          <w:tcPr>
            <w:tcW w:w="2101" w:type="dxa"/>
            <w:noWrap w:val="0"/>
            <w:vAlign w:val="center"/>
          </w:tcPr>
          <w:p>
            <w:pPr>
              <w:snapToGrid w:val="0"/>
              <w:rPr>
                <w:rFonts w:hint="eastAsia" w:ascii="宋体" w:hAnsi="宋体" w:eastAsia="宋体" w:cs="宋体"/>
                <w:color w:val="auto"/>
                <w:sz w:val="21"/>
                <w:szCs w:val="21"/>
                <w:highlight w:val="none"/>
              </w:rPr>
            </w:pPr>
          </w:p>
        </w:tc>
      </w:tr>
      <w:tr>
        <w:trPr>
          <w:trHeight w:val="396"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理发修面</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修剪头发，刮胡须</w:t>
            </w:r>
          </w:p>
        </w:tc>
        <w:tc>
          <w:tcPr>
            <w:tcW w:w="2101" w:type="dxa"/>
            <w:noWrap w:val="0"/>
            <w:vAlign w:val="center"/>
          </w:tcPr>
          <w:p>
            <w:pPr>
              <w:snapToGrid w:val="0"/>
              <w:rPr>
                <w:rFonts w:hint="eastAsia" w:ascii="宋体" w:hAnsi="宋体" w:eastAsia="宋体" w:cs="宋体"/>
                <w:color w:val="auto"/>
                <w:sz w:val="21"/>
                <w:szCs w:val="21"/>
                <w:highlight w:val="none"/>
              </w:rPr>
            </w:pPr>
          </w:p>
        </w:tc>
      </w:tr>
      <w:tr>
        <w:trPr>
          <w:trHeight w:val="396"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家电维修</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家用电器维修</w:t>
            </w:r>
          </w:p>
        </w:tc>
        <w:tc>
          <w:tcPr>
            <w:tcW w:w="2101"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材料费另计</w:t>
            </w:r>
          </w:p>
        </w:tc>
      </w:tr>
      <w:tr>
        <w:trPr>
          <w:trHeight w:val="379"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管道疏通</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家用管道疏通</w:t>
            </w:r>
          </w:p>
        </w:tc>
        <w:tc>
          <w:tcPr>
            <w:tcW w:w="2101"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材料费另计</w:t>
            </w:r>
          </w:p>
        </w:tc>
      </w:tr>
      <w:tr>
        <w:trPr>
          <w:trHeight w:val="652"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助医服务</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协助监护人陪送老年人就医，</w:t>
            </w:r>
            <w:r>
              <w:rPr>
                <w:rFonts w:hint="eastAsia" w:ascii="宋体" w:hAnsi="宋体" w:eastAsia="宋体" w:cs="宋体"/>
                <w:color w:val="auto"/>
                <w:sz w:val="21"/>
                <w:szCs w:val="21"/>
                <w:highlight w:val="none"/>
              </w:rPr>
              <w:t>代为挂号、配药、取药、取化验单等</w:t>
            </w:r>
            <w:r>
              <w:rPr>
                <w:rFonts w:hint="eastAsia" w:ascii="宋体" w:hAnsi="宋体" w:eastAsia="宋体" w:cs="宋体"/>
                <w:color w:val="auto"/>
                <w:kern w:val="0"/>
                <w:sz w:val="21"/>
                <w:szCs w:val="21"/>
                <w:highlight w:val="none"/>
              </w:rPr>
              <w:t xml:space="preserve"> </w:t>
            </w:r>
          </w:p>
        </w:tc>
        <w:tc>
          <w:tcPr>
            <w:tcW w:w="2101" w:type="dxa"/>
            <w:noWrap w:val="0"/>
            <w:vAlign w:val="center"/>
          </w:tcPr>
          <w:p>
            <w:pPr>
              <w:snapToGrid w:val="0"/>
              <w:rPr>
                <w:rFonts w:hint="eastAsia" w:ascii="宋体" w:hAnsi="宋体" w:eastAsia="宋体" w:cs="宋体"/>
                <w:color w:val="auto"/>
                <w:sz w:val="21"/>
                <w:szCs w:val="21"/>
                <w:highlight w:val="none"/>
              </w:rPr>
            </w:pPr>
          </w:p>
        </w:tc>
      </w:tr>
      <w:tr>
        <w:trPr>
          <w:trHeight w:val="475"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健康管理</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体温、脉搏、呼吸、血压等生命体征测量、记录及健康预防管理</w:t>
            </w:r>
          </w:p>
        </w:tc>
        <w:tc>
          <w:tcPr>
            <w:tcW w:w="2101" w:type="dxa"/>
            <w:noWrap w:val="0"/>
            <w:vAlign w:val="center"/>
          </w:tcPr>
          <w:p>
            <w:pPr>
              <w:snapToGrid w:val="0"/>
              <w:rPr>
                <w:rFonts w:hint="eastAsia" w:ascii="宋体" w:hAnsi="宋体" w:eastAsia="宋体" w:cs="宋体"/>
                <w:color w:val="auto"/>
                <w:sz w:val="21"/>
                <w:szCs w:val="21"/>
                <w:highlight w:val="none"/>
              </w:rPr>
            </w:pPr>
          </w:p>
        </w:tc>
      </w:tr>
      <w:tr>
        <w:trPr>
          <w:trHeight w:val="413"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康复护理</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肢体功能训练、口面部训练、康复推拿等</w:t>
            </w:r>
          </w:p>
        </w:tc>
        <w:tc>
          <w:tcPr>
            <w:tcW w:w="2101" w:type="dxa"/>
            <w:noWrap w:val="0"/>
            <w:vAlign w:val="center"/>
          </w:tcPr>
          <w:p>
            <w:pPr>
              <w:snapToGrid w:val="0"/>
              <w:rPr>
                <w:rFonts w:hint="eastAsia" w:ascii="宋体" w:hAnsi="宋体" w:eastAsia="宋体" w:cs="宋体"/>
                <w:color w:val="auto"/>
                <w:sz w:val="21"/>
                <w:szCs w:val="21"/>
                <w:highlight w:val="none"/>
              </w:rPr>
            </w:pPr>
          </w:p>
        </w:tc>
      </w:tr>
      <w:tr>
        <w:trPr>
          <w:trHeight w:val="413"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日托服务</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由居家养老服务机构提供日托照料服务</w:t>
            </w:r>
          </w:p>
        </w:tc>
        <w:tc>
          <w:tcPr>
            <w:tcW w:w="2101"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不含餐费</w:t>
            </w:r>
          </w:p>
        </w:tc>
      </w:tr>
      <w:tr>
        <w:trPr>
          <w:trHeight w:val="475"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精神慰藉</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心理咨询和疏导，帮助解决老年人情绪、情感和家庭问题</w:t>
            </w:r>
          </w:p>
        </w:tc>
        <w:tc>
          <w:tcPr>
            <w:tcW w:w="2101" w:type="dxa"/>
            <w:noWrap w:val="0"/>
            <w:vAlign w:val="center"/>
          </w:tcPr>
          <w:p>
            <w:pPr>
              <w:snapToGrid w:val="0"/>
              <w:rPr>
                <w:rFonts w:hint="eastAsia" w:ascii="宋体" w:hAnsi="宋体" w:eastAsia="宋体" w:cs="宋体"/>
                <w:color w:val="auto"/>
                <w:sz w:val="21"/>
                <w:szCs w:val="21"/>
                <w:highlight w:val="none"/>
              </w:rPr>
            </w:pPr>
          </w:p>
        </w:tc>
      </w:tr>
      <w:tr>
        <w:trPr>
          <w:trHeight w:val="262"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辅具租赁</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适老化康复辅助器具租赁</w:t>
            </w:r>
          </w:p>
        </w:tc>
        <w:tc>
          <w:tcPr>
            <w:tcW w:w="2101"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不可用于押金</w:t>
            </w:r>
          </w:p>
        </w:tc>
      </w:tr>
      <w:tr>
        <w:trPr>
          <w:trHeight w:val="475"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家庭适老化改造</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提供家庭适老化设计和改造</w:t>
            </w:r>
          </w:p>
        </w:tc>
        <w:tc>
          <w:tcPr>
            <w:tcW w:w="2101"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适用于基础改造服务包</w:t>
            </w:r>
          </w:p>
        </w:tc>
      </w:tr>
      <w:tr>
        <w:trPr>
          <w:trHeight w:val="475"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家庭养老床位照护服务</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依托有资质的养老服务机构，提供必要的设施设备，为居家老年人提供专业规范的机构式照护服务</w:t>
            </w:r>
          </w:p>
        </w:tc>
        <w:tc>
          <w:tcPr>
            <w:tcW w:w="2101" w:type="dxa"/>
            <w:noWrap w:val="0"/>
            <w:vAlign w:val="center"/>
          </w:tcPr>
          <w:p>
            <w:pPr>
              <w:snapToGrid w:val="0"/>
              <w:rPr>
                <w:rFonts w:hint="eastAsia" w:ascii="宋体" w:hAnsi="宋体" w:eastAsia="宋体" w:cs="宋体"/>
                <w:color w:val="auto"/>
                <w:sz w:val="21"/>
                <w:szCs w:val="21"/>
                <w:highlight w:val="none"/>
              </w:rPr>
            </w:pPr>
          </w:p>
        </w:tc>
      </w:tr>
      <w:tr>
        <w:trPr>
          <w:trHeight w:val="475"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老年人能力评估</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对老年人日常生活活动能力、认知能力、精神状态与社会交流能力等进行综合评估</w:t>
            </w:r>
          </w:p>
        </w:tc>
        <w:tc>
          <w:tcPr>
            <w:tcW w:w="2101" w:type="dxa"/>
            <w:noWrap w:val="0"/>
            <w:vAlign w:val="center"/>
          </w:tcPr>
          <w:p>
            <w:pPr>
              <w:snapToGrid w:val="0"/>
              <w:rPr>
                <w:rFonts w:hint="eastAsia" w:ascii="宋体" w:hAnsi="宋体" w:eastAsia="宋体" w:cs="宋体"/>
                <w:color w:val="auto"/>
                <w:sz w:val="21"/>
                <w:szCs w:val="21"/>
                <w:highlight w:val="none"/>
              </w:rPr>
            </w:pPr>
          </w:p>
        </w:tc>
      </w:tr>
      <w:tr>
        <w:trPr>
          <w:trHeight w:val="475"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491" w:type="dxa"/>
            <w:noWrap w:val="0"/>
            <w:vAlign w:val="center"/>
          </w:tcPr>
          <w:p>
            <w:pPr>
              <w:snapToGrid w:val="0"/>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机构养老服务</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可抵扣老年人入住养老机构床位费、护理费</w:t>
            </w:r>
          </w:p>
        </w:tc>
        <w:tc>
          <w:tcPr>
            <w:tcW w:w="2101" w:type="dxa"/>
            <w:noWrap w:val="0"/>
            <w:vAlign w:val="center"/>
          </w:tcPr>
          <w:p>
            <w:pPr>
              <w:snapToGrid w:val="0"/>
              <w:rPr>
                <w:rFonts w:hint="eastAsia" w:ascii="宋体" w:hAnsi="宋体" w:eastAsia="宋体" w:cs="宋体"/>
                <w:color w:val="auto"/>
                <w:sz w:val="21"/>
                <w:szCs w:val="21"/>
                <w:highlight w:val="none"/>
              </w:rPr>
            </w:pPr>
          </w:p>
        </w:tc>
      </w:tr>
      <w:tr>
        <w:trPr>
          <w:trHeight w:val="475" w:hRule="atLeast"/>
        </w:trPr>
        <w:tc>
          <w:tcPr>
            <w:tcW w:w="603"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491"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其他服务</w:t>
            </w:r>
          </w:p>
        </w:tc>
        <w:tc>
          <w:tcPr>
            <w:tcW w:w="4753"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区民政</w:t>
            </w:r>
            <w:r>
              <w:rPr>
                <w:rFonts w:hint="eastAsia" w:ascii="宋体" w:hAnsi="宋体" w:eastAsia="宋体" w:cs="宋体"/>
                <w:color w:val="auto"/>
                <w:sz w:val="21"/>
                <w:szCs w:val="21"/>
                <w:highlight w:val="none"/>
                <w:lang w:eastAsia="zh-CN"/>
              </w:rPr>
              <w:t>局</w:t>
            </w:r>
            <w:r>
              <w:rPr>
                <w:rFonts w:hint="eastAsia" w:ascii="宋体" w:hAnsi="宋体" w:eastAsia="宋体" w:cs="宋体"/>
                <w:color w:val="auto"/>
                <w:sz w:val="21"/>
                <w:szCs w:val="21"/>
                <w:highlight w:val="none"/>
              </w:rPr>
              <w:t>认可的其他服务</w:t>
            </w:r>
          </w:p>
        </w:tc>
        <w:tc>
          <w:tcPr>
            <w:tcW w:w="2101" w:type="dxa"/>
            <w:noWrap w:val="0"/>
            <w:vAlign w:val="center"/>
          </w:tcPr>
          <w:p>
            <w:pPr>
              <w:snapToGrid w:val="0"/>
              <w:rPr>
                <w:rFonts w:hint="eastAsia" w:ascii="宋体" w:hAnsi="宋体" w:eastAsia="宋体" w:cs="宋体"/>
                <w:color w:val="auto"/>
                <w:sz w:val="21"/>
                <w:szCs w:val="21"/>
                <w:highlight w:val="none"/>
              </w:rPr>
            </w:pPr>
          </w:p>
        </w:tc>
      </w:tr>
    </w:tbl>
    <w:p>
      <w:pPr>
        <w:bidi w:val="0"/>
        <w:rPr>
          <w:rFonts w:hint="eastAsia"/>
          <w:color w:val="auto"/>
          <w:highlight w:val="none"/>
        </w:rPr>
      </w:pPr>
    </w:p>
    <w:p>
      <w:pPr>
        <w:tabs>
          <w:tab w:val="left" w:pos="6050"/>
        </w:tabs>
        <w:snapToGrid w:val="0"/>
        <w:rPr>
          <w:rFonts w:hint="eastAsia" w:ascii="宋体" w:hAnsi="宋体" w:eastAsia="宋体" w:cs="宋体"/>
          <w:b/>
          <w:color w:val="auto"/>
          <w:sz w:val="21"/>
          <w:szCs w:val="21"/>
          <w:highlight w:val="none"/>
        </w:rPr>
      </w:pPr>
    </w:p>
    <w:p>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pPr>
        <w:tabs>
          <w:tab w:val="left" w:pos="6050"/>
        </w:tabs>
        <w:snapToGrid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附件2</w:t>
      </w:r>
      <w:r>
        <w:rPr>
          <w:rFonts w:hint="eastAsia" w:ascii="宋体" w:hAnsi="宋体" w:eastAsia="宋体" w:cs="宋体"/>
          <w:b w:val="0"/>
          <w:bCs/>
          <w:color w:val="auto"/>
          <w:sz w:val="21"/>
          <w:szCs w:val="21"/>
          <w:highlight w:val="none"/>
          <w:lang w:eastAsia="zh-CN"/>
        </w:rPr>
        <w:t>：</w:t>
      </w:r>
    </w:p>
    <w:p>
      <w:pPr>
        <w:tabs>
          <w:tab w:val="left" w:pos="6050"/>
        </w:tabs>
        <w:spacing w:line="5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临平</w:t>
      </w:r>
      <w:r>
        <w:rPr>
          <w:rFonts w:hint="eastAsia" w:ascii="宋体" w:hAnsi="宋体" w:eastAsia="宋体" w:cs="宋体"/>
          <w:b/>
          <w:bCs/>
          <w:color w:val="auto"/>
          <w:sz w:val="24"/>
          <w:szCs w:val="24"/>
          <w:highlight w:val="none"/>
        </w:rPr>
        <w:t>区养老服务电子津贴申请表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1988"/>
        <w:gridCol w:w="1932"/>
        <w:gridCol w:w="2661"/>
      </w:tblGrid>
      <w:tr>
        <w:trPr>
          <w:trHeight w:val="527" w:hRule="atLeast"/>
        </w:trPr>
        <w:tc>
          <w:tcPr>
            <w:tcW w:w="8880" w:type="dxa"/>
            <w:gridSpan w:val="4"/>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申</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请</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人</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信</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息</w:t>
            </w:r>
          </w:p>
        </w:tc>
      </w:tr>
      <w:tr>
        <w:trPr>
          <w:trHeight w:val="478" w:hRule="atLeast"/>
        </w:trPr>
        <w:tc>
          <w:tcPr>
            <w:tcW w:w="2299"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988" w:type="dxa"/>
            <w:noWrap w:val="0"/>
            <w:vAlign w:val="center"/>
          </w:tcPr>
          <w:p>
            <w:pPr>
              <w:snapToGrid w:val="0"/>
              <w:jc w:val="center"/>
              <w:rPr>
                <w:rFonts w:hint="eastAsia" w:ascii="宋体" w:hAnsi="宋体" w:eastAsia="宋体" w:cs="宋体"/>
                <w:color w:val="auto"/>
                <w:sz w:val="21"/>
                <w:szCs w:val="21"/>
                <w:highlight w:val="none"/>
              </w:rPr>
            </w:pPr>
          </w:p>
        </w:tc>
        <w:tc>
          <w:tcPr>
            <w:tcW w:w="1932"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 份 证 号</w:t>
            </w:r>
          </w:p>
        </w:tc>
        <w:tc>
          <w:tcPr>
            <w:tcW w:w="2661" w:type="dxa"/>
            <w:noWrap w:val="0"/>
            <w:vAlign w:val="center"/>
          </w:tcPr>
          <w:p>
            <w:pPr>
              <w:snapToGrid w:val="0"/>
              <w:rPr>
                <w:rFonts w:hint="eastAsia" w:ascii="宋体" w:hAnsi="宋体" w:eastAsia="宋体" w:cs="宋体"/>
                <w:color w:val="auto"/>
                <w:sz w:val="21"/>
                <w:szCs w:val="21"/>
                <w:highlight w:val="none"/>
              </w:rPr>
            </w:pPr>
          </w:p>
        </w:tc>
      </w:tr>
      <w:tr>
        <w:trPr>
          <w:trHeight w:val="505" w:hRule="atLeast"/>
        </w:trPr>
        <w:tc>
          <w:tcPr>
            <w:tcW w:w="2299"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1988" w:type="dxa"/>
            <w:noWrap w:val="0"/>
            <w:vAlign w:val="center"/>
          </w:tcPr>
          <w:p>
            <w:pPr>
              <w:snapToGrid w:val="0"/>
              <w:jc w:val="center"/>
              <w:rPr>
                <w:rFonts w:hint="eastAsia" w:ascii="宋体" w:hAnsi="宋体" w:eastAsia="宋体" w:cs="宋体"/>
                <w:color w:val="auto"/>
                <w:sz w:val="21"/>
                <w:szCs w:val="21"/>
                <w:highlight w:val="none"/>
              </w:rPr>
            </w:pPr>
          </w:p>
        </w:tc>
        <w:tc>
          <w:tcPr>
            <w:tcW w:w="1932"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2661" w:type="dxa"/>
            <w:noWrap w:val="0"/>
            <w:vAlign w:val="center"/>
          </w:tcPr>
          <w:p>
            <w:pPr>
              <w:snapToGrid w:val="0"/>
              <w:rPr>
                <w:rFonts w:hint="eastAsia" w:ascii="宋体" w:hAnsi="宋体" w:eastAsia="宋体" w:cs="宋体"/>
                <w:color w:val="auto"/>
                <w:sz w:val="21"/>
                <w:szCs w:val="21"/>
                <w:highlight w:val="none"/>
              </w:rPr>
            </w:pPr>
          </w:p>
        </w:tc>
      </w:tr>
      <w:tr>
        <w:trPr>
          <w:trHeight w:val="478" w:hRule="atLeast"/>
        </w:trPr>
        <w:tc>
          <w:tcPr>
            <w:tcW w:w="2299"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籍 贯</w:t>
            </w:r>
          </w:p>
        </w:tc>
        <w:tc>
          <w:tcPr>
            <w:tcW w:w="1988" w:type="dxa"/>
            <w:noWrap w:val="0"/>
            <w:vAlign w:val="center"/>
          </w:tcPr>
          <w:p>
            <w:pPr>
              <w:snapToGrid w:val="0"/>
              <w:jc w:val="center"/>
              <w:rPr>
                <w:rFonts w:hint="eastAsia" w:ascii="宋体" w:hAnsi="宋体" w:eastAsia="宋体" w:cs="宋体"/>
                <w:color w:val="auto"/>
                <w:sz w:val="21"/>
                <w:szCs w:val="21"/>
                <w:highlight w:val="none"/>
              </w:rPr>
            </w:pPr>
          </w:p>
        </w:tc>
        <w:tc>
          <w:tcPr>
            <w:tcW w:w="1932"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民  族</w:t>
            </w:r>
          </w:p>
        </w:tc>
        <w:tc>
          <w:tcPr>
            <w:tcW w:w="2661" w:type="dxa"/>
            <w:noWrap w:val="0"/>
            <w:vAlign w:val="center"/>
          </w:tcPr>
          <w:p>
            <w:pPr>
              <w:snapToGrid w:val="0"/>
              <w:rPr>
                <w:rFonts w:hint="eastAsia" w:ascii="宋体" w:hAnsi="宋体" w:eastAsia="宋体" w:cs="宋体"/>
                <w:color w:val="auto"/>
                <w:sz w:val="21"/>
                <w:szCs w:val="21"/>
                <w:highlight w:val="none"/>
              </w:rPr>
            </w:pPr>
          </w:p>
        </w:tc>
      </w:tr>
      <w:tr>
        <w:trPr>
          <w:trHeight w:val="532" w:hRule="atLeast"/>
        </w:trPr>
        <w:tc>
          <w:tcPr>
            <w:tcW w:w="2299"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 编</w:t>
            </w:r>
          </w:p>
        </w:tc>
        <w:tc>
          <w:tcPr>
            <w:tcW w:w="1988" w:type="dxa"/>
            <w:noWrap w:val="0"/>
            <w:vAlign w:val="center"/>
          </w:tcPr>
          <w:p>
            <w:pPr>
              <w:snapToGrid w:val="0"/>
              <w:jc w:val="center"/>
              <w:rPr>
                <w:rFonts w:hint="eastAsia" w:ascii="宋体" w:hAnsi="宋体" w:eastAsia="宋体" w:cs="宋体"/>
                <w:color w:val="auto"/>
                <w:sz w:val="21"/>
                <w:szCs w:val="21"/>
                <w:highlight w:val="none"/>
              </w:rPr>
            </w:pPr>
          </w:p>
        </w:tc>
        <w:tc>
          <w:tcPr>
            <w:tcW w:w="1932"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电 话</w:t>
            </w:r>
          </w:p>
        </w:tc>
        <w:tc>
          <w:tcPr>
            <w:tcW w:w="2661" w:type="dxa"/>
            <w:noWrap w:val="0"/>
            <w:vAlign w:val="center"/>
          </w:tcPr>
          <w:p>
            <w:pPr>
              <w:snapToGrid w:val="0"/>
              <w:rPr>
                <w:rFonts w:hint="eastAsia" w:ascii="宋体" w:hAnsi="宋体" w:eastAsia="宋体" w:cs="宋体"/>
                <w:color w:val="auto"/>
                <w:sz w:val="21"/>
                <w:szCs w:val="21"/>
                <w:highlight w:val="none"/>
              </w:rPr>
            </w:pPr>
          </w:p>
        </w:tc>
      </w:tr>
      <w:tr>
        <w:trPr>
          <w:trHeight w:val="518" w:hRule="atLeast"/>
        </w:trPr>
        <w:tc>
          <w:tcPr>
            <w:tcW w:w="2299"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紧急联系人</w:t>
            </w:r>
          </w:p>
        </w:tc>
        <w:tc>
          <w:tcPr>
            <w:tcW w:w="1988" w:type="dxa"/>
            <w:noWrap w:val="0"/>
            <w:vAlign w:val="center"/>
          </w:tcPr>
          <w:p>
            <w:pPr>
              <w:snapToGrid w:val="0"/>
              <w:jc w:val="center"/>
              <w:rPr>
                <w:rFonts w:hint="eastAsia" w:ascii="宋体" w:hAnsi="宋体" w:eastAsia="宋体" w:cs="宋体"/>
                <w:color w:val="auto"/>
                <w:sz w:val="21"/>
                <w:szCs w:val="21"/>
                <w:highlight w:val="none"/>
              </w:rPr>
            </w:pPr>
          </w:p>
        </w:tc>
        <w:tc>
          <w:tcPr>
            <w:tcW w:w="1932"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紧急联系电话</w:t>
            </w:r>
          </w:p>
        </w:tc>
        <w:tc>
          <w:tcPr>
            <w:tcW w:w="2661" w:type="dxa"/>
            <w:noWrap w:val="0"/>
            <w:vAlign w:val="center"/>
          </w:tcPr>
          <w:p>
            <w:pPr>
              <w:snapToGrid w:val="0"/>
              <w:rPr>
                <w:rFonts w:hint="eastAsia" w:ascii="宋体" w:hAnsi="宋体" w:eastAsia="宋体" w:cs="宋体"/>
                <w:color w:val="auto"/>
                <w:sz w:val="21"/>
                <w:szCs w:val="21"/>
                <w:highlight w:val="none"/>
              </w:rPr>
            </w:pPr>
          </w:p>
        </w:tc>
      </w:tr>
      <w:tr>
        <w:trPr>
          <w:trHeight w:val="578" w:hRule="atLeast"/>
        </w:trPr>
        <w:tc>
          <w:tcPr>
            <w:tcW w:w="2299"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 籍 所 在 地</w:t>
            </w:r>
          </w:p>
        </w:tc>
        <w:tc>
          <w:tcPr>
            <w:tcW w:w="6581" w:type="dxa"/>
            <w:gridSpan w:val="3"/>
            <w:noWrap w:val="0"/>
            <w:vAlign w:val="center"/>
          </w:tcPr>
          <w:p>
            <w:pPr>
              <w:snapToGrid w:val="0"/>
              <w:ind w:firstLine="648"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区      镇(街道)       村(社区)</w:t>
            </w:r>
          </w:p>
        </w:tc>
      </w:tr>
      <w:tr>
        <w:trPr>
          <w:trHeight w:val="507" w:hRule="atLeast"/>
        </w:trPr>
        <w:tc>
          <w:tcPr>
            <w:tcW w:w="2299"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实 际 居 住 地 </w:t>
            </w:r>
          </w:p>
        </w:tc>
        <w:tc>
          <w:tcPr>
            <w:tcW w:w="6581" w:type="dxa"/>
            <w:gridSpan w:val="3"/>
            <w:noWrap w:val="0"/>
            <w:vAlign w:val="center"/>
          </w:tcPr>
          <w:p>
            <w:pPr>
              <w:snapToGrid w:val="0"/>
              <w:ind w:firstLine="648"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区      镇(街道)       村(社区)</w:t>
            </w:r>
          </w:p>
        </w:tc>
      </w:tr>
      <w:tr>
        <w:trPr>
          <w:trHeight w:val="536" w:hRule="atLeast"/>
        </w:trPr>
        <w:tc>
          <w:tcPr>
            <w:tcW w:w="2299"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 庭 状 况</w:t>
            </w:r>
          </w:p>
        </w:tc>
        <w:tc>
          <w:tcPr>
            <w:tcW w:w="6581" w:type="dxa"/>
            <w:gridSpan w:val="3"/>
            <w:noWrap w:val="0"/>
            <w:vAlign w:val="center"/>
          </w:tcPr>
          <w:p>
            <w:pPr>
              <w:snapToGrid w:val="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□未婚  □已婚  □丧偶  □离异 </w:t>
            </w:r>
          </w:p>
        </w:tc>
      </w:tr>
      <w:tr>
        <w:trPr>
          <w:trHeight w:val="496" w:hRule="atLeast"/>
        </w:trPr>
        <w:tc>
          <w:tcPr>
            <w:tcW w:w="2299"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 济 条 件</w:t>
            </w:r>
          </w:p>
        </w:tc>
        <w:tc>
          <w:tcPr>
            <w:tcW w:w="6581" w:type="dxa"/>
            <w:gridSpan w:val="3"/>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□低保  □低边 </w:t>
            </w:r>
          </w:p>
        </w:tc>
      </w:tr>
      <w:tr>
        <w:trPr>
          <w:trHeight w:val="575" w:hRule="atLeast"/>
        </w:trPr>
        <w:tc>
          <w:tcPr>
            <w:tcW w:w="2299"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居 住 状 况</w:t>
            </w:r>
          </w:p>
        </w:tc>
        <w:tc>
          <w:tcPr>
            <w:tcW w:w="6581" w:type="dxa"/>
            <w:gridSpan w:val="3"/>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□与子女、亲友同住  □独居  □孤寡  □空巢</w:t>
            </w:r>
          </w:p>
        </w:tc>
      </w:tr>
      <w:tr>
        <w:trPr>
          <w:trHeight w:val="508" w:hRule="exact"/>
        </w:trPr>
        <w:tc>
          <w:tcPr>
            <w:tcW w:w="2299"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581" w:type="dxa"/>
            <w:gridSpan w:val="3"/>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□计划生育特殊家庭</w:t>
            </w:r>
          </w:p>
        </w:tc>
      </w:tr>
      <w:tr>
        <w:trPr>
          <w:trHeight w:val="347" w:hRule="atLeast"/>
        </w:trPr>
        <w:tc>
          <w:tcPr>
            <w:tcW w:w="8880" w:type="dxa"/>
            <w:gridSpan w:val="4"/>
            <w:noWrap w:val="0"/>
            <w:vAlign w:val="top"/>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代</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理</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人</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信</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息</w:t>
            </w:r>
          </w:p>
        </w:tc>
      </w:tr>
      <w:tr>
        <w:trPr>
          <w:trHeight w:val="518" w:hRule="atLeast"/>
        </w:trPr>
        <w:tc>
          <w:tcPr>
            <w:tcW w:w="2299"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代理人身份证号</w:t>
            </w:r>
          </w:p>
        </w:tc>
        <w:tc>
          <w:tcPr>
            <w:tcW w:w="1988" w:type="dxa"/>
            <w:noWrap w:val="0"/>
            <w:vAlign w:val="center"/>
          </w:tcPr>
          <w:p>
            <w:pPr>
              <w:snapToGrid w:val="0"/>
              <w:jc w:val="center"/>
              <w:rPr>
                <w:rFonts w:hint="eastAsia" w:ascii="宋体" w:hAnsi="宋体" w:eastAsia="宋体" w:cs="宋体"/>
                <w:color w:val="auto"/>
                <w:sz w:val="21"/>
                <w:szCs w:val="21"/>
                <w:highlight w:val="none"/>
              </w:rPr>
            </w:pPr>
          </w:p>
        </w:tc>
        <w:tc>
          <w:tcPr>
            <w:tcW w:w="1932"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代理人姓名</w:t>
            </w:r>
          </w:p>
        </w:tc>
        <w:tc>
          <w:tcPr>
            <w:tcW w:w="2661" w:type="dxa"/>
            <w:noWrap w:val="0"/>
            <w:vAlign w:val="center"/>
          </w:tcPr>
          <w:p>
            <w:pPr>
              <w:snapToGrid w:val="0"/>
              <w:jc w:val="center"/>
              <w:rPr>
                <w:rFonts w:hint="eastAsia" w:ascii="宋体" w:hAnsi="宋体" w:eastAsia="宋体" w:cs="宋体"/>
                <w:color w:val="auto"/>
                <w:sz w:val="21"/>
                <w:szCs w:val="21"/>
                <w:highlight w:val="none"/>
              </w:rPr>
            </w:pPr>
          </w:p>
        </w:tc>
      </w:tr>
      <w:tr>
        <w:trPr>
          <w:trHeight w:val="512" w:hRule="atLeast"/>
        </w:trPr>
        <w:tc>
          <w:tcPr>
            <w:tcW w:w="2299"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代理人联系电话</w:t>
            </w:r>
          </w:p>
        </w:tc>
        <w:tc>
          <w:tcPr>
            <w:tcW w:w="1988" w:type="dxa"/>
            <w:noWrap w:val="0"/>
            <w:vAlign w:val="center"/>
          </w:tcPr>
          <w:p>
            <w:pPr>
              <w:snapToGrid w:val="0"/>
              <w:jc w:val="center"/>
              <w:rPr>
                <w:rFonts w:hint="eastAsia" w:ascii="宋体" w:hAnsi="宋体" w:eastAsia="宋体" w:cs="宋体"/>
                <w:color w:val="auto"/>
                <w:sz w:val="21"/>
                <w:szCs w:val="21"/>
                <w:highlight w:val="none"/>
              </w:rPr>
            </w:pPr>
          </w:p>
        </w:tc>
        <w:tc>
          <w:tcPr>
            <w:tcW w:w="1932" w:type="dxa"/>
            <w:noWrap w:val="0"/>
            <w:vAlign w:val="center"/>
          </w:tcPr>
          <w:p>
            <w:pPr>
              <w:snapToGrid w:val="0"/>
              <w:jc w:val="center"/>
              <w:rPr>
                <w:rFonts w:hint="eastAsia" w:ascii="宋体" w:hAnsi="宋体" w:eastAsia="宋体" w:cs="宋体"/>
                <w:color w:val="auto"/>
                <w:sz w:val="21"/>
                <w:szCs w:val="21"/>
                <w:highlight w:val="none"/>
              </w:rPr>
            </w:pPr>
          </w:p>
        </w:tc>
        <w:tc>
          <w:tcPr>
            <w:tcW w:w="2661" w:type="dxa"/>
            <w:noWrap w:val="0"/>
            <w:vAlign w:val="center"/>
          </w:tcPr>
          <w:p>
            <w:pPr>
              <w:snapToGrid w:val="0"/>
              <w:jc w:val="center"/>
              <w:rPr>
                <w:rFonts w:hint="eastAsia" w:ascii="宋体" w:hAnsi="宋体" w:eastAsia="宋体" w:cs="宋体"/>
                <w:color w:val="auto"/>
                <w:sz w:val="21"/>
                <w:szCs w:val="21"/>
                <w:highlight w:val="none"/>
              </w:rPr>
            </w:pPr>
          </w:p>
        </w:tc>
      </w:tr>
      <w:tr>
        <w:trPr>
          <w:trHeight w:val="996" w:hRule="atLeast"/>
        </w:trPr>
        <w:tc>
          <w:tcPr>
            <w:tcW w:w="2299"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代理人与申请人</w:t>
            </w:r>
          </w:p>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关系</w:t>
            </w:r>
          </w:p>
        </w:tc>
        <w:tc>
          <w:tcPr>
            <w:tcW w:w="6581" w:type="dxa"/>
            <w:gridSpan w:val="3"/>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□配偶  □子/女  □婿/媳  □（外）孙子女</w:t>
            </w:r>
          </w:p>
          <w:p>
            <w:pPr>
              <w:snapToGrid w:val="0"/>
              <w:jc w:val="center"/>
              <w:rPr>
                <w:rFonts w:hint="eastAsia" w:ascii="宋体" w:hAnsi="宋体" w:eastAsia="宋体" w:cs="宋体"/>
                <w:color w:val="auto"/>
                <w:sz w:val="21"/>
                <w:szCs w:val="21"/>
                <w:highlight w:val="none"/>
              </w:rPr>
            </w:pPr>
          </w:p>
          <w:p>
            <w:pPr>
              <w:snapToGrid w:val="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□父母  □兄弟姐妹  □其他</w:t>
            </w:r>
          </w:p>
        </w:tc>
      </w:tr>
      <w:tr>
        <w:trPr>
          <w:trHeight w:val="481" w:hRule="atLeast"/>
        </w:trPr>
        <w:tc>
          <w:tcPr>
            <w:tcW w:w="2299" w:type="dxa"/>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代理人地址</w:t>
            </w:r>
          </w:p>
        </w:tc>
        <w:tc>
          <w:tcPr>
            <w:tcW w:w="6581" w:type="dxa"/>
            <w:gridSpan w:val="3"/>
            <w:noWrap w:val="0"/>
            <w:vAlign w:val="center"/>
          </w:tcPr>
          <w:p>
            <w:pPr>
              <w:snapToGrid w:val="0"/>
              <w:jc w:val="center"/>
              <w:rPr>
                <w:rFonts w:hint="eastAsia" w:ascii="宋体" w:hAnsi="宋体" w:eastAsia="宋体" w:cs="宋体"/>
                <w:color w:val="auto"/>
                <w:sz w:val="21"/>
                <w:szCs w:val="21"/>
                <w:highlight w:val="none"/>
              </w:rPr>
            </w:pPr>
          </w:p>
        </w:tc>
      </w:tr>
      <w:tr>
        <w:trPr>
          <w:trHeight w:val="1754" w:hRule="atLeast"/>
        </w:trPr>
        <w:tc>
          <w:tcPr>
            <w:tcW w:w="8880" w:type="dxa"/>
            <w:gridSpan w:val="4"/>
            <w:noWrap w:val="0"/>
            <w:vAlign w:val="top"/>
          </w:tcPr>
          <w:p>
            <w:pPr>
              <w:widowControl w:val="0"/>
              <w:wordWrap/>
              <w:adjustRightInd/>
              <w:snapToGrid w:val="0"/>
              <w:spacing w:line="480" w:lineRule="exact"/>
              <w:ind w:left="0" w:leftChars="0" w:right="0" w:firstLine="43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本人对</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信息</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真实性负完全责任，已充分了解申请</w:t>
            </w:r>
            <w:r>
              <w:rPr>
                <w:rFonts w:hint="eastAsia" w:ascii="宋体" w:hAnsi="宋体" w:eastAsia="宋体" w:cs="宋体"/>
                <w:color w:val="auto"/>
                <w:sz w:val="21"/>
                <w:szCs w:val="21"/>
                <w:highlight w:val="none"/>
                <w:lang w:eastAsia="zh-CN"/>
              </w:rPr>
              <w:t>养老服务</w:t>
            </w:r>
            <w:r>
              <w:rPr>
                <w:rFonts w:hint="eastAsia" w:ascii="宋体" w:hAnsi="宋体" w:eastAsia="宋体" w:cs="宋体"/>
                <w:color w:val="auto"/>
                <w:sz w:val="21"/>
                <w:szCs w:val="21"/>
                <w:highlight w:val="none"/>
              </w:rPr>
              <w:t>电子津贴所需条件，如因申请条件达不到电子津贴标准</w:t>
            </w:r>
            <w:r>
              <w:rPr>
                <w:rFonts w:hint="eastAsia" w:ascii="宋体" w:hAnsi="宋体" w:eastAsia="宋体" w:cs="宋体"/>
                <w:color w:val="auto"/>
                <w:sz w:val="21"/>
                <w:szCs w:val="21"/>
                <w:highlight w:val="none"/>
                <w:lang w:eastAsia="zh-CN"/>
              </w:rPr>
              <w:t>，本人申请</w:t>
            </w:r>
            <w:r>
              <w:rPr>
                <w:rFonts w:hint="eastAsia" w:ascii="宋体" w:hAnsi="宋体" w:eastAsia="宋体" w:cs="宋体"/>
                <w:color w:val="auto"/>
                <w:sz w:val="21"/>
                <w:szCs w:val="21"/>
                <w:highlight w:val="none"/>
              </w:rPr>
              <w:t>重新评估、变更评估等级或评估结果到期重新评估产生的费用自理。</w:t>
            </w:r>
          </w:p>
          <w:p>
            <w:pPr>
              <w:widowControl w:val="0"/>
              <w:wordWrap/>
              <w:adjustRightInd/>
              <w:snapToGrid w:val="0"/>
              <w:spacing w:line="480" w:lineRule="exact"/>
              <w:ind w:left="0" w:leftChars="0" w:right="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申请人（代理人）签字：</w:t>
            </w: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年  月  日</w:t>
            </w:r>
          </w:p>
        </w:tc>
      </w:tr>
    </w:tbl>
    <w:p>
      <w:pPr>
        <w:pStyle w:val="23"/>
        <w:rPr>
          <w:rFonts w:hint="eastAsia" w:ascii="宋体" w:hAnsi="宋体" w:eastAsia="宋体" w:cs="宋体"/>
          <w:color w:val="auto"/>
          <w:sz w:val="21"/>
          <w:szCs w:val="21"/>
          <w:highlight w:val="none"/>
        </w:rPr>
      </w:pPr>
    </w:p>
    <w:p>
      <w:pPr>
        <w:rPr>
          <w:rFonts w:hint="eastAsia" w:ascii="宋体" w:hAnsi="宋体" w:cs="宋体"/>
          <w:color w:val="auto"/>
          <w:spacing w:val="6"/>
          <w:szCs w:val="21"/>
          <w:highlight w:val="none"/>
        </w:rPr>
      </w:pPr>
      <w:r>
        <w:rPr>
          <w:rFonts w:hint="eastAsia" w:ascii="宋体" w:hAnsi="宋体" w:cs="宋体"/>
          <w:color w:val="auto"/>
          <w:spacing w:val="6"/>
          <w:szCs w:val="21"/>
          <w:highlight w:val="none"/>
        </w:rPr>
        <w:br w:type="page"/>
      </w:r>
    </w:p>
    <w:p>
      <w:pPr>
        <w:pStyle w:val="4"/>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附件</w:t>
      </w:r>
      <w:r>
        <w:rPr>
          <w:rFonts w:hint="eastAsia" w:ascii="宋体" w:hAnsi="宋体" w:cs="宋体"/>
          <w:color w:val="auto"/>
          <w:spacing w:val="6"/>
          <w:szCs w:val="21"/>
          <w:highlight w:val="none"/>
          <w:lang w:val="en-US" w:eastAsia="zh-CN"/>
        </w:rPr>
        <w:t>9</w:t>
      </w:r>
      <w:r>
        <w:rPr>
          <w:rFonts w:hint="eastAsia" w:ascii="宋体" w:hAnsi="宋体" w:cs="宋体"/>
          <w:color w:val="auto"/>
          <w:spacing w:val="6"/>
          <w:szCs w:val="21"/>
          <w:highlight w:val="none"/>
        </w:rPr>
        <w:t>：</w:t>
      </w:r>
      <w:r>
        <w:rPr>
          <w:rFonts w:hint="eastAsia" w:ascii="宋体" w:hAnsi="宋体" w:cs="宋体"/>
          <w:color w:val="auto"/>
          <w:spacing w:val="6"/>
          <w:szCs w:val="21"/>
          <w:highlight w:val="none"/>
          <w:lang w:eastAsia="zh-CN"/>
        </w:rPr>
        <w:t>杭州市临平区养老服务电子津贴工作职责和考核管理办法</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outlineLvl w:val="9"/>
        <w:rPr>
          <w:rFonts w:hint="eastAsia" w:ascii="宋体" w:hAnsi="宋体" w:eastAsia="宋体" w:cs="宋体"/>
          <w:b/>
          <w:bCs w:val="0"/>
          <w:color w:val="auto"/>
          <w:sz w:val="30"/>
          <w:szCs w:val="30"/>
          <w:highlight w:val="none"/>
          <w:lang w:eastAsia="zh-CN"/>
        </w:rPr>
      </w:pPr>
      <w:r>
        <w:rPr>
          <w:rFonts w:hint="eastAsia" w:ascii="宋体" w:hAnsi="宋体" w:eastAsia="宋体" w:cs="宋体"/>
          <w:b/>
          <w:bCs w:val="0"/>
          <w:color w:val="auto"/>
          <w:sz w:val="30"/>
          <w:szCs w:val="30"/>
          <w:highlight w:val="none"/>
          <w:lang w:eastAsia="zh-CN"/>
        </w:rPr>
        <w:t>杭州市临平区养老服务电子津贴工作职责和考核管理办法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临养老办〔2022〕</w:t>
      </w: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eastAsia="zh-CN"/>
        </w:rPr>
        <w:t>号</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第一章</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总</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eastAsia="zh-CN"/>
        </w:rPr>
        <w:t>第一条</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为切实加强全区</w:t>
      </w:r>
      <w:r>
        <w:rPr>
          <w:rFonts w:hint="eastAsia" w:ascii="宋体" w:hAnsi="宋体" w:eastAsia="宋体" w:cs="宋体"/>
          <w:b w:val="0"/>
          <w:bCs/>
          <w:color w:val="auto"/>
          <w:sz w:val="21"/>
          <w:szCs w:val="21"/>
          <w:highlight w:val="none"/>
          <w:lang w:eastAsia="zh-CN"/>
        </w:rPr>
        <w:t>养老服务电子津贴工作的</w:t>
      </w:r>
      <w:r>
        <w:rPr>
          <w:rFonts w:hint="eastAsia" w:ascii="宋体" w:hAnsi="宋体" w:eastAsia="宋体" w:cs="宋体"/>
          <w:b w:val="0"/>
          <w:bCs/>
          <w:color w:val="auto"/>
          <w:sz w:val="21"/>
          <w:szCs w:val="21"/>
          <w:highlight w:val="none"/>
        </w:rPr>
        <w:t>监督管理，进一步提升</w:t>
      </w:r>
      <w:r>
        <w:rPr>
          <w:rFonts w:hint="eastAsia" w:ascii="宋体" w:hAnsi="宋体" w:eastAsia="宋体" w:cs="宋体"/>
          <w:b w:val="0"/>
          <w:bCs/>
          <w:color w:val="auto"/>
          <w:sz w:val="21"/>
          <w:szCs w:val="21"/>
          <w:highlight w:val="none"/>
          <w:lang w:eastAsia="zh-CN"/>
        </w:rPr>
        <w:t>居家</w:t>
      </w:r>
      <w:r>
        <w:rPr>
          <w:rFonts w:hint="eastAsia" w:ascii="宋体" w:hAnsi="宋体" w:eastAsia="宋体" w:cs="宋体"/>
          <w:b w:val="0"/>
          <w:bCs/>
          <w:color w:val="auto"/>
          <w:sz w:val="21"/>
          <w:szCs w:val="21"/>
          <w:highlight w:val="none"/>
        </w:rPr>
        <w:t>养老服务水平，根据省、市相关文件及《</w:t>
      </w:r>
      <w:r>
        <w:rPr>
          <w:rFonts w:hint="eastAsia" w:ascii="宋体" w:hAnsi="宋体" w:eastAsia="宋体" w:cs="宋体"/>
          <w:b w:val="0"/>
          <w:bCs/>
          <w:color w:val="auto"/>
          <w:sz w:val="21"/>
          <w:szCs w:val="21"/>
          <w:highlight w:val="none"/>
          <w:lang w:val="en-US" w:eastAsia="zh-CN"/>
        </w:rPr>
        <w:t>杭州市临平区养老服务电子津贴实施办法</w:t>
      </w:r>
      <w:r>
        <w:rPr>
          <w:rFonts w:hint="eastAsia" w:ascii="宋体" w:hAnsi="宋体" w:eastAsia="宋体" w:cs="宋体"/>
          <w:b w:val="0"/>
          <w:bCs/>
          <w:color w:val="auto"/>
          <w:sz w:val="21"/>
          <w:szCs w:val="21"/>
          <w:highlight w:val="none"/>
        </w:rPr>
        <w:t>》（临民〔2021〕42号）文件精神，制定本办法。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eastAsia="zh-CN"/>
        </w:rPr>
        <w:t>第二条</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参与</w:t>
      </w:r>
      <w:r>
        <w:rPr>
          <w:rFonts w:hint="eastAsia" w:ascii="宋体" w:hAnsi="宋体" w:eastAsia="宋体" w:cs="宋体"/>
          <w:b w:val="0"/>
          <w:bCs/>
          <w:color w:val="auto"/>
          <w:sz w:val="21"/>
          <w:szCs w:val="21"/>
          <w:highlight w:val="none"/>
          <w:lang w:eastAsia="zh-CN"/>
        </w:rPr>
        <w:t>养老服务电子津贴</w:t>
      </w:r>
      <w:r>
        <w:rPr>
          <w:rFonts w:hint="eastAsia" w:ascii="宋体" w:hAnsi="宋体" w:eastAsia="宋体" w:cs="宋体"/>
          <w:b w:val="0"/>
          <w:bCs/>
          <w:color w:val="auto"/>
          <w:sz w:val="21"/>
          <w:szCs w:val="21"/>
          <w:highlight w:val="none"/>
        </w:rPr>
        <w:t>工作的单位及其工作人员、服务人员及服务对象（家属)均应依照本办法, 履行各自的工作职责以及应享有的权利和承担的义务，共同做好养老服务工作。</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 xml:space="preserve">第二章 </w:t>
      </w:r>
      <w:r>
        <w:rPr>
          <w:rFonts w:hint="eastAsia" w:ascii="宋体" w:hAnsi="宋体" w:eastAsia="宋体" w:cs="宋体"/>
          <w:b/>
          <w:color w:val="auto"/>
          <w:sz w:val="21"/>
          <w:szCs w:val="21"/>
          <w:highlight w:val="none"/>
          <w:lang w:eastAsia="zh-CN"/>
        </w:rPr>
        <w:t>工作职责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第三条</w:t>
      </w:r>
      <w:r>
        <w:rPr>
          <w:rFonts w:hint="eastAsia" w:ascii="宋体" w:hAnsi="宋体" w:eastAsia="宋体" w:cs="宋体"/>
          <w:b w:val="0"/>
          <w:bCs/>
          <w:color w:val="auto"/>
          <w:sz w:val="21"/>
          <w:szCs w:val="21"/>
          <w:highlight w:val="none"/>
          <w:lang w:val="en-US" w:eastAsia="zh-CN"/>
        </w:rPr>
        <w:t xml:space="preserve"> 区民政局工作职责：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（一）制定区养老服务电子津贴实施办法，明确服务对象和服务标准，负责对各镇（街道），村（社区）及养老服务机构进行业务培训、政策宣传、沟通协调；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按照政府购买服务要求，公开招标确定老年人能力评估机构和第三方综合监管机构，委托老年人能力评估机构做好老年人能力评估工作，委托第三方综合监管机构对全区服务机构的服务开展情况进行“线下”跟单监管，</w:t>
      </w:r>
      <w:r>
        <w:rPr>
          <w:rFonts w:hint="eastAsia" w:ascii="宋体" w:hAnsi="宋体" w:eastAsia="宋体" w:cs="宋体"/>
          <w:color w:val="auto"/>
          <w:sz w:val="21"/>
          <w:szCs w:val="21"/>
          <w:highlight w:val="none"/>
          <w:lang w:val="en-US" w:eastAsia="zh-CN"/>
        </w:rPr>
        <w:t>全年上门核查不少于300单。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（三）负责养老服务电子津贴需求评估审批（“杭州互联网+养老”系统），每月审核系统中实际产生的服务工单，做好资金结算和发放；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（四）根据第三方综合监管的结果，每季度对服务机构的服务情况进行通报并进行信用分管理；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（五）做好群众来访接待、来电、来信、交办、处理和回复工作；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（六）做好养老服务电子津贴其他相关工作。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 xml:space="preserve">第四条 </w:t>
      </w:r>
      <w:r>
        <w:rPr>
          <w:rFonts w:hint="eastAsia" w:ascii="宋体" w:hAnsi="宋体" w:eastAsia="宋体" w:cs="宋体"/>
          <w:b w:val="0"/>
          <w:bCs/>
          <w:color w:val="auto"/>
          <w:sz w:val="21"/>
          <w:szCs w:val="21"/>
          <w:highlight w:val="none"/>
          <w:lang w:eastAsia="zh-CN"/>
        </w:rPr>
        <w:t>镇、街道工作</w:t>
      </w:r>
      <w:r>
        <w:rPr>
          <w:rFonts w:hint="eastAsia" w:ascii="宋体" w:hAnsi="宋体" w:eastAsia="宋体" w:cs="宋体"/>
          <w:b w:val="0"/>
          <w:bCs/>
          <w:color w:val="auto"/>
          <w:sz w:val="21"/>
          <w:szCs w:val="21"/>
          <w:highlight w:val="none"/>
        </w:rPr>
        <w:t>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（一）落实养老服务电子津贴监管责任，公开招标确定养老服务电子津贴服务机构，制定考核管理办法，负责对电子津贴服务机构开展居家养老服务进行指导、监督、管理和考核；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（二）配合区民政局对服务机构的服务项目进行“线上”监管，根据</w:t>
      </w:r>
      <w:r>
        <w:rPr>
          <w:rFonts w:hint="eastAsia" w:ascii="宋体" w:hAnsi="宋体" w:eastAsia="宋体" w:cs="宋体"/>
          <w:color w:val="auto"/>
          <w:sz w:val="21"/>
          <w:szCs w:val="21"/>
          <w:highlight w:val="none"/>
          <w:lang w:val="en-US" w:eastAsia="zh-CN"/>
        </w:rPr>
        <w:t>区民政局随机抽取的服务工单，督促服务机构提供印证材料，核对后报区民政局审核；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（三）招标确定居家养老服务第三方综合监管机构，对服务机构的服务开展满意度测评，每年满意度测评不少于2次</w:t>
      </w:r>
      <w:r>
        <w:rPr>
          <w:rFonts w:hint="eastAsia" w:ascii="宋体" w:hAnsi="宋体" w:eastAsia="宋体" w:cs="宋体"/>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（四）做好群众来访接待、来电、来信、交办、处理和回复工作。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eastAsia="zh-CN"/>
        </w:rPr>
        <w:t xml:space="preserve">第五条 </w:t>
      </w:r>
      <w:r>
        <w:rPr>
          <w:rFonts w:hint="eastAsia" w:ascii="宋体" w:hAnsi="宋体" w:eastAsia="宋体" w:cs="宋体"/>
          <w:b w:val="0"/>
          <w:bCs/>
          <w:color w:val="auto"/>
          <w:sz w:val="21"/>
          <w:szCs w:val="21"/>
          <w:highlight w:val="none"/>
        </w:rPr>
        <w:t>村（社区）主要职责：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（一）做好养老服务电子津贴政策的宣传工作；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（二）每月落实“杭州互联网+养老”系统的信息核查、新增录入、死亡注销，变更等工作事项；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（三）配合做好老年人信访调查处理、意见建议受理、变更及复评申请等日常性工作；帮助群众向镇街及上级部门反映情况；协调服务对象和服务机构之间的矛盾，切实维护老年人的合法权益；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（四）做好与服务机构、老年人能力评估机构、第三方监管机构的对接和沟通，首次上门由村（社区）工作人员陪同。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eastAsia="zh-CN"/>
        </w:rPr>
        <w:t xml:space="preserve">第六条 </w:t>
      </w:r>
      <w:r>
        <w:rPr>
          <w:rFonts w:hint="eastAsia" w:ascii="宋体" w:hAnsi="宋体" w:eastAsia="宋体" w:cs="宋体"/>
          <w:b w:val="0"/>
          <w:bCs/>
          <w:color w:val="auto"/>
          <w:sz w:val="21"/>
          <w:szCs w:val="21"/>
          <w:highlight w:val="none"/>
        </w:rPr>
        <w:t>服务机构主要职责：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（一）按照合同规定的服务内容，制定相关的服务标准并向社会公开承诺，对外公布联系电话，主动接受社会监督，切实做好各项服务工作；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二）加强服务人员管理，不得出现重阳分套刷、盗刷、刷重阳分兑换商品、刷重阳分兑换卡券、刷卡寄存日后服务、服务未达到相应时长、实际服务内容与所下服务订单不符合等违规骗取、套取政府财政资金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eastAsia="zh-CN"/>
        </w:rPr>
        <w:t>（三）制定员工守则，与服务人员签订劳动合同。服务人员持有健康证，具备基本的法律、安全、卫生和较强的为老服务意识，仪表整洁，佩戴工作证，提倡使用普通话；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lang w:val="en-US" w:eastAsia="zh-CN"/>
        </w:rPr>
        <w:t>（四）加强服务人员业务培训，原则上服务人员入职后1年内应取得养老护理员职业资格证；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（五）督促服务人员做到服务时间和服务质量到位，不得迟到、早退、拖拉、推诿；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（六）及时处理群众的投诉和建议，做到件件有回复，处理结果登记造册，作为台账备查。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第三章 老年人（家属）权利、义务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第七条</w:t>
      </w:r>
      <w:r>
        <w:rPr>
          <w:rFonts w:hint="eastAsia" w:ascii="宋体" w:hAnsi="宋体" w:eastAsia="宋体" w:cs="宋体"/>
          <w:b w:val="0"/>
          <w:bCs/>
          <w:color w:val="auto"/>
          <w:sz w:val="21"/>
          <w:szCs w:val="21"/>
          <w:highlight w:val="none"/>
          <w:lang w:val="en-US" w:eastAsia="zh-CN"/>
        </w:rPr>
        <w:t xml:space="preserve"> 老年人（家属）享有以下权利：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老年人（家属）可以根据《杭州市临平区养老服务电子津贴“重阳分”使用项目清单》（附件1），按需选择养老服务项目，接受相关服务；有权对服务人员的服务质量进行监督，对服务质量不满意，可向村（社区）、镇（街道）反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第八条</w:t>
      </w:r>
      <w:r>
        <w:rPr>
          <w:rFonts w:hint="eastAsia" w:ascii="宋体" w:hAnsi="宋体" w:eastAsia="宋体" w:cs="宋体"/>
          <w:b w:val="0"/>
          <w:bCs/>
          <w:color w:val="auto"/>
          <w:sz w:val="21"/>
          <w:szCs w:val="21"/>
          <w:highlight w:val="none"/>
          <w:lang w:val="en-US" w:eastAsia="zh-CN"/>
        </w:rPr>
        <w:t xml:space="preserve"> 老年人（家属）应履行以下义务：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（一）老年人（家属）应积极配合服务工作，按照约定的服务时间在家中等候服务员上门，原则上约定服务时间不作调整，若遇特殊情况临时调整服务时间需提前通知服务机构；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（二）老年人（家属）提出的服务要求须在规定的服务项目内，并提供水、电等基本的服务所需。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第九条</w:t>
      </w:r>
      <w:r>
        <w:rPr>
          <w:rFonts w:hint="eastAsia" w:ascii="宋体" w:hAnsi="宋体" w:eastAsia="宋体" w:cs="宋体"/>
          <w:b w:val="0"/>
          <w:bCs/>
          <w:color w:val="auto"/>
          <w:sz w:val="21"/>
          <w:szCs w:val="21"/>
          <w:highlight w:val="none"/>
          <w:lang w:val="en-US" w:eastAsia="zh-CN"/>
        </w:rPr>
        <w:t xml:space="preserve"> 老年人（家属）应承担以下责任：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（一）申请人虚报、瞒报、谎报服务对象信息，不符合享受养老服务电子津贴政策条件的，经查证属实，取消其享受资格，已发生的服务费用由申请人自行承担；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（二）第三方机构开展服务监管，老年人（家属）应如实反映，不得瞒报、虚报或谎报。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（三）有下列情形之一的，服务员有权拒绝提供服务或暂停服务，情节严重的，取消老年人服务资格，直至追究老年人（家属）法律责任，所发生的服务费由服务对象自行承担：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1.老年人（家属）提出的服务要求有可能危及服务员人身安全的；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2.老年人或其同住的家庭成员因精神疾病有暴力倾向或患有传染性疾病的；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3.老年人（家属）对服务员有猥亵、辱骂、殴打等人身伤害行为的；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4.其他无法提供服务的情形的。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第四章 服务监管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 xml:space="preserve">第十条 </w:t>
      </w:r>
      <w:r>
        <w:rPr>
          <w:rFonts w:hint="eastAsia" w:ascii="宋体" w:hAnsi="宋体" w:eastAsia="宋体" w:cs="宋体"/>
          <w:b w:val="0"/>
          <w:bCs/>
          <w:color w:val="auto"/>
          <w:sz w:val="21"/>
          <w:szCs w:val="21"/>
          <w:highlight w:val="none"/>
          <w:lang w:val="en-US" w:eastAsia="zh-CN"/>
        </w:rPr>
        <w:t>落实居家养老上门服务“一单一刷”制度，原则上不得发生先建单后服务刷卡行为，月初重阳分未打入等特殊原因产生的非“一单一刷”工单，需老年人（家属）签字确认，镇街审核通过，方予以认可。开展“线上+线下”联合监管，线上由区民政局随机抽取服务工单发给镇街，镇街要求服务机构当天提供服务场景照片进行比对。线下委托第三方监管机构上门查证服务工单开展情况，实时核查、动态监控，及时发现问题并通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 xml:space="preserve">第十一条 </w:t>
      </w:r>
      <w:r>
        <w:rPr>
          <w:rFonts w:hint="eastAsia" w:ascii="宋体" w:hAnsi="宋体" w:eastAsia="宋体" w:cs="宋体"/>
          <w:b w:val="0"/>
          <w:bCs/>
          <w:color w:val="auto"/>
          <w:sz w:val="21"/>
          <w:szCs w:val="21"/>
          <w:highlight w:val="none"/>
          <w:lang w:val="en-US" w:eastAsia="zh-CN"/>
        </w:rPr>
        <w:t>信用分管理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对所有进入平台的服务机构建立信用分管理体系，采取反向考核机制，每年起始设立信用分100分，并根据相应分值予以处理（附件2）。信用分低于80分，由区民政局向服务机构通报，并由服务机构根据区民政局的建议进行停业整顿；信用分低于60分，区民政局有权取消电子津贴服务资质，若服务机构同时涉嫌其他违法行为的，将移送有关部门进行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本办法适用于杭州市临平区养老服务电子津贴服务工作，由区民政局负责解释，自印发之日起生效，试运行一年。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32" w:firstLineChars="200"/>
        <w:jc w:val="both"/>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附件：</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杭州市临平区养老服务电子津贴“重阳分”使用项目清单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eastAsia="宋体"/>
          <w:color w:val="auto"/>
          <w:kern w:val="2"/>
          <w:sz w:val="21"/>
          <w:highlight w:val="none"/>
          <w:lang w:val="en-US" w:eastAsia="zh-CN"/>
        </w:rPr>
      </w:pPr>
      <w:r>
        <w:rPr>
          <w:rFonts w:hint="eastAsia" w:ascii="宋体" w:hAnsi="宋体" w:eastAsia="宋体" w:cs="宋体"/>
          <w:b w:val="0"/>
          <w:bCs/>
          <w:color w:val="auto"/>
          <w:sz w:val="21"/>
          <w:szCs w:val="21"/>
          <w:highlight w:val="none"/>
          <w:lang w:val="en-US" w:eastAsia="zh-CN"/>
        </w:rPr>
        <w:t xml:space="preserve">          2.杭州市临平区电子津贴信用分考核表</w:t>
      </w:r>
    </w:p>
    <w:p>
      <w:pPr>
        <w:rPr>
          <w:rFonts w:hint="eastAsia" w:eastAsia="宋体"/>
          <w:color w:val="auto"/>
          <w:kern w:val="2"/>
          <w:sz w:val="21"/>
          <w:highlight w:val="none"/>
          <w:lang w:val="en-US" w:eastAsia="zh-CN"/>
        </w:rPr>
      </w:pPr>
    </w:p>
    <w:p>
      <w:pPr>
        <w:rPr>
          <w:rFonts w:hint="eastAsia" w:eastAsia="宋体"/>
          <w:color w:val="auto"/>
          <w:kern w:val="2"/>
          <w:sz w:val="21"/>
          <w:highlight w:val="none"/>
          <w:lang w:val="en-US" w:eastAsia="zh-CN"/>
        </w:rPr>
      </w:pPr>
    </w:p>
    <w:p>
      <w:pPr>
        <w:rPr>
          <w:rFonts w:hint="eastAsia" w:eastAsia="宋体"/>
          <w:color w:val="auto"/>
          <w:kern w:val="2"/>
          <w:sz w:val="21"/>
          <w:highlight w:val="none"/>
          <w:lang w:val="en-US" w:eastAsia="zh-CN"/>
        </w:rPr>
        <w:sectPr>
          <w:footerReference r:id="rId14" w:type="default"/>
          <w:footerReference r:id="rId15" w:type="even"/>
          <w:pgSz w:w="11906" w:h="16838"/>
          <w:pgMar w:top="680" w:right="1417" w:bottom="471" w:left="1417" w:header="851" w:footer="1049" w:gutter="0"/>
          <w:pgBorders>
            <w:top w:val="none" w:sz="0" w:space="0"/>
            <w:left w:val="none" w:sz="0" w:space="0"/>
            <w:bottom w:val="none" w:sz="0" w:space="0"/>
            <w:right w:val="none" w:sz="0" w:space="0"/>
          </w:pgBorders>
          <w:pgNumType w:fmt="decimal"/>
          <w:cols w:space="720" w:num="1"/>
          <w:docGrid w:type="linesAndChars" w:linePitch="590" w:charSpace="1229"/>
        </w:sectPr>
      </w:pPr>
    </w:p>
    <w:p>
      <w:pPr>
        <w:tabs>
          <w:tab w:val="left" w:pos="6050"/>
          <w:tab w:val="left" w:pos="9060"/>
        </w:tabs>
        <w:spacing w:line="540" w:lineRule="exact"/>
        <w:jc w:val="both"/>
        <w:rPr>
          <w:rFonts w:hint="eastAsia" w:ascii="宋体" w:hAnsi="宋体" w:cs="方正小标宋简体"/>
          <w:color w:val="auto"/>
          <w:sz w:val="21"/>
          <w:szCs w:val="21"/>
          <w:highlight w:val="none"/>
          <w:lang w:eastAsia="zh-CN"/>
        </w:rPr>
      </w:pPr>
      <w:r>
        <w:rPr>
          <w:rFonts w:hint="eastAsia" w:ascii="宋体" w:hAnsi="宋体" w:cs="方正小标宋简体"/>
          <w:color w:val="auto"/>
          <w:sz w:val="21"/>
          <w:szCs w:val="21"/>
          <w:highlight w:val="none"/>
        </w:rPr>
        <w:t>附件</w:t>
      </w:r>
      <w:r>
        <w:rPr>
          <w:rFonts w:hint="eastAsia" w:ascii="宋体" w:hAnsi="宋体" w:cs="方正小标宋简体"/>
          <w:color w:val="auto"/>
          <w:sz w:val="21"/>
          <w:szCs w:val="21"/>
          <w:highlight w:val="none"/>
          <w:lang w:val="en-US" w:eastAsia="zh-CN"/>
        </w:rPr>
        <w:t>1</w:t>
      </w:r>
      <w:r>
        <w:rPr>
          <w:rFonts w:hint="eastAsia" w:ascii="宋体" w:hAnsi="宋体" w:cs="方正小标宋简体"/>
          <w:color w:val="auto"/>
          <w:sz w:val="21"/>
          <w:szCs w:val="21"/>
          <w:highlight w:val="none"/>
          <w:lang w:eastAsia="zh-CN"/>
        </w:rPr>
        <w:t>：</w:t>
      </w:r>
    </w:p>
    <w:p>
      <w:pPr>
        <w:tabs>
          <w:tab w:val="left" w:pos="6050"/>
          <w:tab w:val="left" w:pos="9060"/>
        </w:tabs>
        <w:spacing w:line="5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杭州市</w:t>
      </w:r>
      <w:r>
        <w:rPr>
          <w:rFonts w:hint="eastAsia" w:ascii="宋体" w:hAnsi="宋体" w:eastAsia="宋体" w:cs="宋体"/>
          <w:b/>
          <w:bCs/>
          <w:color w:val="auto"/>
          <w:sz w:val="24"/>
          <w:szCs w:val="24"/>
          <w:highlight w:val="none"/>
          <w:lang w:eastAsia="zh-CN"/>
        </w:rPr>
        <w:t>临平</w:t>
      </w:r>
      <w:r>
        <w:rPr>
          <w:rFonts w:hint="eastAsia" w:ascii="宋体" w:hAnsi="宋体" w:eastAsia="宋体" w:cs="宋体"/>
          <w:b/>
          <w:bCs/>
          <w:color w:val="auto"/>
          <w:sz w:val="24"/>
          <w:szCs w:val="24"/>
          <w:highlight w:val="none"/>
        </w:rPr>
        <w:t>区养老服务电子津贴</w:t>
      </w:r>
      <w:r>
        <w:rPr>
          <w:rFonts w:hint="eastAsia" w:ascii="宋体" w:hAnsi="宋体" w:eastAsia="宋体" w:cs="宋体"/>
          <w:b/>
          <w:bCs/>
          <w:color w:val="auto"/>
          <w:sz w:val="24"/>
          <w:szCs w:val="24"/>
          <w:highlight w:val="none"/>
          <w:lang w:eastAsia="zh-CN"/>
        </w:rPr>
        <w:t>“重阳分”</w:t>
      </w:r>
      <w:r>
        <w:rPr>
          <w:rFonts w:hint="eastAsia" w:ascii="宋体" w:hAnsi="宋体" w:eastAsia="宋体" w:cs="宋体"/>
          <w:b/>
          <w:bCs/>
          <w:color w:val="auto"/>
          <w:sz w:val="24"/>
          <w:szCs w:val="24"/>
          <w:highlight w:val="none"/>
        </w:rPr>
        <w:t>使用</w:t>
      </w:r>
      <w:r>
        <w:rPr>
          <w:rFonts w:hint="eastAsia" w:ascii="宋体" w:hAnsi="宋体" w:eastAsia="宋体" w:cs="宋体"/>
          <w:b/>
          <w:bCs/>
          <w:color w:val="auto"/>
          <w:sz w:val="24"/>
          <w:szCs w:val="24"/>
          <w:highlight w:val="none"/>
          <w:lang w:eastAsia="zh-CN"/>
        </w:rPr>
        <w:t>项目清</w:t>
      </w:r>
      <w:r>
        <w:rPr>
          <w:rFonts w:hint="eastAsia" w:ascii="宋体" w:hAnsi="宋体" w:eastAsia="宋体" w:cs="宋体"/>
          <w:b/>
          <w:bCs/>
          <w:color w:val="auto"/>
          <w:sz w:val="24"/>
          <w:szCs w:val="24"/>
          <w:highlight w:val="none"/>
        </w:rPr>
        <w:t>单</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24"/>
        <w:gridCol w:w="1140"/>
        <w:gridCol w:w="1485"/>
        <w:gridCol w:w="1650"/>
        <w:gridCol w:w="6120"/>
        <w:gridCol w:w="1290"/>
        <w:gridCol w:w="975"/>
        <w:gridCol w:w="945"/>
      </w:tblGrid>
      <w:tr>
        <w:trPr>
          <w:trHeight w:val="48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SA"/>
              </w:rPr>
              <w:t>序号</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SA"/>
              </w:rPr>
              <w:t>服务大类</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SA"/>
              </w:rPr>
              <w:t>服务项目</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SA"/>
              </w:rPr>
              <w:t>服务内容</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SA"/>
              </w:rPr>
              <w:t>服务标准、要求</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SA"/>
              </w:rPr>
              <w:t>结算标准</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SA"/>
              </w:rPr>
              <w:t>单次服务最低时长</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SA"/>
              </w:rPr>
              <w:t>备注</w:t>
            </w:r>
          </w:p>
        </w:tc>
      </w:tr>
      <w:tr>
        <w:trPr>
          <w:trHeight w:val="141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生活照料</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助洁</w:t>
            </w:r>
            <w:r>
              <w:rPr>
                <w:rStyle w:val="314"/>
                <w:rFonts w:hint="eastAsia" w:ascii="宋体" w:hAnsi="宋体" w:eastAsia="宋体" w:cs="宋体"/>
                <w:color w:val="auto"/>
                <w:sz w:val="21"/>
                <w:szCs w:val="21"/>
                <w:highlight w:val="none"/>
                <w:lang w:val="en-US" w:eastAsia="zh-CN" w:bidi="ar-SA"/>
              </w:rPr>
              <w:t>（家政服务）</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居室卫生清洁</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1.主要包括居室（客厅、卧室、厨房、卫生间，不包含擦玻璃</w:t>
            </w:r>
            <w:r>
              <w:rPr>
                <w:rStyle w:val="314"/>
                <w:rFonts w:hint="eastAsia" w:ascii="宋体" w:hAnsi="宋体" w:eastAsia="宋体" w:cs="宋体"/>
                <w:color w:val="auto"/>
                <w:sz w:val="21"/>
                <w:szCs w:val="21"/>
                <w:highlight w:val="none"/>
                <w:lang w:val="en-US" w:eastAsia="zh-CN" w:bidi="ar-SA"/>
              </w:rPr>
              <w:t>）。2.门框：无尘土、触摸光滑、开关盒等表面洁净。</w:t>
            </w:r>
            <w:r>
              <w:rPr>
                <w:rFonts w:hint="eastAsia" w:ascii="宋体" w:hAnsi="宋体" w:eastAsia="宋体" w:cs="宋体"/>
                <w:i w:val="0"/>
                <w:color w:val="auto"/>
                <w:kern w:val="0"/>
                <w:sz w:val="21"/>
                <w:szCs w:val="21"/>
                <w:highlight w:val="none"/>
                <w:u w:val="none"/>
                <w:lang w:val="en-US" w:eastAsia="zh-CN" w:bidi="ar-SA"/>
              </w:rPr>
              <w:t>3.</w:t>
            </w:r>
            <w:r>
              <w:rPr>
                <w:rStyle w:val="314"/>
                <w:rFonts w:hint="eastAsia" w:ascii="宋体" w:hAnsi="宋体" w:eastAsia="宋体" w:cs="宋体"/>
                <w:color w:val="auto"/>
                <w:sz w:val="21"/>
                <w:szCs w:val="21"/>
                <w:highlight w:val="none"/>
                <w:lang w:val="en-US" w:eastAsia="zh-CN" w:bidi="ar-SA"/>
              </w:rPr>
              <w:t>地面：木地板洁净，瓷砖无尘土有光泽。</w:t>
            </w:r>
            <w:r>
              <w:rPr>
                <w:rFonts w:hint="eastAsia" w:ascii="宋体" w:hAnsi="宋体" w:eastAsia="宋体" w:cs="宋体"/>
                <w:i w:val="0"/>
                <w:color w:val="auto"/>
                <w:kern w:val="0"/>
                <w:sz w:val="21"/>
                <w:szCs w:val="21"/>
                <w:highlight w:val="none"/>
                <w:u w:val="none"/>
                <w:lang w:val="en-US" w:eastAsia="zh-CN" w:bidi="ar-SA"/>
              </w:rPr>
              <w:t>4.</w:t>
            </w:r>
            <w:r>
              <w:rPr>
                <w:rStyle w:val="314"/>
                <w:rFonts w:hint="eastAsia" w:ascii="宋体" w:hAnsi="宋体" w:eastAsia="宋体" w:cs="宋体"/>
                <w:color w:val="auto"/>
                <w:sz w:val="21"/>
                <w:szCs w:val="21"/>
                <w:highlight w:val="none"/>
                <w:lang w:val="en-US" w:eastAsia="zh-CN" w:bidi="ar-SA"/>
              </w:rPr>
              <w:t>居室：地面无死角、无遗漏，洁具洁净光亮、无异味。</w:t>
            </w:r>
            <w:r>
              <w:rPr>
                <w:rFonts w:hint="eastAsia" w:ascii="宋体" w:hAnsi="宋体" w:eastAsia="宋体" w:cs="宋体"/>
                <w:i w:val="0"/>
                <w:color w:val="auto"/>
                <w:kern w:val="0"/>
                <w:sz w:val="21"/>
                <w:szCs w:val="21"/>
                <w:highlight w:val="none"/>
                <w:u w:val="none"/>
                <w:lang w:val="en-US" w:eastAsia="zh-CN" w:bidi="ar-SA"/>
              </w:rPr>
              <w:t>5.</w:t>
            </w:r>
            <w:r>
              <w:rPr>
                <w:rStyle w:val="314"/>
                <w:rFonts w:hint="eastAsia" w:ascii="宋体" w:hAnsi="宋体" w:eastAsia="宋体" w:cs="宋体"/>
                <w:color w:val="auto"/>
                <w:sz w:val="21"/>
                <w:szCs w:val="21"/>
                <w:highlight w:val="none"/>
                <w:lang w:val="en-US" w:eastAsia="zh-CN" w:bidi="ar-SA"/>
              </w:rPr>
              <w:t>灶具：无明显污渍、不锈钢灶具光亮洁净。</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35重阳分/</w:t>
            </w:r>
            <w:r>
              <w:rPr>
                <w:rStyle w:val="314"/>
                <w:rFonts w:hint="eastAsia" w:ascii="宋体" w:hAnsi="宋体" w:eastAsia="宋体" w:cs="宋体"/>
                <w:color w:val="auto"/>
                <w:sz w:val="21"/>
                <w:szCs w:val="21"/>
                <w:highlight w:val="none"/>
                <w:lang w:val="en-US" w:eastAsia="zh-CN" w:bidi="ar-SA"/>
              </w:rPr>
              <w:t>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60分钟</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每周仅限一次</w:t>
            </w:r>
          </w:p>
        </w:tc>
      </w:tr>
      <w:tr>
        <w:trPr>
          <w:trHeight w:val="99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2</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助浴</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专业助浴设备上门助浴或到站点助浴</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1.助浴前进行</w:t>
            </w:r>
            <w:r>
              <w:rPr>
                <w:rStyle w:val="314"/>
                <w:rFonts w:hint="eastAsia" w:ascii="宋体" w:hAnsi="宋体" w:eastAsia="宋体" w:cs="宋体"/>
                <w:color w:val="auto"/>
                <w:sz w:val="21"/>
                <w:szCs w:val="21"/>
                <w:highlight w:val="none"/>
                <w:lang w:val="en-US" w:eastAsia="zh-CN" w:bidi="ar-SA"/>
              </w:rPr>
              <w:t>安全提示，为老人提供血压、血糖、脉搏、体温等检测服务。2.助浴过程中注意观察老人身体情况，如遇身体不适，及时采取防护措施。3.根据气候状况和老人居住条件，做好防寒保暖、防暑降温及通风等。4.与服务对象签订服务协议，并有2名工作人员在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重度失能老人10</w:t>
            </w:r>
            <w:r>
              <w:rPr>
                <w:rStyle w:val="314"/>
                <w:rFonts w:hint="eastAsia" w:ascii="宋体" w:hAnsi="宋体" w:eastAsia="宋体" w:cs="宋体"/>
                <w:color w:val="auto"/>
                <w:sz w:val="21"/>
                <w:szCs w:val="21"/>
                <w:highlight w:val="none"/>
                <w:lang w:val="en-US" w:eastAsia="zh-CN" w:bidi="ar-SA"/>
              </w:rPr>
              <w:t>0重阳分</w:t>
            </w:r>
            <w:r>
              <w:rPr>
                <w:rFonts w:hint="eastAsia" w:ascii="宋体" w:hAnsi="宋体" w:eastAsia="宋体" w:cs="宋体"/>
                <w:i w:val="0"/>
                <w:color w:val="auto"/>
                <w:kern w:val="0"/>
                <w:sz w:val="21"/>
                <w:szCs w:val="21"/>
                <w:highlight w:val="none"/>
                <w:u w:val="none"/>
                <w:lang w:val="en-US" w:eastAsia="zh-CN" w:bidi="ar-SA"/>
              </w:rPr>
              <w:t>/</w:t>
            </w:r>
            <w:r>
              <w:rPr>
                <w:rStyle w:val="314"/>
                <w:rFonts w:hint="eastAsia" w:ascii="宋体" w:hAnsi="宋体" w:eastAsia="宋体" w:cs="宋体"/>
                <w:color w:val="auto"/>
                <w:sz w:val="21"/>
                <w:szCs w:val="21"/>
                <w:highlight w:val="none"/>
                <w:lang w:val="en-US" w:eastAsia="zh-CN" w:bidi="ar-SA"/>
              </w:rPr>
              <w:t>次，中度失能70重阳分</w:t>
            </w:r>
            <w:r>
              <w:rPr>
                <w:rFonts w:hint="eastAsia" w:ascii="宋体" w:hAnsi="宋体" w:eastAsia="宋体" w:cs="宋体"/>
                <w:i w:val="0"/>
                <w:color w:val="auto"/>
                <w:kern w:val="0"/>
                <w:sz w:val="21"/>
                <w:szCs w:val="21"/>
                <w:highlight w:val="none"/>
                <w:u w:val="none"/>
                <w:lang w:val="en-US" w:eastAsia="zh-CN" w:bidi="ar-SA"/>
              </w:rPr>
              <w:t>/</w:t>
            </w:r>
            <w:r>
              <w:rPr>
                <w:rStyle w:val="314"/>
                <w:rFonts w:hint="eastAsia" w:ascii="宋体" w:hAnsi="宋体" w:eastAsia="宋体" w:cs="宋体"/>
                <w:color w:val="auto"/>
                <w:sz w:val="21"/>
                <w:szCs w:val="21"/>
                <w:highlight w:val="none"/>
                <w:lang w:val="en-US" w:eastAsia="zh-CN" w:bidi="ar-SA"/>
              </w:rPr>
              <w:t>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每周仅限一次</w:t>
            </w:r>
          </w:p>
        </w:tc>
      </w:tr>
      <w:tr>
        <w:trPr>
          <w:trHeight w:val="93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3</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代办</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完成代办、代缴、代购等服务</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1.根据老年人需求，提供代办、代缴、助购</w:t>
            </w:r>
            <w:r>
              <w:rPr>
                <w:rStyle w:val="314"/>
                <w:rFonts w:hint="eastAsia" w:ascii="宋体" w:hAnsi="宋体" w:eastAsia="宋体" w:cs="宋体"/>
                <w:color w:val="auto"/>
                <w:sz w:val="21"/>
                <w:szCs w:val="21"/>
                <w:highlight w:val="none"/>
                <w:lang w:val="en-US" w:eastAsia="zh-CN" w:bidi="ar-SA"/>
              </w:rPr>
              <w:t>等服务。</w:t>
            </w:r>
            <w:r>
              <w:rPr>
                <w:rFonts w:hint="eastAsia" w:ascii="宋体" w:hAnsi="宋体" w:eastAsia="宋体" w:cs="宋体"/>
                <w:i w:val="0"/>
                <w:color w:val="auto"/>
                <w:kern w:val="0"/>
                <w:sz w:val="21"/>
                <w:szCs w:val="21"/>
                <w:highlight w:val="none"/>
                <w:u w:val="none"/>
                <w:lang w:val="en-US" w:eastAsia="zh-CN" w:bidi="ar-SA"/>
              </w:rPr>
              <w:t>2.</w:t>
            </w:r>
            <w:r>
              <w:rPr>
                <w:rStyle w:val="314"/>
                <w:rFonts w:hint="eastAsia" w:ascii="宋体" w:hAnsi="宋体" w:eastAsia="宋体" w:cs="宋体"/>
                <w:color w:val="auto"/>
                <w:sz w:val="21"/>
                <w:szCs w:val="21"/>
                <w:highlight w:val="none"/>
                <w:lang w:val="en-US" w:eastAsia="zh-CN" w:bidi="ar-SA"/>
              </w:rPr>
              <w:t>服务范围包括为老年人提供代领各种物品，代缴水费、电费、煤气费、燃气费、电话费等，代购生活必需品或陪同购物。</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25重阳分/</w:t>
            </w:r>
            <w:r>
              <w:rPr>
                <w:rStyle w:val="314"/>
                <w:rFonts w:hint="eastAsia" w:ascii="宋体" w:hAnsi="宋体" w:eastAsia="宋体" w:cs="宋体"/>
                <w:color w:val="auto"/>
                <w:sz w:val="21"/>
                <w:szCs w:val="21"/>
                <w:highlight w:val="none"/>
                <w:lang w:val="en-US" w:eastAsia="zh-CN" w:bidi="ar-SA"/>
              </w:rPr>
              <w:t>时</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30分钟</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rPr>
          <w:trHeight w:val="285"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4</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助洗</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清洗衣物、被套</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上门或到站点清洗衣服、裤子、床单、被套等，清洗完</w:t>
            </w:r>
            <w:r>
              <w:rPr>
                <w:rStyle w:val="314"/>
                <w:rFonts w:hint="eastAsia" w:ascii="宋体" w:hAnsi="宋体" w:eastAsia="宋体" w:cs="宋体"/>
                <w:color w:val="auto"/>
                <w:sz w:val="21"/>
                <w:szCs w:val="21"/>
                <w:highlight w:val="none"/>
                <w:lang w:val="en-US" w:eastAsia="zh-CN" w:bidi="ar-SA"/>
              </w:rPr>
              <w:t>成后晾晒。</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35重阳分/</w:t>
            </w:r>
            <w:r>
              <w:rPr>
                <w:rStyle w:val="314"/>
                <w:rFonts w:hint="eastAsia" w:ascii="宋体" w:hAnsi="宋体" w:eastAsia="宋体" w:cs="宋体"/>
                <w:color w:val="auto"/>
                <w:sz w:val="21"/>
                <w:szCs w:val="21"/>
                <w:highlight w:val="none"/>
                <w:lang w:val="en-US" w:eastAsia="zh-CN" w:bidi="ar-SA"/>
              </w:rPr>
              <w:t>时</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60分钟</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每周仅限一次</w:t>
            </w:r>
          </w:p>
        </w:tc>
      </w:tr>
      <w:tr>
        <w:trPr>
          <w:trHeight w:val="900" w:hRule="atLeast"/>
        </w:trPr>
        <w:tc>
          <w:tcPr>
            <w:tcW w:w="4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5</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助餐</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送餐上门服务</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1.送餐人员持有健康证；2.</w:t>
            </w:r>
            <w:r>
              <w:rPr>
                <w:rStyle w:val="314"/>
                <w:rFonts w:hint="eastAsia" w:ascii="宋体" w:hAnsi="宋体" w:eastAsia="宋体" w:cs="宋体"/>
                <w:color w:val="auto"/>
                <w:sz w:val="21"/>
                <w:szCs w:val="21"/>
                <w:highlight w:val="none"/>
                <w:lang w:val="en-US" w:eastAsia="zh-CN" w:bidi="ar-SA"/>
              </w:rPr>
              <w:t xml:space="preserve">送餐应及时，饮食应保温、保鲜、密闭、防止细菌滋生，提供符合保温、保鲜要求的设备及运输工具，保证及时、准确、安全地将餐饮送达。          </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3</w:t>
            </w:r>
            <w:r>
              <w:rPr>
                <w:rStyle w:val="314"/>
                <w:rFonts w:hint="eastAsia" w:ascii="宋体" w:hAnsi="宋体" w:eastAsia="宋体" w:cs="宋体"/>
                <w:color w:val="auto"/>
                <w:sz w:val="21"/>
                <w:szCs w:val="21"/>
                <w:highlight w:val="none"/>
                <w:lang w:val="en-US" w:eastAsia="zh-CN" w:bidi="ar-SA"/>
              </w:rPr>
              <w:t>重阳分</w:t>
            </w:r>
            <w:r>
              <w:rPr>
                <w:rFonts w:hint="eastAsia" w:ascii="宋体" w:hAnsi="宋体" w:eastAsia="宋体" w:cs="宋体"/>
                <w:i w:val="0"/>
                <w:color w:val="auto"/>
                <w:kern w:val="0"/>
                <w:sz w:val="21"/>
                <w:szCs w:val="21"/>
                <w:highlight w:val="none"/>
                <w:u w:val="none"/>
                <w:lang w:val="en-US" w:eastAsia="zh-CN" w:bidi="ar-SA"/>
              </w:rPr>
              <w:t>/</w:t>
            </w:r>
            <w:r>
              <w:rPr>
                <w:rStyle w:val="314"/>
                <w:rFonts w:hint="eastAsia" w:ascii="宋体" w:hAnsi="宋体" w:eastAsia="宋体" w:cs="宋体"/>
                <w:color w:val="auto"/>
                <w:sz w:val="21"/>
                <w:szCs w:val="21"/>
                <w:highlight w:val="none"/>
                <w:lang w:val="en-US" w:eastAsia="zh-CN" w:bidi="ar-SA"/>
              </w:rPr>
              <w:t>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仅限用于送餐服务</w:t>
            </w:r>
          </w:p>
        </w:tc>
      </w:tr>
      <w:tr>
        <w:trPr>
          <w:trHeight w:val="285" w:hRule="atLeast"/>
        </w:trPr>
        <w:tc>
          <w:tcPr>
            <w:tcW w:w="4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做餐服务</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居家上门代做饭、菜（不含食材）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25重阳分/</w:t>
            </w:r>
            <w:r>
              <w:rPr>
                <w:rStyle w:val="314"/>
                <w:rFonts w:hint="eastAsia" w:ascii="宋体" w:hAnsi="宋体" w:eastAsia="宋体" w:cs="宋体"/>
                <w:color w:val="auto"/>
                <w:sz w:val="21"/>
                <w:szCs w:val="21"/>
                <w:highlight w:val="none"/>
                <w:lang w:val="en-US" w:eastAsia="zh-CN" w:bidi="ar-SA"/>
              </w:rPr>
              <w:t>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30分钟</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rPr>
          <w:trHeight w:val="795"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6</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生活护理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理发</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修剪头发（含清洗用品）</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1.理发师与老人沟通后按照老人或家属要求进行理发。2.</w:t>
            </w:r>
            <w:r>
              <w:rPr>
                <w:rStyle w:val="314"/>
                <w:rFonts w:hint="eastAsia" w:ascii="宋体" w:hAnsi="宋体" w:eastAsia="宋体" w:cs="宋体"/>
                <w:color w:val="auto"/>
                <w:sz w:val="21"/>
                <w:szCs w:val="21"/>
                <w:highlight w:val="none"/>
                <w:lang w:val="en-US" w:eastAsia="zh-CN" w:bidi="ar-SA"/>
              </w:rPr>
              <w:t>卧床或坐轮椅老人理发时间不宜过长。</w:t>
            </w:r>
            <w:r>
              <w:rPr>
                <w:rFonts w:hint="eastAsia" w:ascii="宋体" w:hAnsi="宋体" w:eastAsia="宋体" w:cs="宋体"/>
                <w:i w:val="0"/>
                <w:color w:val="auto"/>
                <w:kern w:val="0"/>
                <w:sz w:val="21"/>
                <w:szCs w:val="21"/>
                <w:highlight w:val="none"/>
                <w:u w:val="none"/>
                <w:lang w:val="en-US" w:eastAsia="zh-CN" w:bidi="ar-SA"/>
              </w:rPr>
              <w:t>3.</w:t>
            </w:r>
            <w:r>
              <w:rPr>
                <w:rStyle w:val="314"/>
                <w:rFonts w:hint="eastAsia" w:ascii="宋体" w:hAnsi="宋体" w:eastAsia="宋体" w:cs="宋体"/>
                <w:color w:val="auto"/>
                <w:sz w:val="21"/>
                <w:szCs w:val="21"/>
                <w:highlight w:val="none"/>
                <w:lang w:val="en-US" w:eastAsia="zh-CN" w:bidi="ar-SA"/>
              </w:rPr>
              <w:t>理发后为老人洗发、吹发，清理碎发。</w:t>
            </w:r>
            <w:r>
              <w:rPr>
                <w:rFonts w:hint="eastAsia" w:ascii="宋体" w:hAnsi="宋体" w:eastAsia="宋体" w:cs="宋体"/>
                <w:i w:val="0"/>
                <w:color w:val="auto"/>
                <w:kern w:val="0"/>
                <w:sz w:val="21"/>
                <w:szCs w:val="21"/>
                <w:highlight w:val="none"/>
                <w:u w:val="none"/>
                <w:lang w:val="en-US" w:eastAsia="zh-CN" w:bidi="ar-SA"/>
              </w:rPr>
              <w:t>4.</w:t>
            </w:r>
            <w:r>
              <w:rPr>
                <w:rStyle w:val="314"/>
                <w:rFonts w:hint="eastAsia" w:ascii="宋体" w:hAnsi="宋体" w:eastAsia="宋体" w:cs="宋体"/>
                <w:color w:val="auto"/>
                <w:sz w:val="21"/>
                <w:szCs w:val="21"/>
                <w:highlight w:val="none"/>
                <w:lang w:val="en-US" w:eastAsia="zh-CN" w:bidi="ar-SA"/>
              </w:rPr>
              <w:t>理发后将周围清扫干净。</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20</w:t>
            </w:r>
            <w:r>
              <w:rPr>
                <w:rStyle w:val="314"/>
                <w:rFonts w:hint="eastAsia" w:ascii="宋体" w:hAnsi="宋体" w:eastAsia="宋体" w:cs="宋体"/>
                <w:color w:val="auto"/>
                <w:sz w:val="21"/>
                <w:szCs w:val="21"/>
                <w:highlight w:val="none"/>
                <w:lang w:val="en-US" w:eastAsia="zh-CN" w:bidi="ar-SA"/>
              </w:rPr>
              <w:t>重阳分</w:t>
            </w:r>
            <w:r>
              <w:rPr>
                <w:rFonts w:hint="eastAsia" w:ascii="宋体" w:hAnsi="宋体" w:eastAsia="宋体" w:cs="宋体"/>
                <w:i w:val="0"/>
                <w:color w:val="auto"/>
                <w:kern w:val="0"/>
                <w:sz w:val="21"/>
                <w:szCs w:val="21"/>
                <w:highlight w:val="none"/>
                <w:u w:val="none"/>
                <w:lang w:val="en-US" w:eastAsia="zh-CN" w:bidi="ar-SA"/>
              </w:rPr>
              <w:t>/</w:t>
            </w:r>
            <w:r>
              <w:rPr>
                <w:rStyle w:val="314"/>
                <w:rFonts w:hint="eastAsia" w:ascii="宋体" w:hAnsi="宋体" w:eastAsia="宋体" w:cs="宋体"/>
                <w:color w:val="auto"/>
                <w:sz w:val="21"/>
                <w:szCs w:val="21"/>
                <w:highlight w:val="none"/>
                <w:lang w:val="en-US" w:eastAsia="zh-CN" w:bidi="ar-SA"/>
              </w:rPr>
              <w:t>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30分钟</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每月不超过2次</w:t>
            </w:r>
          </w:p>
        </w:tc>
      </w:tr>
      <w:tr>
        <w:trPr>
          <w:trHeight w:val="69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7</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个人卫生</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协助中、重度失能老年人做好个人卫生清洁</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1.面部清洁和梳头；2.</w:t>
            </w:r>
            <w:r>
              <w:rPr>
                <w:rStyle w:val="314"/>
                <w:rFonts w:hint="eastAsia" w:ascii="宋体" w:hAnsi="宋体" w:eastAsia="宋体" w:cs="宋体"/>
                <w:color w:val="auto"/>
                <w:sz w:val="21"/>
                <w:szCs w:val="21"/>
                <w:highlight w:val="none"/>
                <w:lang w:val="en-US" w:eastAsia="zh-CN" w:bidi="ar-SA"/>
              </w:rPr>
              <w:t>协助刷牙、漱口和口腔清洁；</w:t>
            </w:r>
            <w:r>
              <w:rPr>
                <w:rFonts w:hint="eastAsia" w:ascii="宋体" w:hAnsi="宋体" w:eastAsia="宋体" w:cs="宋体"/>
                <w:i w:val="0"/>
                <w:color w:val="auto"/>
                <w:kern w:val="0"/>
                <w:sz w:val="21"/>
                <w:szCs w:val="21"/>
                <w:highlight w:val="none"/>
                <w:u w:val="none"/>
                <w:lang w:val="en-US" w:eastAsia="zh-CN" w:bidi="ar-SA"/>
              </w:rPr>
              <w:t>3.</w:t>
            </w:r>
            <w:r>
              <w:rPr>
                <w:rStyle w:val="314"/>
                <w:rFonts w:hint="eastAsia" w:ascii="宋体" w:hAnsi="宋体" w:eastAsia="宋体" w:cs="宋体"/>
                <w:color w:val="auto"/>
                <w:sz w:val="21"/>
                <w:szCs w:val="21"/>
                <w:highlight w:val="none"/>
                <w:lang w:val="en-US" w:eastAsia="zh-CN" w:bidi="ar-SA"/>
              </w:rPr>
              <w:t>清洗头发并吹干；</w:t>
            </w:r>
            <w:r>
              <w:rPr>
                <w:rFonts w:hint="eastAsia" w:ascii="宋体" w:hAnsi="宋体" w:eastAsia="宋体" w:cs="宋体"/>
                <w:i w:val="0"/>
                <w:color w:val="auto"/>
                <w:kern w:val="0"/>
                <w:sz w:val="21"/>
                <w:szCs w:val="21"/>
                <w:highlight w:val="none"/>
                <w:u w:val="none"/>
                <w:lang w:val="en-US" w:eastAsia="zh-CN" w:bidi="ar-SA"/>
              </w:rPr>
              <w:t>4.</w:t>
            </w:r>
            <w:r>
              <w:rPr>
                <w:rStyle w:val="314"/>
                <w:rFonts w:hint="eastAsia" w:ascii="宋体" w:hAnsi="宋体" w:eastAsia="宋体" w:cs="宋体"/>
                <w:color w:val="auto"/>
                <w:sz w:val="21"/>
                <w:szCs w:val="21"/>
                <w:highlight w:val="none"/>
                <w:lang w:val="en-US" w:eastAsia="zh-CN" w:bidi="ar-SA"/>
              </w:rPr>
              <w:t>清洗手、脚，修剪指甲。</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25</w:t>
            </w:r>
            <w:r>
              <w:rPr>
                <w:rStyle w:val="314"/>
                <w:rFonts w:hint="eastAsia" w:ascii="宋体" w:hAnsi="宋体" w:eastAsia="宋体" w:cs="宋体"/>
                <w:color w:val="auto"/>
                <w:sz w:val="21"/>
                <w:szCs w:val="21"/>
                <w:highlight w:val="none"/>
                <w:lang w:val="en-US" w:eastAsia="zh-CN" w:bidi="ar-SA"/>
              </w:rPr>
              <w:t>重阳分</w:t>
            </w:r>
            <w:r>
              <w:rPr>
                <w:rFonts w:hint="eastAsia" w:ascii="宋体" w:hAnsi="宋体" w:eastAsia="宋体" w:cs="宋体"/>
                <w:i w:val="0"/>
                <w:color w:val="auto"/>
                <w:kern w:val="0"/>
                <w:sz w:val="21"/>
                <w:szCs w:val="21"/>
                <w:highlight w:val="none"/>
                <w:u w:val="none"/>
                <w:lang w:val="en-US" w:eastAsia="zh-CN" w:bidi="ar-SA"/>
              </w:rPr>
              <w:t>/</w:t>
            </w:r>
            <w:r>
              <w:rPr>
                <w:rStyle w:val="314"/>
                <w:rFonts w:hint="eastAsia" w:ascii="宋体" w:hAnsi="宋体" w:eastAsia="宋体" w:cs="宋体"/>
                <w:color w:val="auto"/>
                <w:sz w:val="21"/>
                <w:szCs w:val="21"/>
                <w:highlight w:val="none"/>
                <w:lang w:val="en-US" w:eastAsia="zh-CN" w:bidi="ar-SA"/>
              </w:rPr>
              <w:t>时</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60分钟</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每月不超过1次</w:t>
            </w:r>
          </w:p>
        </w:tc>
      </w:tr>
      <w:tr>
        <w:trPr>
          <w:trHeight w:val="72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8</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健康管理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助医</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配药、陪同就医</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1.协助监护人陪送老年人到医院就医或代为取药。2.</w:t>
            </w:r>
            <w:r>
              <w:rPr>
                <w:rStyle w:val="314"/>
                <w:rFonts w:hint="eastAsia" w:ascii="宋体" w:hAnsi="宋体" w:eastAsia="宋体" w:cs="宋体"/>
                <w:color w:val="auto"/>
                <w:sz w:val="21"/>
                <w:szCs w:val="21"/>
                <w:highlight w:val="none"/>
                <w:lang w:val="en-US" w:eastAsia="zh-CN" w:bidi="ar-SA"/>
              </w:rPr>
              <w:t>遵照医嘱，协助生活不能自理的老年人服用药品。</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25</w:t>
            </w:r>
            <w:r>
              <w:rPr>
                <w:rStyle w:val="314"/>
                <w:rFonts w:hint="eastAsia" w:ascii="宋体" w:hAnsi="宋体" w:eastAsia="宋体" w:cs="宋体"/>
                <w:color w:val="auto"/>
                <w:sz w:val="21"/>
                <w:szCs w:val="21"/>
                <w:highlight w:val="none"/>
                <w:lang w:val="en-US" w:eastAsia="zh-CN" w:bidi="ar-SA"/>
              </w:rPr>
              <w:t>重阳分</w:t>
            </w:r>
            <w:r>
              <w:rPr>
                <w:rFonts w:hint="eastAsia" w:ascii="宋体" w:hAnsi="宋体" w:eastAsia="宋体" w:cs="宋体"/>
                <w:i w:val="0"/>
                <w:color w:val="auto"/>
                <w:kern w:val="0"/>
                <w:sz w:val="21"/>
                <w:szCs w:val="21"/>
                <w:highlight w:val="none"/>
                <w:u w:val="none"/>
                <w:lang w:val="en-US" w:eastAsia="zh-CN" w:bidi="ar-SA"/>
              </w:rPr>
              <w:t>/</w:t>
            </w:r>
            <w:r>
              <w:rPr>
                <w:rStyle w:val="314"/>
                <w:rFonts w:hint="eastAsia" w:ascii="宋体" w:hAnsi="宋体" w:eastAsia="宋体" w:cs="宋体"/>
                <w:color w:val="auto"/>
                <w:sz w:val="21"/>
                <w:szCs w:val="21"/>
                <w:highlight w:val="none"/>
                <w:lang w:val="en-US" w:eastAsia="zh-CN" w:bidi="ar-SA"/>
              </w:rPr>
              <w:t>时</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60分钟</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rPr>
          <w:trHeight w:val="60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9</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健康管理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测量体温、脉搏、血压、血糖</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做好测量记录，填写记录表，告知或提醒老人（家属）测量情况。（不足四项不收费）</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8</w:t>
            </w:r>
            <w:r>
              <w:rPr>
                <w:rStyle w:val="314"/>
                <w:rFonts w:hint="eastAsia" w:ascii="宋体" w:hAnsi="宋体" w:eastAsia="宋体" w:cs="宋体"/>
                <w:color w:val="auto"/>
                <w:sz w:val="21"/>
                <w:szCs w:val="21"/>
                <w:highlight w:val="none"/>
                <w:lang w:val="en-US" w:eastAsia="zh-CN" w:bidi="ar-SA"/>
              </w:rPr>
              <w:t>重阳分</w:t>
            </w:r>
            <w:r>
              <w:rPr>
                <w:rFonts w:hint="eastAsia" w:ascii="宋体" w:hAnsi="宋体" w:eastAsia="宋体" w:cs="宋体"/>
                <w:i w:val="0"/>
                <w:color w:val="auto"/>
                <w:kern w:val="0"/>
                <w:sz w:val="21"/>
                <w:szCs w:val="21"/>
                <w:highlight w:val="none"/>
                <w:u w:val="none"/>
                <w:lang w:val="en-US" w:eastAsia="zh-CN" w:bidi="ar-SA"/>
              </w:rPr>
              <w:t>/</w:t>
            </w:r>
            <w:r>
              <w:rPr>
                <w:rStyle w:val="314"/>
                <w:rFonts w:hint="eastAsia" w:ascii="宋体" w:hAnsi="宋体" w:eastAsia="宋体" w:cs="宋体"/>
                <w:color w:val="auto"/>
                <w:sz w:val="21"/>
                <w:szCs w:val="21"/>
                <w:highlight w:val="none"/>
                <w:lang w:val="en-US" w:eastAsia="zh-CN" w:bidi="ar-SA"/>
              </w:rPr>
              <w:t>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每周不超过一次</w:t>
            </w:r>
          </w:p>
        </w:tc>
      </w:tr>
      <w:tr>
        <w:trPr>
          <w:trHeight w:val="48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精神慰藉</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上门探视、陪同聊天</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提供探视探访服务</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10重阳分/时</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每周不超过一次</w:t>
            </w:r>
          </w:p>
        </w:tc>
      </w:tr>
      <w:tr>
        <w:trPr>
          <w:trHeight w:val="81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老年人能力</w:t>
            </w:r>
            <w:r>
              <w:rPr>
                <w:rFonts w:hint="eastAsia" w:ascii="宋体" w:hAnsi="宋体" w:eastAsia="宋体" w:cs="宋体"/>
                <w:i w:val="0"/>
                <w:color w:val="auto"/>
                <w:kern w:val="0"/>
                <w:sz w:val="21"/>
                <w:szCs w:val="21"/>
                <w:highlight w:val="none"/>
                <w:u w:val="none"/>
                <w:lang w:val="en-US" w:eastAsia="zh-CN" w:bidi="ar-SA"/>
              </w:rPr>
              <w:br w:type="textWrapping"/>
            </w:r>
            <w:r>
              <w:rPr>
                <w:rFonts w:hint="eastAsia" w:ascii="宋体" w:hAnsi="宋体" w:eastAsia="宋体" w:cs="宋体"/>
                <w:i w:val="0"/>
                <w:color w:val="auto"/>
                <w:kern w:val="0"/>
                <w:sz w:val="21"/>
                <w:szCs w:val="21"/>
                <w:highlight w:val="none"/>
                <w:u w:val="none"/>
                <w:lang w:val="en-US" w:eastAsia="zh-CN" w:bidi="ar-SA"/>
              </w:rPr>
              <w:t>评估</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能力评估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提供老年人生活、社交、精神能力评估。</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第三方评估机构根据老年人申请评估需求，开展变更评估或复评。</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80重阳分/</w:t>
            </w:r>
            <w:r>
              <w:rPr>
                <w:rStyle w:val="314"/>
                <w:rFonts w:hint="eastAsia" w:ascii="宋体" w:hAnsi="宋体" w:eastAsia="宋体" w:cs="宋体"/>
                <w:color w:val="auto"/>
                <w:sz w:val="21"/>
                <w:szCs w:val="21"/>
                <w:highlight w:val="none"/>
                <w:lang w:val="en-US" w:eastAsia="zh-CN" w:bidi="ar-SA"/>
              </w:rPr>
              <w:t>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含变更评估、到期评估等</w:t>
            </w:r>
          </w:p>
        </w:tc>
      </w:tr>
      <w:tr>
        <w:trPr>
          <w:trHeight w:val="72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家庭养老床位</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照护服务</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居家老</w:t>
            </w:r>
            <w:r>
              <w:rPr>
                <w:rStyle w:val="314"/>
                <w:rFonts w:hint="eastAsia" w:ascii="宋体" w:hAnsi="宋体" w:eastAsia="宋体" w:cs="宋体"/>
                <w:color w:val="auto"/>
                <w:sz w:val="21"/>
                <w:szCs w:val="21"/>
                <w:highlight w:val="none"/>
                <w:lang w:val="en-US" w:eastAsia="zh-CN" w:bidi="ar-SA"/>
              </w:rPr>
              <w:t>年人，享受养老机构专业服务</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依托有资质的养老服务机构，提供必要的智能设施设备，为</w:t>
            </w:r>
            <w:r>
              <w:rPr>
                <w:rStyle w:val="314"/>
                <w:rFonts w:hint="eastAsia" w:ascii="宋体" w:hAnsi="宋体" w:eastAsia="宋体" w:cs="宋体"/>
                <w:color w:val="auto"/>
                <w:sz w:val="21"/>
                <w:szCs w:val="21"/>
                <w:highlight w:val="none"/>
                <w:lang w:val="en-US" w:eastAsia="zh-CN" w:bidi="ar-SA"/>
              </w:rPr>
              <w:t>在家的老年人提供机构式照护服务。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auto"/>
                <w:sz w:val="21"/>
                <w:szCs w:val="21"/>
                <w:highlight w:val="none"/>
                <w:u w:val="none"/>
              </w:rPr>
            </w:pPr>
          </w:p>
        </w:tc>
      </w:tr>
      <w:tr>
        <w:trPr>
          <w:trHeight w:val="48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入住养老机构</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全托服务</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提供全托服务</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电子津贴政策与入住养老机构床位（护理）补贴不重复享受。入住养老机构后，按照养老机构收费标准，原有的电子津贴（重阳分）可抵扣相应服务费。</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r>
      <w:tr>
        <w:trPr>
          <w:trHeight w:val="57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14</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家庭适老化</w:t>
            </w:r>
            <w:r>
              <w:rPr>
                <w:rFonts w:hint="eastAsia" w:ascii="宋体" w:hAnsi="宋体" w:eastAsia="宋体" w:cs="宋体"/>
                <w:i w:val="0"/>
                <w:color w:val="auto"/>
                <w:kern w:val="0"/>
                <w:sz w:val="21"/>
                <w:szCs w:val="21"/>
                <w:highlight w:val="none"/>
                <w:u w:val="none"/>
                <w:lang w:val="en-US" w:eastAsia="zh-CN" w:bidi="ar-SA"/>
              </w:rPr>
              <w:br w:type="textWrapping"/>
            </w:r>
            <w:r>
              <w:rPr>
                <w:rFonts w:hint="eastAsia" w:ascii="宋体" w:hAnsi="宋体" w:eastAsia="宋体" w:cs="宋体"/>
                <w:i w:val="0"/>
                <w:color w:val="auto"/>
                <w:kern w:val="0"/>
                <w:sz w:val="21"/>
                <w:szCs w:val="21"/>
                <w:highlight w:val="none"/>
                <w:u w:val="none"/>
                <w:lang w:val="en-US" w:eastAsia="zh-CN" w:bidi="ar-SA"/>
              </w:rPr>
              <w:t>改造</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基础性改造1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更换抽水马桶</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更换抽水马桶，包括马桶及安装费用。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r>
      <w:tr>
        <w:trPr>
          <w:trHeight w:val="57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15</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基础性改造2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安装一字形扶手</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安装一字形扶手（长度40cm），包括扶手及安装费用。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r>
      <w:tr>
        <w:trPr>
          <w:trHeight w:val="615"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16</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基础性改造3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铺设防滑地胶</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铺设防滑地胶，包括地胶加铺设。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r>
      <w:tr>
        <w:trPr>
          <w:trHeight w:val="54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17</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基础性改造4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安装上翻U</w:t>
            </w:r>
            <w:r>
              <w:rPr>
                <w:rStyle w:val="314"/>
                <w:rFonts w:hint="eastAsia" w:ascii="宋体" w:hAnsi="宋体" w:eastAsia="宋体" w:cs="宋体"/>
                <w:color w:val="auto"/>
                <w:sz w:val="21"/>
                <w:szCs w:val="21"/>
                <w:highlight w:val="none"/>
                <w:lang w:val="en-US" w:eastAsia="zh-CN" w:bidi="ar-SA"/>
              </w:rPr>
              <w:t>型扶手</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马桶安装上翻U型扶手，包括扶手及安装。</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r>
      <w:tr>
        <w:trPr>
          <w:trHeight w:val="54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18</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基础性改造5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安装通道扶手</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安装通道扶手，包括扶手及安装。</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r>
      <w:tr>
        <w:trPr>
          <w:trHeight w:val="36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19</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器具租赁</w:t>
            </w: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辅具租赁</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护理床租赁</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提供护理床租赁服务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r>
      <w:tr>
        <w:trPr>
          <w:trHeight w:val="36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20</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轮椅租赁</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提供轮椅租赁服务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r>
      <w:tr>
        <w:trPr>
          <w:trHeight w:val="36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21</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助行椅租赁</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提供助行椅租赁服务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r>
      <w:tr>
        <w:trPr>
          <w:trHeight w:val="36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22</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助浴椅租赁</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提供助浴椅租赁服务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r>
      <w:tr>
        <w:trPr>
          <w:trHeight w:val="360" w:hRule="atLeast"/>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23</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防褥疮床垫租赁</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提供防褥疮床垫租赁服务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w:t>
            </w: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auto"/>
                <w:sz w:val="21"/>
                <w:szCs w:val="21"/>
                <w:highlight w:val="none"/>
                <w:u w:val="none"/>
              </w:rPr>
            </w:pPr>
          </w:p>
        </w:tc>
      </w:tr>
    </w:tbl>
    <w:p>
      <w:pPr>
        <w:rPr>
          <w:color w:val="auto"/>
          <w:highlight w:val="none"/>
        </w:rPr>
      </w:pPr>
      <w:r>
        <w:rPr>
          <w:rFonts w:hint="eastAsia"/>
          <w:color w:val="auto"/>
          <w:highlight w:val="none"/>
        </w:rPr>
        <w:t>注：服务清单根据实际动态调整。</w:t>
      </w:r>
    </w:p>
    <w:p>
      <w:pPr>
        <w:ind w:firstLine="546" w:firstLineChars="0"/>
        <w:jc w:val="left"/>
        <w:rPr>
          <w:rFonts w:hint="eastAsia" w:eastAsia="宋体"/>
          <w:color w:val="auto"/>
          <w:kern w:val="2"/>
          <w:sz w:val="21"/>
          <w:highlight w:val="none"/>
          <w:lang w:val="en-US" w:eastAsia="zh-CN"/>
        </w:rPr>
      </w:pPr>
    </w:p>
    <w:p>
      <w:pPr>
        <w:rPr>
          <w:rFonts w:hint="eastAsia" w:eastAsia="宋体"/>
          <w:color w:val="auto"/>
          <w:kern w:val="2"/>
          <w:sz w:val="21"/>
          <w:highlight w:val="none"/>
          <w:lang w:val="en-US" w:eastAsia="zh-CN"/>
        </w:rPr>
      </w:pPr>
    </w:p>
    <w:p>
      <w:pPr>
        <w:jc w:val="left"/>
        <w:rPr>
          <w:rFonts w:hint="eastAsia" w:ascii="仿宋_GB2312" w:hAnsi="仿宋_GB2312" w:eastAsia="仿宋_GB2312" w:cs="仿宋_GB2312"/>
          <w:color w:val="auto"/>
          <w:kern w:val="2"/>
          <w:sz w:val="32"/>
          <w:szCs w:val="32"/>
          <w:highlight w:val="none"/>
          <w:lang w:val="en-US" w:eastAsia="zh-CN"/>
        </w:rPr>
      </w:pPr>
    </w:p>
    <w:p>
      <w:pPr>
        <w:jc w:val="left"/>
        <w:rPr>
          <w:rFonts w:hint="eastAsia" w:ascii="仿宋_GB2312" w:hAnsi="仿宋_GB2312" w:eastAsia="仿宋_GB2312" w:cs="仿宋_GB2312"/>
          <w:color w:val="auto"/>
          <w:kern w:val="2"/>
          <w:sz w:val="32"/>
          <w:szCs w:val="32"/>
          <w:highlight w:val="none"/>
          <w:lang w:val="en-US" w:eastAsia="zh-CN"/>
        </w:rPr>
      </w:pPr>
    </w:p>
    <w:p>
      <w:pPr>
        <w:jc w:val="left"/>
        <w:rPr>
          <w:rFonts w:hint="eastAsia" w:ascii="仿宋_GB2312" w:hAnsi="仿宋_GB2312" w:eastAsia="仿宋_GB2312" w:cs="仿宋_GB2312"/>
          <w:color w:val="auto"/>
          <w:kern w:val="2"/>
          <w:sz w:val="32"/>
          <w:szCs w:val="32"/>
          <w:highlight w:val="none"/>
          <w:lang w:val="en-US" w:eastAsia="zh-CN"/>
        </w:rPr>
      </w:pPr>
    </w:p>
    <w:p>
      <w:pPr>
        <w:jc w:val="left"/>
        <w:rPr>
          <w:rFonts w:hint="eastAsia" w:ascii="仿宋_GB2312" w:hAnsi="仿宋_GB2312" w:eastAsia="仿宋_GB2312" w:cs="仿宋_GB2312"/>
          <w:color w:val="auto"/>
          <w:kern w:val="2"/>
          <w:sz w:val="32"/>
          <w:szCs w:val="32"/>
          <w:highlight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附件2：</w:t>
      </w:r>
    </w:p>
    <w:p>
      <w:pPr>
        <w:jc w:val="center"/>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杭州市临平区电子津贴信用分考核表</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55"/>
        <w:gridCol w:w="4571"/>
        <w:gridCol w:w="2411"/>
        <w:gridCol w:w="808"/>
      </w:tblGrid>
      <w:tr>
        <w:trPr>
          <w:trHeight w:val="285" w:hRule="atLeast"/>
          <w:jc w:val="center"/>
        </w:trPr>
        <w:tc>
          <w:tcPr>
            <w:tcW w:w="5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SA"/>
              </w:rPr>
              <w:t>序号</w:t>
            </w:r>
          </w:p>
        </w:tc>
        <w:tc>
          <w:tcPr>
            <w:tcW w:w="457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SA"/>
              </w:rPr>
              <w:t>扣分内容</w:t>
            </w:r>
          </w:p>
        </w:tc>
        <w:tc>
          <w:tcPr>
            <w:tcW w:w="241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SA"/>
              </w:rPr>
              <w:t>扣分标准</w:t>
            </w:r>
          </w:p>
        </w:tc>
        <w:tc>
          <w:tcPr>
            <w:tcW w:w="80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SA"/>
              </w:rPr>
              <w:t>备注</w:t>
            </w:r>
          </w:p>
        </w:tc>
      </w:tr>
      <w:tr>
        <w:trPr>
          <w:trHeight w:val="480" w:hRule="atLeast"/>
          <w:jc w:val="center"/>
        </w:trPr>
        <w:tc>
          <w:tcPr>
            <w:tcW w:w="5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w:t>
            </w:r>
          </w:p>
        </w:tc>
        <w:tc>
          <w:tcPr>
            <w:tcW w:w="457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服务人员未进行健康管理，未着工作服，未佩戴工作标牌。</w:t>
            </w:r>
          </w:p>
        </w:tc>
        <w:tc>
          <w:tcPr>
            <w:tcW w:w="241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每起扣除1个信用分</w:t>
            </w:r>
          </w:p>
        </w:tc>
        <w:tc>
          <w:tcPr>
            <w:tcW w:w="808" w:type="dxa"/>
            <w:tcBorders>
              <w:tl2br w:val="nil"/>
              <w:tr2bl w:val="nil"/>
            </w:tcBorders>
            <w:noWrap w:val="0"/>
            <w:vAlign w:val="center"/>
          </w:tcPr>
          <w:p>
            <w:pPr>
              <w:jc w:val="center"/>
              <w:rPr>
                <w:rFonts w:hint="eastAsia" w:ascii="宋体" w:hAnsi="宋体" w:eastAsia="宋体" w:cs="宋体"/>
                <w:i w:val="0"/>
                <w:color w:val="auto"/>
                <w:sz w:val="21"/>
                <w:szCs w:val="21"/>
                <w:highlight w:val="none"/>
                <w:u w:val="none"/>
              </w:rPr>
            </w:pPr>
          </w:p>
        </w:tc>
      </w:tr>
      <w:tr>
        <w:trPr>
          <w:trHeight w:val="480" w:hRule="atLeast"/>
          <w:jc w:val="center"/>
        </w:trPr>
        <w:tc>
          <w:tcPr>
            <w:tcW w:w="5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2</w:t>
            </w:r>
          </w:p>
        </w:tc>
        <w:tc>
          <w:tcPr>
            <w:tcW w:w="457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完成订单支付后未向老人提供交易小票。</w:t>
            </w:r>
          </w:p>
        </w:tc>
        <w:tc>
          <w:tcPr>
            <w:tcW w:w="241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每起扣除1个信用分</w:t>
            </w:r>
          </w:p>
        </w:tc>
        <w:tc>
          <w:tcPr>
            <w:tcW w:w="808" w:type="dxa"/>
            <w:tcBorders>
              <w:tl2br w:val="nil"/>
              <w:tr2bl w:val="nil"/>
            </w:tcBorders>
            <w:noWrap w:val="0"/>
            <w:vAlign w:val="center"/>
          </w:tcPr>
          <w:p>
            <w:pPr>
              <w:jc w:val="center"/>
              <w:rPr>
                <w:rFonts w:hint="eastAsia" w:ascii="宋体" w:hAnsi="宋体" w:eastAsia="宋体" w:cs="宋体"/>
                <w:i w:val="0"/>
                <w:color w:val="auto"/>
                <w:sz w:val="21"/>
                <w:szCs w:val="21"/>
                <w:highlight w:val="none"/>
                <w:u w:val="none"/>
              </w:rPr>
            </w:pPr>
          </w:p>
        </w:tc>
      </w:tr>
      <w:tr>
        <w:trPr>
          <w:trHeight w:val="285" w:hRule="atLeast"/>
          <w:jc w:val="center"/>
        </w:trPr>
        <w:tc>
          <w:tcPr>
            <w:tcW w:w="5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3</w:t>
            </w:r>
          </w:p>
        </w:tc>
        <w:tc>
          <w:tcPr>
            <w:tcW w:w="457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异常订单无法提交相关凭证。</w:t>
            </w:r>
          </w:p>
        </w:tc>
        <w:tc>
          <w:tcPr>
            <w:tcW w:w="241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异常订单不予结算，并每一单扣除1个信用分</w:t>
            </w:r>
          </w:p>
        </w:tc>
        <w:tc>
          <w:tcPr>
            <w:tcW w:w="808" w:type="dxa"/>
            <w:tcBorders>
              <w:tl2br w:val="nil"/>
              <w:tr2bl w:val="nil"/>
            </w:tcBorders>
            <w:noWrap w:val="0"/>
            <w:vAlign w:val="center"/>
          </w:tcPr>
          <w:p>
            <w:pPr>
              <w:jc w:val="center"/>
              <w:rPr>
                <w:rFonts w:hint="eastAsia" w:ascii="宋体" w:hAnsi="宋体" w:eastAsia="宋体" w:cs="宋体"/>
                <w:i w:val="0"/>
                <w:color w:val="auto"/>
                <w:sz w:val="21"/>
                <w:szCs w:val="21"/>
                <w:highlight w:val="none"/>
                <w:u w:val="none"/>
              </w:rPr>
            </w:pPr>
          </w:p>
        </w:tc>
      </w:tr>
      <w:tr>
        <w:trPr>
          <w:trHeight w:val="285" w:hRule="atLeast"/>
          <w:jc w:val="center"/>
        </w:trPr>
        <w:tc>
          <w:tcPr>
            <w:tcW w:w="5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4</w:t>
            </w:r>
          </w:p>
        </w:tc>
        <w:tc>
          <w:tcPr>
            <w:tcW w:w="457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镇、街道，村、社区反馈不良情况</w:t>
            </w:r>
          </w:p>
        </w:tc>
        <w:tc>
          <w:tcPr>
            <w:tcW w:w="241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每起扣1个信用分</w:t>
            </w:r>
          </w:p>
        </w:tc>
        <w:tc>
          <w:tcPr>
            <w:tcW w:w="808" w:type="dxa"/>
            <w:tcBorders>
              <w:tl2br w:val="nil"/>
              <w:tr2bl w:val="nil"/>
            </w:tcBorders>
            <w:noWrap w:val="0"/>
            <w:vAlign w:val="center"/>
          </w:tcPr>
          <w:p>
            <w:pPr>
              <w:jc w:val="center"/>
              <w:rPr>
                <w:rFonts w:hint="eastAsia" w:ascii="宋体" w:hAnsi="宋体" w:eastAsia="宋体" w:cs="宋体"/>
                <w:i w:val="0"/>
                <w:color w:val="auto"/>
                <w:sz w:val="21"/>
                <w:szCs w:val="21"/>
                <w:highlight w:val="none"/>
                <w:u w:val="none"/>
              </w:rPr>
            </w:pPr>
          </w:p>
        </w:tc>
      </w:tr>
      <w:tr>
        <w:trPr>
          <w:trHeight w:val="480" w:hRule="atLeast"/>
          <w:jc w:val="center"/>
        </w:trPr>
        <w:tc>
          <w:tcPr>
            <w:tcW w:w="5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5</w:t>
            </w:r>
          </w:p>
        </w:tc>
        <w:tc>
          <w:tcPr>
            <w:tcW w:w="457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通过网络、电话、信件方式收到服务对象投诉或负面舆情</w:t>
            </w:r>
          </w:p>
        </w:tc>
        <w:tc>
          <w:tcPr>
            <w:tcW w:w="241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每起扣1个信用分</w:t>
            </w:r>
          </w:p>
        </w:tc>
        <w:tc>
          <w:tcPr>
            <w:tcW w:w="808" w:type="dxa"/>
            <w:tcBorders>
              <w:tl2br w:val="nil"/>
              <w:tr2bl w:val="nil"/>
            </w:tcBorders>
            <w:noWrap w:val="0"/>
            <w:vAlign w:val="center"/>
          </w:tcPr>
          <w:p>
            <w:pPr>
              <w:jc w:val="center"/>
              <w:rPr>
                <w:rFonts w:hint="eastAsia" w:ascii="宋体" w:hAnsi="宋体" w:eastAsia="宋体" w:cs="宋体"/>
                <w:i w:val="0"/>
                <w:color w:val="auto"/>
                <w:sz w:val="21"/>
                <w:szCs w:val="21"/>
                <w:highlight w:val="none"/>
                <w:u w:val="none"/>
              </w:rPr>
            </w:pPr>
          </w:p>
        </w:tc>
      </w:tr>
      <w:tr>
        <w:trPr>
          <w:trHeight w:val="1200" w:hRule="atLeast"/>
          <w:jc w:val="center"/>
        </w:trPr>
        <w:tc>
          <w:tcPr>
            <w:tcW w:w="5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6</w:t>
            </w:r>
          </w:p>
        </w:tc>
        <w:tc>
          <w:tcPr>
            <w:tcW w:w="457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服务人员入户服务后方可扫码开始服务，结束服务后再进入下一单，对于两单时间间隔异常（如服务建单无间隔或间隔过短情况），或项目重复建单</w:t>
            </w:r>
          </w:p>
        </w:tc>
        <w:tc>
          <w:tcPr>
            <w:tcW w:w="241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上述情况达到总单据的0.1%，扣2个信用分</w:t>
            </w:r>
          </w:p>
        </w:tc>
        <w:tc>
          <w:tcPr>
            <w:tcW w:w="808" w:type="dxa"/>
            <w:tcBorders>
              <w:tl2br w:val="nil"/>
              <w:tr2bl w:val="nil"/>
            </w:tcBorders>
            <w:noWrap w:val="0"/>
            <w:vAlign w:val="center"/>
          </w:tcPr>
          <w:p>
            <w:pPr>
              <w:jc w:val="center"/>
              <w:rPr>
                <w:rFonts w:hint="eastAsia" w:ascii="宋体" w:hAnsi="宋体" w:eastAsia="宋体" w:cs="宋体"/>
                <w:i w:val="0"/>
                <w:color w:val="auto"/>
                <w:sz w:val="21"/>
                <w:szCs w:val="21"/>
                <w:highlight w:val="none"/>
                <w:u w:val="none"/>
              </w:rPr>
            </w:pPr>
          </w:p>
        </w:tc>
      </w:tr>
      <w:tr>
        <w:trPr>
          <w:trHeight w:val="960" w:hRule="atLeast"/>
          <w:jc w:val="center"/>
        </w:trPr>
        <w:tc>
          <w:tcPr>
            <w:tcW w:w="5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7</w:t>
            </w:r>
          </w:p>
        </w:tc>
        <w:tc>
          <w:tcPr>
            <w:tcW w:w="457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服务人员出现刷卡寄存日后服务、服务未达到相应时长、实际服务内容与所下服务订单不符合等违规操作。</w:t>
            </w:r>
          </w:p>
        </w:tc>
        <w:tc>
          <w:tcPr>
            <w:tcW w:w="241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每笔订单扣除2个信用分</w:t>
            </w:r>
          </w:p>
        </w:tc>
        <w:tc>
          <w:tcPr>
            <w:tcW w:w="808" w:type="dxa"/>
            <w:tcBorders>
              <w:tl2br w:val="nil"/>
              <w:tr2bl w:val="nil"/>
            </w:tcBorders>
            <w:noWrap w:val="0"/>
            <w:vAlign w:val="center"/>
          </w:tcPr>
          <w:p>
            <w:pPr>
              <w:jc w:val="center"/>
              <w:rPr>
                <w:rFonts w:hint="eastAsia" w:ascii="宋体" w:hAnsi="宋体" w:eastAsia="宋体" w:cs="宋体"/>
                <w:i w:val="0"/>
                <w:color w:val="auto"/>
                <w:sz w:val="21"/>
                <w:szCs w:val="21"/>
                <w:highlight w:val="none"/>
                <w:u w:val="none"/>
              </w:rPr>
            </w:pPr>
          </w:p>
        </w:tc>
      </w:tr>
      <w:tr>
        <w:trPr>
          <w:trHeight w:val="480" w:hRule="atLeast"/>
          <w:jc w:val="center"/>
        </w:trPr>
        <w:tc>
          <w:tcPr>
            <w:tcW w:w="5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8</w:t>
            </w:r>
          </w:p>
        </w:tc>
        <w:tc>
          <w:tcPr>
            <w:tcW w:w="457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服务机构每季度未组织开展员工培训，并无相关培训台账。</w:t>
            </w:r>
          </w:p>
        </w:tc>
        <w:tc>
          <w:tcPr>
            <w:tcW w:w="241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每起扣2个信用分</w:t>
            </w:r>
          </w:p>
        </w:tc>
        <w:tc>
          <w:tcPr>
            <w:tcW w:w="808" w:type="dxa"/>
            <w:tcBorders>
              <w:tl2br w:val="nil"/>
              <w:tr2bl w:val="nil"/>
            </w:tcBorders>
            <w:noWrap w:val="0"/>
            <w:vAlign w:val="center"/>
          </w:tcPr>
          <w:p>
            <w:pPr>
              <w:jc w:val="center"/>
              <w:rPr>
                <w:rFonts w:hint="eastAsia" w:ascii="宋体" w:hAnsi="宋体" w:eastAsia="宋体" w:cs="宋体"/>
                <w:i w:val="0"/>
                <w:color w:val="auto"/>
                <w:sz w:val="21"/>
                <w:szCs w:val="21"/>
                <w:highlight w:val="none"/>
                <w:u w:val="none"/>
              </w:rPr>
            </w:pPr>
          </w:p>
        </w:tc>
      </w:tr>
      <w:tr>
        <w:trPr>
          <w:trHeight w:val="480" w:hRule="atLeast"/>
          <w:jc w:val="center"/>
        </w:trPr>
        <w:tc>
          <w:tcPr>
            <w:tcW w:w="5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9</w:t>
            </w:r>
          </w:p>
        </w:tc>
        <w:tc>
          <w:tcPr>
            <w:tcW w:w="457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欺骗老年人或者在老年人不知情的情况下下单或刷重阳分。</w:t>
            </w:r>
          </w:p>
        </w:tc>
        <w:tc>
          <w:tcPr>
            <w:tcW w:w="241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每起扣除5个信用分</w:t>
            </w:r>
          </w:p>
        </w:tc>
        <w:tc>
          <w:tcPr>
            <w:tcW w:w="808" w:type="dxa"/>
            <w:tcBorders>
              <w:tl2br w:val="nil"/>
              <w:tr2bl w:val="nil"/>
            </w:tcBorders>
            <w:noWrap w:val="0"/>
            <w:vAlign w:val="center"/>
          </w:tcPr>
          <w:p>
            <w:pPr>
              <w:jc w:val="center"/>
              <w:rPr>
                <w:rFonts w:hint="eastAsia" w:ascii="宋体" w:hAnsi="宋体" w:eastAsia="宋体" w:cs="宋体"/>
                <w:i w:val="0"/>
                <w:color w:val="auto"/>
                <w:sz w:val="21"/>
                <w:szCs w:val="21"/>
                <w:highlight w:val="none"/>
                <w:u w:val="none"/>
              </w:rPr>
            </w:pPr>
          </w:p>
        </w:tc>
      </w:tr>
      <w:tr>
        <w:trPr>
          <w:trHeight w:val="480" w:hRule="atLeast"/>
          <w:jc w:val="center"/>
        </w:trPr>
        <w:tc>
          <w:tcPr>
            <w:tcW w:w="5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10</w:t>
            </w:r>
          </w:p>
        </w:tc>
        <w:tc>
          <w:tcPr>
            <w:tcW w:w="457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服务人员与使用pos机使用登记信息不符合，离职人员未及时注销。</w:t>
            </w:r>
          </w:p>
        </w:tc>
        <w:tc>
          <w:tcPr>
            <w:tcW w:w="241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每起扣5个信用分</w:t>
            </w:r>
          </w:p>
        </w:tc>
        <w:tc>
          <w:tcPr>
            <w:tcW w:w="808" w:type="dxa"/>
            <w:tcBorders>
              <w:tl2br w:val="nil"/>
              <w:tr2bl w:val="nil"/>
            </w:tcBorders>
            <w:noWrap w:val="0"/>
            <w:vAlign w:val="center"/>
          </w:tcPr>
          <w:p>
            <w:pPr>
              <w:jc w:val="center"/>
              <w:rPr>
                <w:rFonts w:hint="eastAsia" w:ascii="宋体" w:hAnsi="宋体" w:eastAsia="宋体" w:cs="宋体"/>
                <w:i w:val="0"/>
                <w:color w:val="auto"/>
                <w:sz w:val="21"/>
                <w:szCs w:val="21"/>
                <w:highlight w:val="none"/>
                <w:u w:val="none"/>
              </w:rPr>
            </w:pPr>
          </w:p>
        </w:tc>
      </w:tr>
      <w:tr>
        <w:trPr>
          <w:trHeight w:val="720" w:hRule="atLeast"/>
          <w:jc w:val="center"/>
        </w:trPr>
        <w:tc>
          <w:tcPr>
            <w:tcW w:w="5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11</w:t>
            </w:r>
          </w:p>
        </w:tc>
        <w:tc>
          <w:tcPr>
            <w:tcW w:w="457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服务人员出现重阳分套刷、盗刷、刷重阳分兑换商品、刷重阳分兑换卡券等行为。</w:t>
            </w:r>
          </w:p>
        </w:tc>
        <w:tc>
          <w:tcPr>
            <w:tcW w:w="241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每笔订单扣除5个信用分</w:t>
            </w:r>
          </w:p>
        </w:tc>
        <w:tc>
          <w:tcPr>
            <w:tcW w:w="808" w:type="dxa"/>
            <w:tcBorders>
              <w:tl2br w:val="nil"/>
              <w:tr2bl w:val="nil"/>
            </w:tcBorders>
            <w:noWrap w:val="0"/>
            <w:vAlign w:val="center"/>
          </w:tcPr>
          <w:p>
            <w:pPr>
              <w:jc w:val="center"/>
              <w:rPr>
                <w:rFonts w:hint="eastAsia" w:ascii="宋体" w:hAnsi="宋体" w:eastAsia="宋体" w:cs="宋体"/>
                <w:i w:val="0"/>
                <w:color w:val="auto"/>
                <w:sz w:val="21"/>
                <w:szCs w:val="21"/>
                <w:highlight w:val="none"/>
                <w:u w:val="none"/>
              </w:rPr>
            </w:pPr>
          </w:p>
        </w:tc>
      </w:tr>
      <w:tr>
        <w:trPr>
          <w:trHeight w:val="480" w:hRule="atLeast"/>
          <w:jc w:val="center"/>
        </w:trPr>
        <w:tc>
          <w:tcPr>
            <w:tcW w:w="5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12</w:t>
            </w:r>
          </w:p>
        </w:tc>
        <w:tc>
          <w:tcPr>
            <w:tcW w:w="457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出现老年人死亡后建单、服务、结算情况</w:t>
            </w:r>
          </w:p>
        </w:tc>
        <w:tc>
          <w:tcPr>
            <w:tcW w:w="241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工单作废，每起扣5个信用分</w:t>
            </w:r>
          </w:p>
        </w:tc>
        <w:tc>
          <w:tcPr>
            <w:tcW w:w="808" w:type="dxa"/>
            <w:tcBorders>
              <w:tl2br w:val="nil"/>
              <w:tr2bl w:val="nil"/>
            </w:tcBorders>
            <w:noWrap w:val="0"/>
            <w:vAlign w:val="center"/>
          </w:tcPr>
          <w:p>
            <w:pPr>
              <w:rPr>
                <w:rFonts w:hint="eastAsia" w:ascii="宋体" w:hAnsi="宋体" w:eastAsia="宋体" w:cs="宋体"/>
                <w:i w:val="0"/>
                <w:color w:val="auto"/>
                <w:sz w:val="21"/>
                <w:szCs w:val="21"/>
                <w:highlight w:val="none"/>
                <w:u w:val="none"/>
              </w:rPr>
            </w:pPr>
          </w:p>
        </w:tc>
      </w:tr>
      <w:tr>
        <w:trPr>
          <w:trHeight w:val="480" w:hRule="atLeast"/>
          <w:jc w:val="center"/>
        </w:trPr>
        <w:tc>
          <w:tcPr>
            <w:tcW w:w="5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13</w:t>
            </w:r>
          </w:p>
        </w:tc>
        <w:tc>
          <w:tcPr>
            <w:tcW w:w="457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服务机构开展恶意竞争，或向老年人骚扰式推销服务。</w:t>
            </w:r>
          </w:p>
        </w:tc>
        <w:tc>
          <w:tcPr>
            <w:tcW w:w="241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每起扣除10个信用分</w:t>
            </w:r>
          </w:p>
        </w:tc>
        <w:tc>
          <w:tcPr>
            <w:tcW w:w="808" w:type="dxa"/>
            <w:tcBorders>
              <w:tl2br w:val="nil"/>
              <w:tr2bl w:val="nil"/>
            </w:tcBorders>
            <w:noWrap w:val="0"/>
            <w:vAlign w:val="center"/>
          </w:tcPr>
          <w:p>
            <w:pPr>
              <w:jc w:val="center"/>
              <w:rPr>
                <w:rFonts w:hint="eastAsia" w:ascii="宋体" w:hAnsi="宋体" w:eastAsia="宋体" w:cs="宋体"/>
                <w:i w:val="0"/>
                <w:color w:val="auto"/>
                <w:sz w:val="21"/>
                <w:szCs w:val="21"/>
                <w:highlight w:val="none"/>
                <w:u w:val="none"/>
              </w:rPr>
            </w:pPr>
          </w:p>
        </w:tc>
      </w:tr>
      <w:tr>
        <w:trPr>
          <w:trHeight w:val="480" w:hRule="atLeast"/>
          <w:jc w:val="center"/>
        </w:trPr>
        <w:tc>
          <w:tcPr>
            <w:tcW w:w="5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14</w:t>
            </w:r>
          </w:p>
        </w:tc>
        <w:tc>
          <w:tcPr>
            <w:tcW w:w="457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服务人员欺瞒、辱骂、殴打老人等恶劣行为。</w:t>
            </w:r>
          </w:p>
        </w:tc>
        <w:tc>
          <w:tcPr>
            <w:tcW w:w="241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每起扣除20信用分</w:t>
            </w:r>
          </w:p>
        </w:tc>
        <w:tc>
          <w:tcPr>
            <w:tcW w:w="808" w:type="dxa"/>
            <w:tcBorders>
              <w:tl2br w:val="nil"/>
              <w:tr2bl w:val="nil"/>
            </w:tcBorders>
            <w:noWrap w:val="0"/>
            <w:vAlign w:val="center"/>
          </w:tcPr>
          <w:p>
            <w:pPr>
              <w:jc w:val="center"/>
              <w:rPr>
                <w:rFonts w:hint="eastAsia" w:ascii="宋体" w:hAnsi="宋体" w:eastAsia="宋体" w:cs="宋体"/>
                <w:i w:val="0"/>
                <w:color w:val="auto"/>
                <w:sz w:val="21"/>
                <w:szCs w:val="21"/>
                <w:highlight w:val="none"/>
                <w:u w:val="none"/>
              </w:rPr>
            </w:pPr>
          </w:p>
        </w:tc>
      </w:tr>
      <w:tr>
        <w:trPr>
          <w:trHeight w:val="285" w:hRule="atLeast"/>
          <w:jc w:val="center"/>
        </w:trPr>
        <w:tc>
          <w:tcPr>
            <w:tcW w:w="5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15</w:t>
            </w:r>
          </w:p>
        </w:tc>
        <w:tc>
          <w:tcPr>
            <w:tcW w:w="457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出售服务对象个人隐私信息。</w:t>
            </w:r>
          </w:p>
        </w:tc>
        <w:tc>
          <w:tcPr>
            <w:tcW w:w="241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每起扣除20个信用分</w:t>
            </w:r>
          </w:p>
        </w:tc>
        <w:tc>
          <w:tcPr>
            <w:tcW w:w="808" w:type="dxa"/>
            <w:tcBorders>
              <w:tl2br w:val="nil"/>
              <w:tr2bl w:val="nil"/>
            </w:tcBorders>
            <w:noWrap w:val="0"/>
            <w:vAlign w:val="center"/>
          </w:tcPr>
          <w:p>
            <w:pPr>
              <w:jc w:val="center"/>
              <w:rPr>
                <w:rFonts w:hint="eastAsia" w:ascii="宋体" w:hAnsi="宋体" w:eastAsia="宋体" w:cs="宋体"/>
                <w:i w:val="0"/>
                <w:color w:val="auto"/>
                <w:sz w:val="21"/>
                <w:szCs w:val="21"/>
                <w:highlight w:val="none"/>
                <w:u w:val="none"/>
              </w:rPr>
            </w:pPr>
          </w:p>
        </w:tc>
      </w:tr>
      <w:tr>
        <w:trPr>
          <w:trHeight w:val="1200" w:hRule="atLeast"/>
          <w:jc w:val="center"/>
        </w:trPr>
        <w:tc>
          <w:tcPr>
            <w:tcW w:w="55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16</w:t>
            </w:r>
          </w:p>
        </w:tc>
        <w:tc>
          <w:tcPr>
            <w:tcW w:w="457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因服务质量引发较大安全责任事故的，因服务纠纷造成群体性事件或不良社会舆论的，因服务不到位出现国家、省、市规定应当列入的其他严重失信情形的。</w:t>
            </w:r>
          </w:p>
        </w:tc>
        <w:tc>
          <w:tcPr>
            <w:tcW w:w="241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SA"/>
              </w:rPr>
              <w:t>每起扣除40个信用分，取消临平区居家养老服务资格</w:t>
            </w:r>
          </w:p>
        </w:tc>
        <w:tc>
          <w:tcPr>
            <w:tcW w:w="808" w:type="dxa"/>
            <w:tcBorders>
              <w:tl2br w:val="nil"/>
              <w:tr2bl w:val="nil"/>
            </w:tcBorders>
            <w:noWrap w:val="0"/>
            <w:vAlign w:val="center"/>
          </w:tcPr>
          <w:p>
            <w:pPr>
              <w:jc w:val="center"/>
              <w:rPr>
                <w:rFonts w:hint="eastAsia" w:ascii="宋体" w:hAnsi="宋体" w:eastAsia="宋体" w:cs="宋体"/>
                <w:i w:val="0"/>
                <w:color w:val="auto"/>
                <w:sz w:val="21"/>
                <w:szCs w:val="21"/>
                <w:highlight w:val="none"/>
                <w:u w:val="none"/>
              </w:rPr>
            </w:pPr>
          </w:p>
        </w:tc>
      </w:tr>
    </w:tbl>
    <w:p>
      <w:pPr>
        <w:jc w:val="left"/>
        <w:rPr>
          <w:rFonts w:hint="eastAsia"/>
          <w:color w:val="auto"/>
          <w:kern w:val="2"/>
          <w:sz w:val="21"/>
          <w:highlight w:val="none"/>
          <w:lang w:val="en-US" w:eastAsia="zh-CN"/>
        </w:rPr>
      </w:pPr>
    </w:p>
    <w:p>
      <w:pPr>
        <w:rPr>
          <w:rFonts w:hint="eastAsia" w:ascii="宋体" w:hAnsi="宋体" w:cs="宋体"/>
          <w:color w:val="auto"/>
          <w:spacing w:val="6"/>
          <w:szCs w:val="21"/>
          <w:highlight w:val="none"/>
        </w:rPr>
      </w:pPr>
    </w:p>
    <w:p>
      <w:pPr>
        <w:rPr>
          <w:rFonts w:hint="eastAsia" w:ascii="宋体" w:hAnsi="宋体" w:cs="宋体"/>
          <w:color w:val="auto"/>
          <w:spacing w:val="6"/>
          <w:szCs w:val="21"/>
          <w:highlight w:val="none"/>
        </w:rPr>
      </w:pPr>
      <w:r>
        <w:rPr>
          <w:rFonts w:hint="eastAsia" w:ascii="宋体" w:hAnsi="宋体" w:cs="宋体"/>
          <w:color w:val="auto"/>
          <w:spacing w:val="6"/>
          <w:szCs w:val="21"/>
          <w:highlight w:val="none"/>
        </w:rPr>
        <w:br w:type="page"/>
      </w:r>
    </w:p>
    <w:p>
      <w:pPr>
        <w:pStyle w:val="4"/>
        <w:ind w:firstLine="446"/>
        <w:rPr>
          <w:rFonts w:ascii="宋体" w:hAnsi="宋体" w:cs="宋体"/>
          <w:color w:val="auto"/>
          <w:spacing w:val="6"/>
          <w:szCs w:val="21"/>
          <w:highlight w:val="none"/>
        </w:rPr>
      </w:pPr>
      <w:r>
        <w:rPr>
          <w:rFonts w:hint="eastAsia" w:ascii="宋体" w:hAnsi="宋体" w:cs="宋体"/>
          <w:color w:val="auto"/>
          <w:spacing w:val="6"/>
          <w:szCs w:val="21"/>
          <w:highlight w:val="none"/>
        </w:rPr>
        <w:t>附件</w:t>
      </w:r>
      <w:r>
        <w:rPr>
          <w:rFonts w:hint="eastAsia" w:ascii="宋体" w:hAnsi="宋体" w:cs="宋体"/>
          <w:color w:val="auto"/>
          <w:spacing w:val="6"/>
          <w:szCs w:val="21"/>
          <w:highlight w:val="none"/>
          <w:lang w:val="en-US" w:eastAsia="zh-CN"/>
        </w:rPr>
        <w:t>10</w:t>
      </w:r>
      <w:r>
        <w:rPr>
          <w:rFonts w:hint="eastAsia" w:ascii="宋体" w:hAnsi="宋体" w:cs="宋体"/>
          <w:color w:val="auto"/>
          <w:spacing w:val="6"/>
          <w:szCs w:val="21"/>
          <w:highlight w:val="none"/>
        </w:rPr>
        <w:t>：政府采购活动现场确认声明书</w:t>
      </w:r>
    </w:p>
    <w:p>
      <w:pPr>
        <w:spacing w:line="360" w:lineRule="auto"/>
        <w:jc w:val="center"/>
        <w:rPr>
          <w:rFonts w:ascii="宋体" w:hAnsi="宋体" w:cs="宋体"/>
          <w:b/>
          <w:bCs/>
          <w:color w:val="auto"/>
          <w:szCs w:val="21"/>
          <w:highlight w:val="none"/>
        </w:rPr>
      </w:pP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政府采购活动现场确认声明书</w:t>
      </w:r>
    </w:p>
    <w:p>
      <w:pPr>
        <w:pStyle w:val="26"/>
        <w:spacing w:line="360" w:lineRule="auto"/>
        <w:ind w:firstLine="420"/>
        <w:rPr>
          <w:rFonts w:cs="宋体"/>
          <w:color w:val="auto"/>
          <w:sz w:val="21"/>
          <w:szCs w:val="21"/>
          <w:highlight w:val="none"/>
        </w:rPr>
      </w:pPr>
    </w:p>
    <w:p>
      <w:pPr>
        <w:pStyle w:val="320"/>
        <w:snapToGrid w:val="0"/>
        <w:spacing w:line="360" w:lineRule="auto"/>
        <w:ind w:firstLine="420"/>
        <w:rPr>
          <w:rFonts w:hAnsi="宋体" w:eastAsia="宋体" w:cs="宋体"/>
          <w:b/>
          <w:color w:val="auto"/>
          <w:sz w:val="21"/>
          <w:szCs w:val="21"/>
          <w:highlight w:val="none"/>
        </w:rPr>
      </w:pPr>
      <w:r>
        <w:rPr>
          <w:rFonts w:hint="eastAsia" w:hAnsi="宋体" w:eastAsia="宋体" w:cs="宋体"/>
          <w:color w:val="auto"/>
          <w:sz w:val="21"/>
          <w:szCs w:val="21"/>
          <w:highlight w:val="none"/>
          <w:lang w:eastAsia="zh-CN"/>
        </w:rPr>
        <w:t>杭州创丰招标代理有限公司</w:t>
      </w:r>
      <w:r>
        <w:rPr>
          <w:rFonts w:hint="eastAsia" w:hAnsi="宋体" w:eastAsia="宋体" w:cs="宋体"/>
          <w:color w:val="auto"/>
          <w:sz w:val="21"/>
          <w:szCs w:val="21"/>
          <w:highlight w:val="none"/>
        </w:rPr>
        <w:t>：</w:t>
      </w:r>
    </w:p>
    <w:p>
      <w:pPr>
        <w:pStyle w:val="320"/>
        <w:adjustRightInd w:val="0"/>
        <w:snapToGrid w:val="0"/>
        <w:spacing w:line="360" w:lineRule="auto"/>
        <w:ind w:firstLine="444"/>
        <w:rPr>
          <w:rFonts w:hAnsi="宋体" w:eastAsia="宋体" w:cs="宋体"/>
          <w:color w:val="auto"/>
          <w:sz w:val="21"/>
          <w:szCs w:val="21"/>
          <w:highlight w:val="none"/>
          <w:u w:val="single"/>
        </w:rPr>
      </w:pPr>
      <w:r>
        <w:rPr>
          <w:rFonts w:hint="eastAsia" w:hAnsi="宋体" w:eastAsia="宋体" w:cs="宋体"/>
          <w:color w:val="auto"/>
          <w:spacing w:val="6"/>
          <w:sz w:val="21"/>
          <w:szCs w:val="21"/>
          <w:highlight w:val="none"/>
        </w:rPr>
        <w:t>本人经由单位法定代表人合法授权参加</w:t>
      </w:r>
      <w:r>
        <w:rPr>
          <w:rFonts w:hint="eastAsia" w:hAnsi="宋体" w:eastAsia="宋体" w:cs="宋体"/>
          <w:color w:val="auto"/>
          <w:sz w:val="21"/>
          <w:szCs w:val="21"/>
          <w:highlight w:val="none"/>
          <w:u w:val="single"/>
          <w:lang w:eastAsia="zh-CN"/>
        </w:rPr>
        <w:t>杭州市临平区塘栖镇人民政府</w:t>
      </w:r>
      <w:r>
        <w:rPr>
          <w:rFonts w:hint="eastAsia" w:hAnsi="宋体" w:eastAsia="宋体" w:cs="宋体"/>
          <w:color w:val="auto"/>
          <w:sz w:val="21"/>
          <w:szCs w:val="21"/>
          <w:highlight w:val="none"/>
        </w:rPr>
        <w:t>（采购人）</w:t>
      </w:r>
      <w:r>
        <w:rPr>
          <w:rFonts w:hint="eastAsia" w:hAnsi="宋体" w:eastAsia="宋体" w:cs="宋体"/>
          <w:color w:val="auto"/>
          <w:sz w:val="21"/>
          <w:szCs w:val="21"/>
          <w:highlight w:val="none"/>
          <w:u w:val="single"/>
          <w:lang w:eastAsia="zh-CN"/>
        </w:rPr>
        <w:t>2024年塘栖镇养老电子津贴政府采购</w:t>
      </w:r>
      <w:r>
        <w:rPr>
          <w:rFonts w:hint="eastAsia" w:hAnsi="宋体" w:eastAsia="宋体" w:cs="宋体"/>
          <w:color w:val="auto"/>
          <w:sz w:val="21"/>
          <w:szCs w:val="21"/>
          <w:highlight w:val="none"/>
          <w:u w:val="single"/>
        </w:rPr>
        <w:t>项目</w:t>
      </w:r>
      <w:r>
        <w:rPr>
          <w:rFonts w:hint="eastAsia" w:hAnsi="宋体" w:eastAsia="宋体" w:cs="宋体"/>
          <w:color w:val="auto"/>
          <w:sz w:val="21"/>
          <w:szCs w:val="21"/>
          <w:highlight w:val="none"/>
        </w:rPr>
        <w:t>（项目名称）</w:t>
      </w:r>
      <w:r>
        <w:rPr>
          <w:rFonts w:hint="eastAsia" w:hAnsi="宋体" w:eastAsia="宋体" w:cs="宋体"/>
          <w:color w:val="auto"/>
          <w:sz w:val="21"/>
          <w:szCs w:val="21"/>
          <w:highlight w:val="none"/>
          <w:u w:val="single"/>
          <w:lang w:eastAsia="zh-CN"/>
        </w:rPr>
        <w:t>CFZB-20240715-TXZF1</w:t>
      </w:r>
      <w:r>
        <w:rPr>
          <w:rFonts w:hint="eastAsia" w:hAnsi="宋体" w:eastAsia="宋体" w:cs="宋体"/>
          <w:color w:val="auto"/>
          <w:sz w:val="21"/>
          <w:szCs w:val="21"/>
          <w:highlight w:val="none"/>
        </w:rPr>
        <w:t>（项目编号）</w:t>
      </w:r>
      <w:r>
        <w:rPr>
          <w:rFonts w:hint="eastAsia" w:hAnsi="宋体" w:eastAsia="宋体" w:cs="宋体"/>
          <w:color w:val="auto"/>
          <w:spacing w:val="6"/>
          <w:sz w:val="21"/>
          <w:szCs w:val="21"/>
          <w:highlight w:val="none"/>
        </w:rPr>
        <w:t>政府采购活动，经与本单位法人代表人联系确认，现就有关公平竞争事项郑重声明如下：</w:t>
      </w:r>
    </w:p>
    <w:p>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A.投资关系    B.行政隶属关系    C.业务指导关系</w:t>
      </w:r>
    </w:p>
    <w:p>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pPr>
        <w:pStyle w:val="321"/>
        <w:widowControl/>
        <w:snapToGrid w:val="0"/>
        <w:spacing w:line="360" w:lineRule="auto"/>
        <w:ind w:firstLine="444"/>
        <w:rPr>
          <w:rFonts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A.法定代表人或负责人或实际控制人是同一人</w:t>
      </w:r>
    </w:p>
    <w:p>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B.法定代表人或负责人或实际控制人是夫妻关系</w:t>
      </w:r>
    </w:p>
    <w:p>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C.法定代表人或负责人或实际控制人是直系血亲关系</w:t>
      </w:r>
    </w:p>
    <w:p>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D.法定代表人或负责人或实际控制人存在三代以内旁系血亲关系</w:t>
      </w:r>
    </w:p>
    <w:p>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E.法定代表人或负责人或实际控制人存在近姻亲关系</w:t>
      </w:r>
    </w:p>
    <w:p>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F.法定代表人或负责人或实际控制人存在股份控制或实际控制关系</w:t>
      </w:r>
    </w:p>
    <w:p>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G.存在共同直接或间接投资设立子公司、联营企业和合营企业情况</w:t>
      </w:r>
    </w:p>
    <w:p>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H.存在分级代理或代销关系、同一生产制造商关系、管理关系、重要业务（占主营业务收入50%以上）或重要财务往来关系（如融资）等其他实质性控制关系</w:t>
      </w:r>
    </w:p>
    <w:p>
      <w:pPr>
        <w:pStyle w:val="321"/>
        <w:widowControl/>
        <w:snapToGrid w:val="0"/>
        <w:spacing w:line="360" w:lineRule="auto"/>
        <w:ind w:firstLine="420"/>
        <w:rPr>
          <w:rFonts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pPr>
        <w:pStyle w:val="321"/>
        <w:widowControl/>
        <w:snapToGrid w:val="0"/>
        <w:spacing w:line="360" w:lineRule="auto"/>
        <w:ind w:firstLine="420"/>
        <w:rPr>
          <w:rFonts w:ascii="宋体" w:hAnsi="宋体" w:eastAsia="宋体" w:cs="宋体"/>
          <w:color w:val="auto"/>
          <w:sz w:val="21"/>
          <w:szCs w:val="21"/>
          <w:highlight w:val="none"/>
        </w:rPr>
      </w:pPr>
    </w:p>
    <w:p>
      <w:pPr>
        <w:spacing w:line="360" w:lineRule="auto"/>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投标人全称：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   年  月  日</w:t>
      </w:r>
    </w:p>
    <w:p>
      <w:pPr>
        <w:pStyle w:val="320"/>
        <w:snapToGrid w:val="0"/>
        <w:spacing w:line="360" w:lineRule="auto"/>
        <w:ind w:firstLine="420"/>
        <w:jc w:val="right"/>
        <w:rPr>
          <w:rFonts w:hAnsi="宋体" w:eastAsia="宋体" w:cs="宋体"/>
          <w:color w:val="auto"/>
          <w:sz w:val="21"/>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（1）投标人解密投标文件及获知其他投标人信息进行如实声明并盖章，以扫描件形式提交给采购代理机构，邮箱：</w:t>
      </w:r>
      <w:r>
        <w:rPr>
          <w:rFonts w:hint="eastAsia" w:ascii="宋体" w:hAnsi="宋体" w:cs="宋体"/>
          <w:color w:val="auto"/>
          <w:szCs w:val="21"/>
          <w:highlight w:val="none"/>
          <w:lang w:eastAsia="zh-CN"/>
        </w:rPr>
        <w:t>347142290@qq.com</w:t>
      </w:r>
      <w:r>
        <w:rPr>
          <w:rFonts w:hint="eastAsia" w:ascii="宋体" w:hAnsi="宋体" w:cs="宋体"/>
          <w:color w:val="auto"/>
          <w:szCs w:val="21"/>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（2）此声明函不用编入投标文件。</w:t>
      </w:r>
    </w:p>
    <w:sectPr>
      <w:footerReference r:id="rId18" w:type="first"/>
      <w:footerReference r:id="rId16" w:type="default"/>
      <w:footerReference r:id="rId17"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微软雅黑">
    <w:altName w:val="汉仪旗黑"/>
    <w:panose1 w:val="020B0503020204020204"/>
    <w:charset w:val="86"/>
    <w:family w:val="swiss"/>
    <w:pitch w:val="default"/>
    <w:sig w:usb0="00000000" w:usb1="00000000" w:usb2="00000016" w:usb3="00000000" w:csb0="0004001F" w:csb1="00000000"/>
  </w:font>
  <w:font w:name="隶书">
    <w:altName w:val="报隶-简"/>
    <w:panose1 w:val="02010509060101010101"/>
    <w:charset w:val="86"/>
    <w:family w:val="modern"/>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Futura Bk">
    <w:altName w:val="苹方-简"/>
    <w:panose1 w:val="00000000000000000000"/>
    <w:charset w:val="00"/>
    <w:family w:val="swiss"/>
    <w:pitch w:val="default"/>
    <w:sig w:usb0="00000000" w:usb1="00000000" w:usb2="00000000" w:usb3="00000000" w:csb0="00000011" w:csb1="00000000"/>
  </w:font>
  <w:font w:name="华文中宋">
    <w:altName w:val="汉仪书宋二KW"/>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AFF" w:usb1="C000605B" w:usb2="00000029" w:usb3="00000000" w:csb0="200101FF" w:csb1="20280000"/>
  </w:font>
  <w:font w:name="MS Sans Serif">
    <w:altName w:val="苹方-简"/>
    <w:panose1 w:val="000000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20000001" w:csb1="00000000"/>
  </w:font>
  <w:font w:name="Verdana">
    <w:panose1 w:val="020B080403050404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幼圆">
    <w:altName w:val="华文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苹方-简"/>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Cumberland">
    <w:altName w:val="苹方-简"/>
    <w:panose1 w:val="00000000000000000000"/>
    <w:charset w:val="00"/>
    <w:family w:val="modern"/>
    <w:pitch w:val="default"/>
    <w:sig w:usb0="00000000" w:usb1="00000000" w:usb2="00000000" w:usb3="00000000" w:csb0="00040001" w:csb1="00000000"/>
  </w:font>
  <w:font w:name="方正宋体">
    <w:altName w:val="汉仪书宋二KW"/>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200001FF" w:csb1="00000000"/>
  </w:font>
  <w:font w:name="Latha">
    <w:altName w:val="苹方-简"/>
    <w:panose1 w:val="02000400000000000000"/>
    <w:charset w:val="00"/>
    <w:family w:val="swiss"/>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Lucida Sans Unicode">
    <w:altName w:val="苹方-简"/>
    <w:panose1 w:val="020B0602030504020204"/>
    <w:charset w:val="00"/>
    <w:family w:val="swiss"/>
    <w:pitch w:val="default"/>
    <w:sig w:usb0="00000000" w:usb1="00000000" w:usb2="00000000" w:usb3="00000000" w:csb0="200000BF" w:csb1="D7F70000"/>
  </w:font>
  <w:font w:name="Century Gothic">
    <w:altName w:val="苹方-简"/>
    <w:panose1 w:val="020B0502020202020204"/>
    <w:charset w:val="00"/>
    <w:family w:val="swiss"/>
    <w:pitch w:val="default"/>
    <w:sig w:usb0="00000000" w:usb1="00000000" w:usb2="00000000" w:usb3="00000000" w:csb0="2000009F" w:csb1="DFD7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503050405090304"/>
    <w:charset w:val="86"/>
    <w:family w:val="modern"/>
    <w:pitch w:val="default"/>
    <w:sig w:usb0="E0000AFF" w:usb1="00007843" w:usb2="00000001" w:usb3="00000000" w:csb0="400001BF" w:csb1="DFF70000"/>
  </w:font>
  <w:font w:name="??">
    <w:altName w:val="苹方-简"/>
    <w:panose1 w:val="00000000000000000000"/>
    <w:charset w:val="00"/>
    <w:family w:val="roman"/>
    <w:pitch w:val="default"/>
    <w:sig w:usb0="00000000" w:usb1="00000000" w:usb2="00000000" w:usb3="00000000" w:csb0="00040001" w:csb1="00000000"/>
  </w:font>
  <w:font w:name="MS Gothic">
    <w:altName w:val="冬青黑体简体中文"/>
    <w:panose1 w:val="020B0609070205080204"/>
    <w:charset w:val="80"/>
    <w:family w:val="modern"/>
    <w:pitch w:val="default"/>
    <w:sig w:usb0="00000000" w:usb1="00000000" w:usb2="08000012" w:usb3="00000000" w:csb0="4002009F" w:csb1="DFD70000"/>
  </w:font>
  <w:font w:name="方正小标宋简体">
    <w:altName w:val="汉仪书宋二KW"/>
    <w:panose1 w:val="02000000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 w:name="报隶-简">
    <w:panose1 w:val="02010600040101010101"/>
    <w:charset w:val="86"/>
    <w:family w:val="auto"/>
    <w:pitch w:val="default"/>
    <w:sig w:usb0="80000287" w:usb1="280F3C52"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Arial">
    <w:panose1 w:val="020B0604020202090204"/>
    <w:charset w:val="00"/>
    <w:family w:val="auto"/>
    <w:pitch w:val="default"/>
    <w:sig w:usb0="E0000AFF" w:usb1="00007843" w:usb2="00000001" w:usb3="00000000" w:csb0="400001BF" w:csb1="DFF70000"/>
  </w:font>
  <w:font w:name="方正书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92</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宋体" w:hAns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keepNext w:val="0"/>
      <w:keepLines w:val="0"/>
      <w:pageBreakBefore w:val="0"/>
      <w:widowControl w:val="0"/>
      <w:kinsoku/>
      <w:wordWrap w:val="0"/>
      <w:overflowPunct w:val="0"/>
      <w:topLinePunct w:val="0"/>
      <w:autoSpaceDE w:val="0"/>
      <w:autoSpaceDN w:val="0"/>
      <w:bidi w:val="0"/>
      <w:adjustRightInd w:val="0"/>
      <w:snapToGrid/>
      <w:spacing w:line="466" w:lineRule="auto"/>
      <w:ind w:left="0" w:leftChars="0" w:right="210" w:rightChars="100" w:firstLine="0" w:firstLineChars="0"/>
      <w:textAlignment w:val="baseline"/>
      <w:outlineLvl w:val="9"/>
      <w:rPr>
        <w:rFonts w:hint="eastAsia" w:ascii="楷体_GB2312" w:eastAsia="楷体_GB2312"/>
        <w:sz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keepNext w:val="0"/>
      <w:keepLines w:val="0"/>
      <w:pageBreakBefore w:val="0"/>
      <w:widowControl w:val="0"/>
      <w:kinsoku/>
      <w:wordWrap/>
      <w:overflowPunct w:val="0"/>
      <w:topLinePunct w:val="0"/>
      <w:autoSpaceDE w:val="0"/>
      <w:autoSpaceDN w:val="0"/>
      <w:bidi w:val="0"/>
      <w:adjustRightInd w:val="0"/>
      <w:snapToGrid/>
      <w:spacing w:line="461" w:lineRule="auto"/>
      <w:ind w:left="210" w:leftChars="100" w:right="0" w:rightChars="0" w:firstLine="0" w:firstLineChars="0"/>
      <w:jc w:val="left"/>
      <w:textAlignment w:val="baseline"/>
      <w:outlineLvl w:val="9"/>
      <w:rPr>
        <w:rStyle w:val="72"/>
        <w:rFonts w:hint="eastAsia" w:ascii="宋体" w:hAnsi="宋体" w:eastAsia="宋体"/>
        <w:sz w:val="28"/>
      </w:rPr>
    </w:pPr>
    <w:r>
      <w:rPr>
        <w:rStyle w:val="72"/>
        <w:rFonts w:hint="eastAsia" w:ascii="宋体" w:hAnsi="宋体" w:eastAsia="宋体"/>
        <w:sz w:val="28"/>
      </w:rPr>
      <w:t xml:space="preserve">— </w:t>
    </w:r>
    <w:r>
      <w:rPr>
        <w:rFonts w:hint="eastAsia" w:ascii="宋体" w:hAnsi="宋体" w:eastAsia="宋体"/>
        <w:sz w:val="28"/>
      </w:rPr>
      <w:fldChar w:fldCharType="begin"/>
    </w:r>
    <w:r>
      <w:rPr>
        <w:rStyle w:val="72"/>
        <w:rFonts w:hint="eastAsia" w:ascii="宋体" w:hAnsi="宋体" w:eastAsia="宋体"/>
        <w:sz w:val="28"/>
      </w:rPr>
      <w:instrText xml:space="preserve"> PAGE </w:instrText>
    </w:r>
    <w:r>
      <w:rPr>
        <w:rFonts w:hint="eastAsia" w:ascii="宋体" w:hAnsi="宋体" w:eastAsia="宋体"/>
        <w:sz w:val="28"/>
      </w:rPr>
      <w:fldChar w:fldCharType="separate"/>
    </w:r>
    <w:r>
      <w:rPr>
        <w:rStyle w:val="72"/>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2"/>
        <w:rFonts w:hint="eastAsia" w:ascii="宋体" w:hAnsi="宋体" w:eastAsia="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4" w:space="1"/>
      </w:pBdr>
      <w:jc w:val="right"/>
    </w:pPr>
    <w:r>
      <w:rPr>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4" w:space="1"/>
      </w:pBdr>
    </w:pPr>
    <w:r>
      <w:rPr>
        <w:lang w:val="zh-CN"/>
      </w:rPr>
      <w:t></w:t>
    </w:r>
    <w:r>
      <w:rPr>
        <w:rFonts w:hint="eastAsia"/>
        <w:lang w:eastAsia="zh-CN"/>
      </w:rPr>
      <w:t>塘栖镇居家养老上门服务</w:t>
    </w:r>
    <w:r>
      <w:rPr>
        <w:rFonts w:hint="eastAsia"/>
      </w:rPr>
      <w:t>项目招标文件</w:t>
    </w:r>
  </w:p>
  <w:p>
    <w:pPr>
      <w:pStyle w:val="42"/>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rPr>
        <w:rFonts w:hint="eastAsia"/>
        <w:lang w:eastAsia="zh-CN"/>
      </w:rPr>
      <w:t>塘栖镇居家养老上门服务</w:t>
    </w:r>
    <w:r>
      <w:rPr>
        <w:rFonts w:hint="eastAsia"/>
      </w:rPr>
      <w:t>项目招标文件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B4AFD"/>
    <w:multiLevelType w:val="singleLevel"/>
    <w:tmpl w:val="C36B4AFD"/>
    <w:lvl w:ilvl="0" w:tentative="0">
      <w:start w:val="1"/>
      <w:numFmt w:val="chineseCounting"/>
      <w:suff w:val="space"/>
      <w:lvlText w:val="%1、"/>
      <w:lvlJc w:val="left"/>
      <w:rPr>
        <w:rFonts w:hint="eastAsia"/>
      </w:rPr>
    </w:lvl>
  </w:abstractNum>
  <w:abstractNum w:abstractNumId="1">
    <w:nsid w:val="C941A460"/>
    <w:multiLevelType w:val="singleLevel"/>
    <w:tmpl w:val="C941A460"/>
    <w:lvl w:ilvl="0" w:tentative="0">
      <w:start w:val="1"/>
      <w:numFmt w:val="decimal"/>
      <w:suff w:val="nothing"/>
      <w:lvlText w:val="（%1）"/>
      <w:lvlJc w:val="left"/>
    </w:lvl>
  </w:abstractNum>
  <w:abstractNum w:abstractNumId="2">
    <w:nsid w:val="D2244780"/>
    <w:multiLevelType w:val="singleLevel"/>
    <w:tmpl w:val="D2244780"/>
    <w:lvl w:ilvl="0" w:tentative="0">
      <w:start w:val="1"/>
      <w:numFmt w:val="chineseCounting"/>
      <w:suff w:val="nothing"/>
      <w:lvlText w:val="%1、"/>
      <w:lvlJc w:val="left"/>
      <w:pPr>
        <w:ind w:left="0" w:firstLine="420"/>
      </w:pPr>
      <w:rPr>
        <w:rFonts w:hint="eastAsia"/>
      </w:rPr>
    </w:lvl>
  </w:abstractNum>
  <w:abstractNum w:abstractNumId="3">
    <w:nsid w:val="E9AEB471"/>
    <w:multiLevelType w:val="singleLevel"/>
    <w:tmpl w:val="E9AEB471"/>
    <w:lvl w:ilvl="0" w:tentative="0">
      <w:start w:val="1"/>
      <w:numFmt w:val="chineseCounting"/>
      <w:suff w:val="nothing"/>
      <w:lvlText w:val="%1、"/>
      <w:lvlJc w:val="left"/>
      <w:rPr>
        <w:rFonts w:hint="eastAsia"/>
      </w:rPr>
    </w:lvl>
  </w:abstractNum>
  <w:abstractNum w:abstractNumId="4">
    <w:nsid w:val="41EFBE14"/>
    <w:multiLevelType w:val="singleLevel"/>
    <w:tmpl w:val="41EFBE14"/>
    <w:lvl w:ilvl="0" w:tentative="0">
      <w:start w:val="7"/>
      <w:numFmt w:val="chineseCounting"/>
      <w:suff w:val="nothing"/>
      <w:lvlText w:val="%1、"/>
      <w:lvlJc w:val="left"/>
      <w:rPr>
        <w:rFonts w:hint="eastAsia"/>
      </w:rPr>
    </w:lvl>
  </w:abstractNum>
  <w:abstractNum w:abstractNumId="5">
    <w:nsid w:val="6F18716B"/>
    <w:multiLevelType w:val="singleLevel"/>
    <w:tmpl w:val="6F18716B"/>
    <w:lvl w:ilvl="0" w:tentative="0">
      <w:start w:val="1"/>
      <w:numFmt w:val="decimal"/>
      <w:suff w:val="nothing"/>
      <w:lvlText w:val="（%1）"/>
      <w:lvlJc w:val="left"/>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2OGIxYzZjMTgyN2YzODY3MmEzZDcyZmU2Yjc1Mm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2DD"/>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8D3"/>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24C"/>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BD2"/>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6A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275"/>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1D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D79"/>
    <w:rsid w:val="00222494"/>
    <w:rsid w:val="00222775"/>
    <w:rsid w:val="00222A31"/>
    <w:rsid w:val="00222CF6"/>
    <w:rsid w:val="00224037"/>
    <w:rsid w:val="002244E4"/>
    <w:rsid w:val="00224D2A"/>
    <w:rsid w:val="00224D8D"/>
    <w:rsid w:val="0022555A"/>
    <w:rsid w:val="00227214"/>
    <w:rsid w:val="00227BED"/>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091"/>
    <w:rsid w:val="00250870"/>
    <w:rsid w:val="0025151C"/>
    <w:rsid w:val="0025184F"/>
    <w:rsid w:val="00251967"/>
    <w:rsid w:val="002527CC"/>
    <w:rsid w:val="00252F48"/>
    <w:rsid w:val="002530C0"/>
    <w:rsid w:val="00253586"/>
    <w:rsid w:val="002537FC"/>
    <w:rsid w:val="00253E3A"/>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248"/>
    <w:rsid w:val="00266A71"/>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AB3"/>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C93"/>
    <w:rsid w:val="00290EAF"/>
    <w:rsid w:val="0029159A"/>
    <w:rsid w:val="00291CF1"/>
    <w:rsid w:val="002929B9"/>
    <w:rsid w:val="00292AA1"/>
    <w:rsid w:val="002931A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926"/>
    <w:rsid w:val="002F2D81"/>
    <w:rsid w:val="002F2F66"/>
    <w:rsid w:val="002F39D4"/>
    <w:rsid w:val="002F4BA9"/>
    <w:rsid w:val="002F541B"/>
    <w:rsid w:val="002F5BFE"/>
    <w:rsid w:val="002F5DA5"/>
    <w:rsid w:val="002F5E17"/>
    <w:rsid w:val="002F647C"/>
    <w:rsid w:val="002F6C6B"/>
    <w:rsid w:val="002F6CB0"/>
    <w:rsid w:val="002F6EFF"/>
    <w:rsid w:val="002F78A1"/>
    <w:rsid w:val="002F7DF0"/>
    <w:rsid w:val="002F7FAF"/>
    <w:rsid w:val="00300573"/>
    <w:rsid w:val="003025FE"/>
    <w:rsid w:val="00302A27"/>
    <w:rsid w:val="00303AB6"/>
    <w:rsid w:val="00304640"/>
    <w:rsid w:val="00304AC1"/>
    <w:rsid w:val="00305090"/>
    <w:rsid w:val="00305454"/>
    <w:rsid w:val="00305B9F"/>
    <w:rsid w:val="00305E21"/>
    <w:rsid w:val="0030653C"/>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CDC"/>
    <w:rsid w:val="00331461"/>
    <w:rsid w:val="003315CC"/>
    <w:rsid w:val="003316A8"/>
    <w:rsid w:val="00331C80"/>
    <w:rsid w:val="00331CC9"/>
    <w:rsid w:val="003320D7"/>
    <w:rsid w:val="00332265"/>
    <w:rsid w:val="00332862"/>
    <w:rsid w:val="00332D52"/>
    <w:rsid w:val="00333337"/>
    <w:rsid w:val="00333803"/>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5B"/>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2F6"/>
    <w:rsid w:val="003F1AA2"/>
    <w:rsid w:val="003F26DC"/>
    <w:rsid w:val="003F42FF"/>
    <w:rsid w:val="003F4B48"/>
    <w:rsid w:val="003F4DDC"/>
    <w:rsid w:val="003F4E6C"/>
    <w:rsid w:val="003F56B8"/>
    <w:rsid w:val="003F5F1A"/>
    <w:rsid w:val="003F6327"/>
    <w:rsid w:val="003F7425"/>
    <w:rsid w:val="003F765B"/>
    <w:rsid w:val="003F7CB8"/>
    <w:rsid w:val="00400CB4"/>
    <w:rsid w:val="00401386"/>
    <w:rsid w:val="004013E6"/>
    <w:rsid w:val="00401E31"/>
    <w:rsid w:val="00402BBA"/>
    <w:rsid w:val="004035D0"/>
    <w:rsid w:val="0040361D"/>
    <w:rsid w:val="004036DC"/>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30"/>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CA0"/>
    <w:rsid w:val="00431A2A"/>
    <w:rsid w:val="00432BC1"/>
    <w:rsid w:val="00432ECA"/>
    <w:rsid w:val="00433495"/>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53"/>
    <w:rsid w:val="004543AB"/>
    <w:rsid w:val="004545EC"/>
    <w:rsid w:val="00455967"/>
    <w:rsid w:val="00455F71"/>
    <w:rsid w:val="00456272"/>
    <w:rsid w:val="004567A1"/>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1E"/>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603"/>
    <w:rsid w:val="004A1049"/>
    <w:rsid w:val="004A1AFA"/>
    <w:rsid w:val="004A1EA7"/>
    <w:rsid w:val="004A26F5"/>
    <w:rsid w:val="004A2EF8"/>
    <w:rsid w:val="004A3A21"/>
    <w:rsid w:val="004A407A"/>
    <w:rsid w:val="004A4E3B"/>
    <w:rsid w:val="004A50FC"/>
    <w:rsid w:val="004A6110"/>
    <w:rsid w:val="004A61B8"/>
    <w:rsid w:val="004A6415"/>
    <w:rsid w:val="004A64F9"/>
    <w:rsid w:val="004A65F4"/>
    <w:rsid w:val="004A6D2C"/>
    <w:rsid w:val="004B026C"/>
    <w:rsid w:val="004B0271"/>
    <w:rsid w:val="004B0BE8"/>
    <w:rsid w:val="004B0E4A"/>
    <w:rsid w:val="004B18F4"/>
    <w:rsid w:val="004B1A98"/>
    <w:rsid w:val="004B2041"/>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6DD"/>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FE2"/>
    <w:rsid w:val="00531064"/>
    <w:rsid w:val="005311E5"/>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C93"/>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2DD"/>
    <w:rsid w:val="005D5399"/>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123"/>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53B"/>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D27"/>
    <w:rsid w:val="00626710"/>
    <w:rsid w:val="00626930"/>
    <w:rsid w:val="00626AD3"/>
    <w:rsid w:val="00626BAC"/>
    <w:rsid w:val="006271C3"/>
    <w:rsid w:val="00627B14"/>
    <w:rsid w:val="0063001E"/>
    <w:rsid w:val="00630023"/>
    <w:rsid w:val="006300A6"/>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C2B"/>
    <w:rsid w:val="00662D3D"/>
    <w:rsid w:val="00662F1F"/>
    <w:rsid w:val="00663D15"/>
    <w:rsid w:val="00665030"/>
    <w:rsid w:val="00665670"/>
    <w:rsid w:val="006659EA"/>
    <w:rsid w:val="006661E8"/>
    <w:rsid w:val="00666424"/>
    <w:rsid w:val="0066676C"/>
    <w:rsid w:val="006673B9"/>
    <w:rsid w:val="0066790C"/>
    <w:rsid w:val="00667FF0"/>
    <w:rsid w:val="0067026E"/>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991"/>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62E"/>
    <w:rsid w:val="00696C79"/>
    <w:rsid w:val="00697068"/>
    <w:rsid w:val="006977DE"/>
    <w:rsid w:val="00697D5F"/>
    <w:rsid w:val="006A0107"/>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68"/>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2A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429"/>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D01"/>
    <w:rsid w:val="00721FC3"/>
    <w:rsid w:val="00722A86"/>
    <w:rsid w:val="00722BC6"/>
    <w:rsid w:val="00722C69"/>
    <w:rsid w:val="0072311F"/>
    <w:rsid w:val="0072388C"/>
    <w:rsid w:val="00723FA2"/>
    <w:rsid w:val="0072454E"/>
    <w:rsid w:val="007249D1"/>
    <w:rsid w:val="00724FE4"/>
    <w:rsid w:val="00725829"/>
    <w:rsid w:val="00725D6A"/>
    <w:rsid w:val="007263A2"/>
    <w:rsid w:val="007266B9"/>
    <w:rsid w:val="00727351"/>
    <w:rsid w:val="00727AC5"/>
    <w:rsid w:val="00727C65"/>
    <w:rsid w:val="007300F0"/>
    <w:rsid w:val="00730904"/>
    <w:rsid w:val="00730EE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CC5"/>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67608"/>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CA"/>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9A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6E0"/>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A6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1F2"/>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02"/>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3B3"/>
    <w:rsid w:val="008F6893"/>
    <w:rsid w:val="008F7292"/>
    <w:rsid w:val="008F76C0"/>
    <w:rsid w:val="009000F2"/>
    <w:rsid w:val="0090079D"/>
    <w:rsid w:val="0090086A"/>
    <w:rsid w:val="00900D2C"/>
    <w:rsid w:val="00901807"/>
    <w:rsid w:val="00901F0E"/>
    <w:rsid w:val="00902A26"/>
    <w:rsid w:val="00902A57"/>
    <w:rsid w:val="00902B29"/>
    <w:rsid w:val="00903C83"/>
    <w:rsid w:val="00903D37"/>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460"/>
    <w:rsid w:val="00927710"/>
    <w:rsid w:val="009307CA"/>
    <w:rsid w:val="009312F9"/>
    <w:rsid w:val="00931445"/>
    <w:rsid w:val="00931AB8"/>
    <w:rsid w:val="00931C19"/>
    <w:rsid w:val="00931C63"/>
    <w:rsid w:val="00931D10"/>
    <w:rsid w:val="0093218A"/>
    <w:rsid w:val="009328EB"/>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96"/>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7D"/>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BA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00D"/>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E7D"/>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4F1"/>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9A9"/>
    <w:rsid w:val="00A3023E"/>
    <w:rsid w:val="00A305C5"/>
    <w:rsid w:val="00A30919"/>
    <w:rsid w:val="00A31011"/>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354"/>
    <w:rsid w:val="00A526CE"/>
    <w:rsid w:val="00A54674"/>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516"/>
    <w:rsid w:val="00B066FE"/>
    <w:rsid w:val="00B06912"/>
    <w:rsid w:val="00B07316"/>
    <w:rsid w:val="00B07F74"/>
    <w:rsid w:val="00B10618"/>
    <w:rsid w:val="00B10B04"/>
    <w:rsid w:val="00B10CC6"/>
    <w:rsid w:val="00B11932"/>
    <w:rsid w:val="00B11A61"/>
    <w:rsid w:val="00B11D5B"/>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875"/>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827"/>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F6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BF7F69"/>
    <w:rsid w:val="00C00B3B"/>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12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5FF"/>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C69"/>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07"/>
    <w:rsid w:val="00CD1892"/>
    <w:rsid w:val="00CD1C01"/>
    <w:rsid w:val="00CD1D00"/>
    <w:rsid w:val="00CD2009"/>
    <w:rsid w:val="00CD27AC"/>
    <w:rsid w:val="00CD2A82"/>
    <w:rsid w:val="00CD2ED4"/>
    <w:rsid w:val="00CD3CAB"/>
    <w:rsid w:val="00CD43C2"/>
    <w:rsid w:val="00CD44FF"/>
    <w:rsid w:val="00CD46A7"/>
    <w:rsid w:val="00CD47BC"/>
    <w:rsid w:val="00CD4E50"/>
    <w:rsid w:val="00CD57CB"/>
    <w:rsid w:val="00CD64E1"/>
    <w:rsid w:val="00CD66BA"/>
    <w:rsid w:val="00CD699D"/>
    <w:rsid w:val="00CD6BA3"/>
    <w:rsid w:val="00CD6F4E"/>
    <w:rsid w:val="00CD70DB"/>
    <w:rsid w:val="00CD7544"/>
    <w:rsid w:val="00CD78D4"/>
    <w:rsid w:val="00CE0697"/>
    <w:rsid w:val="00CE14CB"/>
    <w:rsid w:val="00CE2AB2"/>
    <w:rsid w:val="00CE2E2E"/>
    <w:rsid w:val="00CE3A51"/>
    <w:rsid w:val="00CE41F9"/>
    <w:rsid w:val="00CE59F6"/>
    <w:rsid w:val="00CE66CD"/>
    <w:rsid w:val="00CE6BA9"/>
    <w:rsid w:val="00CE71C3"/>
    <w:rsid w:val="00CE727A"/>
    <w:rsid w:val="00CF029C"/>
    <w:rsid w:val="00CF0AF0"/>
    <w:rsid w:val="00CF115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43D"/>
    <w:rsid w:val="00D17C26"/>
    <w:rsid w:val="00D17E08"/>
    <w:rsid w:val="00D206F6"/>
    <w:rsid w:val="00D20FD1"/>
    <w:rsid w:val="00D214D4"/>
    <w:rsid w:val="00D21640"/>
    <w:rsid w:val="00D21AAA"/>
    <w:rsid w:val="00D21E6F"/>
    <w:rsid w:val="00D2218A"/>
    <w:rsid w:val="00D224D3"/>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6FA"/>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045"/>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9A1"/>
    <w:rsid w:val="00D85FDE"/>
    <w:rsid w:val="00D8665E"/>
    <w:rsid w:val="00D869C1"/>
    <w:rsid w:val="00D86C1A"/>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857"/>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A7DA5"/>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71"/>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BC0"/>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7D"/>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256"/>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28E"/>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F8C"/>
    <w:rsid w:val="00E867A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A9"/>
    <w:rsid w:val="00EA613D"/>
    <w:rsid w:val="00EA6744"/>
    <w:rsid w:val="00EA7308"/>
    <w:rsid w:val="00EA7474"/>
    <w:rsid w:val="00EB0831"/>
    <w:rsid w:val="00EB089C"/>
    <w:rsid w:val="00EB0AA8"/>
    <w:rsid w:val="00EB0B65"/>
    <w:rsid w:val="00EB0C65"/>
    <w:rsid w:val="00EB0EDD"/>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293"/>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A41"/>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3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510"/>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E75"/>
    <w:rsid w:val="00F67079"/>
    <w:rsid w:val="00F67B58"/>
    <w:rsid w:val="00F67E81"/>
    <w:rsid w:val="00F7044B"/>
    <w:rsid w:val="00F70FD4"/>
    <w:rsid w:val="00F70FEF"/>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6E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B8D"/>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67F"/>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5D"/>
    <w:rsid w:val="00FF5C6A"/>
    <w:rsid w:val="00FF651D"/>
    <w:rsid w:val="00FF6843"/>
    <w:rsid w:val="00FF6C25"/>
    <w:rsid w:val="010651D9"/>
    <w:rsid w:val="01077355"/>
    <w:rsid w:val="011F6449"/>
    <w:rsid w:val="01236AFB"/>
    <w:rsid w:val="013D7E38"/>
    <w:rsid w:val="01453BAE"/>
    <w:rsid w:val="015922A9"/>
    <w:rsid w:val="019F7441"/>
    <w:rsid w:val="01B25231"/>
    <w:rsid w:val="01B37585"/>
    <w:rsid w:val="01B760F0"/>
    <w:rsid w:val="01D55165"/>
    <w:rsid w:val="01DC0F66"/>
    <w:rsid w:val="01DF6BF8"/>
    <w:rsid w:val="01E63A6A"/>
    <w:rsid w:val="01EC2C57"/>
    <w:rsid w:val="0235060F"/>
    <w:rsid w:val="024A7930"/>
    <w:rsid w:val="024D44B0"/>
    <w:rsid w:val="026A3B24"/>
    <w:rsid w:val="026B2E25"/>
    <w:rsid w:val="02705380"/>
    <w:rsid w:val="02777AAC"/>
    <w:rsid w:val="027D6372"/>
    <w:rsid w:val="02824D4D"/>
    <w:rsid w:val="028A181D"/>
    <w:rsid w:val="02A824AD"/>
    <w:rsid w:val="02AC3E44"/>
    <w:rsid w:val="02C75BF1"/>
    <w:rsid w:val="02C76624"/>
    <w:rsid w:val="02DC4B10"/>
    <w:rsid w:val="02DD76CE"/>
    <w:rsid w:val="02E01BE5"/>
    <w:rsid w:val="02F36323"/>
    <w:rsid w:val="02F5619C"/>
    <w:rsid w:val="030742CA"/>
    <w:rsid w:val="031226B6"/>
    <w:rsid w:val="0326446A"/>
    <w:rsid w:val="032A5FC6"/>
    <w:rsid w:val="032D5555"/>
    <w:rsid w:val="03466239"/>
    <w:rsid w:val="036634D2"/>
    <w:rsid w:val="03664F47"/>
    <w:rsid w:val="037556BC"/>
    <w:rsid w:val="037F7FE8"/>
    <w:rsid w:val="03BF6E60"/>
    <w:rsid w:val="03DD35E4"/>
    <w:rsid w:val="03EB5833"/>
    <w:rsid w:val="04076900"/>
    <w:rsid w:val="040B59DC"/>
    <w:rsid w:val="041A2BF4"/>
    <w:rsid w:val="041A5A3B"/>
    <w:rsid w:val="042311BA"/>
    <w:rsid w:val="042A2A48"/>
    <w:rsid w:val="042A3031"/>
    <w:rsid w:val="042B157A"/>
    <w:rsid w:val="04352B98"/>
    <w:rsid w:val="044D7B64"/>
    <w:rsid w:val="048F763B"/>
    <w:rsid w:val="049F330E"/>
    <w:rsid w:val="04AA775C"/>
    <w:rsid w:val="04AF1889"/>
    <w:rsid w:val="04B637AB"/>
    <w:rsid w:val="04D853AA"/>
    <w:rsid w:val="04EB46D9"/>
    <w:rsid w:val="04F11C96"/>
    <w:rsid w:val="04F66F48"/>
    <w:rsid w:val="05022605"/>
    <w:rsid w:val="051A66B8"/>
    <w:rsid w:val="05251E14"/>
    <w:rsid w:val="05315997"/>
    <w:rsid w:val="053F4C56"/>
    <w:rsid w:val="05600E1D"/>
    <w:rsid w:val="05722F7E"/>
    <w:rsid w:val="05A0790D"/>
    <w:rsid w:val="05A16594"/>
    <w:rsid w:val="05A3537B"/>
    <w:rsid w:val="05A6052B"/>
    <w:rsid w:val="05A7762D"/>
    <w:rsid w:val="05B54B84"/>
    <w:rsid w:val="05B86B1E"/>
    <w:rsid w:val="060E5941"/>
    <w:rsid w:val="06110FAF"/>
    <w:rsid w:val="061816F7"/>
    <w:rsid w:val="06493CA7"/>
    <w:rsid w:val="065A6178"/>
    <w:rsid w:val="066410BB"/>
    <w:rsid w:val="066466EB"/>
    <w:rsid w:val="06683583"/>
    <w:rsid w:val="066B69AA"/>
    <w:rsid w:val="066F1CF3"/>
    <w:rsid w:val="06812B17"/>
    <w:rsid w:val="06877D73"/>
    <w:rsid w:val="06930BB8"/>
    <w:rsid w:val="069D2831"/>
    <w:rsid w:val="06AA6E0E"/>
    <w:rsid w:val="06BD45FC"/>
    <w:rsid w:val="06F352D1"/>
    <w:rsid w:val="06F6108B"/>
    <w:rsid w:val="07175FD1"/>
    <w:rsid w:val="071E7B6B"/>
    <w:rsid w:val="07245D42"/>
    <w:rsid w:val="07264C62"/>
    <w:rsid w:val="072D0052"/>
    <w:rsid w:val="074E0A0F"/>
    <w:rsid w:val="07754067"/>
    <w:rsid w:val="0779354C"/>
    <w:rsid w:val="077E0F7C"/>
    <w:rsid w:val="078E0316"/>
    <w:rsid w:val="079B55B6"/>
    <w:rsid w:val="07F0431D"/>
    <w:rsid w:val="08061376"/>
    <w:rsid w:val="080E37B4"/>
    <w:rsid w:val="081064AB"/>
    <w:rsid w:val="08172C49"/>
    <w:rsid w:val="081B727D"/>
    <w:rsid w:val="08244656"/>
    <w:rsid w:val="08323A52"/>
    <w:rsid w:val="08452D77"/>
    <w:rsid w:val="084B3759"/>
    <w:rsid w:val="085A435C"/>
    <w:rsid w:val="085B1D6F"/>
    <w:rsid w:val="085D5AE7"/>
    <w:rsid w:val="08635072"/>
    <w:rsid w:val="086401F8"/>
    <w:rsid w:val="08730E67"/>
    <w:rsid w:val="08751CAA"/>
    <w:rsid w:val="087E4C40"/>
    <w:rsid w:val="08835670"/>
    <w:rsid w:val="089465EE"/>
    <w:rsid w:val="08A00A2D"/>
    <w:rsid w:val="08C55CC2"/>
    <w:rsid w:val="08D66AD6"/>
    <w:rsid w:val="08DA33A3"/>
    <w:rsid w:val="08E80F13"/>
    <w:rsid w:val="08F057F5"/>
    <w:rsid w:val="08F506C0"/>
    <w:rsid w:val="08FF7FA1"/>
    <w:rsid w:val="092D1B2E"/>
    <w:rsid w:val="093328E0"/>
    <w:rsid w:val="09335624"/>
    <w:rsid w:val="093E1582"/>
    <w:rsid w:val="0944690F"/>
    <w:rsid w:val="094565A6"/>
    <w:rsid w:val="0949113B"/>
    <w:rsid w:val="095015DF"/>
    <w:rsid w:val="09535675"/>
    <w:rsid w:val="095F057D"/>
    <w:rsid w:val="09636BCF"/>
    <w:rsid w:val="09642282"/>
    <w:rsid w:val="09733572"/>
    <w:rsid w:val="09772C16"/>
    <w:rsid w:val="098353B5"/>
    <w:rsid w:val="0983753A"/>
    <w:rsid w:val="099519E5"/>
    <w:rsid w:val="099A7590"/>
    <w:rsid w:val="09A92330"/>
    <w:rsid w:val="09B06B87"/>
    <w:rsid w:val="09C13146"/>
    <w:rsid w:val="09E04166"/>
    <w:rsid w:val="0A0452D8"/>
    <w:rsid w:val="0A1246B0"/>
    <w:rsid w:val="0A1C0718"/>
    <w:rsid w:val="0A3E7710"/>
    <w:rsid w:val="0A534240"/>
    <w:rsid w:val="0A5B7E63"/>
    <w:rsid w:val="0AA374A5"/>
    <w:rsid w:val="0AAB7649"/>
    <w:rsid w:val="0AB064D1"/>
    <w:rsid w:val="0ABC5606"/>
    <w:rsid w:val="0AC51722"/>
    <w:rsid w:val="0AD24A0D"/>
    <w:rsid w:val="0ADD2F10"/>
    <w:rsid w:val="0AF573A8"/>
    <w:rsid w:val="0B063393"/>
    <w:rsid w:val="0B0A131E"/>
    <w:rsid w:val="0B0C6DCA"/>
    <w:rsid w:val="0B171130"/>
    <w:rsid w:val="0B30404E"/>
    <w:rsid w:val="0B3E0022"/>
    <w:rsid w:val="0B404B94"/>
    <w:rsid w:val="0B4C6C14"/>
    <w:rsid w:val="0B4D7B50"/>
    <w:rsid w:val="0B566408"/>
    <w:rsid w:val="0B631A88"/>
    <w:rsid w:val="0B683D45"/>
    <w:rsid w:val="0B6C34ED"/>
    <w:rsid w:val="0B791725"/>
    <w:rsid w:val="0B7F3F11"/>
    <w:rsid w:val="0B884417"/>
    <w:rsid w:val="0BD14B2E"/>
    <w:rsid w:val="0BF6188C"/>
    <w:rsid w:val="0BF73C91"/>
    <w:rsid w:val="0C027A0D"/>
    <w:rsid w:val="0C170175"/>
    <w:rsid w:val="0C571A41"/>
    <w:rsid w:val="0C5C1171"/>
    <w:rsid w:val="0C5E1CBC"/>
    <w:rsid w:val="0C615B50"/>
    <w:rsid w:val="0C725254"/>
    <w:rsid w:val="0C74620C"/>
    <w:rsid w:val="0C8445DA"/>
    <w:rsid w:val="0C87121B"/>
    <w:rsid w:val="0C9E047D"/>
    <w:rsid w:val="0CC007F7"/>
    <w:rsid w:val="0CC71CCC"/>
    <w:rsid w:val="0CCF4ADA"/>
    <w:rsid w:val="0CCF6888"/>
    <w:rsid w:val="0CEF4331"/>
    <w:rsid w:val="0CFC4C75"/>
    <w:rsid w:val="0CFE707A"/>
    <w:rsid w:val="0D063BDA"/>
    <w:rsid w:val="0D08375F"/>
    <w:rsid w:val="0D184CFB"/>
    <w:rsid w:val="0D190C10"/>
    <w:rsid w:val="0D20210D"/>
    <w:rsid w:val="0D35493D"/>
    <w:rsid w:val="0D3F1126"/>
    <w:rsid w:val="0D4A5F0F"/>
    <w:rsid w:val="0D4A7419"/>
    <w:rsid w:val="0D6E36EE"/>
    <w:rsid w:val="0D827401"/>
    <w:rsid w:val="0D84094E"/>
    <w:rsid w:val="0D8A00E9"/>
    <w:rsid w:val="0D8D589E"/>
    <w:rsid w:val="0DA01C73"/>
    <w:rsid w:val="0DC47E97"/>
    <w:rsid w:val="0DD63300"/>
    <w:rsid w:val="0DE16873"/>
    <w:rsid w:val="0DF50604"/>
    <w:rsid w:val="0DF702FE"/>
    <w:rsid w:val="0E060E51"/>
    <w:rsid w:val="0E0937A3"/>
    <w:rsid w:val="0E1B1567"/>
    <w:rsid w:val="0E27335E"/>
    <w:rsid w:val="0E3B6B0F"/>
    <w:rsid w:val="0E494A2D"/>
    <w:rsid w:val="0E5604B2"/>
    <w:rsid w:val="0E5C4B60"/>
    <w:rsid w:val="0E6269B6"/>
    <w:rsid w:val="0E6D5D79"/>
    <w:rsid w:val="0E9D0089"/>
    <w:rsid w:val="0EAB7F23"/>
    <w:rsid w:val="0EB03909"/>
    <w:rsid w:val="0EB803EE"/>
    <w:rsid w:val="0EF94D4B"/>
    <w:rsid w:val="0F2046F0"/>
    <w:rsid w:val="0F4958DC"/>
    <w:rsid w:val="0F4F321B"/>
    <w:rsid w:val="0F515DF7"/>
    <w:rsid w:val="0F596BA8"/>
    <w:rsid w:val="0F6248D2"/>
    <w:rsid w:val="0F693536"/>
    <w:rsid w:val="0F7838BD"/>
    <w:rsid w:val="0F785E3D"/>
    <w:rsid w:val="0F7B0511"/>
    <w:rsid w:val="0F7B76D9"/>
    <w:rsid w:val="0F816ACD"/>
    <w:rsid w:val="0F9832DB"/>
    <w:rsid w:val="0FBF3FD2"/>
    <w:rsid w:val="0FBF7FF3"/>
    <w:rsid w:val="0FCC390B"/>
    <w:rsid w:val="0FCD43D2"/>
    <w:rsid w:val="0FCE2779"/>
    <w:rsid w:val="0FD549FC"/>
    <w:rsid w:val="0FD6666B"/>
    <w:rsid w:val="0FF541D7"/>
    <w:rsid w:val="10001DB3"/>
    <w:rsid w:val="100B18AE"/>
    <w:rsid w:val="100B407B"/>
    <w:rsid w:val="101D240B"/>
    <w:rsid w:val="104C70B0"/>
    <w:rsid w:val="10646583"/>
    <w:rsid w:val="107A39E7"/>
    <w:rsid w:val="107D4B15"/>
    <w:rsid w:val="108165D4"/>
    <w:rsid w:val="108A3C80"/>
    <w:rsid w:val="109B1D4B"/>
    <w:rsid w:val="109C1517"/>
    <w:rsid w:val="10B55A6A"/>
    <w:rsid w:val="10C26171"/>
    <w:rsid w:val="10CD2A3A"/>
    <w:rsid w:val="10D375F0"/>
    <w:rsid w:val="10F33360"/>
    <w:rsid w:val="10F924DB"/>
    <w:rsid w:val="10FC16EA"/>
    <w:rsid w:val="10FF0714"/>
    <w:rsid w:val="110435D3"/>
    <w:rsid w:val="110F1D40"/>
    <w:rsid w:val="111D5165"/>
    <w:rsid w:val="11266F33"/>
    <w:rsid w:val="115F268B"/>
    <w:rsid w:val="11845E93"/>
    <w:rsid w:val="118963A1"/>
    <w:rsid w:val="119434EA"/>
    <w:rsid w:val="11C6522A"/>
    <w:rsid w:val="11DB48E7"/>
    <w:rsid w:val="11E104CC"/>
    <w:rsid w:val="11E20309"/>
    <w:rsid w:val="11EF62D5"/>
    <w:rsid w:val="11FA6155"/>
    <w:rsid w:val="12255233"/>
    <w:rsid w:val="1246139A"/>
    <w:rsid w:val="12461EBC"/>
    <w:rsid w:val="12530213"/>
    <w:rsid w:val="126D1E81"/>
    <w:rsid w:val="1274357A"/>
    <w:rsid w:val="127723A9"/>
    <w:rsid w:val="12862074"/>
    <w:rsid w:val="12883966"/>
    <w:rsid w:val="129E45B4"/>
    <w:rsid w:val="12AB56A1"/>
    <w:rsid w:val="12C214F9"/>
    <w:rsid w:val="12C36EF0"/>
    <w:rsid w:val="12D237E3"/>
    <w:rsid w:val="12D364AD"/>
    <w:rsid w:val="12D57598"/>
    <w:rsid w:val="12D81596"/>
    <w:rsid w:val="12F85317"/>
    <w:rsid w:val="13072A44"/>
    <w:rsid w:val="130C1DE1"/>
    <w:rsid w:val="1326532E"/>
    <w:rsid w:val="13491DC8"/>
    <w:rsid w:val="13596EAB"/>
    <w:rsid w:val="135F4BE2"/>
    <w:rsid w:val="136430A9"/>
    <w:rsid w:val="13644439"/>
    <w:rsid w:val="136C15D2"/>
    <w:rsid w:val="137249D0"/>
    <w:rsid w:val="1375561D"/>
    <w:rsid w:val="138C2404"/>
    <w:rsid w:val="13953EB8"/>
    <w:rsid w:val="13956320"/>
    <w:rsid w:val="139B1A0A"/>
    <w:rsid w:val="139D25C7"/>
    <w:rsid w:val="13AB5C86"/>
    <w:rsid w:val="13B128C5"/>
    <w:rsid w:val="13BF3CE4"/>
    <w:rsid w:val="13E14DB8"/>
    <w:rsid w:val="13E81B95"/>
    <w:rsid w:val="13F9E811"/>
    <w:rsid w:val="141008D8"/>
    <w:rsid w:val="14125FE6"/>
    <w:rsid w:val="141D4A74"/>
    <w:rsid w:val="141E11F3"/>
    <w:rsid w:val="14321BD6"/>
    <w:rsid w:val="143D5A1E"/>
    <w:rsid w:val="146D271E"/>
    <w:rsid w:val="14747889"/>
    <w:rsid w:val="147A5527"/>
    <w:rsid w:val="147F5D70"/>
    <w:rsid w:val="14982588"/>
    <w:rsid w:val="149A5AD9"/>
    <w:rsid w:val="14A7619D"/>
    <w:rsid w:val="14DF0614"/>
    <w:rsid w:val="14F7743B"/>
    <w:rsid w:val="150536C3"/>
    <w:rsid w:val="15082937"/>
    <w:rsid w:val="150C1963"/>
    <w:rsid w:val="15140B6D"/>
    <w:rsid w:val="151447A0"/>
    <w:rsid w:val="15306CE7"/>
    <w:rsid w:val="15451DDD"/>
    <w:rsid w:val="154A6454"/>
    <w:rsid w:val="15761F97"/>
    <w:rsid w:val="15762120"/>
    <w:rsid w:val="157704CB"/>
    <w:rsid w:val="15997A54"/>
    <w:rsid w:val="15AB4F5C"/>
    <w:rsid w:val="15B72002"/>
    <w:rsid w:val="15FD3544"/>
    <w:rsid w:val="160A40D0"/>
    <w:rsid w:val="160F0770"/>
    <w:rsid w:val="161377E5"/>
    <w:rsid w:val="161B088A"/>
    <w:rsid w:val="16203CC6"/>
    <w:rsid w:val="162E461F"/>
    <w:rsid w:val="164F6FA2"/>
    <w:rsid w:val="1653699F"/>
    <w:rsid w:val="16935AFB"/>
    <w:rsid w:val="1695754D"/>
    <w:rsid w:val="16A04D1D"/>
    <w:rsid w:val="16A8729C"/>
    <w:rsid w:val="16B33777"/>
    <w:rsid w:val="16BC70A7"/>
    <w:rsid w:val="16C070DE"/>
    <w:rsid w:val="16C44F84"/>
    <w:rsid w:val="16C6339E"/>
    <w:rsid w:val="16C8023C"/>
    <w:rsid w:val="16C83453"/>
    <w:rsid w:val="16E43ACF"/>
    <w:rsid w:val="1703534A"/>
    <w:rsid w:val="170550D4"/>
    <w:rsid w:val="172F2D79"/>
    <w:rsid w:val="17431364"/>
    <w:rsid w:val="174D5E14"/>
    <w:rsid w:val="17557BEF"/>
    <w:rsid w:val="175F1B8D"/>
    <w:rsid w:val="1766769E"/>
    <w:rsid w:val="1767603B"/>
    <w:rsid w:val="17732C32"/>
    <w:rsid w:val="177C28C7"/>
    <w:rsid w:val="177C435A"/>
    <w:rsid w:val="17817F62"/>
    <w:rsid w:val="17824D0F"/>
    <w:rsid w:val="1788153B"/>
    <w:rsid w:val="179C0159"/>
    <w:rsid w:val="179F3E4F"/>
    <w:rsid w:val="17BB6211"/>
    <w:rsid w:val="17BB77F7"/>
    <w:rsid w:val="17D349C1"/>
    <w:rsid w:val="1830729E"/>
    <w:rsid w:val="185B5242"/>
    <w:rsid w:val="185C618E"/>
    <w:rsid w:val="18641A25"/>
    <w:rsid w:val="1870062C"/>
    <w:rsid w:val="18735596"/>
    <w:rsid w:val="18817102"/>
    <w:rsid w:val="18830A15"/>
    <w:rsid w:val="18852B28"/>
    <w:rsid w:val="188B5321"/>
    <w:rsid w:val="18B83479"/>
    <w:rsid w:val="18E9114C"/>
    <w:rsid w:val="190672CB"/>
    <w:rsid w:val="194941B9"/>
    <w:rsid w:val="196C1B1A"/>
    <w:rsid w:val="19930A9B"/>
    <w:rsid w:val="19932372"/>
    <w:rsid w:val="19933997"/>
    <w:rsid w:val="19A20DD5"/>
    <w:rsid w:val="19A215AC"/>
    <w:rsid w:val="19AE03F1"/>
    <w:rsid w:val="19C42578"/>
    <w:rsid w:val="19C92FDD"/>
    <w:rsid w:val="19DE4DF4"/>
    <w:rsid w:val="19DF6338"/>
    <w:rsid w:val="19E76FD8"/>
    <w:rsid w:val="19F27194"/>
    <w:rsid w:val="19FE70FC"/>
    <w:rsid w:val="1A071A03"/>
    <w:rsid w:val="1A0E04B5"/>
    <w:rsid w:val="1A1F16AE"/>
    <w:rsid w:val="1A2A15A2"/>
    <w:rsid w:val="1A2C26F6"/>
    <w:rsid w:val="1A3B5C77"/>
    <w:rsid w:val="1A4D7795"/>
    <w:rsid w:val="1A984BAD"/>
    <w:rsid w:val="1AB8220E"/>
    <w:rsid w:val="1AC63AEF"/>
    <w:rsid w:val="1AE037D4"/>
    <w:rsid w:val="1AE4166C"/>
    <w:rsid w:val="1AF06CFB"/>
    <w:rsid w:val="1AF11B8D"/>
    <w:rsid w:val="1B11359C"/>
    <w:rsid w:val="1B222279"/>
    <w:rsid w:val="1B231539"/>
    <w:rsid w:val="1B2A271F"/>
    <w:rsid w:val="1B530544"/>
    <w:rsid w:val="1B682141"/>
    <w:rsid w:val="1B6E0798"/>
    <w:rsid w:val="1B713184"/>
    <w:rsid w:val="1BA209CF"/>
    <w:rsid w:val="1BB4777D"/>
    <w:rsid w:val="1BC02D10"/>
    <w:rsid w:val="1BD345CB"/>
    <w:rsid w:val="1BD75AB8"/>
    <w:rsid w:val="1BE35896"/>
    <w:rsid w:val="1BEF62D2"/>
    <w:rsid w:val="1BF37507"/>
    <w:rsid w:val="1BF74326"/>
    <w:rsid w:val="1C0014BB"/>
    <w:rsid w:val="1C0459C2"/>
    <w:rsid w:val="1C116C14"/>
    <w:rsid w:val="1C1B3B4A"/>
    <w:rsid w:val="1C2250B2"/>
    <w:rsid w:val="1C2972B2"/>
    <w:rsid w:val="1C514F68"/>
    <w:rsid w:val="1C7D334A"/>
    <w:rsid w:val="1C88086E"/>
    <w:rsid w:val="1C947262"/>
    <w:rsid w:val="1C9A044A"/>
    <w:rsid w:val="1CA51364"/>
    <w:rsid w:val="1CAC44F0"/>
    <w:rsid w:val="1CB35C45"/>
    <w:rsid w:val="1CDA1C51"/>
    <w:rsid w:val="1CE61290"/>
    <w:rsid w:val="1CF85987"/>
    <w:rsid w:val="1D02521F"/>
    <w:rsid w:val="1D266CE1"/>
    <w:rsid w:val="1D285FD7"/>
    <w:rsid w:val="1D2B3AA0"/>
    <w:rsid w:val="1D3963AF"/>
    <w:rsid w:val="1D486572"/>
    <w:rsid w:val="1D5C7CC4"/>
    <w:rsid w:val="1D6962DA"/>
    <w:rsid w:val="1D6A673C"/>
    <w:rsid w:val="1D75594E"/>
    <w:rsid w:val="1D85128A"/>
    <w:rsid w:val="1D9247AE"/>
    <w:rsid w:val="1DB41589"/>
    <w:rsid w:val="1DB567EC"/>
    <w:rsid w:val="1DB64F64"/>
    <w:rsid w:val="1DCB3C3C"/>
    <w:rsid w:val="1DE00BDB"/>
    <w:rsid w:val="1DF51A98"/>
    <w:rsid w:val="1E2A6829"/>
    <w:rsid w:val="1E3D060F"/>
    <w:rsid w:val="1E3E561C"/>
    <w:rsid w:val="1E3F7D2E"/>
    <w:rsid w:val="1E4134E4"/>
    <w:rsid w:val="1E433FA3"/>
    <w:rsid w:val="1E48553D"/>
    <w:rsid w:val="1E5062B3"/>
    <w:rsid w:val="1E512E75"/>
    <w:rsid w:val="1E523514"/>
    <w:rsid w:val="1E6A6411"/>
    <w:rsid w:val="1E714A66"/>
    <w:rsid w:val="1E773D87"/>
    <w:rsid w:val="1E7C5B9B"/>
    <w:rsid w:val="1E802593"/>
    <w:rsid w:val="1E937715"/>
    <w:rsid w:val="1EA24FEE"/>
    <w:rsid w:val="1EA550CA"/>
    <w:rsid w:val="1EA703CC"/>
    <w:rsid w:val="1EB7330C"/>
    <w:rsid w:val="1EBA2EF4"/>
    <w:rsid w:val="1EBC5ACA"/>
    <w:rsid w:val="1EC76F3D"/>
    <w:rsid w:val="1EF021FC"/>
    <w:rsid w:val="1EFF61A2"/>
    <w:rsid w:val="1F0A0FF3"/>
    <w:rsid w:val="1F196EDC"/>
    <w:rsid w:val="1F471963"/>
    <w:rsid w:val="1F5771FF"/>
    <w:rsid w:val="1FA13231"/>
    <w:rsid w:val="1FA70B19"/>
    <w:rsid w:val="1FB20B2E"/>
    <w:rsid w:val="1FCC17F1"/>
    <w:rsid w:val="1FCC2803"/>
    <w:rsid w:val="1FD104CD"/>
    <w:rsid w:val="1FDB274B"/>
    <w:rsid w:val="1FE868A9"/>
    <w:rsid w:val="1FF54201"/>
    <w:rsid w:val="1FF82AFE"/>
    <w:rsid w:val="20034907"/>
    <w:rsid w:val="20173E4B"/>
    <w:rsid w:val="20350B0C"/>
    <w:rsid w:val="20362554"/>
    <w:rsid w:val="203C1BC7"/>
    <w:rsid w:val="204E48BC"/>
    <w:rsid w:val="206C35F3"/>
    <w:rsid w:val="208921B3"/>
    <w:rsid w:val="20945364"/>
    <w:rsid w:val="20947DAF"/>
    <w:rsid w:val="20973DEB"/>
    <w:rsid w:val="20A756FA"/>
    <w:rsid w:val="20A87AFC"/>
    <w:rsid w:val="20B26522"/>
    <w:rsid w:val="20B44310"/>
    <w:rsid w:val="20C3410E"/>
    <w:rsid w:val="20CB09D1"/>
    <w:rsid w:val="20D815FF"/>
    <w:rsid w:val="20E86B09"/>
    <w:rsid w:val="20EA582A"/>
    <w:rsid w:val="211116EB"/>
    <w:rsid w:val="2111414A"/>
    <w:rsid w:val="21196D50"/>
    <w:rsid w:val="213B16A4"/>
    <w:rsid w:val="215E30CF"/>
    <w:rsid w:val="216133FC"/>
    <w:rsid w:val="217A696B"/>
    <w:rsid w:val="218274E0"/>
    <w:rsid w:val="21B63416"/>
    <w:rsid w:val="21C265F4"/>
    <w:rsid w:val="21D56769"/>
    <w:rsid w:val="21E52EF3"/>
    <w:rsid w:val="21ED551B"/>
    <w:rsid w:val="21FB5D7B"/>
    <w:rsid w:val="21FC7CC7"/>
    <w:rsid w:val="220B1C3D"/>
    <w:rsid w:val="221D1D20"/>
    <w:rsid w:val="221E6AC9"/>
    <w:rsid w:val="22334A87"/>
    <w:rsid w:val="22457D92"/>
    <w:rsid w:val="2254613F"/>
    <w:rsid w:val="2280626F"/>
    <w:rsid w:val="22BE6801"/>
    <w:rsid w:val="22CA6FF3"/>
    <w:rsid w:val="22CC64E9"/>
    <w:rsid w:val="22D36C7A"/>
    <w:rsid w:val="22D95748"/>
    <w:rsid w:val="22DB1F7E"/>
    <w:rsid w:val="22E603D9"/>
    <w:rsid w:val="23014C05"/>
    <w:rsid w:val="230E5425"/>
    <w:rsid w:val="23157561"/>
    <w:rsid w:val="233500BF"/>
    <w:rsid w:val="23377FF7"/>
    <w:rsid w:val="23494192"/>
    <w:rsid w:val="234A05BF"/>
    <w:rsid w:val="234C64C0"/>
    <w:rsid w:val="23607DE2"/>
    <w:rsid w:val="236B425F"/>
    <w:rsid w:val="23836192"/>
    <w:rsid w:val="23901F29"/>
    <w:rsid w:val="239C0061"/>
    <w:rsid w:val="23B908A4"/>
    <w:rsid w:val="23C62FF2"/>
    <w:rsid w:val="23D012D9"/>
    <w:rsid w:val="23E95BEF"/>
    <w:rsid w:val="23FD0064"/>
    <w:rsid w:val="24064EF2"/>
    <w:rsid w:val="24171B52"/>
    <w:rsid w:val="241D71F3"/>
    <w:rsid w:val="24254E4F"/>
    <w:rsid w:val="242F3AAF"/>
    <w:rsid w:val="245375B0"/>
    <w:rsid w:val="24572F93"/>
    <w:rsid w:val="245F7A7B"/>
    <w:rsid w:val="24642C0A"/>
    <w:rsid w:val="248A5117"/>
    <w:rsid w:val="249661B1"/>
    <w:rsid w:val="24B22173"/>
    <w:rsid w:val="24B95AD9"/>
    <w:rsid w:val="24BE24DA"/>
    <w:rsid w:val="24CF5825"/>
    <w:rsid w:val="24D663E6"/>
    <w:rsid w:val="24D77F2B"/>
    <w:rsid w:val="24FA6740"/>
    <w:rsid w:val="250A753E"/>
    <w:rsid w:val="25153019"/>
    <w:rsid w:val="2528169C"/>
    <w:rsid w:val="253A156C"/>
    <w:rsid w:val="256373C9"/>
    <w:rsid w:val="256F4CE7"/>
    <w:rsid w:val="25867519"/>
    <w:rsid w:val="258B00E2"/>
    <w:rsid w:val="25A03B85"/>
    <w:rsid w:val="25A917A6"/>
    <w:rsid w:val="25BB46E4"/>
    <w:rsid w:val="25BD415B"/>
    <w:rsid w:val="25BE27CC"/>
    <w:rsid w:val="25DF68A6"/>
    <w:rsid w:val="25F74A5C"/>
    <w:rsid w:val="26041BE9"/>
    <w:rsid w:val="2628662C"/>
    <w:rsid w:val="262877D8"/>
    <w:rsid w:val="262D45DE"/>
    <w:rsid w:val="262F241A"/>
    <w:rsid w:val="263162FA"/>
    <w:rsid w:val="26317029"/>
    <w:rsid w:val="26363AE1"/>
    <w:rsid w:val="263712CE"/>
    <w:rsid w:val="26482561"/>
    <w:rsid w:val="26513854"/>
    <w:rsid w:val="26671FF9"/>
    <w:rsid w:val="2698749C"/>
    <w:rsid w:val="26A53EF9"/>
    <w:rsid w:val="26A94201"/>
    <w:rsid w:val="26AC274F"/>
    <w:rsid w:val="26AD333E"/>
    <w:rsid w:val="26C03063"/>
    <w:rsid w:val="26D727BC"/>
    <w:rsid w:val="26E335FE"/>
    <w:rsid w:val="26F176CF"/>
    <w:rsid w:val="2704030D"/>
    <w:rsid w:val="27044A29"/>
    <w:rsid w:val="271D34C8"/>
    <w:rsid w:val="27386E32"/>
    <w:rsid w:val="275E0E8F"/>
    <w:rsid w:val="276142BF"/>
    <w:rsid w:val="27783712"/>
    <w:rsid w:val="277A093D"/>
    <w:rsid w:val="2786213D"/>
    <w:rsid w:val="27907362"/>
    <w:rsid w:val="27C73BF2"/>
    <w:rsid w:val="27DF7B36"/>
    <w:rsid w:val="27E86E6F"/>
    <w:rsid w:val="27FD349C"/>
    <w:rsid w:val="28333E1D"/>
    <w:rsid w:val="28454BD6"/>
    <w:rsid w:val="28455253"/>
    <w:rsid w:val="284E2C04"/>
    <w:rsid w:val="28551971"/>
    <w:rsid w:val="285B1C53"/>
    <w:rsid w:val="287C34F0"/>
    <w:rsid w:val="2898352A"/>
    <w:rsid w:val="289F7086"/>
    <w:rsid w:val="28B64627"/>
    <w:rsid w:val="28BE3992"/>
    <w:rsid w:val="28C32028"/>
    <w:rsid w:val="28CC490F"/>
    <w:rsid w:val="28D76470"/>
    <w:rsid w:val="28DE18DB"/>
    <w:rsid w:val="28DE40AA"/>
    <w:rsid w:val="28E84B02"/>
    <w:rsid w:val="2902118B"/>
    <w:rsid w:val="29163D58"/>
    <w:rsid w:val="29260DA8"/>
    <w:rsid w:val="29345E77"/>
    <w:rsid w:val="294C65AD"/>
    <w:rsid w:val="2969059E"/>
    <w:rsid w:val="296C67B1"/>
    <w:rsid w:val="297222EB"/>
    <w:rsid w:val="29774DDE"/>
    <w:rsid w:val="29806583"/>
    <w:rsid w:val="2987431B"/>
    <w:rsid w:val="298B3C4C"/>
    <w:rsid w:val="29B9773A"/>
    <w:rsid w:val="29D21B8B"/>
    <w:rsid w:val="29D8781D"/>
    <w:rsid w:val="29DD1052"/>
    <w:rsid w:val="29DD4087"/>
    <w:rsid w:val="29E82B40"/>
    <w:rsid w:val="29F268C3"/>
    <w:rsid w:val="29F26D24"/>
    <w:rsid w:val="2A0F5E0A"/>
    <w:rsid w:val="2A15033F"/>
    <w:rsid w:val="2A1662C1"/>
    <w:rsid w:val="2A1C7367"/>
    <w:rsid w:val="2A2815FA"/>
    <w:rsid w:val="2A292FB7"/>
    <w:rsid w:val="2A327227"/>
    <w:rsid w:val="2A363870"/>
    <w:rsid w:val="2A585CB7"/>
    <w:rsid w:val="2A5C57A7"/>
    <w:rsid w:val="2A5D1CE6"/>
    <w:rsid w:val="2A6D6092"/>
    <w:rsid w:val="2A7D76B4"/>
    <w:rsid w:val="2AA94951"/>
    <w:rsid w:val="2AAB5668"/>
    <w:rsid w:val="2ADB4069"/>
    <w:rsid w:val="2AE13EFE"/>
    <w:rsid w:val="2AF013AA"/>
    <w:rsid w:val="2AF75041"/>
    <w:rsid w:val="2AFA7AAF"/>
    <w:rsid w:val="2B2C3635"/>
    <w:rsid w:val="2B437463"/>
    <w:rsid w:val="2B623F51"/>
    <w:rsid w:val="2B656E9C"/>
    <w:rsid w:val="2B7807EE"/>
    <w:rsid w:val="2B9D3E9D"/>
    <w:rsid w:val="2BA9060A"/>
    <w:rsid w:val="2BB46DA4"/>
    <w:rsid w:val="2BBF00EC"/>
    <w:rsid w:val="2BC37CFD"/>
    <w:rsid w:val="2BD5237F"/>
    <w:rsid w:val="2BDA5682"/>
    <w:rsid w:val="2BE536CE"/>
    <w:rsid w:val="2BE758D9"/>
    <w:rsid w:val="2BED27E9"/>
    <w:rsid w:val="2BF45B89"/>
    <w:rsid w:val="2C09049E"/>
    <w:rsid w:val="2C0A653C"/>
    <w:rsid w:val="2C0B56E1"/>
    <w:rsid w:val="2C191F85"/>
    <w:rsid w:val="2C2250B6"/>
    <w:rsid w:val="2C3B1043"/>
    <w:rsid w:val="2C78619D"/>
    <w:rsid w:val="2C7D1A05"/>
    <w:rsid w:val="2C986F42"/>
    <w:rsid w:val="2CA21D29"/>
    <w:rsid w:val="2CB61D0E"/>
    <w:rsid w:val="2CE82D6F"/>
    <w:rsid w:val="2CEE74EC"/>
    <w:rsid w:val="2CF76705"/>
    <w:rsid w:val="2D161E06"/>
    <w:rsid w:val="2D1B6247"/>
    <w:rsid w:val="2D2C5535"/>
    <w:rsid w:val="2D343236"/>
    <w:rsid w:val="2D3F737E"/>
    <w:rsid w:val="2D574DFE"/>
    <w:rsid w:val="2D786D73"/>
    <w:rsid w:val="2DC3248D"/>
    <w:rsid w:val="2DD15014"/>
    <w:rsid w:val="2DEC6E42"/>
    <w:rsid w:val="2DF010FC"/>
    <w:rsid w:val="2DF72DE4"/>
    <w:rsid w:val="2E0220AF"/>
    <w:rsid w:val="2E080A74"/>
    <w:rsid w:val="2E2B7EEE"/>
    <w:rsid w:val="2E2D034A"/>
    <w:rsid w:val="2E337D36"/>
    <w:rsid w:val="2E3B2F47"/>
    <w:rsid w:val="2E4B082A"/>
    <w:rsid w:val="2E5550E9"/>
    <w:rsid w:val="2E5D4E86"/>
    <w:rsid w:val="2E5D790B"/>
    <w:rsid w:val="2E61338C"/>
    <w:rsid w:val="2E662925"/>
    <w:rsid w:val="2E6966E5"/>
    <w:rsid w:val="2E6E6025"/>
    <w:rsid w:val="2E795AC8"/>
    <w:rsid w:val="2E876B6B"/>
    <w:rsid w:val="2E9A3C18"/>
    <w:rsid w:val="2EBB0FEE"/>
    <w:rsid w:val="2EC51205"/>
    <w:rsid w:val="2EC63002"/>
    <w:rsid w:val="2ECE0195"/>
    <w:rsid w:val="2ED71B04"/>
    <w:rsid w:val="2EEB054F"/>
    <w:rsid w:val="2F0A6B38"/>
    <w:rsid w:val="2F0D5BDD"/>
    <w:rsid w:val="2F250C95"/>
    <w:rsid w:val="2F2A1F78"/>
    <w:rsid w:val="2F484A6E"/>
    <w:rsid w:val="2F4D512A"/>
    <w:rsid w:val="2F5FE917"/>
    <w:rsid w:val="2F8B46F2"/>
    <w:rsid w:val="2F946CCB"/>
    <w:rsid w:val="2FA554FB"/>
    <w:rsid w:val="2FA64CDA"/>
    <w:rsid w:val="2FB0787D"/>
    <w:rsid w:val="2FB93DA6"/>
    <w:rsid w:val="2FCA605E"/>
    <w:rsid w:val="2FCC0CD9"/>
    <w:rsid w:val="2FD25781"/>
    <w:rsid w:val="2FD91DD4"/>
    <w:rsid w:val="2FDD2EE6"/>
    <w:rsid w:val="2FEE50F3"/>
    <w:rsid w:val="2FFD7934"/>
    <w:rsid w:val="30080165"/>
    <w:rsid w:val="30177A02"/>
    <w:rsid w:val="30192896"/>
    <w:rsid w:val="3024089F"/>
    <w:rsid w:val="30285CC7"/>
    <w:rsid w:val="30296091"/>
    <w:rsid w:val="303009C3"/>
    <w:rsid w:val="30375030"/>
    <w:rsid w:val="30632546"/>
    <w:rsid w:val="30733ACD"/>
    <w:rsid w:val="308710A4"/>
    <w:rsid w:val="308C3862"/>
    <w:rsid w:val="308E2433"/>
    <w:rsid w:val="309379D8"/>
    <w:rsid w:val="30A270F7"/>
    <w:rsid w:val="30AF457B"/>
    <w:rsid w:val="30B05CC1"/>
    <w:rsid w:val="30B76DB5"/>
    <w:rsid w:val="30B86AD2"/>
    <w:rsid w:val="30BB7219"/>
    <w:rsid w:val="30CD5E8E"/>
    <w:rsid w:val="30D2231F"/>
    <w:rsid w:val="30DF1478"/>
    <w:rsid w:val="30EC586F"/>
    <w:rsid w:val="30F95A62"/>
    <w:rsid w:val="311566B0"/>
    <w:rsid w:val="311E2EDB"/>
    <w:rsid w:val="314D3E18"/>
    <w:rsid w:val="31673819"/>
    <w:rsid w:val="318B7B3D"/>
    <w:rsid w:val="319C6071"/>
    <w:rsid w:val="31AC537E"/>
    <w:rsid w:val="31B22151"/>
    <w:rsid w:val="31B25211"/>
    <w:rsid w:val="31B7616A"/>
    <w:rsid w:val="31C8272C"/>
    <w:rsid w:val="31D401E3"/>
    <w:rsid w:val="31E07D04"/>
    <w:rsid w:val="31E22281"/>
    <w:rsid w:val="31E3679B"/>
    <w:rsid w:val="31E47795"/>
    <w:rsid w:val="31E732FD"/>
    <w:rsid w:val="320F6B69"/>
    <w:rsid w:val="322E355C"/>
    <w:rsid w:val="32301F7D"/>
    <w:rsid w:val="323668DE"/>
    <w:rsid w:val="3239641D"/>
    <w:rsid w:val="3240569E"/>
    <w:rsid w:val="32410189"/>
    <w:rsid w:val="32517576"/>
    <w:rsid w:val="32545D2E"/>
    <w:rsid w:val="3262778D"/>
    <w:rsid w:val="32743C8D"/>
    <w:rsid w:val="32825ADE"/>
    <w:rsid w:val="32851F04"/>
    <w:rsid w:val="329238C6"/>
    <w:rsid w:val="329B41FD"/>
    <w:rsid w:val="32B15835"/>
    <w:rsid w:val="32BE5C2C"/>
    <w:rsid w:val="32C94E8E"/>
    <w:rsid w:val="32D22AAA"/>
    <w:rsid w:val="32DB1C5F"/>
    <w:rsid w:val="32FB6478"/>
    <w:rsid w:val="330C763F"/>
    <w:rsid w:val="33263B3F"/>
    <w:rsid w:val="336963EB"/>
    <w:rsid w:val="33816EEB"/>
    <w:rsid w:val="3398744C"/>
    <w:rsid w:val="33BB7011"/>
    <w:rsid w:val="33D44600"/>
    <w:rsid w:val="33EB55CD"/>
    <w:rsid w:val="33EC4C02"/>
    <w:rsid w:val="33F26C0D"/>
    <w:rsid w:val="340D2360"/>
    <w:rsid w:val="3410665D"/>
    <w:rsid w:val="34211214"/>
    <w:rsid w:val="3421725E"/>
    <w:rsid w:val="342866FA"/>
    <w:rsid w:val="342E63AB"/>
    <w:rsid w:val="344A7407"/>
    <w:rsid w:val="344C7199"/>
    <w:rsid w:val="344D2753"/>
    <w:rsid w:val="34950E68"/>
    <w:rsid w:val="34986B17"/>
    <w:rsid w:val="34986E94"/>
    <w:rsid w:val="34A94E14"/>
    <w:rsid w:val="34AF62C9"/>
    <w:rsid w:val="34B2479F"/>
    <w:rsid w:val="34B823D9"/>
    <w:rsid w:val="34CB4388"/>
    <w:rsid w:val="34CD2C9E"/>
    <w:rsid w:val="34F869DB"/>
    <w:rsid w:val="34FA6E12"/>
    <w:rsid w:val="351575AC"/>
    <w:rsid w:val="35277408"/>
    <w:rsid w:val="353F22A5"/>
    <w:rsid w:val="354C01C6"/>
    <w:rsid w:val="3550003C"/>
    <w:rsid w:val="356213DC"/>
    <w:rsid w:val="358D5588"/>
    <w:rsid w:val="35B025DF"/>
    <w:rsid w:val="35B6316F"/>
    <w:rsid w:val="35BC55E2"/>
    <w:rsid w:val="35D84D97"/>
    <w:rsid w:val="35E229D9"/>
    <w:rsid w:val="35F93A05"/>
    <w:rsid w:val="360B75C3"/>
    <w:rsid w:val="361218D5"/>
    <w:rsid w:val="36173C62"/>
    <w:rsid w:val="361F4E5A"/>
    <w:rsid w:val="363A3B40"/>
    <w:rsid w:val="36415851"/>
    <w:rsid w:val="365302AE"/>
    <w:rsid w:val="36607A0A"/>
    <w:rsid w:val="36620EB9"/>
    <w:rsid w:val="366E227C"/>
    <w:rsid w:val="366F2E0D"/>
    <w:rsid w:val="367B6A5C"/>
    <w:rsid w:val="36917D49"/>
    <w:rsid w:val="36963C12"/>
    <w:rsid w:val="36A74ADA"/>
    <w:rsid w:val="36AD60D5"/>
    <w:rsid w:val="36B224F9"/>
    <w:rsid w:val="36BD137C"/>
    <w:rsid w:val="36C9002A"/>
    <w:rsid w:val="36EC0CC9"/>
    <w:rsid w:val="36ED50B2"/>
    <w:rsid w:val="370336C9"/>
    <w:rsid w:val="371D03D1"/>
    <w:rsid w:val="373975EE"/>
    <w:rsid w:val="373F410B"/>
    <w:rsid w:val="375D1814"/>
    <w:rsid w:val="37785226"/>
    <w:rsid w:val="37847C99"/>
    <w:rsid w:val="37865B9A"/>
    <w:rsid w:val="37B24C58"/>
    <w:rsid w:val="37BF45D0"/>
    <w:rsid w:val="37CB13C3"/>
    <w:rsid w:val="37D20AF2"/>
    <w:rsid w:val="37DD5FB8"/>
    <w:rsid w:val="37EE7094"/>
    <w:rsid w:val="37F1277E"/>
    <w:rsid w:val="38023CE9"/>
    <w:rsid w:val="381C6A10"/>
    <w:rsid w:val="38207169"/>
    <w:rsid w:val="38296C89"/>
    <w:rsid w:val="383002EB"/>
    <w:rsid w:val="38586797"/>
    <w:rsid w:val="385A4E16"/>
    <w:rsid w:val="385F174D"/>
    <w:rsid w:val="38666521"/>
    <w:rsid w:val="386F133A"/>
    <w:rsid w:val="38801BDB"/>
    <w:rsid w:val="38A5656B"/>
    <w:rsid w:val="38AD019E"/>
    <w:rsid w:val="38BC0149"/>
    <w:rsid w:val="38D87D1C"/>
    <w:rsid w:val="38E82369"/>
    <w:rsid w:val="38E928FC"/>
    <w:rsid w:val="390727AC"/>
    <w:rsid w:val="390E4110"/>
    <w:rsid w:val="392512B2"/>
    <w:rsid w:val="39484197"/>
    <w:rsid w:val="394A5BAB"/>
    <w:rsid w:val="39579DDC"/>
    <w:rsid w:val="39636459"/>
    <w:rsid w:val="396B7F6C"/>
    <w:rsid w:val="3970623E"/>
    <w:rsid w:val="399030A9"/>
    <w:rsid w:val="399B0574"/>
    <w:rsid w:val="399F8891"/>
    <w:rsid w:val="39B417A9"/>
    <w:rsid w:val="39B63265"/>
    <w:rsid w:val="39D41DF9"/>
    <w:rsid w:val="39E11825"/>
    <w:rsid w:val="39FC5695"/>
    <w:rsid w:val="39FD48B8"/>
    <w:rsid w:val="3A006D8E"/>
    <w:rsid w:val="3A045513"/>
    <w:rsid w:val="3A3651E5"/>
    <w:rsid w:val="3A403213"/>
    <w:rsid w:val="3A4A06EF"/>
    <w:rsid w:val="3A700CFA"/>
    <w:rsid w:val="3A701C24"/>
    <w:rsid w:val="3A744481"/>
    <w:rsid w:val="3A852873"/>
    <w:rsid w:val="3A8C7BEF"/>
    <w:rsid w:val="3A906246"/>
    <w:rsid w:val="3AA215CD"/>
    <w:rsid w:val="3AAE63D8"/>
    <w:rsid w:val="3AB50022"/>
    <w:rsid w:val="3AB64A60"/>
    <w:rsid w:val="3AC84020"/>
    <w:rsid w:val="3B117EE8"/>
    <w:rsid w:val="3B2349B7"/>
    <w:rsid w:val="3B4A20A4"/>
    <w:rsid w:val="3B4D0D5C"/>
    <w:rsid w:val="3B5B7273"/>
    <w:rsid w:val="3B616CFF"/>
    <w:rsid w:val="3B6259F6"/>
    <w:rsid w:val="3B7C7A57"/>
    <w:rsid w:val="3B8C62A3"/>
    <w:rsid w:val="3B976654"/>
    <w:rsid w:val="3B987DDD"/>
    <w:rsid w:val="3BB54D17"/>
    <w:rsid w:val="3BC01EFC"/>
    <w:rsid w:val="3BCA786A"/>
    <w:rsid w:val="3BD31E2F"/>
    <w:rsid w:val="3BF15831"/>
    <w:rsid w:val="3C037E38"/>
    <w:rsid w:val="3C105946"/>
    <w:rsid w:val="3C2C1DF0"/>
    <w:rsid w:val="3C357C06"/>
    <w:rsid w:val="3C3B6231"/>
    <w:rsid w:val="3C471448"/>
    <w:rsid w:val="3C4F5748"/>
    <w:rsid w:val="3C5333BE"/>
    <w:rsid w:val="3C5F759A"/>
    <w:rsid w:val="3C6C525A"/>
    <w:rsid w:val="3C717F78"/>
    <w:rsid w:val="3C9D110D"/>
    <w:rsid w:val="3C9F0C20"/>
    <w:rsid w:val="3CAF79B9"/>
    <w:rsid w:val="3CCE23CB"/>
    <w:rsid w:val="3CD17D17"/>
    <w:rsid w:val="3CD411CD"/>
    <w:rsid w:val="3CDB69FF"/>
    <w:rsid w:val="3CE23C3D"/>
    <w:rsid w:val="3D1D4FFD"/>
    <w:rsid w:val="3D3C7F39"/>
    <w:rsid w:val="3D440F09"/>
    <w:rsid w:val="3D4504A0"/>
    <w:rsid w:val="3D532A3A"/>
    <w:rsid w:val="3D8734BB"/>
    <w:rsid w:val="3D8D5599"/>
    <w:rsid w:val="3D9A11D4"/>
    <w:rsid w:val="3DA16D89"/>
    <w:rsid w:val="3DA364BE"/>
    <w:rsid w:val="3DAF2580"/>
    <w:rsid w:val="3DB37D42"/>
    <w:rsid w:val="3DB42DAD"/>
    <w:rsid w:val="3DC270E1"/>
    <w:rsid w:val="3DCB238E"/>
    <w:rsid w:val="3DCD6749"/>
    <w:rsid w:val="3DE021C9"/>
    <w:rsid w:val="3DE041CB"/>
    <w:rsid w:val="3DE7347B"/>
    <w:rsid w:val="3E0C17F5"/>
    <w:rsid w:val="3E0D48F6"/>
    <w:rsid w:val="3E1868B4"/>
    <w:rsid w:val="3E1E7797"/>
    <w:rsid w:val="3E1F3308"/>
    <w:rsid w:val="3E23065E"/>
    <w:rsid w:val="3E29379B"/>
    <w:rsid w:val="3E377251"/>
    <w:rsid w:val="3E381421"/>
    <w:rsid w:val="3E3F06C5"/>
    <w:rsid w:val="3E42664B"/>
    <w:rsid w:val="3E534BC2"/>
    <w:rsid w:val="3E5A7334"/>
    <w:rsid w:val="3E7927E8"/>
    <w:rsid w:val="3E7A3FBF"/>
    <w:rsid w:val="3E7B5D6B"/>
    <w:rsid w:val="3E843E66"/>
    <w:rsid w:val="3E8B6229"/>
    <w:rsid w:val="3E8F51FE"/>
    <w:rsid w:val="3E926F87"/>
    <w:rsid w:val="3E9A59DE"/>
    <w:rsid w:val="3E9D645B"/>
    <w:rsid w:val="3EAF4836"/>
    <w:rsid w:val="3EB01EF5"/>
    <w:rsid w:val="3EC33DFA"/>
    <w:rsid w:val="3EDB1D61"/>
    <w:rsid w:val="3EE651E8"/>
    <w:rsid w:val="3EFA31A7"/>
    <w:rsid w:val="3F060E16"/>
    <w:rsid w:val="3F1D1096"/>
    <w:rsid w:val="3F260E6A"/>
    <w:rsid w:val="3F2F0234"/>
    <w:rsid w:val="3F337451"/>
    <w:rsid w:val="3F4D34E2"/>
    <w:rsid w:val="3F524FF5"/>
    <w:rsid w:val="3F6363FE"/>
    <w:rsid w:val="3F756B8F"/>
    <w:rsid w:val="3F7B2385"/>
    <w:rsid w:val="3F7D7D9F"/>
    <w:rsid w:val="3F95482B"/>
    <w:rsid w:val="3FA31757"/>
    <w:rsid w:val="3FA8005B"/>
    <w:rsid w:val="3FBE399E"/>
    <w:rsid w:val="3FC6643E"/>
    <w:rsid w:val="3FC90D91"/>
    <w:rsid w:val="3FDB73E7"/>
    <w:rsid w:val="3FDC320D"/>
    <w:rsid w:val="3FE71DF8"/>
    <w:rsid w:val="40030DDA"/>
    <w:rsid w:val="4019356B"/>
    <w:rsid w:val="40213118"/>
    <w:rsid w:val="402F458D"/>
    <w:rsid w:val="40592157"/>
    <w:rsid w:val="405C2CE2"/>
    <w:rsid w:val="405D33B7"/>
    <w:rsid w:val="406E1CAE"/>
    <w:rsid w:val="408F77BC"/>
    <w:rsid w:val="40A0133A"/>
    <w:rsid w:val="40AA0586"/>
    <w:rsid w:val="40BC4C61"/>
    <w:rsid w:val="40C31A53"/>
    <w:rsid w:val="40CC396A"/>
    <w:rsid w:val="40CF0A58"/>
    <w:rsid w:val="40D44AFB"/>
    <w:rsid w:val="40E61DCC"/>
    <w:rsid w:val="40FF085F"/>
    <w:rsid w:val="40FF545D"/>
    <w:rsid w:val="410067C8"/>
    <w:rsid w:val="410332AB"/>
    <w:rsid w:val="410463F9"/>
    <w:rsid w:val="411244E3"/>
    <w:rsid w:val="412C5A7C"/>
    <w:rsid w:val="41413437"/>
    <w:rsid w:val="416B0D87"/>
    <w:rsid w:val="41770ACF"/>
    <w:rsid w:val="41791DCF"/>
    <w:rsid w:val="417E5BAB"/>
    <w:rsid w:val="41815DFC"/>
    <w:rsid w:val="41851EA5"/>
    <w:rsid w:val="418D02DF"/>
    <w:rsid w:val="418F0D2A"/>
    <w:rsid w:val="4190530F"/>
    <w:rsid w:val="41A73354"/>
    <w:rsid w:val="41A80A45"/>
    <w:rsid w:val="41AE35B6"/>
    <w:rsid w:val="41D01505"/>
    <w:rsid w:val="41F06ACC"/>
    <w:rsid w:val="422A6701"/>
    <w:rsid w:val="42374232"/>
    <w:rsid w:val="42474939"/>
    <w:rsid w:val="424C3C57"/>
    <w:rsid w:val="42570281"/>
    <w:rsid w:val="425920FC"/>
    <w:rsid w:val="42613FF3"/>
    <w:rsid w:val="42660D96"/>
    <w:rsid w:val="42664FBD"/>
    <w:rsid w:val="428667D2"/>
    <w:rsid w:val="42933DB2"/>
    <w:rsid w:val="42A04F26"/>
    <w:rsid w:val="42B16548"/>
    <w:rsid w:val="42CD1CE0"/>
    <w:rsid w:val="42E1381E"/>
    <w:rsid w:val="42ED6459"/>
    <w:rsid w:val="42FE58DD"/>
    <w:rsid w:val="43174B3D"/>
    <w:rsid w:val="4329199A"/>
    <w:rsid w:val="432A7D99"/>
    <w:rsid w:val="4343256A"/>
    <w:rsid w:val="434328BF"/>
    <w:rsid w:val="434B790E"/>
    <w:rsid w:val="435766B4"/>
    <w:rsid w:val="4360274F"/>
    <w:rsid w:val="436C4C0C"/>
    <w:rsid w:val="43885B5E"/>
    <w:rsid w:val="43977AB6"/>
    <w:rsid w:val="43A3342B"/>
    <w:rsid w:val="43C77C27"/>
    <w:rsid w:val="43CA2956"/>
    <w:rsid w:val="43D751C6"/>
    <w:rsid w:val="43DE09EE"/>
    <w:rsid w:val="43EF2D90"/>
    <w:rsid w:val="43F6411F"/>
    <w:rsid w:val="44002FAD"/>
    <w:rsid w:val="441A2CF9"/>
    <w:rsid w:val="443747BD"/>
    <w:rsid w:val="446B2796"/>
    <w:rsid w:val="446F4FF4"/>
    <w:rsid w:val="44703EA3"/>
    <w:rsid w:val="449101DD"/>
    <w:rsid w:val="449D16AC"/>
    <w:rsid w:val="44A24C3C"/>
    <w:rsid w:val="44D16CFE"/>
    <w:rsid w:val="44DE1391"/>
    <w:rsid w:val="450B7626"/>
    <w:rsid w:val="451B225C"/>
    <w:rsid w:val="452410C9"/>
    <w:rsid w:val="4528619B"/>
    <w:rsid w:val="45317DFB"/>
    <w:rsid w:val="45344EFF"/>
    <w:rsid w:val="45482AB7"/>
    <w:rsid w:val="454D03CD"/>
    <w:rsid w:val="4554060E"/>
    <w:rsid w:val="456D3CE4"/>
    <w:rsid w:val="4577128F"/>
    <w:rsid w:val="4579042C"/>
    <w:rsid w:val="457F0571"/>
    <w:rsid w:val="45851176"/>
    <w:rsid w:val="45BB11DF"/>
    <w:rsid w:val="45C63B94"/>
    <w:rsid w:val="45E43226"/>
    <w:rsid w:val="45EA380F"/>
    <w:rsid w:val="460E5133"/>
    <w:rsid w:val="460E7DA5"/>
    <w:rsid w:val="461247C1"/>
    <w:rsid w:val="46422483"/>
    <w:rsid w:val="464B7318"/>
    <w:rsid w:val="464C1FF9"/>
    <w:rsid w:val="4659254A"/>
    <w:rsid w:val="465B0637"/>
    <w:rsid w:val="465E3F0D"/>
    <w:rsid w:val="466A16E6"/>
    <w:rsid w:val="467D3A06"/>
    <w:rsid w:val="467F03FC"/>
    <w:rsid w:val="46893F2B"/>
    <w:rsid w:val="46A15FA0"/>
    <w:rsid w:val="46BC068F"/>
    <w:rsid w:val="46C4686E"/>
    <w:rsid w:val="46E6701B"/>
    <w:rsid w:val="46EB16E7"/>
    <w:rsid w:val="46F1082D"/>
    <w:rsid w:val="46F1117A"/>
    <w:rsid w:val="47034AFB"/>
    <w:rsid w:val="47214527"/>
    <w:rsid w:val="47276C83"/>
    <w:rsid w:val="47677770"/>
    <w:rsid w:val="477B778F"/>
    <w:rsid w:val="47801D13"/>
    <w:rsid w:val="47816347"/>
    <w:rsid w:val="478203EC"/>
    <w:rsid w:val="47A04B5C"/>
    <w:rsid w:val="47AB6693"/>
    <w:rsid w:val="47B025FA"/>
    <w:rsid w:val="47EC7D13"/>
    <w:rsid w:val="47F87179"/>
    <w:rsid w:val="4809698F"/>
    <w:rsid w:val="4811697D"/>
    <w:rsid w:val="483354AC"/>
    <w:rsid w:val="486378A9"/>
    <w:rsid w:val="48641684"/>
    <w:rsid w:val="487A3E25"/>
    <w:rsid w:val="488B5503"/>
    <w:rsid w:val="488F68F0"/>
    <w:rsid w:val="48937E21"/>
    <w:rsid w:val="489408D9"/>
    <w:rsid w:val="489A0361"/>
    <w:rsid w:val="48B34C71"/>
    <w:rsid w:val="48B94FF3"/>
    <w:rsid w:val="48C3413F"/>
    <w:rsid w:val="48C5282A"/>
    <w:rsid w:val="48E37AAB"/>
    <w:rsid w:val="48F426FB"/>
    <w:rsid w:val="48FD4B4C"/>
    <w:rsid w:val="490A68E0"/>
    <w:rsid w:val="491054A6"/>
    <w:rsid w:val="491055FE"/>
    <w:rsid w:val="49132D46"/>
    <w:rsid w:val="49454ECE"/>
    <w:rsid w:val="495F5B3E"/>
    <w:rsid w:val="496F77D7"/>
    <w:rsid w:val="497654FD"/>
    <w:rsid w:val="49B64211"/>
    <w:rsid w:val="49C030E6"/>
    <w:rsid w:val="49D27FD8"/>
    <w:rsid w:val="49E51FFF"/>
    <w:rsid w:val="49F015C0"/>
    <w:rsid w:val="49F6167F"/>
    <w:rsid w:val="49FF0E34"/>
    <w:rsid w:val="4A064FA0"/>
    <w:rsid w:val="4A0F7CE8"/>
    <w:rsid w:val="4A16615C"/>
    <w:rsid w:val="4A2A7134"/>
    <w:rsid w:val="4A4424D7"/>
    <w:rsid w:val="4AB82D0F"/>
    <w:rsid w:val="4ACA29F1"/>
    <w:rsid w:val="4ADB1B37"/>
    <w:rsid w:val="4AEB7664"/>
    <w:rsid w:val="4AED6668"/>
    <w:rsid w:val="4AFD7C19"/>
    <w:rsid w:val="4B0567D1"/>
    <w:rsid w:val="4B0F715C"/>
    <w:rsid w:val="4B145500"/>
    <w:rsid w:val="4B236AAE"/>
    <w:rsid w:val="4B4340EE"/>
    <w:rsid w:val="4B506E59"/>
    <w:rsid w:val="4B61136D"/>
    <w:rsid w:val="4B707271"/>
    <w:rsid w:val="4B712839"/>
    <w:rsid w:val="4B923F4B"/>
    <w:rsid w:val="4B9739F7"/>
    <w:rsid w:val="4BC66ACD"/>
    <w:rsid w:val="4BCD0FAB"/>
    <w:rsid w:val="4BD761B9"/>
    <w:rsid w:val="4BDD6071"/>
    <w:rsid w:val="4BE26450"/>
    <w:rsid w:val="4BEE2503"/>
    <w:rsid w:val="4BF94848"/>
    <w:rsid w:val="4C0522FE"/>
    <w:rsid w:val="4C245A30"/>
    <w:rsid w:val="4C293BA9"/>
    <w:rsid w:val="4C2E090E"/>
    <w:rsid w:val="4C4028FC"/>
    <w:rsid w:val="4C5B0A89"/>
    <w:rsid w:val="4C673968"/>
    <w:rsid w:val="4C6F6F70"/>
    <w:rsid w:val="4C7672F1"/>
    <w:rsid w:val="4C7C2F36"/>
    <w:rsid w:val="4C8524E4"/>
    <w:rsid w:val="4CB6685F"/>
    <w:rsid w:val="4CC367FE"/>
    <w:rsid w:val="4CD64A83"/>
    <w:rsid w:val="4CD831FD"/>
    <w:rsid w:val="4CF93B9D"/>
    <w:rsid w:val="4D005293"/>
    <w:rsid w:val="4D077F3C"/>
    <w:rsid w:val="4D123355"/>
    <w:rsid w:val="4D261F37"/>
    <w:rsid w:val="4D2A3B31"/>
    <w:rsid w:val="4D312C52"/>
    <w:rsid w:val="4D4B72A8"/>
    <w:rsid w:val="4D5A0BB9"/>
    <w:rsid w:val="4D5D6FBD"/>
    <w:rsid w:val="4D844549"/>
    <w:rsid w:val="4D905305"/>
    <w:rsid w:val="4D920252"/>
    <w:rsid w:val="4D964A72"/>
    <w:rsid w:val="4D9C1254"/>
    <w:rsid w:val="4DB5756A"/>
    <w:rsid w:val="4DBD4E69"/>
    <w:rsid w:val="4DD7474D"/>
    <w:rsid w:val="4DE44013"/>
    <w:rsid w:val="4DF8460D"/>
    <w:rsid w:val="4E0A4B81"/>
    <w:rsid w:val="4E146545"/>
    <w:rsid w:val="4E3C1CFF"/>
    <w:rsid w:val="4E3D77BF"/>
    <w:rsid w:val="4E4111AF"/>
    <w:rsid w:val="4E582EF3"/>
    <w:rsid w:val="4E793892"/>
    <w:rsid w:val="4E7D6688"/>
    <w:rsid w:val="4E800872"/>
    <w:rsid w:val="4EA76741"/>
    <w:rsid w:val="4EC569ED"/>
    <w:rsid w:val="4ED50EA1"/>
    <w:rsid w:val="4ED60856"/>
    <w:rsid w:val="4EE022D7"/>
    <w:rsid w:val="4EEC050C"/>
    <w:rsid w:val="4EEC684A"/>
    <w:rsid w:val="4EF20192"/>
    <w:rsid w:val="4F063129"/>
    <w:rsid w:val="4F104EC3"/>
    <w:rsid w:val="4F126D19"/>
    <w:rsid w:val="4F271630"/>
    <w:rsid w:val="4F2953A8"/>
    <w:rsid w:val="4F2F67D9"/>
    <w:rsid w:val="4F334479"/>
    <w:rsid w:val="4F47354A"/>
    <w:rsid w:val="4F911C54"/>
    <w:rsid w:val="4FC757F7"/>
    <w:rsid w:val="4FCA1119"/>
    <w:rsid w:val="4FD12CBB"/>
    <w:rsid w:val="4FDC7D7E"/>
    <w:rsid w:val="4FE625E0"/>
    <w:rsid w:val="4FEF7B15"/>
    <w:rsid w:val="4FF64A7F"/>
    <w:rsid w:val="4FF97471"/>
    <w:rsid w:val="5021480F"/>
    <w:rsid w:val="50413434"/>
    <w:rsid w:val="504728B1"/>
    <w:rsid w:val="50507C64"/>
    <w:rsid w:val="50637CD4"/>
    <w:rsid w:val="50646F2B"/>
    <w:rsid w:val="506C4F7A"/>
    <w:rsid w:val="50962ECB"/>
    <w:rsid w:val="50A42E38"/>
    <w:rsid w:val="50A4577F"/>
    <w:rsid w:val="50A71003"/>
    <w:rsid w:val="50B73D1F"/>
    <w:rsid w:val="50BD5BC9"/>
    <w:rsid w:val="50BE7514"/>
    <w:rsid w:val="50C11EEE"/>
    <w:rsid w:val="50E2599F"/>
    <w:rsid w:val="50E97CFC"/>
    <w:rsid w:val="50FA4028"/>
    <w:rsid w:val="50FD14C0"/>
    <w:rsid w:val="51064CB5"/>
    <w:rsid w:val="510D65B7"/>
    <w:rsid w:val="511157AB"/>
    <w:rsid w:val="511F48AD"/>
    <w:rsid w:val="513D2023"/>
    <w:rsid w:val="5142540C"/>
    <w:rsid w:val="5150527F"/>
    <w:rsid w:val="51684093"/>
    <w:rsid w:val="518832C8"/>
    <w:rsid w:val="51A0432A"/>
    <w:rsid w:val="51A86090"/>
    <w:rsid w:val="51B7396D"/>
    <w:rsid w:val="51BC0B9E"/>
    <w:rsid w:val="51BF3DA2"/>
    <w:rsid w:val="51D1625A"/>
    <w:rsid w:val="51EF08E1"/>
    <w:rsid w:val="52274CD6"/>
    <w:rsid w:val="522E4CC3"/>
    <w:rsid w:val="523C0F3C"/>
    <w:rsid w:val="5244713B"/>
    <w:rsid w:val="524834F0"/>
    <w:rsid w:val="524D12E9"/>
    <w:rsid w:val="52532739"/>
    <w:rsid w:val="52577373"/>
    <w:rsid w:val="52615633"/>
    <w:rsid w:val="5266556A"/>
    <w:rsid w:val="526B217C"/>
    <w:rsid w:val="526B764F"/>
    <w:rsid w:val="528D52F3"/>
    <w:rsid w:val="52977FD4"/>
    <w:rsid w:val="52A05F7F"/>
    <w:rsid w:val="52A25790"/>
    <w:rsid w:val="52A96B6F"/>
    <w:rsid w:val="52B45975"/>
    <w:rsid w:val="52B6146D"/>
    <w:rsid w:val="52C61EDE"/>
    <w:rsid w:val="52D21B4F"/>
    <w:rsid w:val="52D94AA4"/>
    <w:rsid w:val="52EA3A62"/>
    <w:rsid w:val="52F50BB8"/>
    <w:rsid w:val="53097272"/>
    <w:rsid w:val="531B7AA5"/>
    <w:rsid w:val="53311FA2"/>
    <w:rsid w:val="53544462"/>
    <w:rsid w:val="53834329"/>
    <w:rsid w:val="5397158E"/>
    <w:rsid w:val="53EC4BF7"/>
    <w:rsid w:val="54013861"/>
    <w:rsid w:val="540616D0"/>
    <w:rsid w:val="54434B63"/>
    <w:rsid w:val="54487265"/>
    <w:rsid w:val="544A0D24"/>
    <w:rsid w:val="544D6070"/>
    <w:rsid w:val="54605E1E"/>
    <w:rsid w:val="54685041"/>
    <w:rsid w:val="546B1FBF"/>
    <w:rsid w:val="54A23780"/>
    <w:rsid w:val="54B3506A"/>
    <w:rsid w:val="54BF1DF1"/>
    <w:rsid w:val="54C64996"/>
    <w:rsid w:val="54C662FF"/>
    <w:rsid w:val="54CA0D16"/>
    <w:rsid w:val="54DD4057"/>
    <w:rsid w:val="54E7490F"/>
    <w:rsid w:val="54E75560"/>
    <w:rsid w:val="550764A4"/>
    <w:rsid w:val="550B2BF6"/>
    <w:rsid w:val="551366CC"/>
    <w:rsid w:val="55214EB5"/>
    <w:rsid w:val="552810B5"/>
    <w:rsid w:val="55364EFD"/>
    <w:rsid w:val="555D4828"/>
    <w:rsid w:val="555E7D76"/>
    <w:rsid w:val="555F0C24"/>
    <w:rsid w:val="557A4C8B"/>
    <w:rsid w:val="557F583F"/>
    <w:rsid w:val="558931E1"/>
    <w:rsid w:val="55923347"/>
    <w:rsid w:val="55925180"/>
    <w:rsid w:val="55983B1B"/>
    <w:rsid w:val="55A8376B"/>
    <w:rsid w:val="55BB3EF3"/>
    <w:rsid w:val="55D342C0"/>
    <w:rsid w:val="55DC29B6"/>
    <w:rsid w:val="55DD4241"/>
    <w:rsid w:val="55EA3A13"/>
    <w:rsid w:val="55F04C44"/>
    <w:rsid w:val="55FF6F17"/>
    <w:rsid w:val="563C3DCB"/>
    <w:rsid w:val="563C5CA8"/>
    <w:rsid w:val="56505911"/>
    <w:rsid w:val="5653279C"/>
    <w:rsid w:val="565418D3"/>
    <w:rsid w:val="566B6D1E"/>
    <w:rsid w:val="567250FE"/>
    <w:rsid w:val="567A2E0E"/>
    <w:rsid w:val="567D13ED"/>
    <w:rsid w:val="56842DF9"/>
    <w:rsid w:val="56903F5F"/>
    <w:rsid w:val="56945401"/>
    <w:rsid w:val="569B7333"/>
    <w:rsid w:val="56C65478"/>
    <w:rsid w:val="56DA6B73"/>
    <w:rsid w:val="56FD56F3"/>
    <w:rsid w:val="57032A2C"/>
    <w:rsid w:val="570F5219"/>
    <w:rsid w:val="575925A3"/>
    <w:rsid w:val="575D12B5"/>
    <w:rsid w:val="57610A87"/>
    <w:rsid w:val="577B1140"/>
    <w:rsid w:val="577B7F21"/>
    <w:rsid w:val="577F181B"/>
    <w:rsid w:val="57921984"/>
    <w:rsid w:val="579737F0"/>
    <w:rsid w:val="57AA386C"/>
    <w:rsid w:val="57AB7B30"/>
    <w:rsid w:val="57AF5251"/>
    <w:rsid w:val="57B26373"/>
    <w:rsid w:val="57B63F04"/>
    <w:rsid w:val="57BE3B60"/>
    <w:rsid w:val="57C934C5"/>
    <w:rsid w:val="57CD20C2"/>
    <w:rsid w:val="57D157E2"/>
    <w:rsid w:val="57D46053"/>
    <w:rsid w:val="57D675AB"/>
    <w:rsid w:val="57D95FDD"/>
    <w:rsid w:val="57E133DD"/>
    <w:rsid w:val="5814778D"/>
    <w:rsid w:val="58196889"/>
    <w:rsid w:val="583B7EFB"/>
    <w:rsid w:val="584140A6"/>
    <w:rsid w:val="584F5203"/>
    <w:rsid w:val="58513834"/>
    <w:rsid w:val="5862482C"/>
    <w:rsid w:val="586D5FB7"/>
    <w:rsid w:val="587F072F"/>
    <w:rsid w:val="58917D2F"/>
    <w:rsid w:val="5894085C"/>
    <w:rsid w:val="58AE4F0C"/>
    <w:rsid w:val="58B85899"/>
    <w:rsid w:val="58D701DF"/>
    <w:rsid w:val="58D955AA"/>
    <w:rsid w:val="58E363A9"/>
    <w:rsid w:val="58EF5611"/>
    <w:rsid w:val="58F162FD"/>
    <w:rsid w:val="59232DF8"/>
    <w:rsid w:val="59242179"/>
    <w:rsid w:val="593D6BAF"/>
    <w:rsid w:val="595E1678"/>
    <w:rsid w:val="596D5BD4"/>
    <w:rsid w:val="59740F36"/>
    <w:rsid w:val="597E3DD8"/>
    <w:rsid w:val="5982685A"/>
    <w:rsid w:val="59D04DE6"/>
    <w:rsid w:val="59ED0A6D"/>
    <w:rsid w:val="59EF3692"/>
    <w:rsid w:val="59F80043"/>
    <w:rsid w:val="5A09252F"/>
    <w:rsid w:val="5A0B2778"/>
    <w:rsid w:val="5A1619EA"/>
    <w:rsid w:val="5A20149A"/>
    <w:rsid w:val="5A2A7C7B"/>
    <w:rsid w:val="5A2E6540"/>
    <w:rsid w:val="5A3E2560"/>
    <w:rsid w:val="5A3E4763"/>
    <w:rsid w:val="5A57255B"/>
    <w:rsid w:val="5A5D3B6E"/>
    <w:rsid w:val="5A637A76"/>
    <w:rsid w:val="5A6D33BA"/>
    <w:rsid w:val="5A792B1F"/>
    <w:rsid w:val="5A874767"/>
    <w:rsid w:val="5AA85135"/>
    <w:rsid w:val="5AAD6F28"/>
    <w:rsid w:val="5AD53012"/>
    <w:rsid w:val="5AD63A24"/>
    <w:rsid w:val="5AD85C60"/>
    <w:rsid w:val="5AF64BA6"/>
    <w:rsid w:val="5B2E1A1D"/>
    <w:rsid w:val="5B3D704E"/>
    <w:rsid w:val="5B410779"/>
    <w:rsid w:val="5B525C87"/>
    <w:rsid w:val="5B6D06E7"/>
    <w:rsid w:val="5B843A1C"/>
    <w:rsid w:val="5B873E3F"/>
    <w:rsid w:val="5B8C73EB"/>
    <w:rsid w:val="5BB92F8E"/>
    <w:rsid w:val="5BC05397"/>
    <w:rsid w:val="5BD8078D"/>
    <w:rsid w:val="5BFA59C7"/>
    <w:rsid w:val="5C02690E"/>
    <w:rsid w:val="5C0E333F"/>
    <w:rsid w:val="5C194E0F"/>
    <w:rsid w:val="5C196DA7"/>
    <w:rsid w:val="5C2A048C"/>
    <w:rsid w:val="5C2B610A"/>
    <w:rsid w:val="5C415839"/>
    <w:rsid w:val="5C4247E0"/>
    <w:rsid w:val="5C603B9E"/>
    <w:rsid w:val="5C6B43A5"/>
    <w:rsid w:val="5C80234E"/>
    <w:rsid w:val="5C8A680C"/>
    <w:rsid w:val="5C9F4678"/>
    <w:rsid w:val="5CB302F5"/>
    <w:rsid w:val="5CBA429A"/>
    <w:rsid w:val="5CC5662B"/>
    <w:rsid w:val="5CCD1101"/>
    <w:rsid w:val="5CF40E2A"/>
    <w:rsid w:val="5D047455"/>
    <w:rsid w:val="5D0C4701"/>
    <w:rsid w:val="5D0F0395"/>
    <w:rsid w:val="5D1433FB"/>
    <w:rsid w:val="5D221076"/>
    <w:rsid w:val="5D397964"/>
    <w:rsid w:val="5D5A391C"/>
    <w:rsid w:val="5D5F10C0"/>
    <w:rsid w:val="5D6D6C99"/>
    <w:rsid w:val="5D891B7B"/>
    <w:rsid w:val="5DAD38EE"/>
    <w:rsid w:val="5DB52BC5"/>
    <w:rsid w:val="5DC36B4B"/>
    <w:rsid w:val="5E006862"/>
    <w:rsid w:val="5E0207B9"/>
    <w:rsid w:val="5E0E0488"/>
    <w:rsid w:val="5E1834A1"/>
    <w:rsid w:val="5E1B68E7"/>
    <w:rsid w:val="5E261785"/>
    <w:rsid w:val="5E311139"/>
    <w:rsid w:val="5E3675B2"/>
    <w:rsid w:val="5E434145"/>
    <w:rsid w:val="5E4A7017"/>
    <w:rsid w:val="5E552BBA"/>
    <w:rsid w:val="5E5D0BCB"/>
    <w:rsid w:val="5E611C10"/>
    <w:rsid w:val="5E6D10BD"/>
    <w:rsid w:val="5E912F6A"/>
    <w:rsid w:val="5E916AC6"/>
    <w:rsid w:val="5E9A6C94"/>
    <w:rsid w:val="5EB50202"/>
    <w:rsid w:val="5EC21E78"/>
    <w:rsid w:val="5ECB647C"/>
    <w:rsid w:val="5EDE00DE"/>
    <w:rsid w:val="5EFC4888"/>
    <w:rsid w:val="5EFC7377"/>
    <w:rsid w:val="5EFEB119"/>
    <w:rsid w:val="5F06174D"/>
    <w:rsid w:val="5F184B97"/>
    <w:rsid w:val="5F1919AA"/>
    <w:rsid w:val="5F3A3602"/>
    <w:rsid w:val="5F6277C6"/>
    <w:rsid w:val="5F6D0B1D"/>
    <w:rsid w:val="5F7F0A6C"/>
    <w:rsid w:val="5F8D0B82"/>
    <w:rsid w:val="5F927A76"/>
    <w:rsid w:val="5F9A3EA5"/>
    <w:rsid w:val="5FA32F55"/>
    <w:rsid w:val="5FA911F0"/>
    <w:rsid w:val="5FB92779"/>
    <w:rsid w:val="5FCA6EB5"/>
    <w:rsid w:val="5FCC5339"/>
    <w:rsid w:val="5FE34A5B"/>
    <w:rsid w:val="5FE3C1BD"/>
    <w:rsid w:val="5FFE1E36"/>
    <w:rsid w:val="60014280"/>
    <w:rsid w:val="60136353"/>
    <w:rsid w:val="60232584"/>
    <w:rsid w:val="607330CE"/>
    <w:rsid w:val="607F1367"/>
    <w:rsid w:val="60825176"/>
    <w:rsid w:val="60843754"/>
    <w:rsid w:val="609F2AC4"/>
    <w:rsid w:val="60A5795F"/>
    <w:rsid w:val="60F772A0"/>
    <w:rsid w:val="60FA2EE8"/>
    <w:rsid w:val="61054A27"/>
    <w:rsid w:val="610A52BC"/>
    <w:rsid w:val="610C43E8"/>
    <w:rsid w:val="611D2366"/>
    <w:rsid w:val="613302DC"/>
    <w:rsid w:val="61357BDD"/>
    <w:rsid w:val="613B42FF"/>
    <w:rsid w:val="61421856"/>
    <w:rsid w:val="61434FAB"/>
    <w:rsid w:val="615227C4"/>
    <w:rsid w:val="615B059F"/>
    <w:rsid w:val="615D5386"/>
    <w:rsid w:val="616540C2"/>
    <w:rsid w:val="61654E3F"/>
    <w:rsid w:val="617F6C0F"/>
    <w:rsid w:val="6182292A"/>
    <w:rsid w:val="61835590"/>
    <w:rsid w:val="619F7F92"/>
    <w:rsid w:val="61A261E8"/>
    <w:rsid w:val="61A628FA"/>
    <w:rsid w:val="61B1405D"/>
    <w:rsid w:val="61C01DCB"/>
    <w:rsid w:val="61DC3121"/>
    <w:rsid w:val="61E57855"/>
    <w:rsid w:val="61F70404"/>
    <w:rsid w:val="61F94C26"/>
    <w:rsid w:val="62000E56"/>
    <w:rsid w:val="62347E94"/>
    <w:rsid w:val="623A1223"/>
    <w:rsid w:val="624D08A0"/>
    <w:rsid w:val="624F3E49"/>
    <w:rsid w:val="625C0EDE"/>
    <w:rsid w:val="625C71E2"/>
    <w:rsid w:val="62632286"/>
    <w:rsid w:val="626D784A"/>
    <w:rsid w:val="62885958"/>
    <w:rsid w:val="62C361BE"/>
    <w:rsid w:val="62CC39A0"/>
    <w:rsid w:val="62D76DC7"/>
    <w:rsid w:val="62DE0E7B"/>
    <w:rsid w:val="62E31181"/>
    <w:rsid w:val="62EA65CE"/>
    <w:rsid w:val="62F40B65"/>
    <w:rsid w:val="62F6549D"/>
    <w:rsid w:val="62FC2CFE"/>
    <w:rsid w:val="63024505"/>
    <w:rsid w:val="6319163A"/>
    <w:rsid w:val="635B1DB5"/>
    <w:rsid w:val="63711FED"/>
    <w:rsid w:val="63852C0C"/>
    <w:rsid w:val="63880DDC"/>
    <w:rsid w:val="63897561"/>
    <w:rsid w:val="638D750D"/>
    <w:rsid w:val="638D78D8"/>
    <w:rsid w:val="63A1404D"/>
    <w:rsid w:val="63A914DA"/>
    <w:rsid w:val="63AC6CC0"/>
    <w:rsid w:val="63AF671E"/>
    <w:rsid w:val="63B07D87"/>
    <w:rsid w:val="63CE5636"/>
    <w:rsid w:val="63D36808"/>
    <w:rsid w:val="63E27879"/>
    <w:rsid w:val="63E50BFC"/>
    <w:rsid w:val="63FA2D29"/>
    <w:rsid w:val="64055776"/>
    <w:rsid w:val="640A712A"/>
    <w:rsid w:val="64157E2E"/>
    <w:rsid w:val="64201842"/>
    <w:rsid w:val="64240056"/>
    <w:rsid w:val="643E143A"/>
    <w:rsid w:val="644C59A4"/>
    <w:rsid w:val="64580D18"/>
    <w:rsid w:val="645842F7"/>
    <w:rsid w:val="645E55CA"/>
    <w:rsid w:val="64741A78"/>
    <w:rsid w:val="648275DD"/>
    <w:rsid w:val="648B6EEF"/>
    <w:rsid w:val="64BA2CDB"/>
    <w:rsid w:val="64C158BF"/>
    <w:rsid w:val="64CE2EAA"/>
    <w:rsid w:val="64E30A29"/>
    <w:rsid w:val="6509385A"/>
    <w:rsid w:val="651D10B4"/>
    <w:rsid w:val="65274800"/>
    <w:rsid w:val="653C3090"/>
    <w:rsid w:val="653C352F"/>
    <w:rsid w:val="65553C89"/>
    <w:rsid w:val="655E1932"/>
    <w:rsid w:val="65830CC8"/>
    <w:rsid w:val="65854376"/>
    <w:rsid w:val="658767BE"/>
    <w:rsid w:val="65892531"/>
    <w:rsid w:val="658B1B84"/>
    <w:rsid w:val="65AF2D34"/>
    <w:rsid w:val="65B01F28"/>
    <w:rsid w:val="65BE054C"/>
    <w:rsid w:val="65C9379D"/>
    <w:rsid w:val="65F010D5"/>
    <w:rsid w:val="65FF4C5D"/>
    <w:rsid w:val="66017AE5"/>
    <w:rsid w:val="66144D64"/>
    <w:rsid w:val="66195831"/>
    <w:rsid w:val="66231A28"/>
    <w:rsid w:val="662E75B1"/>
    <w:rsid w:val="66342C2E"/>
    <w:rsid w:val="66383143"/>
    <w:rsid w:val="663E784C"/>
    <w:rsid w:val="668B6A45"/>
    <w:rsid w:val="669252B3"/>
    <w:rsid w:val="66A10559"/>
    <w:rsid w:val="66A1736B"/>
    <w:rsid w:val="66C33CFD"/>
    <w:rsid w:val="66D85655"/>
    <w:rsid w:val="66F71800"/>
    <w:rsid w:val="66F81DD8"/>
    <w:rsid w:val="67161B80"/>
    <w:rsid w:val="671C27C9"/>
    <w:rsid w:val="67232657"/>
    <w:rsid w:val="672F3F24"/>
    <w:rsid w:val="673E055F"/>
    <w:rsid w:val="673F17B5"/>
    <w:rsid w:val="6748263B"/>
    <w:rsid w:val="6751773B"/>
    <w:rsid w:val="67551CE3"/>
    <w:rsid w:val="676F6A10"/>
    <w:rsid w:val="677357A0"/>
    <w:rsid w:val="677D2492"/>
    <w:rsid w:val="677FC4B8"/>
    <w:rsid w:val="679B1F3D"/>
    <w:rsid w:val="67A22552"/>
    <w:rsid w:val="67B22DCC"/>
    <w:rsid w:val="67B315A2"/>
    <w:rsid w:val="67BE71AA"/>
    <w:rsid w:val="67BE72E7"/>
    <w:rsid w:val="67D90273"/>
    <w:rsid w:val="67DE5875"/>
    <w:rsid w:val="67E208DA"/>
    <w:rsid w:val="67E55852"/>
    <w:rsid w:val="67EB1AB4"/>
    <w:rsid w:val="67FA1285"/>
    <w:rsid w:val="67FC1AAF"/>
    <w:rsid w:val="680C60F7"/>
    <w:rsid w:val="68411B2A"/>
    <w:rsid w:val="68427745"/>
    <w:rsid w:val="68480D45"/>
    <w:rsid w:val="68482ACD"/>
    <w:rsid w:val="68551F4F"/>
    <w:rsid w:val="685F4912"/>
    <w:rsid w:val="68602FC8"/>
    <w:rsid w:val="686508AD"/>
    <w:rsid w:val="687C10C9"/>
    <w:rsid w:val="68840C16"/>
    <w:rsid w:val="68876EFB"/>
    <w:rsid w:val="68884654"/>
    <w:rsid w:val="688D7765"/>
    <w:rsid w:val="68981C16"/>
    <w:rsid w:val="68987886"/>
    <w:rsid w:val="689F444F"/>
    <w:rsid w:val="68AD06CB"/>
    <w:rsid w:val="68B836C5"/>
    <w:rsid w:val="68B96DBB"/>
    <w:rsid w:val="68BE670A"/>
    <w:rsid w:val="68C77CCF"/>
    <w:rsid w:val="68CA2805"/>
    <w:rsid w:val="68E937A3"/>
    <w:rsid w:val="692469BA"/>
    <w:rsid w:val="693040F1"/>
    <w:rsid w:val="693C0333"/>
    <w:rsid w:val="693E15D3"/>
    <w:rsid w:val="69627681"/>
    <w:rsid w:val="69702ECB"/>
    <w:rsid w:val="6977531D"/>
    <w:rsid w:val="69805664"/>
    <w:rsid w:val="69A80AFD"/>
    <w:rsid w:val="69B769D5"/>
    <w:rsid w:val="69B948A9"/>
    <w:rsid w:val="69CC2BFF"/>
    <w:rsid w:val="69D0062A"/>
    <w:rsid w:val="69E2405E"/>
    <w:rsid w:val="69EB1780"/>
    <w:rsid w:val="69FD55B8"/>
    <w:rsid w:val="6A0B1C62"/>
    <w:rsid w:val="6A1C76FC"/>
    <w:rsid w:val="6A2406C8"/>
    <w:rsid w:val="6A3B0B8E"/>
    <w:rsid w:val="6A4101AA"/>
    <w:rsid w:val="6A761984"/>
    <w:rsid w:val="6A7944DE"/>
    <w:rsid w:val="6A9E4786"/>
    <w:rsid w:val="6A9F0ED6"/>
    <w:rsid w:val="6AA638F9"/>
    <w:rsid w:val="6AA7223B"/>
    <w:rsid w:val="6AA87A3D"/>
    <w:rsid w:val="6ADE0BD1"/>
    <w:rsid w:val="6AE66F87"/>
    <w:rsid w:val="6AE846AF"/>
    <w:rsid w:val="6AE96859"/>
    <w:rsid w:val="6AED1528"/>
    <w:rsid w:val="6B007BED"/>
    <w:rsid w:val="6B0E1F43"/>
    <w:rsid w:val="6B105217"/>
    <w:rsid w:val="6B147746"/>
    <w:rsid w:val="6B24787C"/>
    <w:rsid w:val="6B3169AE"/>
    <w:rsid w:val="6B573233"/>
    <w:rsid w:val="6B57794A"/>
    <w:rsid w:val="6B5B6274"/>
    <w:rsid w:val="6B6B606E"/>
    <w:rsid w:val="6B831CFF"/>
    <w:rsid w:val="6B8E0F2B"/>
    <w:rsid w:val="6B935D53"/>
    <w:rsid w:val="6B9D5863"/>
    <w:rsid w:val="6C196F71"/>
    <w:rsid w:val="6C213642"/>
    <w:rsid w:val="6C226FCB"/>
    <w:rsid w:val="6C292A34"/>
    <w:rsid w:val="6C31226F"/>
    <w:rsid w:val="6C431E34"/>
    <w:rsid w:val="6C552F0B"/>
    <w:rsid w:val="6C646D57"/>
    <w:rsid w:val="6C753116"/>
    <w:rsid w:val="6C7F4402"/>
    <w:rsid w:val="6C8C67B7"/>
    <w:rsid w:val="6C8D2CA2"/>
    <w:rsid w:val="6C903ECD"/>
    <w:rsid w:val="6C9500C9"/>
    <w:rsid w:val="6C9779EC"/>
    <w:rsid w:val="6C9D744C"/>
    <w:rsid w:val="6CB340FA"/>
    <w:rsid w:val="6D167928"/>
    <w:rsid w:val="6D214CEE"/>
    <w:rsid w:val="6D26299B"/>
    <w:rsid w:val="6D29520A"/>
    <w:rsid w:val="6D4772EC"/>
    <w:rsid w:val="6D4F011E"/>
    <w:rsid w:val="6D513FF0"/>
    <w:rsid w:val="6D7FCBBB"/>
    <w:rsid w:val="6D821096"/>
    <w:rsid w:val="6D8910EF"/>
    <w:rsid w:val="6D9078AF"/>
    <w:rsid w:val="6DA74493"/>
    <w:rsid w:val="6DAA3FEF"/>
    <w:rsid w:val="6DC0172B"/>
    <w:rsid w:val="6DCB690C"/>
    <w:rsid w:val="6DD41A5B"/>
    <w:rsid w:val="6DDF31D4"/>
    <w:rsid w:val="6DE304D5"/>
    <w:rsid w:val="6DF373DB"/>
    <w:rsid w:val="6DF43C2E"/>
    <w:rsid w:val="6DF51CA3"/>
    <w:rsid w:val="6E03794A"/>
    <w:rsid w:val="6E33512B"/>
    <w:rsid w:val="6E347DFE"/>
    <w:rsid w:val="6E8335BD"/>
    <w:rsid w:val="6E8E12EF"/>
    <w:rsid w:val="6E972936"/>
    <w:rsid w:val="6EA91C0A"/>
    <w:rsid w:val="6EB14E0C"/>
    <w:rsid w:val="6EB15EB4"/>
    <w:rsid w:val="6EBA7EA4"/>
    <w:rsid w:val="6ED446C5"/>
    <w:rsid w:val="6EE42901"/>
    <w:rsid w:val="6EFFA6FA"/>
    <w:rsid w:val="6F046D6B"/>
    <w:rsid w:val="6F265009"/>
    <w:rsid w:val="6F2A7D94"/>
    <w:rsid w:val="6F3547A0"/>
    <w:rsid w:val="6F4D0566"/>
    <w:rsid w:val="6F653D83"/>
    <w:rsid w:val="6F654F0C"/>
    <w:rsid w:val="6F734E52"/>
    <w:rsid w:val="6F742218"/>
    <w:rsid w:val="6F82594E"/>
    <w:rsid w:val="6F8331F1"/>
    <w:rsid w:val="6F892271"/>
    <w:rsid w:val="6FA74989"/>
    <w:rsid w:val="6FAE1A09"/>
    <w:rsid w:val="6FD75BF8"/>
    <w:rsid w:val="6FE169D2"/>
    <w:rsid w:val="6FEF3738"/>
    <w:rsid w:val="7006548B"/>
    <w:rsid w:val="70187BB5"/>
    <w:rsid w:val="701A2DBF"/>
    <w:rsid w:val="70262765"/>
    <w:rsid w:val="70316AFC"/>
    <w:rsid w:val="70416651"/>
    <w:rsid w:val="70474316"/>
    <w:rsid w:val="704E4817"/>
    <w:rsid w:val="70553DF8"/>
    <w:rsid w:val="707723D0"/>
    <w:rsid w:val="70982851"/>
    <w:rsid w:val="70986332"/>
    <w:rsid w:val="70C355DB"/>
    <w:rsid w:val="70CE2A2E"/>
    <w:rsid w:val="70E54C43"/>
    <w:rsid w:val="70F12FAE"/>
    <w:rsid w:val="70F5661B"/>
    <w:rsid w:val="71023D91"/>
    <w:rsid w:val="71360107"/>
    <w:rsid w:val="71374830"/>
    <w:rsid w:val="713B688E"/>
    <w:rsid w:val="7151566D"/>
    <w:rsid w:val="715F301C"/>
    <w:rsid w:val="719554A2"/>
    <w:rsid w:val="71BA525D"/>
    <w:rsid w:val="71BE506E"/>
    <w:rsid w:val="71C5587B"/>
    <w:rsid w:val="71CD0FE1"/>
    <w:rsid w:val="71D43752"/>
    <w:rsid w:val="71D630C6"/>
    <w:rsid w:val="71DE0417"/>
    <w:rsid w:val="71ED142D"/>
    <w:rsid w:val="71F1796A"/>
    <w:rsid w:val="71FF69B2"/>
    <w:rsid w:val="720F6228"/>
    <w:rsid w:val="72130BA5"/>
    <w:rsid w:val="72154626"/>
    <w:rsid w:val="72262B5D"/>
    <w:rsid w:val="72283FF7"/>
    <w:rsid w:val="722E7212"/>
    <w:rsid w:val="723A0474"/>
    <w:rsid w:val="724C122A"/>
    <w:rsid w:val="725320E2"/>
    <w:rsid w:val="7257211E"/>
    <w:rsid w:val="725923E4"/>
    <w:rsid w:val="725A1877"/>
    <w:rsid w:val="72864BF7"/>
    <w:rsid w:val="728743F3"/>
    <w:rsid w:val="729023FC"/>
    <w:rsid w:val="72A72150"/>
    <w:rsid w:val="72A96299"/>
    <w:rsid w:val="72D04E31"/>
    <w:rsid w:val="73151992"/>
    <w:rsid w:val="73352235"/>
    <w:rsid w:val="73401EB8"/>
    <w:rsid w:val="73610607"/>
    <w:rsid w:val="738B2556"/>
    <w:rsid w:val="738E4022"/>
    <w:rsid w:val="739C5231"/>
    <w:rsid w:val="73A220AE"/>
    <w:rsid w:val="73C0646E"/>
    <w:rsid w:val="73CF3445"/>
    <w:rsid w:val="73E0166E"/>
    <w:rsid w:val="73E109CD"/>
    <w:rsid w:val="740A7C72"/>
    <w:rsid w:val="741A2067"/>
    <w:rsid w:val="742222F5"/>
    <w:rsid w:val="7439776D"/>
    <w:rsid w:val="74476126"/>
    <w:rsid w:val="74706664"/>
    <w:rsid w:val="747F3682"/>
    <w:rsid w:val="749C4185"/>
    <w:rsid w:val="74C836FB"/>
    <w:rsid w:val="74CE23CA"/>
    <w:rsid w:val="74E1597B"/>
    <w:rsid w:val="74F3598D"/>
    <w:rsid w:val="75067759"/>
    <w:rsid w:val="750E27C7"/>
    <w:rsid w:val="750F1273"/>
    <w:rsid w:val="752E6DCD"/>
    <w:rsid w:val="7551380D"/>
    <w:rsid w:val="75556CB2"/>
    <w:rsid w:val="75600BE5"/>
    <w:rsid w:val="7564475C"/>
    <w:rsid w:val="756F07B9"/>
    <w:rsid w:val="75742F72"/>
    <w:rsid w:val="757F79BC"/>
    <w:rsid w:val="7583797F"/>
    <w:rsid w:val="758B5A35"/>
    <w:rsid w:val="758E1345"/>
    <w:rsid w:val="75AB00CE"/>
    <w:rsid w:val="75BD19C2"/>
    <w:rsid w:val="75D20F1D"/>
    <w:rsid w:val="75D699B9"/>
    <w:rsid w:val="75DA2C18"/>
    <w:rsid w:val="75F54412"/>
    <w:rsid w:val="7602540F"/>
    <w:rsid w:val="761D08E0"/>
    <w:rsid w:val="762E372E"/>
    <w:rsid w:val="763237C3"/>
    <w:rsid w:val="76402E54"/>
    <w:rsid w:val="765D29D6"/>
    <w:rsid w:val="765D347C"/>
    <w:rsid w:val="7661256E"/>
    <w:rsid w:val="76620885"/>
    <w:rsid w:val="76817959"/>
    <w:rsid w:val="76826699"/>
    <w:rsid w:val="76BB072D"/>
    <w:rsid w:val="76C87133"/>
    <w:rsid w:val="76CB02BC"/>
    <w:rsid w:val="76CD08D5"/>
    <w:rsid w:val="76DB4B92"/>
    <w:rsid w:val="76E0513C"/>
    <w:rsid w:val="76EE05AE"/>
    <w:rsid w:val="76F940B5"/>
    <w:rsid w:val="77052AA4"/>
    <w:rsid w:val="77136511"/>
    <w:rsid w:val="77340A39"/>
    <w:rsid w:val="77351FD0"/>
    <w:rsid w:val="7744085D"/>
    <w:rsid w:val="77472422"/>
    <w:rsid w:val="777B32BF"/>
    <w:rsid w:val="777F31F2"/>
    <w:rsid w:val="778D6084"/>
    <w:rsid w:val="77A23B52"/>
    <w:rsid w:val="77D1700D"/>
    <w:rsid w:val="77EC04CC"/>
    <w:rsid w:val="77ED700C"/>
    <w:rsid w:val="77EE9D35"/>
    <w:rsid w:val="77FB56E4"/>
    <w:rsid w:val="78002763"/>
    <w:rsid w:val="78144439"/>
    <w:rsid w:val="782E6CA4"/>
    <w:rsid w:val="785E6684"/>
    <w:rsid w:val="78600B26"/>
    <w:rsid w:val="78775729"/>
    <w:rsid w:val="7884549A"/>
    <w:rsid w:val="78A42DB0"/>
    <w:rsid w:val="78A656AB"/>
    <w:rsid w:val="78B2245C"/>
    <w:rsid w:val="78B944EA"/>
    <w:rsid w:val="78CF6711"/>
    <w:rsid w:val="78E172CC"/>
    <w:rsid w:val="78EA1D1F"/>
    <w:rsid w:val="79014D6A"/>
    <w:rsid w:val="7904172F"/>
    <w:rsid w:val="790F7E27"/>
    <w:rsid w:val="791660EE"/>
    <w:rsid w:val="792A231A"/>
    <w:rsid w:val="792E3438"/>
    <w:rsid w:val="79316829"/>
    <w:rsid w:val="79557D8F"/>
    <w:rsid w:val="796A0496"/>
    <w:rsid w:val="797E66A9"/>
    <w:rsid w:val="798F0C50"/>
    <w:rsid w:val="79916C08"/>
    <w:rsid w:val="79A54571"/>
    <w:rsid w:val="79A97383"/>
    <w:rsid w:val="79B576B5"/>
    <w:rsid w:val="79B670DE"/>
    <w:rsid w:val="79D700C9"/>
    <w:rsid w:val="79DD5076"/>
    <w:rsid w:val="79E27E8B"/>
    <w:rsid w:val="79E55F23"/>
    <w:rsid w:val="79F50F6F"/>
    <w:rsid w:val="79F60E94"/>
    <w:rsid w:val="79F850CE"/>
    <w:rsid w:val="79FD2E0A"/>
    <w:rsid w:val="79FD443C"/>
    <w:rsid w:val="7A031D70"/>
    <w:rsid w:val="7A097A01"/>
    <w:rsid w:val="7A1D1975"/>
    <w:rsid w:val="7A226A18"/>
    <w:rsid w:val="7A3E5150"/>
    <w:rsid w:val="7A4670D6"/>
    <w:rsid w:val="7A4A3BC0"/>
    <w:rsid w:val="7A534B63"/>
    <w:rsid w:val="7A615382"/>
    <w:rsid w:val="7A657E85"/>
    <w:rsid w:val="7A67303B"/>
    <w:rsid w:val="7A9863F2"/>
    <w:rsid w:val="7AA61D6E"/>
    <w:rsid w:val="7AAB1D04"/>
    <w:rsid w:val="7AAE29CF"/>
    <w:rsid w:val="7ABA4368"/>
    <w:rsid w:val="7ACA02E8"/>
    <w:rsid w:val="7AD05746"/>
    <w:rsid w:val="7ADD5383"/>
    <w:rsid w:val="7AEF5B98"/>
    <w:rsid w:val="7B257FFD"/>
    <w:rsid w:val="7B2A3ECA"/>
    <w:rsid w:val="7B343476"/>
    <w:rsid w:val="7B3870A9"/>
    <w:rsid w:val="7B3A2568"/>
    <w:rsid w:val="7B3BAA8A"/>
    <w:rsid w:val="7B5A2978"/>
    <w:rsid w:val="7B5A7E4C"/>
    <w:rsid w:val="7B5B42B3"/>
    <w:rsid w:val="7B667AF9"/>
    <w:rsid w:val="7B6E62BE"/>
    <w:rsid w:val="7B7468F8"/>
    <w:rsid w:val="7B7C1C9C"/>
    <w:rsid w:val="7B957D4A"/>
    <w:rsid w:val="7B9934BC"/>
    <w:rsid w:val="7BA110BB"/>
    <w:rsid w:val="7BEE0103"/>
    <w:rsid w:val="7C0A0FE4"/>
    <w:rsid w:val="7C19147F"/>
    <w:rsid w:val="7C1E057E"/>
    <w:rsid w:val="7C254906"/>
    <w:rsid w:val="7C582096"/>
    <w:rsid w:val="7C590818"/>
    <w:rsid w:val="7C7C10F6"/>
    <w:rsid w:val="7C853BEA"/>
    <w:rsid w:val="7C881368"/>
    <w:rsid w:val="7CB023B6"/>
    <w:rsid w:val="7CCC4E2E"/>
    <w:rsid w:val="7CDB38D7"/>
    <w:rsid w:val="7CE27788"/>
    <w:rsid w:val="7CF433EE"/>
    <w:rsid w:val="7D0C32F1"/>
    <w:rsid w:val="7D0F408D"/>
    <w:rsid w:val="7D491C6C"/>
    <w:rsid w:val="7D4E2F8F"/>
    <w:rsid w:val="7D511DEB"/>
    <w:rsid w:val="7D5429C0"/>
    <w:rsid w:val="7D6E6D43"/>
    <w:rsid w:val="7D777879"/>
    <w:rsid w:val="7DB57A34"/>
    <w:rsid w:val="7DC16401"/>
    <w:rsid w:val="7DE60973"/>
    <w:rsid w:val="7DEA2D0D"/>
    <w:rsid w:val="7DEF0916"/>
    <w:rsid w:val="7E1E5218"/>
    <w:rsid w:val="7E5F0CEE"/>
    <w:rsid w:val="7E847E0F"/>
    <w:rsid w:val="7E9A4E1F"/>
    <w:rsid w:val="7EA7723A"/>
    <w:rsid w:val="7EAB5022"/>
    <w:rsid w:val="7EE739BB"/>
    <w:rsid w:val="7EF56FBB"/>
    <w:rsid w:val="7EFE2E81"/>
    <w:rsid w:val="7F01339C"/>
    <w:rsid w:val="7F0768EB"/>
    <w:rsid w:val="7F143BEC"/>
    <w:rsid w:val="7F2C7006"/>
    <w:rsid w:val="7F472479"/>
    <w:rsid w:val="7F47362C"/>
    <w:rsid w:val="7F715AF2"/>
    <w:rsid w:val="7F856010"/>
    <w:rsid w:val="7F886E69"/>
    <w:rsid w:val="7F9F4761"/>
    <w:rsid w:val="7FA04967"/>
    <w:rsid w:val="7FAA22BA"/>
    <w:rsid w:val="7FAFDE5E"/>
    <w:rsid w:val="7FB01EA8"/>
    <w:rsid w:val="7FC94EFB"/>
    <w:rsid w:val="7FDD39BD"/>
    <w:rsid w:val="7FE57814"/>
    <w:rsid w:val="8E8E3F9E"/>
    <w:rsid w:val="9B379D21"/>
    <w:rsid w:val="9FAC2ABA"/>
    <w:rsid w:val="9FF70969"/>
    <w:rsid w:val="ACEF748E"/>
    <w:rsid w:val="AFFF6D0B"/>
    <w:rsid w:val="B37B784C"/>
    <w:rsid w:val="BB7FA927"/>
    <w:rsid w:val="BD7F1C15"/>
    <w:rsid w:val="CEF48C36"/>
    <w:rsid w:val="CFFC56BB"/>
    <w:rsid w:val="D7F0A3C4"/>
    <w:rsid w:val="E13F7FAA"/>
    <w:rsid w:val="F37D11C3"/>
    <w:rsid w:val="F58F1A04"/>
    <w:rsid w:val="F5FFD31F"/>
    <w:rsid w:val="F7FF7593"/>
    <w:rsid w:val="FDFB95D2"/>
    <w:rsid w:val="FF7F285C"/>
    <w:rsid w:val="FF7F8693"/>
    <w:rsid w:val="FFBD61BA"/>
    <w:rsid w:val="FFDDCB97"/>
    <w:rsid w:val="FFFDA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7"/>
    <w:qFormat/>
    <w:uiPriority w:val="9"/>
    <w:pPr>
      <w:keepNext/>
      <w:keepLines/>
      <w:tabs>
        <w:tab w:val="left" w:pos="432"/>
      </w:tabs>
      <w:spacing w:line="360" w:lineRule="auto"/>
      <w:jc w:val="center"/>
      <w:outlineLvl w:val="0"/>
    </w:pPr>
    <w:rPr>
      <w:b/>
      <w:bCs/>
      <w:kern w:val="44"/>
      <w:sz w:val="32"/>
      <w:szCs w:val="44"/>
    </w:rPr>
  </w:style>
  <w:style w:type="paragraph" w:styleId="2">
    <w:name w:val="heading 2"/>
    <w:basedOn w:val="1"/>
    <w:next w:val="1"/>
    <w:link w:val="962"/>
    <w:qFormat/>
    <w:uiPriority w:val="0"/>
    <w:pPr>
      <w:keepNext/>
      <w:keepLines/>
      <w:tabs>
        <w:tab w:val="left" w:pos="432"/>
      </w:tabs>
      <w:adjustRightInd/>
      <w:spacing w:before="160" w:after="160" w:line="360" w:lineRule="auto"/>
      <w:ind w:firstLine="422" w:firstLineChars="200"/>
      <w:jc w:val="left"/>
      <w:outlineLvl w:val="1"/>
    </w:pPr>
    <w:rPr>
      <w:rFonts w:ascii="仿宋_GB2312" w:hAnsi="仿宋_GB2312"/>
      <w:b/>
      <w:bCs/>
      <w:szCs w:val="32"/>
      <w:lang w:val="zh-CN"/>
    </w:rPr>
  </w:style>
  <w:style w:type="paragraph" w:styleId="4">
    <w:name w:val="heading 3"/>
    <w:basedOn w:val="1"/>
    <w:next w:val="1"/>
    <w:link w:val="963"/>
    <w:qFormat/>
    <w:uiPriority w:val="0"/>
    <w:pPr>
      <w:keepNext/>
      <w:keepLines/>
      <w:tabs>
        <w:tab w:val="left" w:pos="900"/>
      </w:tabs>
      <w:spacing w:before="100" w:after="100" w:line="360" w:lineRule="auto"/>
      <w:ind w:firstLine="422" w:firstLineChars="200"/>
      <w:outlineLvl w:val="2"/>
    </w:pPr>
    <w:rPr>
      <w:rFonts w:ascii="Arial" w:hAnsi="Arial"/>
      <w:b/>
      <w:bCs/>
      <w:szCs w:val="32"/>
    </w:rPr>
  </w:style>
  <w:style w:type="paragraph" w:styleId="5">
    <w:name w:val="heading 4"/>
    <w:basedOn w:val="1"/>
    <w:next w:val="1"/>
    <w:link w:val="328"/>
    <w:qFormat/>
    <w:uiPriority w:val="0"/>
    <w:pPr>
      <w:keepNext/>
      <w:keepLines/>
      <w:tabs>
        <w:tab w:val="left" w:pos="864"/>
      </w:tabs>
      <w:spacing w:line="360" w:lineRule="auto"/>
      <w:ind w:firstLine="422" w:firstLineChars="200"/>
      <w:outlineLvl w:val="3"/>
    </w:pPr>
    <w:rPr>
      <w:rFonts w:ascii="Arial" w:hAnsi="Arial"/>
      <w:b/>
      <w:bCs/>
      <w:szCs w:val="28"/>
      <w:lang w:val="zh-CN"/>
    </w:rPr>
  </w:style>
  <w:style w:type="paragraph" w:styleId="6">
    <w:name w:val="heading 5"/>
    <w:basedOn w:val="1"/>
    <w:next w:val="1"/>
    <w:link w:val="8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5"/>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next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2"/>
    <w:qFormat/>
    <w:uiPriority w:val="0"/>
    <w:rPr>
      <w:b/>
      <w:bCs/>
    </w:rPr>
  </w:style>
  <w:style w:type="paragraph" w:styleId="61">
    <w:name w:val="Body Text First Indent 2"/>
    <w:basedOn w:val="26"/>
    <w:next w:val="1"/>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character" w:customStyle="1" w:styleId="79">
    <w:name w:val="标题 4 字符"/>
    <w:qFormat/>
    <w:uiPriority w:val="9"/>
    <w:rPr>
      <w:rFonts w:ascii="等线 Light" w:hAnsi="等线 Light" w:eastAsia="等线 Light" w:cs="Times New Roman"/>
      <w:b/>
      <w:bCs/>
      <w:snapToGrid w:val="0"/>
      <w:kern w:val="0"/>
      <w:sz w:val="28"/>
      <w:szCs w:val="28"/>
    </w:rPr>
  </w:style>
  <w:style w:type="character" w:customStyle="1" w:styleId="80">
    <w:name w:val="标题 5 字符"/>
    <w:link w:val="6"/>
    <w:qFormat/>
    <w:uiPriority w:val="9"/>
    <w:rPr>
      <w:b/>
      <w:bCs/>
      <w:kern w:val="2"/>
      <w:sz w:val="28"/>
      <w:szCs w:val="28"/>
    </w:rPr>
  </w:style>
  <w:style w:type="character" w:customStyle="1" w:styleId="81">
    <w:name w:val="标题 6 字符"/>
    <w:link w:val="7"/>
    <w:qFormat/>
    <w:uiPriority w:val="0"/>
    <w:rPr>
      <w:rFonts w:ascii="Arial" w:hAnsi="Arial" w:eastAsia="黑体"/>
      <w:b/>
      <w:bCs/>
      <w:kern w:val="2"/>
      <w:sz w:val="24"/>
      <w:szCs w:val="24"/>
    </w:rPr>
  </w:style>
  <w:style w:type="paragraph" w:customStyle="1" w:styleId="82">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4">
    <w:name w:val="标题 2 Char"/>
    <w:qFormat/>
    <w:uiPriority w:val="0"/>
    <w:rPr>
      <w:rFonts w:ascii="Arial" w:hAnsi="Arial" w:eastAsia="黑体"/>
      <w:b/>
      <w:kern w:val="2"/>
      <w:sz w:val="32"/>
      <w:lang w:val="en-US" w:eastAsia="zh-CN"/>
    </w:rPr>
  </w:style>
  <w:style w:type="character" w:customStyle="1" w:styleId="85">
    <w:name w:val="标题 4 Char"/>
    <w:qFormat/>
    <w:uiPriority w:val="0"/>
    <w:rPr>
      <w:rFonts w:ascii="Arial" w:hAnsi="Arial" w:eastAsia="黑体"/>
      <w:b/>
      <w:kern w:val="2"/>
      <w:sz w:val="28"/>
    </w:rPr>
  </w:style>
  <w:style w:type="paragraph" w:customStyle="1" w:styleId="86">
    <w:name w:val="首行缩进"/>
    <w:basedOn w:val="1"/>
    <w:qFormat/>
    <w:uiPriority w:val="0"/>
    <w:pPr>
      <w:spacing w:line="360" w:lineRule="auto"/>
      <w:ind w:firstLine="480" w:firstLineChars="200"/>
    </w:pPr>
    <w:rPr>
      <w:rFonts w:ascii="宋体"/>
      <w:sz w:val="24"/>
      <w:szCs w:val="20"/>
    </w:rPr>
  </w:style>
  <w:style w:type="character" w:customStyle="1" w:styleId="87">
    <w:name w:val="标题 1 字符1"/>
    <w:link w:val="3"/>
    <w:qFormat/>
    <w:uiPriority w:val="9"/>
    <w:rPr>
      <w:rFonts w:ascii="Times New Roman" w:hAnsi="Times New Roman" w:eastAsia="宋体"/>
      <w:b/>
      <w:bCs/>
      <w:kern w:val="44"/>
      <w:sz w:val="32"/>
      <w:szCs w:val="44"/>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0"/>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firstLine="0"/>
      <w:jc w:val="center"/>
    </w:pPr>
    <w:rPr>
      <w:rFonts w:ascii="Calibri" w:hAnsi="Calibri"/>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7"/>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jc w:val="left"/>
    </w:pPr>
    <w:rPr>
      <w:rFonts w:ascii="宋体"/>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3"/>
    <w:qFormat/>
    <w:uiPriority w:val="0"/>
    <w:rPr>
      <w:rFonts w:ascii="仿宋_GB2312" w:hAnsi="仿宋" w:eastAsia="仿宋_GB2312" w:cs="仿宋_GB2312"/>
      <w:sz w:val="32"/>
      <w:szCs w:val="30"/>
      <w:lang w:val="zh-CN"/>
    </w:rPr>
  </w:style>
  <w:style w:type="character" w:customStyle="1" w:styleId="222">
    <w:name w:val="HTML 地址 字符"/>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color w:val="000000"/>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ind w:left="1984" w:leftChars="75" w:hanging="708"/>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321"/>
    <w:link w:val="319"/>
    <w:qFormat/>
    <w:uiPriority w:val="0"/>
    <w:pPr>
      <w:tabs>
        <w:tab w:val="right" w:leader="dot" w:pos="8268"/>
      </w:tabs>
      <w:adjustRightInd/>
    </w:pPr>
    <w:rPr>
      <w:rFonts w:ascii="宋体"/>
      <w:kern w:val="0"/>
      <w:sz w:val="20"/>
      <w:szCs w:val="20"/>
    </w:rPr>
  </w:style>
  <w:style w:type="paragraph" w:customStyle="1" w:styleId="321">
    <w:name w:val="正文1"/>
    <w:basedOn w:val="33"/>
    <w:qFormat/>
    <w:uiPriority w:val="0"/>
    <w:pPr>
      <w:ind w:left="0" w:leftChars="0" w:firstLine="480" w:firstLineChars="200"/>
    </w:pPr>
    <w:rPr>
      <w:rFonts w:ascii="仿宋_GB2312" w:hAnsi="Courier New" w:eastAsia="仿宋_GB2312"/>
      <w:kern w:val="28"/>
      <w:sz w:val="24"/>
    </w:rPr>
  </w:style>
  <w:style w:type="character" w:customStyle="1" w:styleId="322">
    <w:name w:val="正文文本首行缩进 字符"/>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宋体"/>
      <w:b/>
      <w:bCs/>
      <w:kern w:val="2"/>
      <w:sz w:val="21"/>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99"/>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pPr>
    <w:rPr>
      <w:rFonts w:ascii="Verdana" w:eastAsia="Verdana"/>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line="276" w:lineRule="auto"/>
      <w:jc w:val="left"/>
      <w:outlineLvl w:val="9"/>
    </w:pPr>
    <w:rPr>
      <w:rFonts w:ascii="Cambria" w:hAnsi="Cambria"/>
      <w:color w:val="365F91"/>
      <w:kern w:val="0"/>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firstLine="200"/>
      <w:jc w:val="both"/>
    </w:pPr>
    <w:rPr>
      <w:rFonts w:ascii="宋体" w:hAnsi="Cambria"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2"/>
    <w:next w:val="82"/>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2"/>
    <w:next w:val="82"/>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firstLine="0"/>
      <w:jc w:val="both"/>
    </w:pPr>
    <w:rPr>
      <w:rFonts w:ascii="宋体" w:hAnsi="Arial"/>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line="240" w:lineRule="auto"/>
      <w:jc w:val="left"/>
    </w:pPr>
    <w:rPr>
      <w:rFonts w:cs="宋体"/>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9"/>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6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line="720" w:lineRule="exact"/>
      <w:ind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标题 2 字符1"/>
    <w:link w:val="2"/>
    <w:qFormat/>
    <w:uiPriority w:val="0"/>
    <w:rPr>
      <w:rFonts w:ascii="仿宋_GB2312" w:hAnsi="仿宋_GB2312" w:eastAsia="宋体"/>
      <w:b/>
      <w:bCs/>
      <w:sz w:val="21"/>
      <w:szCs w:val="32"/>
      <w:lang w:val="zh-CN"/>
    </w:rPr>
  </w:style>
  <w:style w:type="character" w:customStyle="1" w:styleId="963">
    <w:name w:val="标题 3 字符1"/>
    <w:link w:val="4"/>
    <w:qFormat/>
    <w:uiPriority w:val="0"/>
    <w:rPr>
      <w:rFonts w:ascii="Arial" w:hAnsi="Arial" w:eastAsia="宋体" w:cs="Times New Roman"/>
      <w:b/>
      <w:bCs/>
      <w:sz w:val="21"/>
      <w:szCs w:val="32"/>
    </w:rPr>
  </w:style>
  <w:style w:type="paragraph" w:customStyle="1" w:styleId="964">
    <w:name w:val="No Spacing1"/>
    <w:qFormat/>
    <w:uiPriority w:val="0"/>
    <w:rPr>
      <w:rFonts w:ascii="Calibri" w:hAnsi="Calibri" w:eastAsia="??" w:cs="宋体"/>
      <w:sz w:val="22"/>
      <w:szCs w:val="22"/>
      <w:lang w:val="en-US" w:eastAsia="en-US" w:bidi="ar-SA"/>
    </w:rPr>
  </w:style>
  <w:style w:type="paragraph" w:customStyle="1" w:styleId="965">
    <w:name w:val="石墨文档正文"/>
    <w:qFormat/>
    <w:uiPriority w:val="0"/>
    <w:rPr>
      <w:rFonts w:ascii="微软雅黑" w:hAnsi="微软雅黑" w:eastAsia="微软雅黑" w:cs="微软雅黑"/>
      <w:sz w:val="22"/>
      <w:szCs w:val="22"/>
      <w:lang w:val="en-US" w:eastAsia="zh-CN" w:bidi="ar-SA"/>
    </w:rPr>
  </w:style>
  <w:style w:type="paragraph" w:customStyle="1" w:styleId="966">
    <w:name w:val="自定义样式 正文"/>
    <w:basedOn w:val="1"/>
    <w:qFormat/>
    <w:uiPriority w:val="0"/>
    <w:pPr>
      <w:spacing w:line="360" w:lineRule="auto"/>
      <w:ind w:firstLine="480" w:firstLineChars="200"/>
    </w:pPr>
    <w:rPr>
      <w:rFonts w:ascii="宋体" w:hAnsi="宋体"/>
      <w:bCs/>
      <w:kern w:val="0"/>
      <w:sz w:val="24"/>
    </w:rPr>
  </w:style>
  <w:style w:type="paragraph" w:customStyle="1" w:styleId="967">
    <w:name w:val="WPSOffice手动目录 1"/>
    <w:qFormat/>
    <w:uiPriority w:val="0"/>
    <w:rPr>
      <w:rFonts w:ascii="Times New Roman" w:hAnsi="Times New Roman" w:eastAsia="宋体" w:cs="Times New Roman"/>
      <w:lang w:val="en-US" w:eastAsia="zh-CN" w:bidi="ar-SA"/>
    </w:rPr>
  </w:style>
  <w:style w:type="paragraph" w:customStyle="1" w:styleId="968">
    <w:name w:val="Normal Indent1"/>
    <w:basedOn w:val="1"/>
    <w:qFormat/>
    <w:uiPriority w:val="0"/>
    <w:pPr>
      <w:ind w:firstLine="420" w:firstLineChars="200"/>
    </w:p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BodyText"/>
    <w:basedOn w:val="1"/>
    <w:next w:val="972"/>
    <w:qFormat/>
    <w:uiPriority w:val="0"/>
    <w:rPr>
      <w:sz w:val="20"/>
    </w:rPr>
  </w:style>
  <w:style w:type="paragraph" w:customStyle="1" w:styleId="972">
    <w:name w:val="BodyText1I"/>
    <w:basedOn w:val="971"/>
    <w:qFormat/>
    <w:uiPriority w:val="0"/>
    <w:pPr>
      <w:spacing w:after="120"/>
      <w:ind w:firstLine="420" w:firstLineChars="100"/>
    </w:pPr>
  </w:style>
  <w:style w:type="paragraph" w:customStyle="1" w:styleId="97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character" w:customStyle="1" w:styleId="974">
    <w:name w:val="ne-text"/>
    <w:basedOn w:val="69"/>
    <w:qFormat/>
    <w:uiPriority w:val="0"/>
  </w:style>
  <w:style w:type="paragraph" w:customStyle="1" w:styleId="975">
    <w:name w:val="首行缩进 2"/>
    <w:qFormat/>
    <w:uiPriority w:val="0"/>
    <w:pPr>
      <w:spacing w:line="360" w:lineRule="auto"/>
      <w:ind w:firstLine="480" w:firstLineChars="200"/>
    </w:pPr>
    <w:rPr>
      <w:rFonts w:ascii="宋体" w:hAnsi="宋体" w:eastAsia="宋体" w:cs="Times New Roman"/>
      <w:kern w:val="2"/>
      <w:sz w:val="24"/>
      <w:szCs w:val="24"/>
      <w:lang w:val="en-US" w:eastAsia="zh-CN" w:bidi="ar-SA"/>
    </w:rPr>
  </w:style>
  <w:style w:type="paragraph" w:customStyle="1" w:styleId="97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77">
    <w:name w:val="表格内容"/>
    <w:basedOn w:val="1"/>
    <w:qFormat/>
    <w:uiPriority w:val="0"/>
    <w:pPr>
      <w:widowControl/>
      <w:autoSpaceDE w:val="0"/>
      <w:autoSpaceDN w:val="0"/>
      <w:adjustRightInd w:val="0"/>
      <w:spacing w:before="60" w:line="300" w:lineRule="auto"/>
      <w:jc w:val="center"/>
    </w:pPr>
    <w:rPr>
      <w:kern w:val="0"/>
    </w:rPr>
  </w:style>
  <w:style w:type="paragraph" w:customStyle="1" w:styleId="978">
    <w:name w:val="jd-正文1"/>
    <w:basedOn w:val="1"/>
    <w:qFormat/>
    <w:uiPriority w:val="0"/>
    <w:pPr>
      <w:widowControl/>
      <w:adjustRightInd/>
      <w:spacing w:line="360" w:lineRule="auto"/>
      <w:ind w:firstLine="482" w:firstLineChars="200"/>
    </w:pPr>
    <w:rPr>
      <w:rFonts w:ascii="宋体" w:hAnsi="宋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53552</Words>
  <Characters>56136</Characters>
  <Lines>492</Lines>
  <Paragraphs>138</Paragraphs>
  <TotalTime>44</TotalTime>
  <ScaleCrop>false</ScaleCrop>
  <LinksUpToDate>false</LinksUpToDate>
  <CharactersWithSpaces>61823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2024-05-12T01:21:00Z</dcterms:created>
  <dc:creator>Data</dc:creator>
  <cp:lastModifiedBy>Marlboro</cp:lastModifiedBy>
  <cp:lastPrinted>2021-12-30T03:06:00Z</cp:lastPrinted>
  <dcterms:modified xsi:type="dcterms:W3CDTF">2024-08-22T11:24:03Z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16CE52833C28E5D253AFC66602E5F132_43</vt:lpwstr>
  </property>
</Properties>
</file>