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8AEC27">
      <w:pPr>
        <w:spacing w:line="360" w:lineRule="auto"/>
        <w:jc w:val="center"/>
        <w:rPr>
          <w:rFonts w:ascii="宋体" w:hAnsi="宋体" w:cs="宋体"/>
          <w:b/>
          <w:sz w:val="24"/>
        </w:rPr>
      </w:pPr>
    </w:p>
    <w:p w14:paraId="0728E75E">
      <w:pPr>
        <w:spacing w:line="360" w:lineRule="auto"/>
        <w:jc w:val="center"/>
        <w:rPr>
          <w:rFonts w:ascii="宋体" w:hAnsi="宋体" w:cs="宋体"/>
          <w:b/>
          <w:sz w:val="24"/>
        </w:rPr>
      </w:pPr>
    </w:p>
    <w:p w14:paraId="09C311FC">
      <w:pPr>
        <w:adjustRightInd/>
        <w:spacing w:line="360" w:lineRule="auto"/>
        <w:jc w:val="center"/>
        <w:rPr>
          <w:rFonts w:ascii="宋体" w:hAnsi="宋体" w:cs="宋体"/>
          <w:b/>
          <w:sz w:val="44"/>
          <w:szCs w:val="44"/>
        </w:rPr>
      </w:pPr>
    </w:p>
    <w:p w14:paraId="413E045F">
      <w:pPr>
        <w:adjustRightInd/>
        <w:spacing w:line="360" w:lineRule="auto"/>
        <w:jc w:val="center"/>
        <w:rPr>
          <w:rFonts w:ascii="宋体" w:hAnsi="宋体" w:cs="宋体"/>
          <w:b/>
          <w:color w:val="auto"/>
          <w:sz w:val="48"/>
          <w:szCs w:val="48"/>
        </w:rPr>
      </w:pPr>
    </w:p>
    <w:p w14:paraId="0B5B8B16">
      <w:pPr>
        <w:adjustRightInd/>
        <w:spacing w:line="360" w:lineRule="auto"/>
        <w:jc w:val="center"/>
        <w:rPr>
          <w:rFonts w:hint="eastAsia" w:ascii="宋体" w:hAnsi="宋体" w:eastAsia="宋体" w:cs="宋体"/>
          <w:color w:val="auto"/>
          <w:sz w:val="48"/>
          <w:szCs w:val="48"/>
          <w:lang w:eastAsia="zh-CN"/>
        </w:rPr>
      </w:pPr>
      <w:r>
        <w:rPr>
          <w:rFonts w:hint="eastAsia" w:ascii="宋体" w:hAnsi="宋体" w:cs="宋体"/>
          <w:color w:val="auto"/>
          <w:sz w:val="48"/>
          <w:szCs w:val="48"/>
          <w:lang w:eastAsia="zh-CN"/>
        </w:rPr>
        <w:t>杭州师范大学附属未来科技城学校（天元公学西站校区）办公家具（二）采购项目</w:t>
      </w:r>
    </w:p>
    <w:p w14:paraId="1E5960DD">
      <w:pPr>
        <w:adjustRightInd/>
        <w:spacing w:line="360" w:lineRule="auto"/>
        <w:jc w:val="center"/>
        <w:rPr>
          <w:rFonts w:ascii="宋体" w:hAnsi="宋体" w:cs="宋体"/>
          <w:sz w:val="48"/>
          <w:szCs w:val="48"/>
        </w:rPr>
      </w:pPr>
      <w:r>
        <w:rPr>
          <w:rFonts w:hint="eastAsia" w:ascii="宋体" w:hAnsi="宋体" w:cs="宋体"/>
          <w:color w:val="auto"/>
          <w:sz w:val="48"/>
          <w:szCs w:val="48"/>
        </w:rPr>
        <w:t>招标</w:t>
      </w:r>
      <w:r>
        <w:rPr>
          <w:rFonts w:hint="eastAsia" w:ascii="宋体" w:hAnsi="宋体" w:cs="宋体"/>
          <w:sz w:val="48"/>
          <w:szCs w:val="48"/>
        </w:rPr>
        <w:t xml:space="preserve">文件 </w:t>
      </w:r>
    </w:p>
    <w:p w14:paraId="5A0BB210">
      <w:pPr>
        <w:adjustRightInd/>
        <w:spacing w:line="360" w:lineRule="auto"/>
        <w:jc w:val="center"/>
        <w:rPr>
          <w:rFonts w:hint="eastAsia" w:ascii="宋体" w:hAnsi="宋体" w:eastAsia="宋体" w:cs="宋体"/>
          <w:b/>
          <w:color w:val="auto"/>
          <w:sz w:val="44"/>
          <w:szCs w:val="44"/>
          <w:lang w:val="en-US" w:eastAsia="zh-CN"/>
        </w:rPr>
      </w:pPr>
      <w:r>
        <w:rPr>
          <w:rFonts w:hint="eastAsia" w:ascii="宋体" w:hAnsi="宋体" w:cs="宋体"/>
          <w:b/>
          <w:sz w:val="44"/>
          <w:szCs w:val="44"/>
        </w:rPr>
        <w:t xml:space="preserve"> （电子招投标）</w:t>
      </w:r>
    </w:p>
    <w:p w14:paraId="1D7BC3B2">
      <w:pPr>
        <w:snapToGrid w:val="0"/>
        <w:spacing w:line="360" w:lineRule="auto"/>
        <w:jc w:val="center"/>
        <w:rPr>
          <w:rFonts w:ascii="宋体" w:hAnsi="宋体" w:cs="宋体"/>
          <w:color w:val="auto"/>
          <w:sz w:val="30"/>
          <w:szCs w:val="30"/>
        </w:rPr>
      </w:pPr>
      <w:r>
        <w:rPr>
          <w:rFonts w:hint="eastAsia" w:ascii="宋体" w:hAnsi="宋体" w:cs="宋体"/>
          <w:color w:val="auto"/>
          <w:sz w:val="30"/>
          <w:szCs w:val="30"/>
        </w:rPr>
        <w:t>编号</w:t>
      </w:r>
      <w:r>
        <w:rPr>
          <w:rFonts w:hint="eastAsia" w:ascii="宋体" w:hAnsi="宋体" w:cs="宋体"/>
          <w:color w:val="auto"/>
          <w:sz w:val="30"/>
          <w:szCs w:val="30"/>
          <w:lang w:eastAsia="zh-CN"/>
        </w:rPr>
        <w:t>：HZYHZFCG-2025-010</w:t>
      </w:r>
    </w:p>
    <w:p w14:paraId="18CE5EB0">
      <w:pPr>
        <w:adjustRightInd/>
        <w:spacing w:line="360" w:lineRule="auto"/>
        <w:rPr>
          <w:rFonts w:ascii="宋体" w:hAnsi="宋体" w:cs="宋体"/>
          <w:sz w:val="28"/>
          <w:szCs w:val="20"/>
        </w:rPr>
      </w:pPr>
    </w:p>
    <w:p w14:paraId="21748422">
      <w:pPr>
        <w:spacing w:line="360" w:lineRule="auto"/>
        <w:jc w:val="center"/>
        <w:rPr>
          <w:rFonts w:ascii="宋体" w:hAnsi="宋体" w:cs="宋体"/>
          <w:b/>
          <w:sz w:val="44"/>
          <w:szCs w:val="44"/>
        </w:rPr>
      </w:pPr>
      <w:r>
        <w:rPr>
          <w:rFonts w:hint="eastAsia" w:ascii="宋体" w:hAnsi="宋体" w:cs="宋体"/>
          <w:b/>
          <w:sz w:val="44"/>
          <w:szCs w:val="44"/>
        </w:rPr>
        <w:t xml:space="preserve"> </w:t>
      </w:r>
    </w:p>
    <w:p w14:paraId="4B976D8F">
      <w:pPr>
        <w:spacing w:line="360" w:lineRule="auto"/>
        <w:jc w:val="center"/>
        <w:rPr>
          <w:rFonts w:ascii="宋体" w:hAnsi="宋体" w:cs="宋体"/>
          <w:b/>
          <w:sz w:val="44"/>
          <w:szCs w:val="44"/>
        </w:rPr>
      </w:pPr>
    </w:p>
    <w:p w14:paraId="14F47745">
      <w:pPr>
        <w:spacing w:line="360" w:lineRule="auto"/>
        <w:jc w:val="center"/>
        <w:rPr>
          <w:rFonts w:ascii="宋体" w:hAnsi="宋体" w:cs="宋体"/>
          <w:sz w:val="24"/>
        </w:rPr>
      </w:pPr>
    </w:p>
    <w:p w14:paraId="4EE7EF3E">
      <w:pPr>
        <w:spacing w:line="360" w:lineRule="auto"/>
        <w:jc w:val="center"/>
        <w:rPr>
          <w:rFonts w:ascii="宋体" w:hAnsi="宋体" w:cs="宋体"/>
          <w:color w:val="auto"/>
          <w:sz w:val="24"/>
        </w:rPr>
      </w:pPr>
    </w:p>
    <w:p w14:paraId="5719F841">
      <w:pPr>
        <w:spacing w:line="360" w:lineRule="auto"/>
        <w:rPr>
          <w:rFonts w:ascii="宋体" w:hAnsi="宋体" w:cs="宋体"/>
          <w:color w:val="auto"/>
          <w:sz w:val="32"/>
          <w:szCs w:val="32"/>
        </w:rPr>
      </w:pPr>
    </w:p>
    <w:p w14:paraId="42FBD335">
      <w:pPr>
        <w:snapToGrid w:val="0"/>
        <w:spacing w:line="360" w:lineRule="auto"/>
        <w:jc w:val="center"/>
        <w:rPr>
          <w:rFonts w:hint="eastAsia" w:ascii="宋体" w:hAnsi="宋体" w:eastAsia="宋体" w:cs="宋体"/>
          <w:color w:val="auto"/>
          <w:sz w:val="32"/>
          <w:szCs w:val="32"/>
          <w:lang w:eastAsia="zh-CN"/>
        </w:rPr>
      </w:pPr>
      <w:r>
        <w:rPr>
          <w:rFonts w:hint="eastAsia" w:ascii="宋体" w:hAnsi="宋体" w:cs="宋体"/>
          <w:color w:val="auto"/>
          <w:sz w:val="32"/>
          <w:szCs w:val="32"/>
          <w:lang w:eastAsia="zh-CN"/>
        </w:rPr>
        <w:t>杭州师范大学附属未来科技城学校（杭州二中教育集团未来科技城学校）</w:t>
      </w:r>
    </w:p>
    <w:p w14:paraId="73F29D59">
      <w:pPr>
        <w:spacing w:line="360" w:lineRule="auto"/>
        <w:jc w:val="center"/>
        <w:rPr>
          <w:rFonts w:ascii="宋体" w:hAnsi="宋体" w:cs="宋体"/>
          <w:bCs/>
          <w:color w:val="auto"/>
          <w:sz w:val="32"/>
          <w:szCs w:val="32"/>
        </w:rPr>
      </w:pPr>
      <w:r>
        <w:rPr>
          <w:rFonts w:hint="eastAsia" w:ascii="宋体" w:hAnsi="宋体" w:cs="宋体"/>
          <w:bCs/>
          <w:color w:val="auto"/>
          <w:sz w:val="32"/>
          <w:szCs w:val="32"/>
          <w:lang w:eastAsia="zh-CN"/>
        </w:rPr>
        <w:t>杭州市公共资源交易中心余杭分中心</w:t>
      </w:r>
    </w:p>
    <w:p w14:paraId="5CB12F52">
      <w:pPr>
        <w:spacing w:line="360" w:lineRule="auto"/>
        <w:jc w:val="center"/>
        <w:rPr>
          <w:rFonts w:ascii="宋体" w:hAnsi="宋体" w:cs="宋体"/>
          <w:sz w:val="24"/>
        </w:rPr>
      </w:pPr>
      <w:r>
        <w:rPr>
          <w:rFonts w:hint="eastAsia" w:ascii="宋体" w:hAnsi="宋体" w:cs="宋体"/>
          <w:bCs/>
          <w:color w:val="auto"/>
          <w:sz w:val="32"/>
          <w:szCs w:val="32"/>
        </w:rPr>
        <w:t>二〇二</w:t>
      </w:r>
      <w:r>
        <w:rPr>
          <w:rFonts w:hint="eastAsia" w:ascii="宋体" w:hAnsi="宋体" w:cs="宋体"/>
          <w:bCs/>
          <w:color w:val="auto"/>
          <w:sz w:val="32"/>
          <w:szCs w:val="32"/>
          <w:lang w:val="en-US" w:eastAsia="zh-CN"/>
        </w:rPr>
        <w:t>五</w:t>
      </w:r>
      <w:r>
        <w:rPr>
          <w:rFonts w:hint="eastAsia" w:ascii="宋体" w:hAnsi="宋体" w:cs="宋体"/>
          <w:bCs/>
          <w:color w:val="auto"/>
          <w:sz w:val="32"/>
          <w:szCs w:val="32"/>
        </w:rPr>
        <w:t>年</w:t>
      </w:r>
      <w:r>
        <w:rPr>
          <w:rFonts w:hint="eastAsia" w:ascii="宋体" w:hAnsi="宋体" w:cs="宋体"/>
          <w:bCs/>
          <w:color w:val="auto"/>
          <w:sz w:val="32"/>
          <w:szCs w:val="32"/>
          <w:lang w:eastAsia="zh-CN"/>
        </w:rPr>
        <w:t>一</w:t>
      </w:r>
      <w:r>
        <w:rPr>
          <w:rFonts w:hint="eastAsia" w:ascii="宋体" w:hAnsi="宋体" w:cs="宋体"/>
          <w:bCs/>
          <w:color w:val="auto"/>
          <w:sz w:val="32"/>
          <w:szCs w:val="32"/>
        </w:rPr>
        <w:t>月</w:t>
      </w:r>
      <w:r>
        <w:rPr>
          <w:rFonts w:hint="eastAsia" w:ascii="宋体" w:hAnsi="宋体" w:cs="宋体"/>
          <w:sz w:val="24"/>
        </w:rPr>
        <w:br w:type="page"/>
      </w:r>
      <w:bookmarkStart w:id="0" w:name="_Hlt67893495"/>
      <w:bookmarkEnd w:id="0"/>
    </w:p>
    <w:p w14:paraId="1A5219BF">
      <w:pPr>
        <w:spacing w:line="360" w:lineRule="auto"/>
        <w:jc w:val="center"/>
        <w:rPr>
          <w:rFonts w:ascii="宋体" w:hAnsi="宋体" w:cs="宋体"/>
          <w:sz w:val="24"/>
        </w:rPr>
      </w:pPr>
    </w:p>
    <w:p w14:paraId="4FD2E0E9">
      <w:pPr>
        <w:spacing w:line="360" w:lineRule="auto"/>
        <w:jc w:val="center"/>
        <w:rPr>
          <w:rFonts w:ascii="宋体" w:hAnsi="宋体" w:cs="宋体"/>
          <w:b/>
          <w:sz w:val="48"/>
          <w:szCs w:val="48"/>
        </w:rPr>
      </w:pPr>
      <w:r>
        <w:rPr>
          <w:rFonts w:hint="eastAsia" w:ascii="宋体" w:hAnsi="宋体" w:cs="宋体"/>
          <w:b/>
          <w:sz w:val="48"/>
          <w:szCs w:val="48"/>
        </w:rPr>
        <w:t>目  录</w:t>
      </w:r>
    </w:p>
    <w:p w14:paraId="16A0E3DE">
      <w:pPr>
        <w:spacing w:line="360" w:lineRule="auto"/>
        <w:rPr>
          <w:rFonts w:ascii="宋体" w:hAnsi="宋体" w:cs="宋体"/>
          <w:sz w:val="32"/>
          <w:szCs w:val="32"/>
        </w:rPr>
      </w:pPr>
    </w:p>
    <w:p w14:paraId="10E3AAE4">
      <w:pPr>
        <w:spacing w:line="360" w:lineRule="auto"/>
        <w:rPr>
          <w:rFonts w:ascii="宋体" w:hAnsi="宋体" w:cs="宋体"/>
          <w:sz w:val="32"/>
          <w:szCs w:val="32"/>
        </w:rPr>
      </w:pPr>
    </w:p>
    <w:p w14:paraId="7BCB9D32">
      <w:pPr>
        <w:spacing w:line="360" w:lineRule="auto"/>
        <w:ind w:firstLine="1280" w:firstLineChars="400"/>
        <w:rPr>
          <w:rFonts w:ascii="宋体" w:hAnsi="宋体" w:cs="宋体"/>
          <w:sz w:val="32"/>
          <w:szCs w:val="32"/>
        </w:rPr>
      </w:pPr>
      <w:r>
        <w:rPr>
          <w:rFonts w:hint="eastAsia" w:ascii="宋体" w:hAnsi="宋体" w:cs="宋体"/>
          <w:sz w:val="32"/>
          <w:szCs w:val="32"/>
        </w:rPr>
        <w:t>第一部分      招标公告</w:t>
      </w:r>
    </w:p>
    <w:p w14:paraId="4507156F">
      <w:pPr>
        <w:spacing w:line="360" w:lineRule="auto"/>
        <w:ind w:firstLine="1280" w:firstLineChars="400"/>
        <w:rPr>
          <w:rFonts w:ascii="宋体" w:hAnsi="宋体" w:cs="宋体"/>
          <w:sz w:val="32"/>
          <w:szCs w:val="32"/>
        </w:rPr>
      </w:pPr>
      <w:r>
        <w:rPr>
          <w:rFonts w:hint="eastAsia" w:ascii="宋体" w:hAnsi="宋体" w:cs="宋体"/>
          <w:sz w:val="32"/>
          <w:szCs w:val="32"/>
        </w:rPr>
        <w:t>第二部分      投标人须知</w:t>
      </w:r>
    </w:p>
    <w:p w14:paraId="5E978C8B">
      <w:pPr>
        <w:spacing w:line="360" w:lineRule="auto"/>
        <w:ind w:firstLine="1280" w:firstLineChars="400"/>
        <w:rPr>
          <w:rFonts w:ascii="宋体" w:hAnsi="宋体" w:cs="宋体"/>
          <w:sz w:val="32"/>
          <w:szCs w:val="32"/>
        </w:rPr>
      </w:pPr>
      <w:r>
        <w:rPr>
          <w:rFonts w:hint="eastAsia" w:ascii="宋体" w:hAnsi="宋体" w:cs="宋体"/>
          <w:sz w:val="32"/>
          <w:szCs w:val="32"/>
        </w:rPr>
        <w:t>第三部分      采购需求</w:t>
      </w:r>
    </w:p>
    <w:p w14:paraId="777A3201">
      <w:pPr>
        <w:spacing w:line="360" w:lineRule="auto"/>
        <w:ind w:firstLine="1280" w:firstLineChars="400"/>
        <w:rPr>
          <w:rFonts w:ascii="宋体" w:hAnsi="宋体" w:cs="宋体"/>
          <w:sz w:val="32"/>
          <w:szCs w:val="32"/>
        </w:rPr>
      </w:pPr>
      <w:r>
        <w:rPr>
          <w:rFonts w:hint="eastAsia" w:ascii="宋体" w:hAnsi="宋体" w:cs="宋体"/>
          <w:sz w:val="32"/>
          <w:szCs w:val="32"/>
        </w:rPr>
        <w:t>第四部分      评标办法</w:t>
      </w:r>
    </w:p>
    <w:p w14:paraId="641391E4">
      <w:pPr>
        <w:spacing w:line="360" w:lineRule="auto"/>
        <w:ind w:firstLine="1280" w:firstLineChars="400"/>
        <w:rPr>
          <w:rFonts w:ascii="宋体" w:hAnsi="宋体" w:cs="宋体"/>
          <w:sz w:val="32"/>
          <w:szCs w:val="32"/>
        </w:rPr>
      </w:pPr>
      <w:r>
        <w:rPr>
          <w:rFonts w:hint="eastAsia" w:ascii="宋体" w:hAnsi="宋体" w:cs="宋体"/>
          <w:sz w:val="32"/>
          <w:szCs w:val="32"/>
        </w:rPr>
        <w:t>第五部分      拟签订的合同文本</w:t>
      </w:r>
    </w:p>
    <w:p w14:paraId="1BA0D703">
      <w:pPr>
        <w:spacing w:line="360" w:lineRule="auto"/>
        <w:ind w:firstLine="1280" w:firstLineChars="400"/>
        <w:rPr>
          <w:rFonts w:ascii="宋体" w:hAnsi="宋体" w:cs="宋体"/>
          <w:sz w:val="32"/>
          <w:szCs w:val="32"/>
        </w:rPr>
      </w:pPr>
      <w:r>
        <w:rPr>
          <w:rFonts w:hint="eastAsia" w:ascii="宋体" w:hAnsi="宋体" w:cs="宋体"/>
          <w:sz w:val="32"/>
          <w:szCs w:val="32"/>
        </w:rPr>
        <w:t>第六部分      应提交的有关格式范例</w:t>
      </w:r>
    </w:p>
    <w:p w14:paraId="7229D311">
      <w:pPr>
        <w:spacing w:line="360" w:lineRule="auto"/>
        <w:ind w:firstLine="549" w:firstLineChars="229"/>
        <w:rPr>
          <w:rFonts w:ascii="宋体" w:hAnsi="宋体" w:cs="宋体"/>
          <w:sz w:val="24"/>
        </w:rPr>
      </w:pPr>
      <w:bookmarkStart w:id="1" w:name="_Hlt91233176"/>
      <w:bookmarkEnd w:id="1"/>
      <w:bookmarkStart w:id="2" w:name="_Toc91899869"/>
    </w:p>
    <w:p w14:paraId="4F12A2CA">
      <w:pPr>
        <w:spacing w:line="360" w:lineRule="auto"/>
        <w:ind w:firstLine="549" w:firstLineChars="229"/>
        <w:rPr>
          <w:rFonts w:ascii="宋体" w:hAnsi="宋体" w:cs="宋体"/>
          <w:sz w:val="24"/>
        </w:rPr>
      </w:pPr>
    </w:p>
    <w:p w14:paraId="1C4BCDE0">
      <w:pPr>
        <w:spacing w:line="360" w:lineRule="auto"/>
        <w:ind w:firstLine="549" w:firstLineChars="229"/>
        <w:rPr>
          <w:rFonts w:ascii="宋体" w:hAnsi="宋体" w:cs="宋体"/>
          <w:sz w:val="24"/>
        </w:rPr>
      </w:pPr>
    </w:p>
    <w:p w14:paraId="679BE31E">
      <w:pPr>
        <w:spacing w:line="360" w:lineRule="auto"/>
        <w:ind w:firstLine="549" w:firstLineChars="229"/>
        <w:rPr>
          <w:rFonts w:ascii="宋体" w:hAnsi="宋体" w:cs="宋体"/>
          <w:sz w:val="24"/>
        </w:rPr>
      </w:pPr>
    </w:p>
    <w:p w14:paraId="0C0CDC79">
      <w:pPr>
        <w:spacing w:line="360" w:lineRule="auto"/>
        <w:ind w:firstLine="549" w:firstLineChars="229"/>
        <w:rPr>
          <w:rFonts w:ascii="宋体" w:hAnsi="宋体" w:cs="宋体"/>
          <w:sz w:val="24"/>
        </w:rPr>
      </w:pPr>
    </w:p>
    <w:p w14:paraId="2C2592FB">
      <w:pPr>
        <w:spacing w:line="360" w:lineRule="auto"/>
        <w:ind w:firstLine="549" w:firstLineChars="229"/>
        <w:rPr>
          <w:rFonts w:ascii="宋体" w:hAnsi="宋体" w:cs="宋体"/>
          <w:sz w:val="24"/>
        </w:rPr>
      </w:pPr>
    </w:p>
    <w:p w14:paraId="4C504A77">
      <w:pPr>
        <w:spacing w:line="360" w:lineRule="auto"/>
        <w:ind w:firstLine="549" w:firstLineChars="229"/>
        <w:rPr>
          <w:rFonts w:ascii="宋体" w:hAnsi="宋体" w:cs="宋体"/>
          <w:sz w:val="24"/>
        </w:rPr>
      </w:pPr>
    </w:p>
    <w:p w14:paraId="37B52668">
      <w:pPr>
        <w:spacing w:line="360" w:lineRule="auto"/>
        <w:ind w:firstLine="549" w:firstLineChars="229"/>
        <w:rPr>
          <w:rFonts w:ascii="宋体" w:hAnsi="宋体" w:cs="宋体"/>
          <w:sz w:val="24"/>
        </w:rPr>
      </w:pPr>
    </w:p>
    <w:p w14:paraId="48DA18D3">
      <w:pPr>
        <w:spacing w:line="360" w:lineRule="auto"/>
        <w:ind w:firstLine="549" w:firstLineChars="229"/>
        <w:rPr>
          <w:rFonts w:ascii="宋体" w:hAnsi="宋体" w:cs="宋体"/>
          <w:sz w:val="24"/>
        </w:rPr>
      </w:pPr>
    </w:p>
    <w:p w14:paraId="367391B3">
      <w:pPr>
        <w:spacing w:line="360" w:lineRule="auto"/>
        <w:ind w:firstLine="549" w:firstLineChars="229"/>
        <w:rPr>
          <w:rFonts w:ascii="宋体" w:hAnsi="宋体" w:cs="宋体"/>
          <w:sz w:val="24"/>
        </w:rPr>
      </w:pPr>
    </w:p>
    <w:p w14:paraId="2FCE170C">
      <w:pPr>
        <w:spacing w:line="360" w:lineRule="auto"/>
        <w:ind w:firstLine="549" w:firstLineChars="229"/>
        <w:rPr>
          <w:rFonts w:ascii="宋体" w:hAnsi="宋体" w:cs="宋体"/>
          <w:sz w:val="24"/>
        </w:rPr>
      </w:pPr>
    </w:p>
    <w:p w14:paraId="7EA22F9E">
      <w:pPr>
        <w:spacing w:line="360" w:lineRule="auto"/>
        <w:ind w:firstLine="549" w:firstLineChars="229"/>
        <w:rPr>
          <w:rFonts w:ascii="宋体" w:hAnsi="宋体" w:cs="宋体"/>
          <w:sz w:val="24"/>
        </w:rPr>
      </w:pPr>
    </w:p>
    <w:p w14:paraId="5BB26B82">
      <w:pPr>
        <w:spacing w:line="360" w:lineRule="auto"/>
        <w:ind w:firstLine="549" w:firstLineChars="229"/>
        <w:rPr>
          <w:rFonts w:ascii="宋体" w:hAnsi="宋体" w:cs="宋体"/>
          <w:sz w:val="24"/>
        </w:rPr>
      </w:pPr>
    </w:p>
    <w:p w14:paraId="3A78EE8D">
      <w:pPr>
        <w:spacing w:line="360" w:lineRule="auto"/>
        <w:rPr>
          <w:rFonts w:ascii="宋体" w:hAnsi="宋体" w:cs="宋体"/>
          <w:sz w:val="24"/>
        </w:rPr>
      </w:pPr>
    </w:p>
    <w:p w14:paraId="56935E51">
      <w:pPr>
        <w:adjustRightInd/>
        <w:spacing w:line="360" w:lineRule="auto"/>
        <w:jc w:val="center"/>
        <w:outlineLvl w:val="0"/>
        <w:rPr>
          <w:rFonts w:ascii="宋体" w:hAnsi="宋体" w:cs="宋体"/>
          <w:b/>
          <w:sz w:val="36"/>
          <w:szCs w:val="20"/>
        </w:rPr>
      </w:pPr>
      <w:bookmarkStart w:id="3" w:name="第一部分"/>
      <w:r>
        <w:rPr>
          <w:rFonts w:hint="eastAsia" w:ascii="宋体" w:hAnsi="宋体" w:cs="宋体"/>
          <w:b/>
          <w:sz w:val="36"/>
          <w:szCs w:val="36"/>
        </w:rPr>
        <w:br w:type="page"/>
      </w:r>
      <w:bookmarkEnd w:id="2"/>
      <w:bookmarkEnd w:id="3"/>
      <w:bookmarkStart w:id="4" w:name="_Hlt74649545"/>
      <w:bookmarkEnd w:id="4"/>
      <w:bookmarkStart w:id="5" w:name="_Hlt74707423"/>
      <w:bookmarkEnd w:id="5"/>
      <w:bookmarkStart w:id="6" w:name="_Hlt74729822"/>
      <w:bookmarkEnd w:id="6"/>
      <w:bookmarkStart w:id="7" w:name="_Hlt74728647"/>
      <w:bookmarkEnd w:id="7"/>
      <w:bookmarkStart w:id="8" w:name="第二部分"/>
      <w:bookmarkStart w:id="9" w:name="_Toc91899870"/>
      <w:bookmarkStart w:id="10" w:name="_Toc91899871"/>
      <w:r>
        <w:rPr>
          <w:rFonts w:hint="eastAsia" w:ascii="宋体" w:hAnsi="宋体" w:cs="宋体"/>
          <w:b/>
          <w:sz w:val="36"/>
          <w:szCs w:val="20"/>
        </w:rPr>
        <w:t>第一部分 招标公告</w:t>
      </w:r>
    </w:p>
    <w:p w14:paraId="5E5B07DA">
      <w:pPr>
        <w:pBdr>
          <w:top w:val="single" w:color="auto" w:sz="4" w:space="1"/>
          <w:left w:val="single" w:color="auto" w:sz="4" w:space="4"/>
          <w:bottom w:val="single" w:color="auto" w:sz="4" w:space="2"/>
          <w:right w:val="single" w:color="auto" w:sz="4" w:space="4"/>
        </w:pBdr>
        <w:spacing w:line="360" w:lineRule="auto"/>
        <w:ind w:firstLine="480" w:firstLineChars="200"/>
        <w:rPr>
          <w:rFonts w:ascii="宋体" w:hAnsi="宋体" w:eastAsia="宋体"/>
          <w:color w:val="auto"/>
          <w:sz w:val="24"/>
          <w:highlight w:val="none"/>
        </w:rPr>
      </w:pPr>
      <w:r>
        <w:rPr>
          <w:rFonts w:hint="eastAsia" w:ascii="宋体" w:hAnsi="宋体" w:eastAsia="宋体"/>
          <w:sz w:val="24"/>
        </w:rPr>
        <w:t>项目概况</w:t>
      </w:r>
    </w:p>
    <w:p w14:paraId="365F19E7">
      <w:pPr>
        <w:pBdr>
          <w:top w:val="single" w:color="auto" w:sz="4" w:space="1"/>
          <w:left w:val="single" w:color="auto" w:sz="4" w:space="4"/>
          <w:bottom w:val="single" w:color="auto" w:sz="4" w:space="2"/>
          <w:right w:val="single" w:color="auto" w:sz="4" w:space="4"/>
        </w:pBdr>
        <w:spacing w:line="360" w:lineRule="auto"/>
        <w:ind w:firstLine="480" w:firstLineChars="200"/>
        <w:rPr>
          <w:rFonts w:ascii="宋体" w:hAnsi="宋体" w:eastAsia="宋体"/>
          <w:sz w:val="24"/>
          <w:u w:val="single"/>
        </w:rPr>
      </w:pPr>
      <w:r>
        <w:rPr>
          <w:rFonts w:hint="eastAsia" w:ascii="宋体" w:hAnsi="宋体" w:cs="仿宋_GB2312"/>
          <w:color w:val="auto"/>
          <w:sz w:val="24"/>
          <w:highlight w:val="none"/>
          <w:u w:val="single"/>
          <w:lang w:eastAsia="zh-CN"/>
        </w:rPr>
        <w:t>杭州师范大学附属未来科技城学校（天元公学西站校区）办公家具（二）采购项目</w:t>
      </w:r>
      <w:r>
        <w:rPr>
          <w:rFonts w:hint="eastAsia" w:ascii="宋体" w:hAnsi="宋体" w:eastAsia="宋体"/>
          <w:color w:val="auto"/>
          <w:sz w:val="24"/>
          <w:highlight w:val="none"/>
        </w:rPr>
        <w:t>的潜在投标人应在</w:t>
      </w:r>
      <w:r>
        <w:rPr>
          <w:rFonts w:hint="eastAsia" w:ascii="宋体" w:hAnsi="宋体" w:eastAsia="宋体"/>
          <w:sz w:val="24"/>
        </w:rPr>
        <w:t>政采云平台（</w:t>
      </w:r>
      <w:r>
        <w:rPr>
          <w:highlight w:val="none"/>
        </w:rPr>
        <w:fldChar w:fldCharType="begin"/>
      </w:r>
      <w:r>
        <w:rPr>
          <w:highlight w:val="none"/>
        </w:rPr>
        <w:instrText xml:space="preserve"> HYPERLINK "https://www.zcygov.cn/）获取（下载）招标文件，并于202%20年%20月%20日%20点%20分00秒" </w:instrText>
      </w:r>
      <w:r>
        <w:rPr>
          <w:highlight w:val="none"/>
        </w:rPr>
        <w:fldChar w:fldCharType="separate"/>
      </w:r>
      <w:r>
        <w:rPr>
          <w:rStyle w:val="77"/>
          <w:rFonts w:ascii="宋体" w:hAnsi="宋体" w:eastAsia="宋体" w:cs="Times New Roman"/>
          <w:kern w:val="2"/>
          <w:sz w:val="24"/>
          <w:szCs w:val="24"/>
          <w:highlight w:val="none"/>
        </w:rPr>
        <w:t>https://www.zcygov.cn/）获取（下载）招标文件，并于</w:t>
      </w:r>
      <w:r>
        <w:rPr>
          <w:rStyle w:val="77"/>
          <w:rFonts w:hint="eastAsia" w:ascii="宋体" w:hAnsi="宋体" w:cs="Times New Roman"/>
          <w:b/>
          <w:bCs/>
          <w:kern w:val="2"/>
          <w:sz w:val="24"/>
          <w:szCs w:val="24"/>
          <w:highlight w:val="none"/>
          <w:u w:val="single" w:color="auto"/>
          <w:lang w:eastAsia="zh-CN"/>
        </w:rPr>
        <w:t>202</w:t>
      </w:r>
      <w:r>
        <w:rPr>
          <w:rStyle w:val="77"/>
          <w:rFonts w:hint="eastAsia" w:ascii="宋体" w:hAnsi="宋体" w:cs="Times New Roman"/>
          <w:b/>
          <w:bCs/>
          <w:kern w:val="2"/>
          <w:sz w:val="24"/>
          <w:szCs w:val="24"/>
          <w:highlight w:val="none"/>
          <w:u w:val="single" w:color="auto"/>
          <w:lang w:val="en-US" w:eastAsia="zh-CN"/>
        </w:rPr>
        <w:t>5年2</w:t>
      </w:r>
      <w:r>
        <w:rPr>
          <w:rStyle w:val="77"/>
          <w:rFonts w:hint="eastAsia" w:ascii="宋体" w:hAnsi="宋体" w:eastAsia="宋体" w:cs="Times New Roman"/>
          <w:b/>
          <w:bCs/>
          <w:kern w:val="2"/>
          <w:sz w:val="24"/>
          <w:szCs w:val="24"/>
          <w:highlight w:val="none"/>
          <w:u w:val="single" w:color="auto"/>
        </w:rPr>
        <w:t>月</w:t>
      </w:r>
      <w:r>
        <w:rPr>
          <w:rStyle w:val="77"/>
          <w:rFonts w:hint="eastAsia" w:ascii="宋体" w:hAnsi="宋体" w:cs="Times New Roman"/>
          <w:b/>
          <w:bCs/>
          <w:kern w:val="2"/>
          <w:sz w:val="24"/>
          <w:szCs w:val="24"/>
          <w:highlight w:val="none"/>
          <w:u w:val="single" w:color="auto"/>
          <w:lang w:val="en-US" w:eastAsia="zh-CN"/>
        </w:rPr>
        <w:t>21</w:t>
      </w:r>
      <w:r>
        <w:rPr>
          <w:rStyle w:val="77"/>
          <w:rFonts w:hint="eastAsia" w:ascii="宋体" w:hAnsi="宋体" w:eastAsia="宋体" w:cs="Times New Roman"/>
          <w:b/>
          <w:bCs/>
          <w:kern w:val="2"/>
          <w:sz w:val="24"/>
          <w:szCs w:val="24"/>
          <w:highlight w:val="none"/>
          <w:u w:val="single" w:color="auto"/>
        </w:rPr>
        <w:t xml:space="preserve">日 </w:t>
      </w:r>
      <w:r>
        <w:rPr>
          <w:rStyle w:val="77"/>
          <w:rFonts w:hint="eastAsia" w:ascii="宋体" w:hAnsi="宋体" w:cs="Times New Roman"/>
          <w:b/>
          <w:bCs/>
          <w:kern w:val="2"/>
          <w:sz w:val="24"/>
          <w:szCs w:val="24"/>
          <w:highlight w:val="none"/>
          <w:u w:val="single" w:color="auto"/>
          <w:lang w:val="en-US" w:eastAsia="zh-CN"/>
        </w:rPr>
        <w:t>10</w:t>
      </w:r>
      <w:r>
        <w:rPr>
          <w:rStyle w:val="77"/>
          <w:rFonts w:hint="eastAsia" w:ascii="宋体" w:hAnsi="宋体" w:eastAsia="宋体" w:cs="Times New Roman"/>
          <w:b/>
          <w:bCs/>
          <w:kern w:val="2"/>
          <w:sz w:val="24"/>
          <w:szCs w:val="24"/>
          <w:highlight w:val="none"/>
          <w:u w:val="single" w:color="auto"/>
        </w:rPr>
        <w:t>点</w:t>
      </w:r>
      <w:r>
        <w:rPr>
          <w:rStyle w:val="77"/>
          <w:rFonts w:hint="eastAsia" w:ascii="宋体" w:hAnsi="宋体" w:cs="Times New Roman"/>
          <w:b/>
          <w:bCs/>
          <w:kern w:val="2"/>
          <w:sz w:val="24"/>
          <w:szCs w:val="24"/>
          <w:highlight w:val="none"/>
          <w:u w:val="single" w:color="auto"/>
          <w:lang w:val="en-US" w:eastAsia="zh-CN"/>
        </w:rPr>
        <w:t>30</w:t>
      </w:r>
      <w:r>
        <w:rPr>
          <w:rStyle w:val="77"/>
          <w:rFonts w:hint="eastAsia" w:ascii="宋体" w:hAnsi="宋体" w:eastAsia="宋体" w:cs="Times New Roman"/>
          <w:b/>
          <w:bCs/>
          <w:kern w:val="2"/>
          <w:sz w:val="24"/>
          <w:szCs w:val="24"/>
          <w:highlight w:val="none"/>
          <w:u w:val="single" w:color="auto"/>
        </w:rPr>
        <w:t>分00秒</w:t>
      </w:r>
      <w:r>
        <w:rPr>
          <w:rStyle w:val="77"/>
          <w:rFonts w:hint="eastAsia" w:ascii="宋体" w:hAnsi="宋体" w:eastAsia="宋体" w:cs="Times New Roman"/>
          <w:bCs/>
          <w:kern w:val="2"/>
          <w:sz w:val="24"/>
          <w:szCs w:val="24"/>
          <w:highlight w:val="none"/>
        </w:rPr>
        <w:fldChar w:fldCharType="end"/>
      </w:r>
      <w:r>
        <w:rPr>
          <w:rFonts w:hint="eastAsia" w:ascii="宋体" w:hAnsi="宋体" w:eastAsia="宋体"/>
          <w:bCs/>
          <w:sz w:val="24"/>
          <w:highlight w:val="none"/>
        </w:rPr>
        <w:t>（北</w:t>
      </w:r>
      <w:r>
        <w:rPr>
          <w:rFonts w:hint="eastAsia" w:ascii="宋体" w:hAnsi="宋体" w:eastAsia="宋体"/>
          <w:bCs/>
          <w:sz w:val="24"/>
        </w:rPr>
        <w:t>京时间）前</w:t>
      </w:r>
      <w:r>
        <w:rPr>
          <w:rFonts w:hint="eastAsia" w:ascii="宋体" w:hAnsi="宋体" w:eastAsia="宋体"/>
          <w:sz w:val="24"/>
        </w:rPr>
        <w:t>递交（上传）投标文件。</w:t>
      </w:r>
    </w:p>
    <w:p w14:paraId="59589515">
      <w:pPr>
        <w:spacing w:line="360" w:lineRule="auto"/>
        <w:rPr>
          <w:rFonts w:ascii="宋体" w:hAnsi="宋体" w:cs="宋体"/>
          <w:b/>
          <w:color w:val="auto"/>
          <w:sz w:val="24"/>
          <w:highlight w:val="none"/>
        </w:rPr>
      </w:pPr>
      <w:r>
        <w:rPr>
          <w:rFonts w:hint="eastAsia" w:ascii="宋体" w:hAnsi="宋体" w:cs="宋体"/>
          <w:b/>
          <w:sz w:val="24"/>
        </w:rPr>
        <w:t xml:space="preserve">一、项目基本情况     </w:t>
      </w:r>
      <w:r>
        <w:rPr>
          <w:rFonts w:hint="eastAsia" w:ascii="宋体" w:hAnsi="宋体" w:cs="宋体"/>
          <w:b/>
          <w:color w:val="auto"/>
          <w:sz w:val="24"/>
          <w:highlight w:val="none"/>
        </w:rPr>
        <w:t xml:space="preserve">                                       </w:t>
      </w:r>
    </w:p>
    <w:p w14:paraId="7C3C60DB">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color w:val="auto"/>
          <w:sz w:val="24"/>
          <w:highlight w:val="none"/>
          <w:lang w:eastAsia="zh-CN"/>
        </w:rPr>
        <w:t>HZYHZFCG-2025-010</w:t>
      </w:r>
    </w:p>
    <w:p w14:paraId="17EF6CC2">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宋体" w:hAnsi="宋体" w:cs="宋体"/>
          <w:color w:val="auto"/>
          <w:sz w:val="24"/>
          <w:highlight w:val="none"/>
          <w:lang w:eastAsia="zh-CN"/>
        </w:rPr>
        <w:t>杭州师范大学附属未来科技城学校（天元公学西站校区）办公家具（二）采购项目</w:t>
      </w:r>
    </w:p>
    <w:p w14:paraId="1076660B">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预算金额（元）：8134043</w:t>
      </w:r>
      <w:r>
        <w:rPr>
          <w:rFonts w:hint="eastAsia" w:ascii="宋体" w:hAnsi="宋体" w:cs="宋体"/>
          <w:color w:val="auto"/>
          <w:sz w:val="24"/>
          <w:highlight w:val="none"/>
        </w:rPr>
        <w:t xml:space="preserve"> </w:t>
      </w:r>
    </w:p>
    <w:p w14:paraId="5337DD64">
      <w:pPr>
        <w:spacing w:line="360" w:lineRule="auto"/>
        <w:ind w:firstLine="480"/>
        <w:rPr>
          <w:rFonts w:ascii="宋体" w:hAnsi="宋体" w:cs="宋体"/>
          <w:color w:val="auto"/>
          <w:sz w:val="24"/>
          <w:highlight w:val="none"/>
        </w:rPr>
      </w:pPr>
      <w:r>
        <w:rPr>
          <w:rFonts w:hint="eastAsia" w:ascii="宋体" w:hAnsi="宋体" w:cs="宋体"/>
          <w:b/>
          <w:color w:val="auto"/>
          <w:sz w:val="24"/>
          <w:highlight w:val="none"/>
        </w:rPr>
        <w:t>最高限价（元）：</w:t>
      </w:r>
      <w:r>
        <w:rPr>
          <w:rFonts w:hint="eastAsia" w:ascii="宋体" w:hAnsi="宋体" w:cs="宋体"/>
          <w:b/>
          <w:color w:val="auto"/>
          <w:sz w:val="24"/>
          <w:highlight w:val="none"/>
          <w:lang w:val="en-US" w:eastAsia="zh-CN"/>
        </w:rPr>
        <w:t>/</w:t>
      </w:r>
      <w:r>
        <w:rPr>
          <w:rFonts w:hint="eastAsia" w:ascii="宋体" w:hAnsi="宋体" w:cs="宋体"/>
          <w:color w:val="auto"/>
          <w:sz w:val="24"/>
          <w:highlight w:val="none"/>
        </w:rPr>
        <w:t xml:space="preserve"> </w:t>
      </w:r>
    </w:p>
    <w:p w14:paraId="7C15B9A6">
      <w:pPr>
        <w:pStyle w:val="5"/>
        <w:spacing w:line="360" w:lineRule="auto"/>
        <w:ind w:firstLine="480"/>
        <w:rPr>
          <w:rFonts w:hAnsi="宋体" w:cs="宋体"/>
          <w:bCs/>
          <w:color w:val="auto"/>
          <w:kern w:val="2"/>
          <w:sz w:val="24"/>
          <w:szCs w:val="24"/>
          <w:highlight w:val="none"/>
        </w:rPr>
      </w:pPr>
      <w:r>
        <w:rPr>
          <w:rFonts w:hint="eastAsia" w:hAnsi="宋体" w:cs="宋体"/>
          <w:b/>
          <w:color w:val="auto"/>
          <w:sz w:val="24"/>
          <w:highlight w:val="none"/>
        </w:rPr>
        <w:t>采购需求：</w:t>
      </w:r>
      <w:r>
        <w:rPr>
          <w:rFonts w:hint="eastAsia" w:hAnsi="宋体" w:cs="宋体"/>
          <w:b w:val="0"/>
          <w:bCs/>
          <w:color w:val="auto"/>
          <w:sz w:val="24"/>
          <w:highlight w:val="none"/>
          <w:lang w:eastAsia="zh-CN"/>
        </w:rPr>
        <w:t>本项目</w:t>
      </w:r>
      <w:r>
        <w:rPr>
          <w:rFonts w:hint="eastAsia" w:hAnsi="宋体" w:cs="宋体"/>
          <w:b w:val="0"/>
          <w:bCs/>
          <w:color w:val="auto"/>
          <w:kern w:val="2"/>
          <w:sz w:val="24"/>
          <w:szCs w:val="24"/>
          <w:highlight w:val="none"/>
        </w:rPr>
        <w:t>主</w:t>
      </w:r>
      <w:r>
        <w:rPr>
          <w:rFonts w:hint="eastAsia" w:hAnsi="宋体" w:cs="宋体"/>
          <w:bCs/>
          <w:color w:val="auto"/>
          <w:kern w:val="2"/>
          <w:sz w:val="24"/>
          <w:szCs w:val="24"/>
          <w:highlight w:val="none"/>
        </w:rPr>
        <w:t>要内容</w:t>
      </w:r>
      <w:r>
        <w:rPr>
          <w:rFonts w:hint="eastAsia" w:hAnsi="宋体" w:cs="宋体"/>
          <w:bCs/>
          <w:color w:val="auto"/>
          <w:kern w:val="2"/>
          <w:sz w:val="24"/>
          <w:szCs w:val="24"/>
          <w:highlight w:val="none"/>
          <w:lang w:eastAsia="zh-CN"/>
        </w:rPr>
        <w:t>包含</w:t>
      </w:r>
      <w:r>
        <w:rPr>
          <w:rFonts w:hint="eastAsia" w:hAnsi="宋体" w:cs="宋体"/>
          <w:bCs/>
          <w:color w:val="auto"/>
          <w:kern w:val="2"/>
          <w:sz w:val="24"/>
          <w:szCs w:val="24"/>
          <w:highlight w:val="none"/>
        </w:rPr>
        <w:t>采购清单中货物设计、制造、供货、安装调试、验收、质保期内的售后服务等。</w:t>
      </w:r>
      <w:r>
        <w:rPr>
          <w:rFonts w:hint="eastAsia" w:ascii="宋体" w:hAnsi="宋体" w:eastAsia="宋体"/>
          <w:color w:val="auto"/>
          <w:kern w:val="2"/>
          <w:sz w:val="24"/>
          <w:szCs w:val="24"/>
          <w:highlight w:val="none"/>
        </w:rPr>
        <w:t>具体</w:t>
      </w:r>
      <w:r>
        <w:rPr>
          <w:rFonts w:hint="eastAsia" w:ascii="宋体" w:hAnsi="宋体" w:eastAsia="宋体"/>
          <w:color w:val="auto"/>
          <w:kern w:val="2"/>
          <w:sz w:val="24"/>
          <w:szCs w:val="24"/>
        </w:rPr>
        <w:t>以招标文件第三部分采购需求为准，供应商可点击本公告下方“浏览采购文件”查看采购需求。</w:t>
      </w:r>
    </w:p>
    <w:p w14:paraId="18168815">
      <w:pPr>
        <w:pStyle w:val="85"/>
        <w:ind w:firstLine="482"/>
        <w:outlineLvl w:val="2"/>
        <w:rPr>
          <w:rFonts w:ascii="宋体" w:hAnsi="宋体" w:cs="宋体"/>
          <w:color w:val="0000FF"/>
          <w:highlight w:val="none"/>
        </w:rPr>
      </w:pPr>
      <w:r>
        <w:rPr>
          <w:rFonts w:hint="eastAsia" w:ascii="宋体" w:hAnsi="宋体" w:cs="宋体"/>
          <w:b/>
          <w:highlight w:val="none"/>
        </w:rPr>
        <w:t>合同履约期限：合同签订后50天内完成供货、安装调试及验收。</w:t>
      </w:r>
      <w:r>
        <w:rPr>
          <w:rFonts w:hint="eastAsia" w:ascii="宋体" w:hAnsi="宋体" w:cs="宋体"/>
          <w:b/>
          <w:color w:val="0000FF"/>
          <w:highlight w:val="none"/>
        </w:rPr>
        <w:t xml:space="preserve"> </w:t>
      </w:r>
    </w:p>
    <w:p w14:paraId="0BD263C4">
      <w:pPr>
        <w:pStyle w:val="5"/>
        <w:spacing w:line="360" w:lineRule="auto"/>
        <w:ind w:firstLine="480"/>
        <w:rPr>
          <w:rFonts w:hAnsi="宋体" w:cs="宋体"/>
          <w:color w:val="auto"/>
          <w:kern w:val="0"/>
          <w:sz w:val="24"/>
        </w:rPr>
      </w:pPr>
      <w:r>
        <w:rPr>
          <w:rFonts w:hint="eastAsia" w:hAnsi="宋体" w:cs="宋体"/>
          <w:b/>
          <w:color w:val="auto"/>
          <w:sz w:val="24"/>
        </w:rPr>
        <w:t>本项目接受联合体投标：</w:t>
      </w:r>
      <w:r>
        <w:rPr>
          <w:rFonts w:hint="eastAsia" w:hAnsi="宋体" w:cs="宋体"/>
          <w:color w:val="auto"/>
          <w:kern w:val="0"/>
          <w:sz w:val="24"/>
        </w:rPr>
        <w:sym w:font="Wingdings" w:char="F0FE"/>
      </w:r>
      <w:r>
        <w:rPr>
          <w:rFonts w:hint="eastAsia" w:hAnsi="宋体" w:cs="宋体"/>
          <w:b/>
          <w:color w:val="auto"/>
          <w:sz w:val="24"/>
        </w:rPr>
        <w:t>是</w:t>
      </w:r>
      <w:r>
        <w:rPr>
          <w:rFonts w:hint="eastAsia" w:hAnsi="宋体" w:cs="宋体"/>
          <w:b/>
          <w:color w:val="auto"/>
          <w:kern w:val="2"/>
          <w:sz w:val="24"/>
        </w:rPr>
        <w:t>；</w:t>
      </w:r>
      <w:r>
        <w:rPr>
          <w:rFonts w:hint="eastAsia" w:hAnsi="宋体" w:cs="宋体"/>
          <w:color w:val="auto"/>
          <w:kern w:val="0"/>
          <w:sz w:val="24"/>
        </w:rPr>
        <w:t>☐</w:t>
      </w:r>
      <w:r>
        <w:rPr>
          <w:rFonts w:hint="eastAsia" w:hAnsi="宋体" w:cs="宋体"/>
          <w:b/>
          <w:color w:val="auto"/>
          <w:sz w:val="24"/>
        </w:rPr>
        <w:t>否</w:t>
      </w:r>
      <w:r>
        <w:rPr>
          <w:rFonts w:hint="eastAsia" w:hAnsi="宋体" w:cs="宋体"/>
          <w:color w:val="auto"/>
          <w:kern w:val="0"/>
          <w:sz w:val="24"/>
        </w:rPr>
        <w:t>。</w:t>
      </w:r>
    </w:p>
    <w:p w14:paraId="3035C631">
      <w:pPr>
        <w:spacing w:line="360" w:lineRule="auto"/>
        <w:rPr>
          <w:rFonts w:ascii="宋体" w:hAnsi="宋体" w:cs="宋体"/>
          <w:b/>
          <w:sz w:val="24"/>
        </w:rPr>
      </w:pPr>
      <w:r>
        <w:rPr>
          <w:rFonts w:hint="eastAsia" w:ascii="宋体" w:hAnsi="宋体" w:cs="宋体"/>
          <w:b/>
          <w:sz w:val="24"/>
        </w:rPr>
        <w:t>二、</w:t>
      </w:r>
      <w:bookmarkStart w:id="11" w:name="_Hlk101132948"/>
      <w:r>
        <w:rPr>
          <w:rFonts w:hint="eastAsia" w:ascii="宋体" w:hAnsi="宋体" w:cs="宋体"/>
          <w:b/>
          <w:sz w:val="24"/>
        </w:rPr>
        <w:t>申请人的资格要求</w:t>
      </w:r>
      <w:bookmarkEnd w:id="11"/>
      <w:r>
        <w:rPr>
          <w:rFonts w:hint="eastAsia" w:ascii="宋体" w:hAnsi="宋体" w:cs="宋体"/>
          <w:b/>
          <w:sz w:val="24"/>
        </w:rPr>
        <w:t>：</w:t>
      </w:r>
    </w:p>
    <w:p w14:paraId="32DF07E1">
      <w:pPr>
        <w:spacing w:line="360" w:lineRule="auto"/>
        <w:ind w:firstLine="480"/>
        <w:rPr>
          <w:rFonts w:ascii="宋体" w:hAnsi="宋体" w:cs="宋体"/>
          <w:snapToGrid w:val="0"/>
          <w:kern w:val="28"/>
          <w:sz w:val="24"/>
          <w:szCs w:val="20"/>
        </w:rPr>
      </w:pPr>
      <w:r>
        <w:rPr>
          <w:rFonts w:hint="eastAsia" w:ascii="宋体" w:hAnsi="宋体" w:cs="宋体"/>
          <w:snapToGrid w:val="0"/>
          <w:kern w:val="28"/>
          <w:sz w:val="24"/>
          <w:szCs w:val="20"/>
        </w:rPr>
        <w:t>1. 满足《中华人民共和国政府采购法》第二十二条规定；未被“信用中国”（www.creditchina.gov.cn</w:t>
      </w:r>
      <w:r>
        <w:rPr>
          <w:rFonts w:hint="eastAsia" w:ascii="宋体" w:hAnsi="宋体" w:cs="宋体"/>
          <w:snapToGrid w:val="0"/>
          <w:kern w:val="28"/>
          <w:sz w:val="24"/>
          <w:szCs w:val="20"/>
          <w:lang w:eastAsia="zh-CN"/>
        </w:rPr>
        <w:t>）</w:t>
      </w:r>
      <w:r>
        <w:rPr>
          <w:rFonts w:hint="eastAsia" w:ascii="宋体" w:hAnsi="宋体" w:cs="宋体"/>
          <w:snapToGrid w:val="0"/>
          <w:kern w:val="28"/>
          <w:sz w:val="24"/>
          <w:szCs w:val="20"/>
        </w:rPr>
        <w:t>、中国政府采购网（www.ccgp.gov.cn）列入失信被执行人、重大税收违法案件当事人名单、政府采购严重违法失信行为记录名单；</w:t>
      </w:r>
    </w:p>
    <w:p w14:paraId="6E5A7138">
      <w:pPr>
        <w:spacing w:line="360" w:lineRule="auto"/>
        <w:rPr>
          <w:rFonts w:ascii="宋体" w:hAnsi="宋体" w:cs="宋体"/>
          <w:snapToGrid w:val="0"/>
          <w:kern w:val="28"/>
          <w:sz w:val="24"/>
          <w:szCs w:val="20"/>
        </w:rPr>
      </w:pPr>
      <w:r>
        <w:rPr>
          <w:rFonts w:hint="eastAsia" w:ascii="宋体" w:hAnsi="宋体" w:cs="宋体"/>
          <w:snapToGrid w:val="0"/>
          <w:kern w:val="28"/>
          <w:sz w:val="24"/>
          <w:szCs w:val="20"/>
        </w:rPr>
        <w:t xml:space="preserve">    </w:t>
      </w:r>
      <w:r>
        <w:rPr>
          <w:rFonts w:ascii="宋体" w:hAnsi="宋体" w:cs="宋体"/>
          <w:snapToGrid w:val="0"/>
          <w:kern w:val="28"/>
          <w:sz w:val="24"/>
          <w:szCs w:val="20"/>
        </w:rPr>
        <w:t>2</w:t>
      </w:r>
      <w:r>
        <w:rPr>
          <w:rFonts w:hint="eastAsia" w:ascii="宋体" w:hAnsi="宋体" w:cs="宋体"/>
          <w:snapToGrid w:val="0"/>
          <w:kern w:val="28"/>
          <w:sz w:val="24"/>
          <w:szCs w:val="20"/>
        </w:rPr>
        <w:t>.</w:t>
      </w:r>
      <w:r>
        <w:rPr>
          <w:rFonts w:hint="eastAsia"/>
        </w:rPr>
        <w:t xml:space="preserve"> </w:t>
      </w:r>
      <w:r>
        <w:rPr>
          <w:rFonts w:hint="eastAsia" w:ascii="宋体" w:hAnsi="宋体" w:cs="宋体"/>
          <w:snapToGrid w:val="0"/>
          <w:kern w:val="28"/>
          <w:sz w:val="24"/>
          <w:szCs w:val="20"/>
        </w:rPr>
        <w:t>以联合体形式投标的，提供联合协议</w:t>
      </w:r>
      <w:r>
        <w:rPr>
          <w:rFonts w:hint="eastAsia" w:ascii="宋体" w:hAnsi="宋体" w:cs="宋体"/>
          <w:snapToGrid w:val="0"/>
          <w:kern w:val="28"/>
          <w:sz w:val="24"/>
          <w:szCs w:val="20"/>
          <w:lang w:eastAsia="zh-CN"/>
        </w:rPr>
        <w:t>（</w:t>
      </w:r>
      <w:r>
        <w:rPr>
          <w:rFonts w:hint="eastAsia" w:ascii="宋体" w:hAnsi="宋体" w:cs="宋体"/>
          <w:snapToGrid w:val="0"/>
          <w:kern w:val="28"/>
          <w:sz w:val="24"/>
          <w:szCs w:val="20"/>
        </w:rPr>
        <w:t>本项目不接受联合体投标或者投标人不以联合体形式投标的，则不需要提供</w:t>
      </w:r>
      <w:r>
        <w:rPr>
          <w:rFonts w:hint="eastAsia" w:ascii="宋体" w:hAnsi="宋体" w:cs="宋体"/>
          <w:snapToGrid w:val="0"/>
          <w:kern w:val="28"/>
          <w:sz w:val="24"/>
          <w:szCs w:val="20"/>
          <w:lang w:eastAsia="zh-CN"/>
        </w:rPr>
        <w:t>）</w:t>
      </w:r>
      <w:r>
        <w:rPr>
          <w:rFonts w:hint="eastAsia" w:ascii="宋体" w:hAnsi="宋体" w:cs="宋体"/>
          <w:snapToGrid w:val="0"/>
          <w:kern w:val="28"/>
          <w:sz w:val="24"/>
          <w:szCs w:val="20"/>
        </w:rPr>
        <w:t xml:space="preserve"> ；</w:t>
      </w:r>
    </w:p>
    <w:p w14:paraId="6DEF7106">
      <w:pP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kern w:val="28"/>
          <w:sz w:val="24"/>
          <w:szCs w:val="20"/>
        </w:rPr>
        <w:t>3</w:t>
      </w:r>
      <w:r>
        <w:rPr>
          <w:rFonts w:hint="eastAsia" w:ascii="宋体" w:hAnsi="宋体" w:cs="宋体"/>
          <w:snapToGrid w:val="0"/>
          <w:kern w:val="28"/>
          <w:sz w:val="24"/>
          <w:szCs w:val="20"/>
        </w:rPr>
        <w:t>.落实政府采购政策需满足的</w:t>
      </w:r>
      <w:r>
        <w:rPr>
          <w:rFonts w:hint="eastAsia" w:ascii="宋体" w:hAnsi="宋体" w:cs="宋体"/>
          <w:snapToGrid w:val="0"/>
          <w:color w:val="auto"/>
          <w:kern w:val="28"/>
          <w:sz w:val="24"/>
          <w:szCs w:val="20"/>
          <w:highlight w:val="none"/>
        </w:rPr>
        <w:t>资格要求：</w:t>
      </w:r>
    </w:p>
    <w:p w14:paraId="57C828C5">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w:t>
      </w:r>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r>
        <w:rPr>
          <w:rFonts w:hint="eastAsia" w:ascii="宋体" w:hAnsi="宋体" w:cs="宋体"/>
          <w:color w:val="auto"/>
          <w:sz w:val="24"/>
          <w:highlight w:val="none"/>
        </w:rPr>
        <w:t>；</w:t>
      </w:r>
    </w:p>
    <w:p w14:paraId="475A8F40">
      <w:pPr>
        <w:spacing w:line="360" w:lineRule="auto"/>
        <w:ind w:firstLine="480" w:firstLineChars="200"/>
        <w:rPr>
          <w:rFonts w:ascii="宋体" w:hAnsi="宋体" w:cs="宋体"/>
          <w:color w:val="auto"/>
          <w:sz w:val="24"/>
          <w:highlight w:val="none"/>
        </w:rPr>
      </w:pPr>
      <w:r>
        <w:rPr>
          <w:rFonts w:hint="eastAsia" w:ascii="MS Gothic" w:hAnsi="MS Gothic" w:eastAsia="MS Gothic" w:cs="宋体"/>
          <w:color w:val="auto"/>
          <w:kern w:val="0"/>
          <w:sz w:val="24"/>
          <w:highlight w:val="none"/>
        </w:rPr>
        <w:sym w:font="Wingdings 2" w:char="0052"/>
      </w:r>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14:paraId="1265173A">
      <w:pPr>
        <w:spacing w:line="360" w:lineRule="auto"/>
        <w:ind w:firstLine="897" w:firstLineChars="374"/>
        <w:rPr>
          <w:rFonts w:ascii="宋体" w:hAnsi="宋体" w:cs="宋体"/>
          <w:color w:val="auto"/>
          <w:sz w:val="24"/>
          <w:highlight w:val="none"/>
          <w:u w:val="single"/>
        </w:rPr>
      </w:pPr>
      <w:r>
        <w:rPr>
          <w:rFonts w:hint="eastAsia" w:ascii="MS Gothic" w:hAnsi="MS Gothic" w:eastAsia="MS Gothic" w:cs="宋体"/>
          <w:color w:val="auto"/>
          <w:kern w:val="0"/>
          <w:sz w:val="24"/>
          <w:highlight w:val="none"/>
        </w:rPr>
        <w:sym w:font="Wingdings 2" w:char="0052"/>
      </w:r>
      <w:r>
        <w:rPr>
          <w:rFonts w:hint="eastAsia" w:ascii="宋体" w:hAnsi="宋体" w:cs="宋体"/>
          <w:color w:val="auto"/>
          <w:sz w:val="24"/>
          <w:highlight w:val="none"/>
        </w:rPr>
        <w:t>货物全部由符合政策要求的中小</w:t>
      </w:r>
      <w:r>
        <w:rPr>
          <w:rFonts w:hint="eastAsia" w:ascii="宋体" w:hAnsi="宋体" w:cs="宋体"/>
          <w:color w:val="auto"/>
          <w:sz w:val="24"/>
          <w:highlight w:val="none"/>
          <w:lang w:eastAsia="zh-CN"/>
        </w:rPr>
        <w:t>微</w:t>
      </w:r>
      <w:r>
        <w:rPr>
          <w:rFonts w:hint="eastAsia" w:ascii="宋体" w:hAnsi="宋体" w:cs="宋体"/>
          <w:color w:val="auto"/>
          <w:sz w:val="24"/>
          <w:highlight w:val="none"/>
        </w:rPr>
        <w:t>企业制造，提供中小企业声明函；</w:t>
      </w:r>
    </w:p>
    <w:p w14:paraId="30E5C4C3">
      <w:pPr>
        <w:spacing w:line="360" w:lineRule="auto"/>
        <w:ind w:firstLine="897" w:firstLineChars="374"/>
        <w:rPr>
          <w:rFonts w:ascii="宋体" w:hAnsi="宋体" w:cs="宋体"/>
          <w:color w:val="auto"/>
          <w:sz w:val="24"/>
          <w:highlight w:val="none"/>
        </w:rPr>
      </w:pPr>
      <w:r>
        <w:rPr>
          <w:rFonts w:hint="eastAsia" w:ascii="宋体" w:hAnsi="宋体" w:cs="宋体"/>
          <w:color w:val="auto"/>
          <w:kern w:val="0"/>
          <w:sz w:val="24"/>
          <w:highlight w:val="none"/>
        </w:rPr>
        <w:t>☐</w:t>
      </w:r>
      <w:r>
        <w:rPr>
          <w:rFonts w:hint="eastAsia" w:ascii="宋体" w:hAnsi="宋体" w:cs="宋体"/>
          <w:color w:val="auto"/>
          <w:sz w:val="24"/>
          <w:highlight w:val="none"/>
        </w:rPr>
        <w:t>货物全部由符合政策要求的小微企业制造，提供中小企业声明函；</w:t>
      </w:r>
    </w:p>
    <w:p w14:paraId="2D6BC207">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w:t>
      </w:r>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p w14:paraId="0697EBED">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w:t>
      </w:r>
      <w:r>
        <w:rPr>
          <w:rFonts w:hint="eastAsia" w:ascii="宋体" w:hAnsi="宋体" w:cs="宋体"/>
          <w:color w:val="auto"/>
          <w:sz w:val="24"/>
          <w:highlight w:val="none"/>
        </w:rPr>
        <w:t>要求合同分包，提供分包意向协议和中小企业声明函，分包意向协议中中小企业合同金额应当达到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rPr>
        <w:t>；</w:t>
      </w:r>
    </w:p>
    <w:p w14:paraId="73DC1441">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w:t>
      </w:r>
    </w:p>
    <w:p w14:paraId="5125B141">
      <w:pPr>
        <w:snapToGrid w:val="0"/>
        <w:spacing w:line="360" w:lineRule="auto"/>
        <w:ind w:firstLine="480" w:firstLineChars="200"/>
        <w:rPr>
          <w:rFonts w:ascii="宋体" w:hAnsi="宋体" w:cs="宋体"/>
          <w:color w:val="auto"/>
          <w:sz w:val="24"/>
          <w:highlight w:val="none"/>
        </w:rPr>
      </w:pPr>
      <w:r>
        <w:rPr>
          <w:rFonts w:hint="eastAsia" w:ascii="MS Gothic" w:hAnsi="MS Gothic" w:eastAsia="MS Gothic" w:cs="宋体"/>
          <w:color w:val="auto"/>
          <w:kern w:val="0"/>
          <w:sz w:val="24"/>
          <w:highlight w:val="none"/>
        </w:rPr>
        <w:t>☐</w:t>
      </w:r>
      <w:r>
        <w:rPr>
          <w:rFonts w:hint="eastAsia" w:ascii="宋体" w:hAnsi="宋体" w:cs="宋体"/>
          <w:color w:val="auto"/>
          <w:sz w:val="24"/>
          <w:highlight w:val="none"/>
        </w:rPr>
        <w:t>无</w:t>
      </w:r>
    </w:p>
    <w:p w14:paraId="5D0A2B21">
      <w:pPr>
        <w:snapToGrid w:val="0"/>
        <w:spacing w:line="360" w:lineRule="auto"/>
        <w:ind w:firstLine="480" w:firstLineChars="200"/>
        <w:rPr>
          <w:rFonts w:ascii="宋体" w:hAnsi="宋体" w:cs="宋体"/>
          <w:color w:val="auto"/>
          <w:sz w:val="24"/>
          <w:highlight w:val="none"/>
          <w:u w:val="single"/>
        </w:rPr>
      </w:pPr>
      <w:r>
        <w:rPr>
          <w:rFonts w:hint="eastAsia" w:ascii="MS Gothic" w:hAnsi="MS Gothic" w:eastAsia="MS Gothic" w:cs="宋体"/>
          <w:color w:val="auto"/>
          <w:kern w:val="0"/>
          <w:sz w:val="24"/>
          <w:highlight w:val="none"/>
        </w:rPr>
        <w:t>☐</w:t>
      </w:r>
      <w:r>
        <w:rPr>
          <w:rFonts w:hint="eastAsia" w:ascii="宋体" w:hAnsi="宋体" w:cs="宋体"/>
          <w:color w:val="auto"/>
          <w:sz w:val="24"/>
          <w:highlight w:val="none"/>
        </w:rPr>
        <w:t>有特定资格要求：</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，该特定条件的法律法规依据：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5E4934EC">
      <w:pPr>
        <w:snapToGrid w:val="0"/>
        <w:spacing w:line="360" w:lineRule="auto"/>
        <w:ind w:firstLine="480" w:firstLineChars="200"/>
        <w:rPr>
          <w:rFonts w:ascii="宋体" w:hAnsi="宋体" w:cs="宋体"/>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w:t>
      </w:r>
      <w:r>
        <w:rPr>
          <w:rFonts w:hint="eastAsia" w:ascii="宋体" w:hAnsi="宋体" w:cs="宋体"/>
          <w:sz w:val="24"/>
          <w:highlight w:val="none"/>
        </w:rPr>
        <w:t>设计、规范编制或者项目管理、监理、检测等服务后不得再参加该采购项目的其他采购活动。</w:t>
      </w:r>
    </w:p>
    <w:p w14:paraId="0D10A4AA">
      <w:pPr>
        <w:spacing w:line="360" w:lineRule="auto"/>
        <w:rPr>
          <w:rFonts w:ascii="宋体" w:hAnsi="宋体" w:cs="宋体"/>
          <w:b/>
          <w:sz w:val="24"/>
          <w:highlight w:val="none"/>
        </w:rPr>
      </w:pPr>
      <w:r>
        <w:rPr>
          <w:rFonts w:hint="eastAsia" w:ascii="宋体" w:hAnsi="宋体" w:cs="宋体"/>
          <w:b/>
          <w:sz w:val="24"/>
          <w:highlight w:val="none"/>
        </w:rPr>
        <w:t xml:space="preserve">三、获取招标文件 </w:t>
      </w:r>
    </w:p>
    <w:p w14:paraId="6C1B4C88">
      <w:pPr>
        <w:spacing w:line="360" w:lineRule="auto"/>
        <w:ind w:firstLine="482" w:firstLineChars="200"/>
        <w:rPr>
          <w:rFonts w:ascii="宋体" w:hAnsi="宋体" w:cs="宋体"/>
          <w:color w:val="000000"/>
          <w:sz w:val="24"/>
          <w:highlight w:val="none"/>
        </w:rPr>
      </w:pPr>
      <w:r>
        <w:rPr>
          <w:rFonts w:hint="eastAsia" w:ascii="宋体" w:hAnsi="宋体" w:cs="宋体"/>
          <w:b/>
          <w:color w:val="000000"/>
          <w:sz w:val="24"/>
          <w:highlight w:val="none"/>
        </w:rPr>
        <w:t>时间：</w:t>
      </w:r>
      <w:r>
        <w:rPr>
          <w:rFonts w:hint="eastAsia" w:ascii="宋体" w:hAnsi="宋体" w:cs="宋体"/>
          <w:color w:val="000000"/>
          <w:sz w:val="24"/>
          <w:highlight w:val="none"/>
        </w:rPr>
        <w:t>/至</w:t>
      </w:r>
      <w:r>
        <w:rPr>
          <w:rFonts w:hint="eastAsia" w:ascii="宋体" w:hAnsi="宋体" w:cs="宋体"/>
          <w:b/>
          <w:bCs/>
          <w:color w:val="000000"/>
          <w:sz w:val="24"/>
          <w:highlight w:val="none"/>
          <w:u w:val="single"/>
          <w:lang w:eastAsia="zh-CN"/>
        </w:rPr>
        <w:t>202</w:t>
      </w:r>
      <w:r>
        <w:rPr>
          <w:rFonts w:hint="eastAsia" w:ascii="宋体" w:hAnsi="宋体" w:cs="宋体"/>
          <w:b/>
          <w:bCs/>
          <w:color w:val="000000"/>
          <w:sz w:val="24"/>
          <w:highlight w:val="none"/>
          <w:u w:val="single"/>
          <w:lang w:val="en-US" w:eastAsia="zh-CN"/>
        </w:rPr>
        <w:t>5</w:t>
      </w:r>
      <w:r>
        <w:rPr>
          <w:rFonts w:hint="eastAsia" w:ascii="宋体" w:hAnsi="宋体" w:cs="宋体"/>
          <w:b/>
          <w:bCs/>
          <w:color w:val="000000"/>
          <w:sz w:val="24"/>
          <w:highlight w:val="none"/>
          <w:u w:val="single"/>
        </w:rPr>
        <w:t>年</w:t>
      </w:r>
      <w:r>
        <w:rPr>
          <w:rFonts w:hint="eastAsia" w:ascii="宋体" w:hAnsi="宋体" w:cs="宋体"/>
          <w:b/>
          <w:bCs/>
          <w:color w:val="000000"/>
          <w:sz w:val="24"/>
          <w:highlight w:val="none"/>
          <w:u w:val="single"/>
          <w:lang w:val="en-US" w:eastAsia="zh-CN"/>
        </w:rPr>
        <w:t>2</w:t>
      </w:r>
      <w:r>
        <w:rPr>
          <w:rFonts w:hint="eastAsia" w:ascii="宋体" w:hAnsi="宋体" w:cs="宋体"/>
          <w:b/>
          <w:bCs/>
          <w:color w:val="000000"/>
          <w:sz w:val="24"/>
          <w:highlight w:val="none"/>
          <w:u w:val="single"/>
        </w:rPr>
        <w:t>月</w:t>
      </w:r>
      <w:r>
        <w:rPr>
          <w:rFonts w:hint="eastAsia" w:ascii="宋体" w:hAnsi="宋体" w:cs="宋体"/>
          <w:b/>
          <w:bCs/>
          <w:color w:val="000000"/>
          <w:sz w:val="24"/>
          <w:highlight w:val="none"/>
          <w:u w:val="single"/>
          <w:lang w:val="en-US" w:eastAsia="zh-CN"/>
        </w:rPr>
        <w:t>21</w:t>
      </w:r>
      <w:r>
        <w:rPr>
          <w:rFonts w:hint="eastAsia" w:ascii="宋体" w:hAnsi="宋体" w:cs="宋体"/>
          <w:b/>
          <w:bCs/>
          <w:color w:val="000000"/>
          <w:sz w:val="24"/>
          <w:highlight w:val="none"/>
          <w:u w:val="single"/>
        </w:rPr>
        <w:t>日</w:t>
      </w:r>
      <w:r>
        <w:rPr>
          <w:rFonts w:hint="eastAsia" w:ascii="宋体" w:hAnsi="宋体" w:cs="宋体"/>
          <w:color w:val="000000"/>
          <w:sz w:val="24"/>
          <w:highlight w:val="none"/>
        </w:rPr>
        <w:t>，每天上午00:00至12:00 ，下午12:00至23:59（北京时间，线上获取法定节假日均可，线下获取文件法定节假日除外）</w:t>
      </w:r>
    </w:p>
    <w:p w14:paraId="1AD32366">
      <w:pPr>
        <w:spacing w:line="360" w:lineRule="auto"/>
        <w:ind w:firstLine="482" w:firstLineChars="200"/>
        <w:rPr>
          <w:rFonts w:ascii="宋体" w:hAnsi="宋体" w:cs="宋体"/>
          <w:color w:val="000000"/>
          <w:sz w:val="24"/>
          <w:highlight w:val="none"/>
        </w:rPr>
      </w:pPr>
      <w:r>
        <w:rPr>
          <w:rFonts w:hint="eastAsia" w:ascii="宋体" w:hAnsi="宋体" w:cs="宋体"/>
          <w:b/>
          <w:color w:val="000000"/>
          <w:sz w:val="24"/>
          <w:highlight w:val="none"/>
        </w:rPr>
        <w:t>地点（网址）：</w:t>
      </w:r>
      <w:r>
        <w:rPr>
          <w:rFonts w:hint="eastAsia" w:ascii="宋体" w:hAnsi="宋体" w:cs="宋体"/>
          <w:color w:val="000000"/>
          <w:sz w:val="24"/>
          <w:highlight w:val="none"/>
        </w:rPr>
        <w:t xml:space="preserve">政采云平台（https://www.zcygov.cn/） </w:t>
      </w:r>
    </w:p>
    <w:p w14:paraId="26A69C09">
      <w:pPr>
        <w:spacing w:line="360" w:lineRule="auto"/>
        <w:ind w:firstLine="482" w:firstLineChars="200"/>
        <w:rPr>
          <w:rFonts w:ascii="宋体" w:hAnsi="宋体" w:cs="宋体"/>
          <w:color w:val="000000"/>
          <w:sz w:val="24"/>
          <w:highlight w:val="none"/>
        </w:rPr>
      </w:pPr>
      <w:r>
        <w:rPr>
          <w:rFonts w:hint="eastAsia" w:ascii="宋体" w:hAnsi="宋体" w:cs="宋体"/>
          <w:b/>
          <w:color w:val="000000"/>
          <w:sz w:val="24"/>
          <w:highlight w:val="none"/>
        </w:rPr>
        <w:t>方式：</w:t>
      </w:r>
      <w:r>
        <w:rPr>
          <w:rFonts w:hint="eastAsia" w:ascii="宋体" w:hAnsi="宋体" w:cs="宋体"/>
          <w:color w:val="000000"/>
          <w:sz w:val="24"/>
          <w:highlight w:val="none"/>
        </w:rPr>
        <w:t xml:space="preserve">供应商登录政采云平台https://www.zcygov.cn/在线申请获取采购文件（进入“项目采购”应用，在获取采购文件菜单中选择项目，申请获取采购文件）。 </w:t>
      </w:r>
    </w:p>
    <w:p w14:paraId="7CEC31D1">
      <w:pPr>
        <w:spacing w:line="360" w:lineRule="auto"/>
        <w:ind w:firstLine="482" w:firstLineChars="200"/>
        <w:rPr>
          <w:rFonts w:ascii="宋体" w:hAnsi="宋体" w:cs="宋体"/>
          <w:color w:val="000000"/>
          <w:sz w:val="24"/>
          <w:highlight w:val="none"/>
        </w:rPr>
      </w:pPr>
      <w:r>
        <w:rPr>
          <w:rFonts w:hint="eastAsia" w:ascii="宋体" w:hAnsi="宋体" w:cs="宋体"/>
          <w:b/>
          <w:color w:val="000000"/>
          <w:sz w:val="24"/>
          <w:highlight w:val="none"/>
        </w:rPr>
        <w:t>售价（元）：</w:t>
      </w:r>
      <w:r>
        <w:rPr>
          <w:rFonts w:hint="eastAsia" w:ascii="宋体" w:hAnsi="宋体" w:cs="宋体"/>
          <w:color w:val="000000"/>
          <w:sz w:val="24"/>
          <w:highlight w:val="none"/>
        </w:rPr>
        <w:t xml:space="preserve">0 </w:t>
      </w:r>
      <w:r>
        <w:rPr>
          <w:rFonts w:hint="eastAsia" w:ascii="宋体" w:hAnsi="宋体" w:cs="宋体"/>
          <w:color w:val="000000"/>
          <w:sz w:val="24"/>
          <w:highlight w:val="none"/>
        </w:rPr>
        <w:tab/>
      </w:r>
    </w:p>
    <w:p w14:paraId="23F4D595">
      <w:pPr>
        <w:spacing w:line="360" w:lineRule="auto"/>
        <w:rPr>
          <w:rFonts w:ascii="宋体" w:hAnsi="宋体" w:cs="宋体"/>
          <w:b/>
          <w:color w:val="000000"/>
          <w:sz w:val="24"/>
          <w:highlight w:val="none"/>
        </w:rPr>
      </w:pPr>
      <w:r>
        <w:rPr>
          <w:rFonts w:hint="eastAsia" w:ascii="宋体" w:hAnsi="宋体" w:cs="宋体"/>
          <w:b/>
          <w:color w:val="000000"/>
          <w:sz w:val="24"/>
          <w:highlight w:val="none"/>
        </w:rPr>
        <w:t>四、提交投标文件截止时间、开标时间和地点</w:t>
      </w:r>
    </w:p>
    <w:p w14:paraId="421FBA77">
      <w:pPr>
        <w:spacing w:line="360" w:lineRule="auto"/>
        <w:ind w:firstLine="482" w:firstLineChars="200"/>
        <w:rPr>
          <w:rFonts w:ascii="宋体" w:hAnsi="宋体" w:cs="宋体"/>
          <w:color w:val="000000"/>
          <w:sz w:val="24"/>
          <w:highlight w:val="none"/>
        </w:rPr>
      </w:pPr>
      <w:r>
        <w:rPr>
          <w:rFonts w:hint="eastAsia" w:ascii="宋体" w:hAnsi="宋体" w:cs="宋体"/>
          <w:b/>
          <w:color w:val="000000"/>
          <w:sz w:val="24"/>
          <w:highlight w:val="none"/>
        </w:rPr>
        <w:t>提交投标文件截止时间：</w:t>
      </w:r>
      <w:r>
        <w:rPr>
          <w:rFonts w:hint="eastAsia" w:ascii="宋体" w:hAnsi="宋体" w:cs="宋体"/>
          <w:b/>
          <w:bCs/>
          <w:color w:val="000000"/>
          <w:sz w:val="24"/>
          <w:highlight w:val="none"/>
          <w:u w:val="single"/>
        </w:rPr>
        <w:t xml:space="preserve"> </w:t>
      </w:r>
      <w:r>
        <w:rPr>
          <w:rFonts w:hint="eastAsia" w:ascii="宋体" w:hAnsi="宋体" w:cs="宋体"/>
          <w:b/>
          <w:bCs/>
          <w:color w:val="000000"/>
          <w:sz w:val="24"/>
          <w:highlight w:val="none"/>
          <w:u w:val="single"/>
          <w:lang w:eastAsia="zh-CN"/>
        </w:rPr>
        <w:t>202</w:t>
      </w:r>
      <w:r>
        <w:rPr>
          <w:rFonts w:hint="eastAsia" w:ascii="宋体" w:hAnsi="宋体" w:cs="宋体"/>
          <w:b/>
          <w:bCs/>
          <w:color w:val="000000"/>
          <w:sz w:val="24"/>
          <w:highlight w:val="none"/>
          <w:u w:val="single"/>
          <w:lang w:val="en-US" w:eastAsia="zh-CN"/>
        </w:rPr>
        <w:t>5</w:t>
      </w:r>
      <w:r>
        <w:rPr>
          <w:rFonts w:hint="eastAsia" w:ascii="宋体" w:hAnsi="宋体" w:cs="宋体"/>
          <w:b/>
          <w:bCs/>
          <w:color w:val="000000"/>
          <w:sz w:val="24"/>
          <w:highlight w:val="none"/>
          <w:u w:val="single"/>
        </w:rPr>
        <w:t>年</w:t>
      </w:r>
      <w:r>
        <w:rPr>
          <w:rFonts w:hint="eastAsia" w:ascii="宋体" w:hAnsi="宋体" w:cs="宋体"/>
          <w:b/>
          <w:bCs/>
          <w:color w:val="000000"/>
          <w:sz w:val="24"/>
          <w:highlight w:val="none"/>
          <w:u w:val="single"/>
          <w:lang w:val="en-US" w:eastAsia="zh-CN"/>
        </w:rPr>
        <w:t>2</w:t>
      </w:r>
      <w:r>
        <w:rPr>
          <w:rFonts w:hint="eastAsia" w:ascii="宋体" w:hAnsi="宋体" w:cs="宋体"/>
          <w:b/>
          <w:bCs/>
          <w:color w:val="000000"/>
          <w:sz w:val="24"/>
          <w:highlight w:val="none"/>
          <w:u w:val="single"/>
        </w:rPr>
        <w:t>月</w:t>
      </w:r>
      <w:r>
        <w:rPr>
          <w:rFonts w:hint="eastAsia" w:ascii="宋体" w:hAnsi="宋体" w:cs="宋体"/>
          <w:b/>
          <w:bCs/>
          <w:color w:val="000000"/>
          <w:sz w:val="24"/>
          <w:highlight w:val="none"/>
          <w:u w:val="single"/>
          <w:lang w:val="en-US" w:eastAsia="zh-CN"/>
        </w:rPr>
        <w:t>21</w:t>
      </w:r>
      <w:r>
        <w:rPr>
          <w:rFonts w:hint="eastAsia" w:ascii="宋体" w:hAnsi="宋体" w:cs="宋体"/>
          <w:b/>
          <w:bCs/>
          <w:color w:val="000000"/>
          <w:sz w:val="24"/>
          <w:highlight w:val="none"/>
          <w:u w:val="single"/>
        </w:rPr>
        <w:t xml:space="preserve">日 </w:t>
      </w:r>
      <w:r>
        <w:rPr>
          <w:rFonts w:hint="eastAsia" w:ascii="宋体" w:hAnsi="宋体" w:cs="宋体"/>
          <w:b/>
          <w:bCs/>
          <w:color w:val="000000"/>
          <w:sz w:val="24"/>
          <w:highlight w:val="none"/>
          <w:u w:val="single"/>
          <w:lang w:val="en-US" w:eastAsia="zh-CN"/>
        </w:rPr>
        <w:t>10</w:t>
      </w:r>
      <w:r>
        <w:rPr>
          <w:rFonts w:hint="eastAsia" w:ascii="宋体" w:hAnsi="宋体" w:cs="宋体"/>
          <w:b/>
          <w:bCs/>
          <w:color w:val="000000"/>
          <w:sz w:val="24"/>
          <w:highlight w:val="none"/>
          <w:u w:val="single"/>
        </w:rPr>
        <w:t>点</w:t>
      </w:r>
      <w:r>
        <w:rPr>
          <w:rFonts w:hint="eastAsia" w:ascii="宋体" w:hAnsi="宋体" w:cs="宋体"/>
          <w:b/>
          <w:bCs/>
          <w:color w:val="000000"/>
          <w:sz w:val="24"/>
          <w:highlight w:val="none"/>
          <w:u w:val="single"/>
          <w:lang w:val="en-US" w:eastAsia="zh-CN"/>
        </w:rPr>
        <w:t>30</w:t>
      </w:r>
      <w:r>
        <w:rPr>
          <w:rFonts w:hint="eastAsia" w:ascii="宋体" w:hAnsi="宋体" w:cs="宋体"/>
          <w:b/>
          <w:bCs/>
          <w:color w:val="000000"/>
          <w:sz w:val="24"/>
          <w:highlight w:val="none"/>
          <w:u w:val="single"/>
        </w:rPr>
        <w:t>分00秒</w:t>
      </w:r>
      <w:r>
        <w:rPr>
          <w:rFonts w:hint="eastAsia" w:ascii="宋体" w:hAnsi="宋体" w:cs="宋体"/>
          <w:color w:val="000000"/>
          <w:sz w:val="24"/>
          <w:highlight w:val="none"/>
        </w:rPr>
        <w:t>（北京时间）</w:t>
      </w:r>
    </w:p>
    <w:p w14:paraId="1FDFD3BA">
      <w:pPr>
        <w:spacing w:line="360" w:lineRule="auto"/>
        <w:ind w:firstLine="482" w:firstLineChars="200"/>
        <w:rPr>
          <w:rFonts w:ascii="宋体" w:hAnsi="宋体" w:cs="宋体"/>
          <w:b/>
          <w:color w:val="000000"/>
          <w:sz w:val="24"/>
          <w:highlight w:val="none"/>
        </w:rPr>
      </w:pPr>
      <w:r>
        <w:rPr>
          <w:rFonts w:hint="eastAsia" w:ascii="宋体" w:hAnsi="宋体" w:cs="宋体"/>
          <w:b/>
          <w:color w:val="000000"/>
          <w:sz w:val="24"/>
          <w:highlight w:val="none"/>
        </w:rPr>
        <w:t>投标地点（网址）：</w:t>
      </w:r>
      <w:r>
        <w:rPr>
          <w:rFonts w:hint="eastAsia" w:ascii="宋体" w:hAnsi="宋体" w:cs="宋体"/>
          <w:color w:val="000000"/>
          <w:sz w:val="24"/>
          <w:highlight w:val="none"/>
        </w:rPr>
        <w:t xml:space="preserve">政采云平台（https://www.zcygov.cn/） </w:t>
      </w:r>
    </w:p>
    <w:p w14:paraId="08153EF3">
      <w:pPr>
        <w:spacing w:line="360" w:lineRule="auto"/>
        <w:ind w:firstLine="482" w:firstLineChars="200"/>
        <w:rPr>
          <w:rFonts w:ascii="宋体" w:hAnsi="宋体" w:cs="宋体"/>
          <w:bCs/>
          <w:color w:val="000000"/>
          <w:sz w:val="24"/>
          <w:highlight w:val="none"/>
          <w:u w:val="single"/>
        </w:rPr>
      </w:pPr>
      <w:r>
        <w:rPr>
          <w:rFonts w:hint="eastAsia" w:ascii="宋体" w:hAnsi="宋体" w:cs="宋体"/>
          <w:b/>
          <w:color w:val="000000"/>
          <w:sz w:val="24"/>
          <w:highlight w:val="none"/>
        </w:rPr>
        <w:t>开标时间：</w:t>
      </w:r>
      <w:r>
        <w:rPr>
          <w:rFonts w:hint="eastAsia" w:ascii="宋体" w:hAnsi="宋体" w:cs="宋体"/>
          <w:b/>
          <w:bCs/>
          <w:color w:val="000000"/>
          <w:sz w:val="24"/>
          <w:highlight w:val="none"/>
          <w:u w:val="single"/>
          <w:lang w:eastAsia="zh-CN"/>
        </w:rPr>
        <w:t>202</w:t>
      </w:r>
      <w:r>
        <w:rPr>
          <w:rFonts w:hint="eastAsia" w:ascii="宋体" w:hAnsi="宋体" w:cs="宋体"/>
          <w:b/>
          <w:bCs/>
          <w:color w:val="000000"/>
          <w:sz w:val="24"/>
          <w:highlight w:val="none"/>
          <w:u w:val="single"/>
          <w:lang w:val="en-US" w:eastAsia="zh-CN"/>
        </w:rPr>
        <w:t>5</w:t>
      </w:r>
      <w:r>
        <w:rPr>
          <w:rFonts w:hint="eastAsia" w:ascii="宋体" w:hAnsi="宋体" w:cs="宋体"/>
          <w:b/>
          <w:bCs/>
          <w:color w:val="000000"/>
          <w:sz w:val="24"/>
          <w:highlight w:val="none"/>
          <w:u w:val="single"/>
        </w:rPr>
        <w:t>年</w:t>
      </w:r>
      <w:r>
        <w:rPr>
          <w:rFonts w:hint="eastAsia" w:ascii="宋体" w:hAnsi="宋体" w:cs="宋体"/>
          <w:b/>
          <w:bCs/>
          <w:color w:val="000000"/>
          <w:sz w:val="24"/>
          <w:highlight w:val="none"/>
          <w:u w:val="single"/>
          <w:lang w:val="en-US" w:eastAsia="zh-CN"/>
        </w:rPr>
        <w:t>2</w:t>
      </w:r>
      <w:r>
        <w:rPr>
          <w:rFonts w:hint="eastAsia" w:ascii="宋体" w:hAnsi="宋体" w:cs="宋体"/>
          <w:b/>
          <w:bCs/>
          <w:color w:val="000000"/>
          <w:sz w:val="24"/>
          <w:highlight w:val="none"/>
          <w:u w:val="single"/>
        </w:rPr>
        <w:t>月</w:t>
      </w:r>
      <w:r>
        <w:rPr>
          <w:rFonts w:hint="eastAsia" w:ascii="宋体" w:hAnsi="宋体" w:cs="宋体"/>
          <w:b/>
          <w:bCs/>
          <w:color w:val="000000"/>
          <w:sz w:val="24"/>
          <w:highlight w:val="none"/>
          <w:u w:val="single"/>
          <w:lang w:val="en-US" w:eastAsia="zh-CN"/>
        </w:rPr>
        <w:t>21</w:t>
      </w:r>
      <w:r>
        <w:rPr>
          <w:rFonts w:hint="eastAsia" w:ascii="宋体" w:hAnsi="宋体" w:cs="宋体"/>
          <w:b/>
          <w:bCs/>
          <w:color w:val="000000"/>
          <w:sz w:val="24"/>
          <w:highlight w:val="none"/>
          <w:u w:val="single"/>
        </w:rPr>
        <w:t xml:space="preserve">日 </w:t>
      </w:r>
      <w:r>
        <w:rPr>
          <w:rFonts w:hint="eastAsia" w:ascii="宋体" w:hAnsi="宋体" w:cs="宋体"/>
          <w:b/>
          <w:bCs/>
          <w:color w:val="000000"/>
          <w:sz w:val="24"/>
          <w:highlight w:val="none"/>
          <w:u w:val="single"/>
          <w:lang w:val="en-US" w:eastAsia="zh-CN"/>
        </w:rPr>
        <w:t>10</w:t>
      </w:r>
      <w:r>
        <w:rPr>
          <w:rFonts w:hint="eastAsia" w:ascii="宋体" w:hAnsi="宋体" w:cs="宋体"/>
          <w:b/>
          <w:bCs/>
          <w:color w:val="000000"/>
          <w:sz w:val="24"/>
          <w:highlight w:val="none"/>
          <w:u w:val="single"/>
        </w:rPr>
        <w:t>点</w:t>
      </w:r>
      <w:r>
        <w:rPr>
          <w:rFonts w:hint="eastAsia" w:ascii="宋体" w:hAnsi="宋体" w:cs="宋体"/>
          <w:b/>
          <w:bCs/>
          <w:color w:val="000000"/>
          <w:sz w:val="24"/>
          <w:highlight w:val="none"/>
          <w:u w:val="single"/>
          <w:lang w:val="en-US" w:eastAsia="zh-CN"/>
        </w:rPr>
        <w:t>30</w:t>
      </w:r>
      <w:r>
        <w:rPr>
          <w:rFonts w:hint="eastAsia" w:ascii="宋体" w:hAnsi="宋体" w:cs="宋体"/>
          <w:b/>
          <w:bCs/>
          <w:color w:val="000000"/>
          <w:sz w:val="24"/>
          <w:highlight w:val="none"/>
          <w:u w:val="single"/>
        </w:rPr>
        <w:t>分00秒</w:t>
      </w:r>
      <w:r>
        <w:rPr>
          <w:rFonts w:hint="eastAsia" w:ascii="宋体" w:hAnsi="宋体" w:cs="宋体"/>
          <w:color w:val="000000"/>
          <w:sz w:val="24"/>
          <w:highlight w:val="none"/>
        </w:rPr>
        <w:t>（北京时间）</w:t>
      </w:r>
    </w:p>
    <w:p w14:paraId="0FED2F94">
      <w:pPr>
        <w:spacing w:line="360" w:lineRule="auto"/>
        <w:ind w:firstLine="482" w:firstLineChars="200"/>
        <w:rPr>
          <w:rFonts w:ascii="宋体" w:hAnsi="宋体" w:cs="宋体"/>
          <w:sz w:val="24"/>
          <w:highlight w:val="none"/>
        </w:rPr>
      </w:pPr>
      <w:r>
        <w:rPr>
          <w:rFonts w:hint="eastAsia" w:ascii="宋体" w:hAnsi="宋体" w:cs="宋体"/>
          <w:b/>
          <w:sz w:val="24"/>
          <w:highlight w:val="none"/>
        </w:rPr>
        <w:t>开标地点（网址）：</w:t>
      </w:r>
      <w:r>
        <w:rPr>
          <w:rFonts w:hint="eastAsia" w:ascii="宋体" w:hAnsi="宋体" w:cs="宋体"/>
          <w:sz w:val="24"/>
          <w:highlight w:val="none"/>
        </w:rPr>
        <w:t>政采云平台（https://www.zcygov.cn/）</w:t>
      </w:r>
    </w:p>
    <w:p w14:paraId="5EBB0B86">
      <w:pPr>
        <w:spacing w:line="360" w:lineRule="auto"/>
        <w:rPr>
          <w:rFonts w:ascii="宋体" w:hAnsi="宋体" w:cs="宋体"/>
          <w:sz w:val="24"/>
          <w:highlight w:val="none"/>
        </w:rPr>
      </w:pPr>
      <w:r>
        <w:rPr>
          <w:rFonts w:hint="eastAsia" w:ascii="宋体" w:hAnsi="宋体" w:cs="宋体"/>
          <w:b/>
          <w:sz w:val="24"/>
          <w:highlight w:val="none"/>
        </w:rPr>
        <w:t xml:space="preserve">五、公告期限 </w:t>
      </w:r>
    </w:p>
    <w:p w14:paraId="52C007F0">
      <w:pPr>
        <w:spacing w:line="360" w:lineRule="auto"/>
        <w:ind w:firstLine="480" w:firstLineChars="200"/>
        <w:rPr>
          <w:rFonts w:ascii="宋体" w:hAnsi="宋体" w:cs="宋体"/>
          <w:sz w:val="24"/>
        </w:rPr>
      </w:pPr>
      <w:r>
        <w:rPr>
          <w:rFonts w:hint="eastAsia" w:ascii="宋体" w:hAnsi="宋体" w:cs="宋体"/>
          <w:sz w:val="24"/>
        </w:rPr>
        <w:t>自本公告发布之日起5个工作日。</w:t>
      </w:r>
    </w:p>
    <w:p w14:paraId="79A845F5">
      <w:pPr>
        <w:spacing w:line="360" w:lineRule="auto"/>
        <w:rPr>
          <w:rFonts w:ascii="宋体" w:hAnsi="宋体" w:cs="宋体"/>
          <w:b/>
          <w:sz w:val="24"/>
        </w:rPr>
      </w:pPr>
      <w:r>
        <w:rPr>
          <w:rFonts w:hint="eastAsia" w:ascii="宋体" w:hAnsi="宋体" w:cs="宋体"/>
          <w:b/>
          <w:sz w:val="24"/>
        </w:rPr>
        <w:t>六、其他补充事宜</w:t>
      </w:r>
    </w:p>
    <w:p w14:paraId="3EADB43F">
      <w:pPr>
        <w:spacing w:line="360" w:lineRule="auto"/>
        <w:ind w:firstLine="480" w:firstLineChars="200"/>
        <w:rPr>
          <w:rFonts w:ascii="宋体" w:hAnsi="宋体" w:cs="宋体"/>
          <w:sz w:val="24"/>
        </w:rPr>
      </w:pPr>
      <w:r>
        <w:rPr>
          <w:rFonts w:hint="eastAsia" w:ascii="宋体" w:hAnsi="宋体" w:cs="宋体"/>
          <w:sz w:val="24"/>
        </w:rPr>
        <w:t xml:space="preserve"> 1. </w:t>
      </w:r>
      <w:r>
        <w:rPr>
          <w:rFonts w:ascii="宋体" w:hAnsi="宋体" w:cs="宋体"/>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sz w:val="24"/>
        </w:rPr>
        <w:t>。</w:t>
      </w:r>
    </w:p>
    <w:p w14:paraId="28DE39EF">
      <w:pPr>
        <w:spacing w:line="360" w:lineRule="auto"/>
        <w:ind w:firstLine="480" w:firstLineChars="200"/>
        <w:rPr>
          <w:rFonts w:ascii="宋体" w:hAnsi="宋体" w:cs="宋体"/>
          <w:sz w:val="24"/>
        </w:rPr>
      </w:pPr>
      <w:r>
        <w:rPr>
          <w:rFonts w:hint="eastAsia" w:ascii="宋体" w:hAnsi="宋体" w:cs="宋体"/>
          <w:sz w:val="24"/>
        </w:rPr>
        <w:t xml:space="preserve"> 2.根据《浙江省财政厅关于进一步促进政府采购公平竞争打造最优营商环境的通知》（浙财采监（2021）22号）文件关于“健全行政裁决机制”要求，鼓励供应商在线提起询问，路径为：政采云</w:t>
      </w:r>
      <w:r>
        <w:rPr>
          <w:rFonts w:hint="eastAsia" w:ascii="宋体" w:hAnsi="宋体" w:cs="宋体"/>
          <w:sz w:val="24"/>
          <w:lang w:eastAsia="zh-CN"/>
        </w:rPr>
        <w:t>－</w:t>
      </w:r>
      <w:r>
        <w:rPr>
          <w:rFonts w:hint="eastAsia" w:ascii="宋体" w:hAnsi="宋体" w:cs="宋体"/>
          <w:sz w:val="24"/>
        </w:rPr>
        <w:t>项目采购</w:t>
      </w:r>
      <w:r>
        <w:rPr>
          <w:rFonts w:hint="eastAsia" w:ascii="宋体" w:hAnsi="宋体" w:cs="宋体"/>
          <w:sz w:val="24"/>
          <w:lang w:eastAsia="zh-CN"/>
        </w:rPr>
        <w:t>－</w:t>
      </w:r>
      <w:r>
        <w:rPr>
          <w:rFonts w:hint="eastAsia" w:ascii="宋体" w:hAnsi="宋体" w:cs="宋体"/>
          <w:sz w:val="24"/>
        </w:rPr>
        <w:t>询问质疑投诉</w:t>
      </w:r>
      <w:r>
        <w:rPr>
          <w:rFonts w:hint="eastAsia" w:ascii="宋体" w:hAnsi="宋体" w:cs="宋体"/>
          <w:sz w:val="24"/>
          <w:lang w:eastAsia="zh-CN"/>
        </w:rPr>
        <w:t>－</w:t>
      </w:r>
      <w:r>
        <w:rPr>
          <w:rFonts w:hint="eastAsia" w:ascii="宋体" w:hAnsi="宋体" w:cs="宋体"/>
          <w:sz w:val="24"/>
        </w:rPr>
        <w:t>询问列表</w:t>
      </w:r>
      <w:r>
        <w:rPr>
          <w:rFonts w:hint="eastAsia" w:ascii="宋体" w:hAnsi="宋体" w:cs="宋体"/>
          <w:sz w:val="24"/>
          <w:lang w:eastAsia="zh-CN"/>
        </w:rPr>
        <w:t>：</w:t>
      </w:r>
      <w:r>
        <w:rPr>
          <w:rFonts w:hint="eastAsia" w:ascii="宋体" w:hAnsi="宋体" w:cs="宋体"/>
          <w:sz w:val="24"/>
        </w:rPr>
        <w:t>鼓励供应商在线提起质疑，路径为：政采云</w:t>
      </w:r>
      <w:r>
        <w:rPr>
          <w:rFonts w:hint="eastAsia" w:ascii="宋体" w:hAnsi="宋体" w:cs="宋体"/>
          <w:sz w:val="24"/>
          <w:lang w:eastAsia="zh-CN"/>
        </w:rPr>
        <w:t>－</w:t>
      </w:r>
      <w:r>
        <w:rPr>
          <w:rFonts w:hint="eastAsia" w:ascii="宋体" w:hAnsi="宋体" w:cs="宋体"/>
          <w:sz w:val="24"/>
        </w:rPr>
        <w:t>项目采购</w:t>
      </w:r>
      <w:r>
        <w:rPr>
          <w:rFonts w:hint="eastAsia" w:ascii="宋体" w:hAnsi="宋体" w:cs="宋体"/>
          <w:sz w:val="24"/>
          <w:lang w:eastAsia="zh-CN"/>
        </w:rPr>
        <w:t>－</w:t>
      </w:r>
      <w:r>
        <w:rPr>
          <w:rFonts w:hint="eastAsia" w:ascii="宋体" w:hAnsi="宋体" w:cs="宋体"/>
          <w:sz w:val="24"/>
        </w:rPr>
        <w:t>询问质疑投诉</w:t>
      </w:r>
      <w:r>
        <w:rPr>
          <w:rFonts w:hint="eastAsia" w:ascii="宋体" w:hAnsi="宋体" w:cs="宋体"/>
          <w:sz w:val="24"/>
          <w:lang w:eastAsia="zh-CN"/>
        </w:rPr>
        <w:t>－</w:t>
      </w:r>
      <w:r>
        <w:rPr>
          <w:rFonts w:hint="eastAsia" w:ascii="宋体" w:hAnsi="宋体" w:cs="宋体"/>
          <w:sz w:val="24"/>
        </w:rPr>
        <w:t>质疑列表。质疑供应商对在线质疑答复不满意的，可在线提起投诉，路径为：浙江政</w:t>
      </w:r>
      <w:r>
        <w:rPr>
          <w:rFonts w:hint="eastAsia" w:ascii="宋体" w:hAnsi="宋体" w:cs="宋体"/>
          <w:sz w:val="24"/>
          <w:lang w:val="en-US" w:eastAsia="zh-CN"/>
        </w:rPr>
        <w:t>务</w:t>
      </w:r>
      <w:r>
        <w:rPr>
          <w:rFonts w:hint="eastAsia" w:ascii="宋体" w:hAnsi="宋体" w:cs="宋体"/>
          <w:sz w:val="24"/>
        </w:rPr>
        <w:t>服务网</w:t>
      </w:r>
      <w:r>
        <w:rPr>
          <w:rFonts w:hint="eastAsia" w:ascii="宋体" w:hAnsi="宋体" w:cs="宋体"/>
          <w:sz w:val="24"/>
          <w:lang w:eastAsia="zh-CN"/>
        </w:rPr>
        <w:t>－</w:t>
      </w:r>
      <w:r>
        <w:rPr>
          <w:rFonts w:hint="eastAsia" w:ascii="宋体" w:hAnsi="宋体" w:cs="宋体"/>
          <w:sz w:val="24"/>
        </w:rPr>
        <w:t>政府采购投诉处理</w:t>
      </w:r>
      <w:r>
        <w:rPr>
          <w:rFonts w:hint="eastAsia" w:ascii="宋体" w:hAnsi="宋体" w:cs="宋体"/>
          <w:sz w:val="24"/>
          <w:lang w:eastAsia="zh-CN"/>
        </w:rPr>
        <w:t>－</w:t>
      </w:r>
      <w:r>
        <w:rPr>
          <w:rFonts w:hint="eastAsia" w:ascii="宋体" w:hAnsi="宋体" w:cs="宋体"/>
          <w:sz w:val="24"/>
        </w:rPr>
        <w:t>在线办理。</w:t>
      </w:r>
    </w:p>
    <w:p w14:paraId="10AE0ABB">
      <w:pPr>
        <w:spacing w:line="360" w:lineRule="auto"/>
        <w:ind w:firstLine="480" w:firstLineChars="200"/>
        <w:rPr>
          <w:rFonts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23FC8DA">
      <w:pPr>
        <w:spacing w:line="360" w:lineRule="auto"/>
        <w:ind w:firstLine="480" w:firstLineChars="200"/>
        <w:rPr>
          <w:rFonts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w:t>
      </w:r>
      <w:r>
        <w:rPr>
          <w:rFonts w:hint="eastAsia" w:ascii="宋体" w:hAnsi="宋体" w:cs="宋体"/>
          <w:sz w:val="24"/>
          <w:lang w:eastAsia="zh-CN"/>
        </w:rPr>
        <w:t>－－</w:t>
      </w:r>
      <w:r>
        <w:rPr>
          <w:rFonts w:hint="eastAsia" w:ascii="宋体" w:hAnsi="宋体" w:cs="宋体"/>
          <w:sz w:val="24"/>
        </w:rPr>
        <w:t>点击“商家入驻”，进行政府采购供应商资料填写；申领CA数字证书---申领流程详见“浙江政府采购网-下载专区</w:t>
      </w:r>
      <w:r>
        <w:rPr>
          <w:rFonts w:hint="eastAsia" w:ascii="宋体" w:hAnsi="宋体" w:cs="宋体"/>
          <w:sz w:val="24"/>
          <w:lang w:eastAsia="zh-CN"/>
        </w:rPr>
        <w:t>－</w:t>
      </w:r>
      <w:r>
        <w:rPr>
          <w:rFonts w:hint="eastAsia" w:ascii="宋体" w:hAnsi="宋体" w:cs="宋体"/>
          <w:sz w:val="24"/>
        </w:rPr>
        <w:t>电子交易客户端-CA驱动和申领流程”；安装“政采云电子交易客户端”----前往“浙江政府采购网-下载专区</w:t>
      </w:r>
      <w:r>
        <w:rPr>
          <w:rFonts w:hint="eastAsia" w:ascii="宋体" w:hAnsi="宋体" w:cs="宋体"/>
          <w:sz w:val="24"/>
          <w:lang w:eastAsia="zh-CN"/>
        </w:rPr>
        <w:t>－</w:t>
      </w:r>
      <w:r>
        <w:rPr>
          <w:rFonts w:hint="eastAsia" w:ascii="宋体" w:hAnsi="宋体" w:cs="宋体"/>
          <w:sz w:val="24"/>
        </w:rPr>
        <w:t>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sz w:val="24"/>
          <w:lang w:eastAsia="zh-CN"/>
        </w:rPr>
        <w:t>采购代理机构</w:t>
      </w:r>
      <w:r>
        <w:rPr>
          <w:rFonts w:hint="eastAsia" w:ascii="宋体" w:hAnsi="宋体" w:cs="宋体"/>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w:t>
      </w:r>
      <w:r>
        <w:rPr>
          <w:rFonts w:hint="eastAsia" w:ascii="宋体" w:hAnsi="宋体" w:cs="宋体"/>
          <w:sz w:val="24"/>
          <w:lang w:eastAsia="zh-CN"/>
        </w:rPr>
        <w:t>－</w:t>
      </w:r>
      <w:r>
        <w:rPr>
          <w:rFonts w:hint="eastAsia" w:ascii="宋体" w:hAnsi="宋体" w:cs="宋体"/>
          <w:sz w:val="24"/>
        </w:rPr>
        <w:t>帮助文档</w:t>
      </w:r>
      <w:r>
        <w:rPr>
          <w:rFonts w:hint="eastAsia" w:ascii="宋体" w:hAnsi="宋体" w:cs="宋体"/>
          <w:sz w:val="24"/>
          <w:lang w:eastAsia="zh-CN"/>
        </w:rPr>
        <w:t>－</w:t>
      </w:r>
      <w:r>
        <w:rPr>
          <w:rFonts w:hint="eastAsia" w:ascii="宋体" w:hAnsi="宋体" w:cs="宋体"/>
          <w:sz w:val="24"/>
        </w:rPr>
        <w:t>项目采购</w:t>
      </w:r>
      <w:r>
        <w:rPr>
          <w:rFonts w:hint="eastAsia" w:ascii="宋体" w:hAnsi="宋体" w:cs="宋体"/>
          <w:sz w:val="24"/>
          <w:lang w:eastAsia="zh-CN"/>
        </w:rPr>
        <w:t>－</w:t>
      </w:r>
      <w:r>
        <w:rPr>
          <w:rFonts w:hint="eastAsia" w:ascii="宋体" w:hAnsi="宋体" w:cs="宋体"/>
          <w:sz w:val="24"/>
        </w:rPr>
        <w:t>操作流程</w:t>
      </w:r>
      <w:r>
        <w:rPr>
          <w:rFonts w:hint="eastAsia" w:ascii="宋体" w:hAnsi="宋体" w:cs="宋体"/>
          <w:sz w:val="24"/>
          <w:lang w:eastAsia="zh-CN"/>
        </w:rPr>
        <w:t>－</w:t>
      </w:r>
      <w:r>
        <w:rPr>
          <w:rFonts w:hint="eastAsia" w:ascii="宋体" w:hAnsi="宋体" w:cs="宋体"/>
          <w:sz w:val="24"/>
        </w:rPr>
        <w:t>电子招投标</w:t>
      </w:r>
      <w:r>
        <w:rPr>
          <w:rFonts w:hint="eastAsia" w:ascii="宋体" w:hAnsi="宋体" w:cs="宋体"/>
          <w:sz w:val="24"/>
          <w:lang w:eastAsia="zh-CN"/>
        </w:rPr>
        <w:t>－</w:t>
      </w:r>
      <w:r>
        <w:rPr>
          <w:rFonts w:hint="eastAsia" w:ascii="宋体" w:hAnsi="宋体" w:cs="宋体"/>
          <w:sz w:val="24"/>
        </w:rPr>
        <w:t>政府采购项目电子交易管理操作指南</w:t>
      </w:r>
      <w:r>
        <w:rPr>
          <w:rFonts w:hint="eastAsia" w:ascii="宋体" w:hAnsi="宋体" w:cs="宋体"/>
          <w:sz w:val="24"/>
          <w:lang w:eastAsia="zh-CN"/>
        </w:rPr>
        <w:t>－</w:t>
      </w:r>
      <w:r>
        <w:rPr>
          <w:rFonts w:hint="eastAsia" w:ascii="宋体" w:hAnsi="宋体" w:cs="宋体"/>
          <w:sz w:val="24"/>
        </w:rPr>
        <w:t>供应商”。（3）招标文件公告期限与招标公告的公告期限一致。</w:t>
      </w:r>
    </w:p>
    <w:p w14:paraId="24C93F3E">
      <w:pPr>
        <w:spacing w:line="360" w:lineRule="auto"/>
        <w:rPr>
          <w:rFonts w:ascii="宋体" w:hAnsi="宋体" w:cs="宋体"/>
          <w:b/>
          <w:sz w:val="24"/>
        </w:rPr>
      </w:pPr>
      <w:r>
        <w:rPr>
          <w:rFonts w:hint="eastAsia" w:ascii="宋体" w:hAnsi="宋体" w:cs="宋体"/>
          <w:b/>
          <w:sz w:val="24"/>
        </w:rPr>
        <w:t>七、对本次采购提出询问、质疑、投诉，请按以下方式联系</w:t>
      </w:r>
    </w:p>
    <w:p w14:paraId="6943413F">
      <w:pPr>
        <w:spacing w:line="360" w:lineRule="auto"/>
        <w:rPr>
          <w:rFonts w:ascii="宋体" w:hAnsi="宋体" w:cs="宋体"/>
          <w:color w:val="auto"/>
          <w:sz w:val="24"/>
          <w:highlight w:val="none"/>
        </w:rPr>
      </w:pPr>
      <w:r>
        <w:rPr>
          <w:rFonts w:hint="eastAsia" w:ascii="宋体" w:hAnsi="宋体" w:cs="宋体"/>
          <w:sz w:val="24"/>
        </w:rPr>
        <w:t xml:space="preserve">    1.采购人信</w:t>
      </w:r>
      <w:r>
        <w:rPr>
          <w:rFonts w:hint="eastAsia" w:ascii="宋体" w:hAnsi="宋体" w:cs="宋体"/>
          <w:color w:val="auto"/>
          <w:sz w:val="24"/>
          <w:highlight w:val="none"/>
        </w:rPr>
        <w:t>息</w:t>
      </w:r>
    </w:p>
    <w:p w14:paraId="5E7BC652">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名称：</w:t>
      </w:r>
      <w:r>
        <w:rPr>
          <w:rFonts w:hint="eastAsia" w:ascii="宋体" w:hAnsi="宋体" w:cs="宋体"/>
          <w:color w:val="auto"/>
          <w:sz w:val="24"/>
          <w:highlight w:val="none"/>
          <w:lang w:eastAsia="zh-CN"/>
        </w:rPr>
        <w:t>杭州师范大学附属未来科技城学校（杭州二中教育集团未来科技城学校）</w:t>
      </w:r>
      <w:r>
        <w:rPr>
          <w:rFonts w:hint="eastAsia" w:ascii="宋体" w:hAnsi="宋体" w:cs="宋体"/>
          <w:color w:val="auto"/>
          <w:sz w:val="24"/>
          <w:highlight w:val="none"/>
        </w:rPr>
        <w:t xml:space="preserve"> </w:t>
      </w:r>
    </w:p>
    <w:p w14:paraId="7BE8154E">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地址：</w:t>
      </w:r>
      <w:r>
        <w:rPr>
          <w:rFonts w:hint="eastAsia" w:ascii="宋体" w:hAnsi="宋体" w:cs="宋体"/>
          <w:color w:val="auto"/>
          <w:sz w:val="24"/>
          <w:highlight w:val="none"/>
          <w:lang w:eastAsia="zh-CN"/>
        </w:rPr>
        <w:t>杭州市余杭区钱学森路66号</w:t>
      </w:r>
      <w:r>
        <w:rPr>
          <w:rFonts w:hint="eastAsia" w:ascii="宋体" w:hAnsi="宋体" w:eastAsia="宋体" w:cs="宋体"/>
          <w:color w:val="auto"/>
          <w:sz w:val="24"/>
          <w:highlight w:val="none"/>
        </w:rPr>
        <w:t xml:space="preserve"> </w:t>
      </w:r>
      <w:r>
        <w:rPr>
          <w:rFonts w:hint="eastAsia" w:ascii="宋体" w:hAnsi="宋体" w:cs="宋体"/>
          <w:color w:val="auto"/>
          <w:sz w:val="24"/>
          <w:highlight w:val="none"/>
        </w:rPr>
        <w:t xml:space="preserve">       </w:t>
      </w:r>
    </w:p>
    <w:p w14:paraId="782465A8">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传真： </w:t>
      </w:r>
      <w:r>
        <w:rPr>
          <w:rFonts w:hint="eastAsia" w:ascii="宋体" w:hAnsi="宋体" w:cs="宋体"/>
          <w:color w:val="auto"/>
          <w:sz w:val="24"/>
          <w:highlight w:val="none"/>
          <w:lang w:val="en-US" w:eastAsia="zh-CN"/>
        </w:rPr>
        <w:t>0571-89308632</w:t>
      </w:r>
      <w:r>
        <w:rPr>
          <w:rFonts w:hint="eastAsia" w:ascii="宋体" w:hAnsi="宋体" w:cs="宋体"/>
          <w:color w:val="auto"/>
          <w:sz w:val="24"/>
          <w:highlight w:val="none"/>
        </w:rPr>
        <w:t xml:space="preserve"> </w:t>
      </w:r>
    </w:p>
    <w:p w14:paraId="19DBD9EE">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项目联系人（询问）：袁老师  </w:t>
      </w:r>
    </w:p>
    <w:p w14:paraId="0E44F15F">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项目联系方式（询问）：</w:t>
      </w:r>
      <w:r>
        <w:rPr>
          <w:rFonts w:hint="eastAsia" w:ascii="宋体" w:hAnsi="宋体" w:cs="宋体"/>
          <w:color w:val="auto"/>
          <w:sz w:val="24"/>
          <w:highlight w:val="none"/>
          <w:lang w:val="en-US" w:eastAsia="zh-CN"/>
        </w:rPr>
        <w:t>0571-89308632</w:t>
      </w:r>
      <w:r>
        <w:rPr>
          <w:rFonts w:hint="eastAsia" w:ascii="宋体" w:hAnsi="宋体" w:cs="宋体"/>
          <w:color w:val="auto"/>
          <w:sz w:val="24"/>
          <w:highlight w:val="none"/>
        </w:rPr>
        <w:t xml:space="preserve">  </w:t>
      </w:r>
    </w:p>
    <w:p w14:paraId="736BF090">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质疑联系人：王老师 </w:t>
      </w:r>
    </w:p>
    <w:p w14:paraId="29CF8441">
      <w:pPr>
        <w:spacing w:line="360" w:lineRule="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 xml:space="preserve">    质疑联系方式：</w:t>
      </w:r>
      <w:r>
        <w:rPr>
          <w:rFonts w:hint="eastAsia" w:ascii="宋体" w:hAnsi="宋体" w:cs="宋体"/>
          <w:color w:val="auto"/>
          <w:sz w:val="24"/>
          <w:highlight w:val="none"/>
          <w:lang w:val="en-US" w:eastAsia="zh-CN"/>
        </w:rPr>
        <w:t>0571-89308505</w:t>
      </w:r>
      <w:r>
        <w:rPr>
          <w:rFonts w:hint="eastAsia" w:ascii="宋体" w:hAnsi="宋体" w:eastAsia="宋体" w:cs="宋体"/>
          <w:i w:val="0"/>
          <w:iCs w:val="0"/>
          <w:caps w:val="0"/>
          <w:color w:val="auto"/>
          <w:spacing w:val="0"/>
          <w:sz w:val="24"/>
          <w:szCs w:val="24"/>
          <w:highlight w:val="none"/>
          <w:shd w:val="clear"/>
        </w:rPr>
        <w:t>（请通过以下路径在线提起质疑：政采云-项目采购-询问质疑投诉-质疑列表）</w:t>
      </w:r>
    </w:p>
    <w:p w14:paraId="561800DB">
      <w:pPr>
        <w:spacing w:line="360" w:lineRule="auto"/>
        <w:rPr>
          <w:rFonts w:ascii="宋体" w:hAnsi="宋体" w:cs="宋体"/>
          <w:sz w:val="24"/>
        </w:rPr>
      </w:pPr>
      <w:r>
        <w:rPr>
          <w:rFonts w:hint="eastAsia" w:ascii="宋体" w:hAnsi="宋体" w:cs="宋体"/>
          <w:sz w:val="24"/>
        </w:rPr>
        <w:t xml:space="preserve">    2.采购代理机构信息            </w:t>
      </w:r>
    </w:p>
    <w:p w14:paraId="05A34930">
      <w:pPr>
        <w:spacing w:line="360" w:lineRule="auto"/>
        <w:ind w:firstLine="480"/>
        <w:rPr>
          <w:rFonts w:ascii="宋体" w:hAnsi="宋体" w:cs="宋体"/>
          <w:sz w:val="24"/>
        </w:rPr>
      </w:pPr>
      <w:r>
        <w:rPr>
          <w:rFonts w:hint="eastAsia" w:ascii="宋体" w:hAnsi="宋体" w:cs="宋体"/>
          <w:sz w:val="24"/>
        </w:rPr>
        <w:t>名称：</w:t>
      </w:r>
      <w:r>
        <w:rPr>
          <w:rFonts w:hint="eastAsia" w:ascii="宋体" w:hAnsi="宋体" w:cs="宋体"/>
          <w:sz w:val="24"/>
          <w:lang w:eastAsia="zh-CN"/>
        </w:rPr>
        <w:t>杭州市公共资源交易中心余杭分中心</w:t>
      </w:r>
    </w:p>
    <w:p w14:paraId="049E4A11">
      <w:pPr>
        <w:spacing w:line="360" w:lineRule="auto"/>
        <w:ind w:firstLine="480"/>
        <w:rPr>
          <w:rFonts w:hint="eastAsia" w:ascii="宋体" w:hAnsi="宋体" w:cs="宋体"/>
          <w:sz w:val="24"/>
        </w:rPr>
      </w:pPr>
      <w:r>
        <w:rPr>
          <w:rFonts w:hint="eastAsia" w:ascii="宋体" w:hAnsi="宋体" w:cs="宋体"/>
          <w:sz w:val="24"/>
        </w:rPr>
        <w:t>地址：</w:t>
      </w:r>
      <w:r>
        <w:rPr>
          <w:rFonts w:hint="eastAsia" w:ascii="宋体" w:hAnsi="宋体" w:cs="宋体"/>
          <w:sz w:val="24"/>
          <w:lang w:eastAsia="zh-CN"/>
        </w:rPr>
        <w:t>浙江省</w:t>
      </w:r>
      <w:r>
        <w:rPr>
          <w:rFonts w:hint="eastAsia" w:ascii="宋体" w:hAnsi="宋体" w:eastAsia="宋体" w:cs="宋体"/>
          <w:color w:val="000000"/>
          <w:sz w:val="24"/>
        </w:rPr>
        <w:t>杭州市余杭区</w:t>
      </w:r>
      <w:r>
        <w:rPr>
          <w:rFonts w:hint="eastAsia" w:ascii="宋体" w:hAnsi="宋体" w:cs="宋体"/>
          <w:color w:val="000000"/>
          <w:sz w:val="24"/>
          <w:lang w:eastAsia="zh-CN"/>
        </w:rPr>
        <w:t>余杭街道凤新路</w:t>
      </w:r>
      <w:r>
        <w:rPr>
          <w:rFonts w:hint="eastAsia" w:ascii="宋体" w:hAnsi="宋体" w:cs="宋体"/>
          <w:color w:val="000000"/>
          <w:sz w:val="24"/>
          <w:lang w:val="en-US" w:eastAsia="zh-CN"/>
        </w:rPr>
        <w:t>366号瑞鸿大厦</w:t>
      </w:r>
      <w:r>
        <w:rPr>
          <w:rFonts w:hint="eastAsia" w:ascii="宋体" w:hAnsi="宋体" w:eastAsia="宋体" w:cs="宋体"/>
          <w:color w:val="000000"/>
          <w:sz w:val="24"/>
        </w:rPr>
        <w:t>六楼</w:t>
      </w:r>
    </w:p>
    <w:p w14:paraId="1B1235FB">
      <w:pPr>
        <w:spacing w:line="360" w:lineRule="auto"/>
        <w:ind w:firstLine="480"/>
        <w:rPr>
          <w:rFonts w:ascii="宋体" w:hAnsi="宋体" w:cs="宋体"/>
          <w:color w:val="auto"/>
          <w:sz w:val="24"/>
          <w:highlight w:val="none"/>
        </w:rPr>
      </w:pPr>
      <w:r>
        <w:rPr>
          <w:rFonts w:hint="eastAsia" w:ascii="宋体" w:hAnsi="宋体" w:cs="宋体"/>
          <w:sz w:val="24"/>
          <w:highlight w:val="none"/>
        </w:rPr>
        <w:t>传真：</w:t>
      </w:r>
      <w:r>
        <w:rPr>
          <w:rFonts w:hint="eastAsia" w:ascii="宋体" w:hAnsi="宋体" w:eastAsia="宋体" w:cs="宋体"/>
          <w:color w:val="000000"/>
          <w:sz w:val="24"/>
          <w:highlight w:val="none"/>
          <w:lang w:val="en-US" w:eastAsia="zh-CN"/>
        </w:rPr>
        <w:t>0571-893954</w:t>
      </w:r>
      <w:r>
        <w:rPr>
          <w:rFonts w:hint="eastAsia" w:ascii="宋体" w:hAnsi="宋体" w:cs="宋体"/>
          <w:color w:val="000000"/>
          <w:sz w:val="24"/>
          <w:highlight w:val="none"/>
          <w:lang w:val="en-US" w:eastAsia="zh-CN"/>
        </w:rPr>
        <w:t>38</w:t>
      </w:r>
      <w:r>
        <w:rPr>
          <w:rFonts w:hint="eastAsia" w:ascii="宋体" w:hAnsi="宋体" w:cs="宋体"/>
          <w:color w:val="auto"/>
          <w:sz w:val="24"/>
          <w:highlight w:val="none"/>
        </w:rPr>
        <w:t xml:space="preserve"> </w:t>
      </w:r>
    </w:p>
    <w:p w14:paraId="5D2B1C66">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项目联系人（询问）：</w:t>
      </w:r>
      <w:r>
        <w:rPr>
          <w:rFonts w:hint="eastAsia" w:ascii="宋体" w:hAnsi="宋体" w:cs="宋体"/>
          <w:color w:val="auto"/>
          <w:sz w:val="24"/>
          <w:highlight w:val="none"/>
          <w:lang w:val="en-US" w:eastAsia="zh-CN"/>
        </w:rPr>
        <w:t>陈苏琦</w:t>
      </w:r>
    </w:p>
    <w:p w14:paraId="3FBB4F3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项目联系方式（询问）：0571-89395438</w:t>
      </w:r>
    </w:p>
    <w:p w14:paraId="07446F1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质疑联系人：高</w:t>
      </w:r>
      <w:r>
        <w:rPr>
          <w:rFonts w:hint="eastAsia" w:ascii="宋体" w:hAnsi="宋体" w:cs="宋体"/>
          <w:color w:val="auto"/>
          <w:sz w:val="24"/>
          <w:highlight w:val="none"/>
          <w:lang w:val="en-US" w:eastAsia="zh-CN"/>
        </w:rPr>
        <w:t>乐怡</w:t>
      </w:r>
    </w:p>
    <w:p w14:paraId="21B81D4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质疑联系方式：0571-89395184（请通过以下路径在线提起质疑：政采云-项目采购-询问质疑投诉-质疑列表）</w:t>
      </w:r>
    </w:p>
    <w:p w14:paraId="65A66D60">
      <w:pPr>
        <w:spacing w:line="360" w:lineRule="auto"/>
        <w:rPr>
          <w:rFonts w:ascii="宋体" w:hAnsi="宋体" w:cs="宋体"/>
          <w:sz w:val="24"/>
        </w:rPr>
      </w:pPr>
      <w:r>
        <w:rPr>
          <w:rFonts w:hint="eastAsia" w:ascii="宋体" w:hAnsi="宋体" w:cs="宋体"/>
          <w:sz w:val="24"/>
        </w:rPr>
        <w:t xml:space="preserve">    3.</w:t>
      </w:r>
      <w:r>
        <w:rPr>
          <w:rFonts w:hint="eastAsia"/>
        </w:rPr>
        <w:t xml:space="preserve"> </w:t>
      </w:r>
      <w:r>
        <w:rPr>
          <w:rFonts w:hint="eastAsia" w:ascii="宋体" w:hAnsi="宋体" w:cs="宋体"/>
          <w:sz w:val="24"/>
        </w:rPr>
        <w:t xml:space="preserve">同级政府采购监督管理部门            </w:t>
      </w:r>
    </w:p>
    <w:p w14:paraId="01CC9EE9">
      <w:pPr>
        <w:spacing w:line="360" w:lineRule="auto"/>
        <w:ind w:firstLine="480" w:firstLineChars="200"/>
        <w:rPr>
          <w:rFonts w:hint="eastAsia" w:ascii="宋体" w:hAnsi="宋体" w:eastAsia="宋体" w:cs="宋体"/>
          <w:color w:val="auto"/>
          <w:sz w:val="24"/>
        </w:rPr>
      </w:pPr>
      <w:r>
        <w:rPr>
          <w:rFonts w:hint="eastAsia" w:ascii="宋体" w:hAnsi="宋体" w:cs="宋体"/>
          <w:sz w:val="24"/>
        </w:rPr>
        <w:t>名称：</w:t>
      </w:r>
      <w:r>
        <w:rPr>
          <w:rFonts w:hint="eastAsia" w:ascii="宋体" w:hAnsi="宋体" w:eastAsia="宋体" w:cs="宋体"/>
          <w:i w:val="0"/>
          <w:iCs w:val="0"/>
          <w:caps w:val="0"/>
          <w:color w:val="auto"/>
          <w:spacing w:val="0"/>
          <w:sz w:val="24"/>
          <w:szCs w:val="24"/>
          <w:shd w:val="clear"/>
        </w:rPr>
        <w:t>杭州市余杭区财政局、浙江省政府采购行政裁决服务中心（杭州）</w:t>
      </w:r>
    </w:p>
    <w:p w14:paraId="06BE2DA1">
      <w:pPr>
        <w:spacing w:line="360" w:lineRule="auto"/>
        <w:ind w:firstLine="480" w:firstLineChars="200"/>
        <w:rPr>
          <w:rFonts w:hint="eastAsia" w:ascii="宋体" w:hAnsi="宋体" w:eastAsia="宋体" w:cs="宋体"/>
          <w:color w:val="auto"/>
          <w:sz w:val="24"/>
        </w:rPr>
      </w:pPr>
      <w:r>
        <w:rPr>
          <w:rFonts w:hint="eastAsia" w:ascii="宋体" w:hAnsi="宋体" w:cs="宋体"/>
          <w:sz w:val="24"/>
        </w:rPr>
        <w:t>地址：</w:t>
      </w:r>
      <w:r>
        <w:rPr>
          <w:rFonts w:hint="eastAsia" w:ascii="宋体" w:hAnsi="宋体" w:eastAsia="宋体" w:cs="宋体"/>
          <w:i w:val="0"/>
          <w:iCs w:val="0"/>
          <w:caps w:val="0"/>
          <w:color w:val="auto"/>
          <w:spacing w:val="0"/>
          <w:sz w:val="24"/>
          <w:szCs w:val="24"/>
          <w:shd w:val="clear"/>
        </w:rPr>
        <w:t>杭州市上城区四季青街道新业路市民之家G03办公室（快递仅限ems或顺丰）</w:t>
      </w:r>
    </w:p>
    <w:p w14:paraId="0C24D588">
      <w:pPr>
        <w:spacing w:line="360" w:lineRule="auto"/>
        <w:ind w:firstLine="480" w:firstLineChars="200"/>
        <w:rPr>
          <w:rFonts w:hint="eastAsia" w:ascii="宋体" w:hAnsi="宋体" w:eastAsia="宋体" w:cs="宋体"/>
          <w:sz w:val="24"/>
          <w:lang w:eastAsia="zh-CN"/>
        </w:rPr>
      </w:pPr>
      <w:r>
        <w:rPr>
          <w:rFonts w:hint="eastAsia" w:ascii="宋体" w:hAnsi="宋体" w:cs="宋体"/>
          <w:sz w:val="24"/>
        </w:rPr>
        <w:t xml:space="preserve">传真： </w:t>
      </w:r>
      <w:r>
        <w:rPr>
          <w:rFonts w:hint="eastAsia" w:ascii="宋体" w:hAnsi="宋体" w:cs="宋体"/>
          <w:color w:val="auto"/>
          <w:sz w:val="24"/>
          <w:lang w:val="en-US" w:eastAsia="zh-CN"/>
        </w:rPr>
        <w:t>/</w:t>
      </w:r>
    </w:p>
    <w:p w14:paraId="15729F2A">
      <w:pPr>
        <w:spacing w:line="360" w:lineRule="auto"/>
        <w:rPr>
          <w:rFonts w:ascii="宋体" w:hAnsi="宋体" w:cs="宋体"/>
          <w:sz w:val="24"/>
        </w:rPr>
      </w:pPr>
      <w:r>
        <w:rPr>
          <w:rFonts w:hint="eastAsia" w:ascii="宋体" w:hAnsi="宋体" w:cs="宋体"/>
          <w:sz w:val="24"/>
        </w:rPr>
        <w:t xml:space="preserve">    联系人 ：</w:t>
      </w:r>
      <w:r>
        <w:rPr>
          <w:rFonts w:hint="eastAsia" w:ascii="宋体" w:hAnsi="宋体" w:eastAsia="宋体" w:cs="宋体"/>
          <w:i w:val="0"/>
          <w:iCs w:val="0"/>
          <w:caps w:val="0"/>
          <w:spacing w:val="0"/>
          <w:sz w:val="24"/>
          <w:szCs w:val="24"/>
          <w:shd w:val="clear"/>
        </w:rPr>
        <w:t>朱女士、王女士</w:t>
      </w:r>
      <w:r>
        <w:rPr>
          <w:rFonts w:hint="eastAsia" w:ascii="宋体" w:hAnsi="宋体" w:cs="宋体"/>
          <w:sz w:val="24"/>
        </w:rPr>
        <w:t xml:space="preserve">   </w:t>
      </w:r>
    </w:p>
    <w:p w14:paraId="39C5E8EB">
      <w:pPr>
        <w:spacing w:line="360" w:lineRule="auto"/>
        <w:ind w:firstLine="480"/>
        <w:rPr>
          <w:rFonts w:ascii="宋体" w:hAnsi="宋体" w:cs="宋体"/>
          <w:sz w:val="24"/>
        </w:rPr>
      </w:pPr>
      <w:r>
        <w:rPr>
          <w:rFonts w:hint="eastAsia" w:ascii="宋体" w:hAnsi="宋体" w:cs="宋体"/>
          <w:sz w:val="24"/>
        </w:rPr>
        <w:t>监督投诉电话：</w:t>
      </w:r>
      <w:r>
        <w:rPr>
          <w:rFonts w:hint="eastAsia" w:ascii="宋体" w:hAnsi="宋体" w:eastAsia="宋体" w:cs="宋体"/>
          <w:color w:val="auto"/>
          <w:sz w:val="24"/>
        </w:rPr>
        <w:t>0571-</w:t>
      </w:r>
      <w:r>
        <w:rPr>
          <w:rFonts w:hint="eastAsia" w:ascii="宋体" w:hAnsi="宋体" w:eastAsia="宋体" w:cs="宋体"/>
          <w:i w:val="0"/>
          <w:iCs w:val="0"/>
          <w:caps w:val="0"/>
          <w:color w:val="auto"/>
          <w:spacing w:val="0"/>
          <w:sz w:val="24"/>
          <w:szCs w:val="24"/>
          <w:shd w:val="clear"/>
        </w:rPr>
        <w:t>85252453</w:t>
      </w:r>
      <w:r>
        <w:rPr>
          <w:rFonts w:hint="eastAsia" w:ascii="宋体" w:hAnsi="宋体" w:cs="宋体"/>
          <w:color w:val="auto"/>
          <w:sz w:val="24"/>
        </w:rPr>
        <w:t xml:space="preserve">  </w:t>
      </w:r>
      <w:r>
        <w:rPr>
          <w:rFonts w:hint="eastAsia" w:ascii="宋体" w:hAnsi="宋体" w:cs="宋体"/>
          <w:sz w:val="24"/>
        </w:rPr>
        <w:t xml:space="preserve">  </w:t>
      </w:r>
    </w:p>
    <w:p w14:paraId="6E82C09D">
      <w:pPr>
        <w:spacing w:line="360" w:lineRule="auto"/>
        <w:ind w:firstLine="480" w:firstLineChars="200"/>
        <w:rPr>
          <w:rFonts w:ascii="宋体" w:hAnsi="宋体" w:cs="宋体"/>
          <w:sz w:val="24"/>
        </w:rPr>
      </w:pPr>
      <w:r>
        <w:rPr>
          <w:rFonts w:hint="eastAsia" w:ascii="宋体" w:hAnsi="宋体" w:cs="宋体"/>
          <w:sz w:val="24"/>
        </w:rPr>
        <w:t>若对项目采购电子交易系统操作有疑问，可登录政采云（https://www.zcygov.cn/），点击右侧咨询小采，获取采小蜜智能服务管家帮助，或拨打政采云服务热线</w:t>
      </w:r>
      <w:r>
        <w:rPr>
          <w:rFonts w:hint="eastAsia" w:ascii="宋体" w:hAnsi="宋体" w:cs="宋体"/>
          <w:sz w:val="24"/>
          <w:highlight w:val="none"/>
        </w:rPr>
        <w:t>95763</w:t>
      </w:r>
      <w:r>
        <w:rPr>
          <w:rFonts w:hint="eastAsia" w:ascii="宋体" w:hAnsi="宋体" w:cs="宋体"/>
          <w:sz w:val="24"/>
        </w:rPr>
        <w:t>获取热线服务帮助。</w:t>
      </w:r>
    </w:p>
    <w:p w14:paraId="3BE1EB82">
      <w:pPr>
        <w:spacing w:line="360" w:lineRule="auto"/>
        <w:ind w:firstLine="480" w:firstLineChars="200"/>
        <w:rPr>
          <w:rFonts w:ascii="宋体" w:hAnsi="宋体" w:cs="宋体"/>
          <w:sz w:val="24"/>
        </w:rPr>
      </w:pPr>
      <w:r>
        <w:rPr>
          <w:rFonts w:hint="eastAsia" w:ascii="宋体" w:hAnsi="宋体" w:cs="宋体"/>
          <w:sz w:val="24"/>
        </w:rPr>
        <w:t>CA问题联系电话（人工）：汇信CA 400-888-4636；天谷CA 400-087-8198。</w:t>
      </w:r>
    </w:p>
    <w:p w14:paraId="3B57C795">
      <w:pPr>
        <w:pStyle w:val="32"/>
        <w:spacing w:line="360" w:lineRule="auto"/>
        <w:rPr>
          <w:rFonts w:hAnsi="宋体" w:cs="宋体"/>
          <w:b/>
          <w:sz w:val="36"/>
          <w:szCs w:val="20"/>
        </w:rPr>
      </w:pPr>
      <w:r>
        <w:rPr>
          <w:rFonts w:hint="eastAsia" w:hAnsi="宋体" w:cs="宋体"/>
          <w:sz w:val="24"/>
        </w:rPr>
        <w:t xml:space="preserve">                        </w:t>
      </w:r>
      <w:r>
        <w:rPr>
          <w:rFonts w:hAnsi="宋体" w:cs="宋体"/>
          <w:b/>
          <w:sz w:val="36"/>
          <w:szCs w:val="20"/>
        </w:rPr>
        <w:t xml:space="preserve"> </w:t>
      </w:r>
    </w:p>
    <w:p w14:paraId="41838777">
      <w:pPr>
        <w:pStyle w:val="3"/>
        <w:rPr>
          <w:rFonts w:ascii="宋体"/>
          <w:snapToGrid w:val="0"/>
        </w:rPr>
      </w:pPr>
      <w:r>
        <w:br w:type="page"/>
      </w:r>
    </w:p>
    <w:p w14:paraId="1B5AE5C6">
      <w:pPr>
        <w:adjustRightInd/>
        <w:spacing w:line="360" w:lineRule="auto"/>
        <w:jc w:val="center"/>
        <w:outlineLvl w:val="0"/>
        <w:rPr>
          <w:rFonts w:ascii="宋体" w:hAnsi="宋体" w:cs="宋体"/>
          <w:b/>
          <w:sz w:val="36"/>
          <w:szCs w:val="20"/>
        </w:rPr>
      </w:pPr>
      <w:r>
        <w:rPr>
          <w:rFonts w:hint="eastAsia" w:ascii="宋体" w:hAnsi="宋体" w:cs="宋体"/>
          <w:b/>
          <w:sz w:val="36"/>
          <w:szCs w:val="20"/>
        </w:rPr>
        <w:t>第二部分</w:t>
      </w:r>
      <w:bookmarkEnd w:id="8"/>
      <w:r>
        <w:rPr>
          <w:rFonts w:hint="eastAsia" w:ascii="宋体" w:hAnsi="宋体" w:cs="宋体"/>
          <w:b/>
          <w:sz w:val="36"/>
          <w:szCs w:val="20"/>
        </w:rPr>
        <w:t xml:space="preserve"> 投标人须知</w:t>
      </w:r>
      <w:bookmarkEnd w:id="9"/>
    </w:p>
    <w:p w14:paraId="55C29E05">
      <w:pPr>
        <w:adjustRightInd/>
        <w:spacing w:line="360" w:lineRule="auto"/>
        <w:ind w:firstLine="3845" w:firstLineChars="1197"/>
        <w:outlineLvl w:val="0"/>
        <w:rPr>
          <w:rFonts w:ascii="宋体" w:hAnsi="宋体" w:cs="宋体"/>
          <w:b/>
          <w:sz w:val="32"/>
          <w:szCs w:val="20"/>
        </w:rPr>
      </w:pPr>
      <w:r>
        <w:rPr>
          <w:rFonts w:hint="eastAsia" w:ascii="宋体" w:hAnsi="宋体" w:cs="宋体"/>
          <w:b/>
          <w:sz w:val="32"/>
          <w:szCs w:val="20"/>
        </w:rPr>
        <w:t>前附表</w:t>
      </w:r>
    </w:p>
    <w:tbl>
      <w:tblPr>
        <w:tblStyle w:val="62"/>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52C7D2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A2A5D49">
            <w:pPr>
              <w:snapToGrid w:val="0"/>
              <w:spacing w:line="360" w:lineRule="auto"/>
              <w:jc w:val="center"/>
              <w:rPr>
                <w:rFonts w:ascii="宋体" w:hAnsi="宋体" w:cs="宋体"/>
                <w:b/>
                <w:sz w:val="24"/>
              </w:rPr>
            </w:pPr>
            <w:r>
              <w:rPr>
                <w:rFonts w:hint="eastAsia" w:ascii="宋体" w:hAnsi="宋体" w:cs="宋体"/>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0D4B6E4F">
            <w:pPr>
              <w:snapToGrid w:val="0"/>
              <w:spacing w:line="360" w:lineRule="auto"/>
              <w:jc w:val="center"/>
              <w:rPr>
                <w:rFonts w:ascii="宋体" w:hAnsi="宋体" w:cs="宋体"/>
                <w:b/>
                <w:sz w:val="24"/>
              </w:rPr>
            </w:pPr>
            <w:r>
              <w:rPr>
                <w:rFonts w:hint="eastAsia" w:ascii="宋体" w:hAnsi="宋体" w:cs="宋体"/>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7625669D">
            <w:pPr>
              <w:snapToGrid w:val="0"/>
              <w:spacing w:line="360" w:lineRule="auto"/>
              <w:jc w:val="center"/>
              <w:rPr>
                <w:rFonts w:ascii="宋体" w:hAnsi="宋体" w:cs="宋体"/>
                <w:b/>
                <w:sz w:val="24"/>
              </w:rPr>
            </w:pPr>
            <w:r>
              <w:rPr>
                <w:rFonts w:hint="eastAsia" w:ascii="宋体" w:hAnsi="宋体" w:cs="宋体"/>
                <w:b/>
                <w:sz w:val="24"/>
              </w:rPr>
              <w:t>本项目的特别规定</w:t>
            </w:r>
          </w:p>
        </w:tc>
      </w:tr>
      <w:tr w14:paraId="466546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069972B">
            <w:pPr>
              <w:snapToGrid w:val="0"/>
              <w:spacing w:line="360" w:lineRule="auto"/>
              <w:jc w:val="center"/>
              <w:rPr>
                <w:rFonts w:ascii="宋体" w:hAnsi="宋体" w:cs="宋体"/>
                <w:sz w:val="24"/>
              </w:rPr>
            </w:pPr>
          </w:p>
          <w:p w14:paraId="1F3B44B4">
            <w:pPr>
              <w:snapToGrid w:val="0"/>
              <w:spacing w:line="360" w:lineRule="auto"/>
              <w:jc w:val="center"/>
              <w:rPr>
                <w:rFonts w:ascii="宋体" w:hAnsi="宋体" w:cs="宋体"/>
                <w:sz w:val="24"/>
              </w:rPr>
            </w:pPr>
            <w:r>
              <w:rPr>
                <w:rFonts w:hint="eastAsia" w:ascii="宋体" w:hAnsi="宋体" w:cs="宋体"/>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26C13DD2">
            <w:pPr>
              <w:snapToGrid w:val="0"/>
              <w:spacing w:line="360" w:lineRule="auto"/>
              <w:jc w:val="center"/>
              <w:rPr>
                <w:rFonts w:ascii="宋体" w:hAnsi="宋体" w:cs="宋体"/>
                <w:b/>
                <w:sz w:val="24"/>
              </w:rPr>
            </w:pPr>
            <w:r>
              <w:rPr>
                <w:rFonts w:hint="eastAsia" w:ascii="宋体" w:hAnsi="宋体" w:cs="宋体"/>
                <w:b/>
                <w:sz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082BF533">
            <w:pPr>
              <w:spacing w:line="360" w:lineRule="auto"/>
              <w:rPr>
                <w:rFonts w:ascii="宋体" w:hAnsi="宋体" w:cs="宋体"/>
                <w:color w:val="auto"/>
                <w:sz w:val="24"/>
                <w:highlight w:val="none"/>
              </w:rPr>
            </w:pPr>
            <w:r>
              <w:rPr>
                <w:rFonts w:hint="eastAsia" w:ascii="宋体" w:hAnsi="宋体" w:cs="宋体"/>
                <w:color w:val="auto"/>
                <w:sz w:val="24"/>
                <w:highlight w:val="none"/>
              </w:rPr>
              <w:t>货物类，单一产品或</w:t>
            </w:r>
            <w:r>
              <w:rPr>
                <w:rFonts w:hint="eastAsia" w:ascii="宋体" w:hAnsi="宋体" w:cs="宋体"/>
                <w:color w:val="auto"/>
                <w:kern w:val="0"/>
                <w:sz w:val="24"/>
                <w:highlight w:val="none"/>
              </w:rPr>
              <w:t>核心产品为：</w:t>
            </w:r>
            <w:r>
              <w:rPr>
                <w:rFonts w:hint="eastAsia" w:ascii="宋体" w:hAnsi="宋体" w:cs="宋体"/>
                <w:color w:val="auto"/>
                <w:sz w:val="24"/>
                <w:highlight w:val="none"/>
                <w:u w:val="single"/>
              </w:rPr>
              <w:t>序号3接待椅（1）</w:t>
            </w:r>
            <w:r>
              <w:rPr>
                <w:rFonts w:hint="eastAsia" w:ascii="宋体" w:hAnsi="宋体" w:cs="宋体"/>
                <w:color w:val="auto"/>
                <w:sz w:val="24"/>
                <w:highlight w:val="none"/>
              </w:rPr>
              <w:t>。</w:t>
            </w:r>
          </w:p>
          <w:p w14:paraId="0243122B">
            <w:pPr>
              <w:spacing w:line="360" w:lineRule="auto"/>
              <w:rPr>
                <w:rFonts w:ascii="宋体" w:hAnsi="宋体" w:cs="宋体"/>
                <w:color w:val="auto"/>
                <w:sz w:val="24"/>
                <w:highlight w:val="none"/>
              </w:rPr>
            </w:pPr>
          </w:p>
        </w:tc>
      </w:tr>
      <w:tr w14:paraId="422841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96BB8FF">
            <w:pPr>
              <w:snapToGrid w:val="0"/>
              <w:spacing w:line="360" w:lineRule="auto"/>
              <w:jc w:val="center"/>
              <w:rPr>
                <w:rFonts w:ascii="宋体" w:hAnsi="宋体" w:cs="宋体"/>
                <w:sz w:val="24"/>
              </w:rPr>
            </w:pPr>
          </w:p>
          <w:p w14:paraId="36317455">
            <w:pPr>
              <w:snapToGrid w:val="0"/>
              <w:spacing w:line="360" w:lineRule="auto"/>
              <w:jc w:val="center"/>
              <w:rPr>
                <w:rFonts w:ascii="宋体" w:hAnsi="宋体" w:cs="宋体"/>
                <w:sz w:val="24"/>
              </w:rPr>
            </w:pPr>
            <w:r>
              <w:rPr>
                <w:rFonts w:hint="eastAsia" w:ascii="宋体" w:hAnsi="宋体" w:cs="宋体"/>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7EC61B7D">
            <w:pPr>
              <w:snapToGrid w:val="0"/>
              <w:spacing w:line="360" w:lineRule="auto"/>
              <w:jc w:val="center"/>
              <w:rPr>
                <w:rFonts w:ascii="宋体" w:hAnsi="宋体" w:cs="宋体"/>
                <w:b/>
                <w:sz w:val="24"/>
              </w:rPr>
            </w:pPr>
            <w:r>
              <w:rPr>
                <w:rFonts w:hint="eastAsia" w:ascii="宋体" w:hAnsi="宋体" w:cs="宋体"/>
                <w:b/>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70AE8580">
            <w:pPr>
              <w:snapToGrid w:val="0"/>
              <w:spacing w:line="360" w:lineRule="auto"/>
              <w:rPr>
                <w:rFonts w:hint="eastAsia" w:ascii="宋体" w:hAnsi="宋体" w:eastAsia="宋体" w:cs="宋体"/>
                <w:color w:val="auto"/>
                <w:highlight w:val="none"/>
                <w:lang w:val="en-US" w:eastAsia="zh-CN"/>
              </w:rPr>
            </w:pP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rPr>
              <w:t>招标文件第三部分“一、采购标的清单”所有标的</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工业 </w:t>
            </w:r>
            <w:r>
              <w:rPr>
                <w:rFonts w:hint="eastAsia" w:ascii="宋体" w:hAnsi="宋体" w:cs="宋体"/>
                <w:color w:val="auto"/>
                <w:kern w:val="0"/>
                <w:sz w:val="24"/>
                <w:highlight w:val="none"/>
              </w:rPr>
              <w:t>行业</w:t>
            </w:r>
            <w:r>
              <w:rPr>
                <w:rFonts w:hint="eastAsia" w:ascii="宋体" w:hAnsi="宋体" w:cs="宋体"/>
                <w:color w:val="auto"/>
                <w:kern w:val="0"/>
                <w:sz w:val="24"/>
                <w:highlight w:val="none"/>
                <w:lang w:eastAsia="zh-CN"/>
              </w:rPr>
              <w:t>。</w:t>
            </w:r>
          </w:p>
        </w:tc>
      </w:tr>
      <w:tr w14:paraId="071B5D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41C806A">
            <w:pPr>
              <w:snapToGrid w:val="0"/>
              <w:spacing w:line="360" w:lineRule="auto"/>
              <w:jc w:val="center"/>
              <w:rPr>
                <w:rFonts w:ascii="宋体" w:hAnsi="宋体" w:cs="宋体"/>
                <w:sz w:val="24"/>
              </w:rPr>
            </w:pPr>
          </w:p>
          <w:p w14:paraId="4D68EE85">
            <w:pPr>
              <w:snapToGrid w:val="0"/>
              <w:spacing w:line="360" w:lineRule="auto"/>
              <w:jc w:val="center"/>
              <w:rPr>
                <w:rFonts w:ascii="宋体" w:hAnsi="宋体" w:cs="宋体"/>
                <w:sz w:val="24"/>
              </w:rPr>
            </w:pPr>
          </w:p>
          <w:p w14:paraId="53A2F229">
            <w:pPr>
              <w:snapToGrid w:val="0"/>
              <w:spacing w:line="360" w:lineRule="auto"/>
              <w:jc w:val="center"/>
              <w:rPr>
                <w:rFonts w:ascii="宋体" w:hAnsi="宋体" w:cs="宋体"/>
                <w:sz w:val="24"/>
              </w:rPr>
            </w:pPr>
            <w:r>
              <w:rPr>
                <w:rFonts w:hint="eastAsia" w:ascii="宋体" w:hAnsi="宋体" w:cs="宋体"/>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3FC69411">
            <w:pPr>
              <w:snapToGrid w:val="0"/>
              <w:spacing w:line="360" w:lineRule="auto"/>
              <w:jc w:val="center"/>
              <w:rPr>
                <w:rFonts w:ascii="宋体" w:hAnsi="宋体" w:cs="宋体"/>
                <w:b/>
                <w:sz w:val="24"/>
              </w:rPr>
            </w:pPr>
            <w:r>
              <w:rPr>
                <w:rFonts w:hint="eastAsia" w:ascii="宋体" w:hAnsi="宋体" w:cs="宋体"/>
                <w:b/>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2F2122F5">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sym w:font="Wingdings" w:char="F0FE"/>
            </w:r>
            <w:r>
              <w:rPr>
                <w:rFonts w:hint="eastAsia" w:ascii="宋体" w:hAnsi="宋体" w:cs="宋体"/>
                <w:color w:val="auto"/>
                <w:kern w:val="0"/>
                <w:sz w:val="24"/>
                <w:highlight w:val="none"/>
              </w:rPr>
              <w:t>本项目不允许采购进口产品。</w:t>
            </w:r>
          </w:p>
          <w:p w14:paraId="21D6C52E">
            <w:pPr>
              <w:spacing w:line="360" w:lineRule="auto"/>
              <w:rPr>
                <w:rFonts w:ascii="宋体" w:hAnsi="宋体" w:cs="宋体"/>
                <w:color w:val="auto"/>
                <w:highlight w:val="none"/>
              </w:rPr>
            </w:pPr>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采购进口产品。优先采购向我国企业转让技术、与我国企业签订消化吸收再创新方案的供应商的进口产品，详见</w:t>
            </w:r>
            <w:r>
              <w:rPr>
                <w:rFonts w:hint="eastAsia" w:ascii="宋体" w:hAnsi="宋体" w:cs="宋体"/>
                <w:color w:val="auto"/>
                <w:kern w:val="0"/>
                <w:sz w:val="24"/>
                <w:highlight w:val="none"/>
                <w:u w:val="single"/>
              </w:rPr>
              <w:t>评分标准</w:t>
            </w:r>
            <w:r>
              <w:rPr>
                <w:rFonts w:hint="eastAsia" w:ascii="宋体" w:hAnsi="宋体" w:cs="宋体"/>
                <w:color w:val="auto"/>
                <w:kern w:val="0"/>
                <w:sz w:val="24"/>
                <w:highlight w:val="none"/>
              </w:rPr>
              <w:t>。</w:t>
            </w:r>
          </w:p>
        </w:tc>
      </w:tr>
      <w:tr w14:paraId="6A9BF4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113BE79">
            <w:pPr>
              <w:snapToGrid w:val="0"/>
              <w:spacing w:line="360" w:lineRule="auto"/>
              <w:jc w:val="center"/>
              <w:rPr>
                <w:rFonts w:ascii="宋体" w:hAnsi="宋体" w:cs="宋体"/>
                <w:sz w:val="24"/>
              </w:rPr>
            </w:pPr>
            <w:r>
              <w:rPr>
                <w:rFonts w:hint="eastAsia" w:ascii="宋体" w:hAnsi="宋体" w:cs="宋体"/>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6E7D776A">
            <w:pPr>
              <w:snapToGrid w:val="0"/>
              <w:spacing w:line="360" w:lineRule="auto"/>
              <w:ind w:firstLine="482" w:firstLineChars="200"/>
              <w:rPr>
                <w:rFonts w:ascii="宋体" w:hAnsi="宋体" w:cs="宋体"/>
                <w:b/>
                <w:sz w:val="24"/>
              </w:rPr>
            </w:pPr>
            <w:r>
              <w:rPr>
                <w:rFonts w:hint="eastAsia" w:ascii="宋体" w:hAnsi="宋体" w:cs="宋体"/>
                <w:b/>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3C9E326D">
            <w:pPr>
              <w:spacing w:line="360" w:lineRule="auto"/>
              <w:rPr>
                <w:rFonts w:ascii="宋体" w:hAnsi="宋体" w:cs="宋体"/>
                <w:color w:val="auto"/>
                <w:sz w:val="24"/>
                <w:highlight w:val="none"/>
              </w:rPr>
            </w:pPr>
            <w:r>
              <w:rPr>
                <w:rFonts w:ascii="Wingdings" w:hAnsi="Wingdings" w:cs="宋体"/>
                <w:color w:val="auto"/>
                <w:kern w:val="0"/>
                <w:sz w:val="24"/>
                <w:highlight w:val="none"/>
              </w:rPr>
              <w:t></w:t>
            </w:r>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 xml:space="preserve">  货物包装、运输等  </w:t>
            </w:r>
            <w:r>
              <w:rPr>
                <w:rFonts w:hint="eastAsia" w:ascii="宋体" w:hAnsi="宋体" w:cs="宋体"/>
                <w:color w:val="auto"/>
                <w:sz w:val="24"/>
                <w:highlight w:val="none"/>
              </w:rPr>
              <w:t>工作分包。</w:t>
            </w:r>
            <w:r>
              <w:rPr>
                <w:rFonts w:hint="eastAsia" w:ascii="MS Gothic" w:hAnsi="MS Gothic" w:cs="宋体"/>
                <w:color w:val="auto"/>
                <w:kern w:val="0"/>
                <w:sz w:val="24"/>
                <w:highlight w:val="none"/>
              </w:rPr>
              <w:t>☐</w:t>
            </w:r>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p w14:paraId="3517F570">
            <w:pPr>
              <w:spacing w:line="360" w:lineRule="auto"/>
              <w:rPr>
                <w:rFonts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14:paraId="2F8A12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369ABD3">
            <w:pPr>
              <w:snapToGrid w:val="0"/>
              <w:spacing w:line="360" w:lineRule="auto"/>
              <w:jc w:val="center"/>
              <w:rPr>
                <w:rFonts w:ascii="宋体" w:hAnsi="宋体" w:cs="宋体"/>
                <w:sz w:val="24"/>
              </w:rPr>
            </w:pPr>
          </w:p>
          <w:p w14:paraId="12FA721E">
            <w:pPr>
              <w:snapToGrid w:val="0"/>
              <w:spacing w:line="360" w:lineRule="auto"/>
              <w:jc w:val="center"/>
              <w:rPr>
                <w:rFonts w:ascii="宋体" w:hAnsi="宋体" w:cs="宋体"/>
                <w:sz w:val="24"/>
              </w:rPr>
            </w:pPr>
          </w:p>
          <w:p w14:paraId="75D98030">
            <w:pPr>
              <w:snapToGrid w:val="0"/>
              <w:spacing w:line="360" w:lineRule="auto"/>
              <w:jc w:val="center"/>
              <w:rPr>
                <w:rFonts w:ascii="宋体" w:hAnsi="宋体" w:cs="宋体"/>
                <w:sz w:val="24"/>
              </w:rPr>
            </w:pPr>
            <w:r>
              <w:rPr>
                <w:rFonts w:hint="eastAsia" w:ascii="宋体" w:hAnsi="宋体" w:cs="宋体"/>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4DDE2540">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6B76D1E7">
            <w:pPr>
              <w:spacing w:line="360" w:lineRule="auto"/>
              <w:rPr>
                <w:rFonts w:ascii="宋体" w:hAnsi="宋体" w:cs="宋体"/>
                <w:color w:val="auto"/>
                <w:sz w:val="24"/>
                <w:highlight w:val="none"/>
              </w:rPr>
            </w:pPr>
            <w:r>
              <w:rPr>
                <w:rFonts w:ascii="Wingdings" w:hAnsi="Wingdings" w:cs="宋体"/>
                <w:color w:val="auto"/>
                <w:kern w:val="0"/>
                <w:sz w:val="24"/>
                <w:highlight w:val="none"/>
              </w:rPr>
              <w:t></w:t>
            </w:r>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530F611D">
            <w:pPr>
              <w:spacing w:line="360" w:lineRule="auto"/>
              <w:rPr>
                <w:rFonts w:ascii="宋体" w:hAnsi="宋体" w:cs="宋体"/>
                <w:color w:val="auto"/>
                <w:sz w:val="24"/>
                <w:szCs w:val="20"/>
                <w:highlight w:val="none"/>
              </w:rPr>
            </w:pPr>
            <w:r>
              <w:rPr>
                <w:rFonts w:hint="eastAsia" w:ascii="宋体" w:hAnsi="宋体" w:cs="宋体"/>
                <w:color w:val="auto"/>
                <w:kern w:val="0"/>
                <w:sz w:val="24"/>
                <w:highlight w:val="none"/>
              </w:rPr>
              <w:t>☐B组织，</w:t>
            </w:r>
            <w:r>
              <w:rPr>
                <w:rFonts w:hint="eastAsia" w:ascii="宋体" w:hAnsi="宋体" w:cs="宋体"/>
                <w:color w:val="auto"/>
                <w:sz w:val="24"/>
                <w:highlight w:val="none"/>
              </w:rPr>
              <w:t>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tc>
      </w:tr>
      <w:tr w14:paraId="769C95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EB5164B">
            <w:pPr>
              <w:snapToGrid w:val="0"/>
              <w:spacing w:line="360" w:lineRule="auto"/>
              <w:jc w:val="center"/>
              <w:rPr>
                <w:rFonts w:ascii="宋体" w:hAnsi="宋体" w:cs="宋体"/>
                <w:sz w:val="24"/>
              </w:rPr>
            </w:pPr>
          </w:p>
          <w:p w14:paraId="6C9F7983">
            <w:pPr>
              <w:snapToGrid w:val="0"/>
              <w:spacing w:line="360" w:lineRule="auto"/>
              <w:jc w:val="center"/>
              <w:rPr>
                <w:rFonts w:ascii="宋体" w:hAnsi="宋体" w:cs="宋体"/>
                <w:sz w:val="24"/>
              </w:rPr>
            </w:pPr>
          </w:p>
          <w:p w14:paraId="5B9EAB51">
            <w:pPr>
              <w:snapToGrid w:val="0"/>
              <w:spacing w:line="360" w:lineRule="auto"/>
              <w:jc w:val="center"/>
              <w:rPr>
                <w:rFonts w:ascii="宋体" w:hAnsi="宋体" w:cs="宋体"/>
                <w:sz w:val="24"/>
              </w:rPr>
            </w:pPr>
          </w:p>
          <w:p w14:paraId="2801BADD">
            <w:pPr>
              <w:snapToGrid w:val="0"/>
              <w:spacing w:line="360" w:lineRule="auto"/>
              <w:jc w:val="center"/>
              <w:rPr>
                <w:rFonts w:ascii="宋体" w:hAnsi="宋体" w:cs="宋体"/>
                <w:sz w:val="24"/>
              </w:rPr>
            </w:pPr>
          </w:p>
          <w:p w14:paraId="2BC27234">
            <w:pPr>
              <w:snapToGrid w:val="0"/>
              <w:spacing w:line="360" w:lineRule="auto"/>
              <w:jc w:val="center"/>
              <w:rPr>
                <w:rFonts w:ascii="宋体" w:hAnsi="宋体" w:cs="宋体"/>
                <w:sz w:val="24"/>
              </w:rPr>
            </w:pPr>
          </w:p>
          <w:p w14:paraId="6867CE68">
            <w:pPr>
              <w:snapToGrid w:val="0"/>
              <w:spacing w:line="360" w:lineRule="auto"/>
              <w:jc w:val="center"/>
              <w:rPr>
                <w:rFonts w:ascii="宋体" w:hAnsi="宋体" w:cs="宋体"/>
                <w:sz w:val="24"/>
              </w:rPr>
            </w:pPr>
          </w:p>
          <w:p w14:paraId="78CA07B3">
            <w:pPr>
              <w:snapToGrid w:val="0"/>
              <w:spacing w:line="360" w:lineRule="auto"/>
              <w:jc w:val="center"/>
              <w:rPr>
                <w:rFonts w:ascii="宋体" w:hAnsi="宋体" w:cs="宋体"/>
                <w:sz w:val="24"/>
              </w:rPr>
            </w:pPr>
          </w:p>
          <w:p w14:paraId="59767F3A">
            <w:pPr>
              <w:snapToGrid w:val="0"/>
              <w:spacing w:line="360" w:lineRule="auto"/>
              <w:jc w:val="center"/>
              <w:rPr>
                <w:rFonts w:ascii="宋体" w:hAnsi="宋体" w:cs="宋体"/>
                <w:sz w:val="24"/>
              </w:rPr>
            </w:pPr>
          </w:p>
          <w:p w14:paraId="0F089CEF">
            <w:pPr>
              <w:snapToGrid w:val="0"/>
              <w:spacing w:line="360" w:lineRule="auto"/>
              <w:jc w:val="center"/>
              <w:rPr>
                <w:rFonts w:ascii="宋体" w:hAnsi="宋体" w:cs="宋体"/>
                <w:sz w:val="24"/>
              </w:rPr>
            </w:pPr>
          </w:p>
          <w:p w14:paraId="2CF33EF1">
            <w:pPr>
              <w:snapToGrid w:val="0"/>
              <w:spacing w:line="360" w:lineRule="auto"/>
              <w:jc w:val="center"/>
              <w:rPr>
                <w:rFonts w:ascii="宋体" w:hAnsi="宋体" w:cs="宋体"/>
                <w:sz w:val="24"/>
              </w:rPr>
            </w:pPr>
            <w:r>
              <w:rPr>
                <w:rFonts w:hint="eastAsia" w:ascii="宋体" w:hAnsi="宋体" w:cs="宋体"/>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1D131A81">
            <w:pPr>
              <w:snapToGrid w:val="0"/>
              <w:spacing w:line="360" w:lineRule="auto"/>
              <w:jc w:val="center"/>
              <w:rPr>
                <w:rFonts w:ascii="宋体" w:hAnsi="宋体" w:cs="宋体"/>
                <w:b/>
                <w:sz w:val="24"/>
              </w:rPr>
            </w:pPr>
            <w:r>
              <w:rPr>
                <w:rFonts w:hint="eastAsia" w:ascii="宋体" w:hAnsi="宋体" w:cs="宋体"/>
                <w:b/>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314C8AB1">
            <w:pPr>
              <w:spacing w:line="360" w:lineRule="auto"/>
              <w:rPr>
                <w:rFonts w:ascii="宋体" w:hAnsi="宋体" w:cs="宋体"/>
                <w:color w:val="auto"/>
                <w:sz w:val="24"/>
                <w:highlight w:val="none"/>
              </w:rPr>
            </w:pPr>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14:paraId="561328BB">
            <w:pPr>
              <w:spacing w:line="360" w:lineRule="auto"/>
              <w:rPr>
                <w:rFonts w:ascii="宋体" w:hAnsi="宋体" w:cs="宋体"/>
                <w:color w:val="auto"/>
                <w:kern w:val="0"/>
                <w:sz w:val="24"/>
                <w:highlight w:val="none"/>
              </w:rPr>
            </w:pPr>
            <w:r>
              <w:rPr>
                <w:rFonts w:hint="eastAsia" w:ascii="MS Gothic" w:hAnsi="MS Gothic" w:eastAsia="MS Gothic" w:cs="宋体"/>
                <w:color w:val="auto"/>
                <w:kern w:val="0"/>
                <w:sz w:val="24"/>
                <w:highlight w:val="none"/>
              </w:rPr>
              <w:sym w:font="Wingdings 2" w:char="0052"/>
            </w:r>
            <w:r>
              <w:rPr>
                <w:rFonts w:hint="eastAsia" w:ascii="宋体" w:hAnsi="宋体" w:cs="宋体"/>
                <w:color w:val="auto"/>
                <w:kern w:val="0"/>
                <w:sz w:val="24"/>
                <w:highlight w:val="none"/>
              </w:rPr>
              <w:t>B要求提供（未提供样品或提供样品不满足采购需求实质性条件的供应商，投标无效）：</w:t>
            </w:r>
          </w:p>
          <w:p w14:paraId="49ACAE72">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color w:val="auto"/>
                <w:sz w:val="24"/>
                <w:highlight w:val="none"/>
                <w:u w:val="single"/>
              </w:rPr>
              <w:t>序号19会议接待椅（5）一张、序号30团员活动桌一张</w:t>
            </w:r>
            <w:r>
              <w:rPr>
                <w:rFonts w:hint="eastAsia" w:ascii="宋体" w:hAnsi="宋体" w:cs="宋体"/>
                <w:color w:val="auto"/>
                <w:kern w:val="0"/>
                <w:sz w:val="24"/>
                <w:highlight w:val="none"/>
              </w:rPr>
              <w:t>；</w:t>
            </w:r>
          </w:p>
          <w:p w14:paraId="7FE5FAB5">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sz w:val="24"/>
                <w:highlight w:val="none"/>
                <w:u w:val="single"/>
              </w:rPr>
              <w:t xml:space="preserve"> 详见“第三部分 采购需求 </w:t>
            </w:r>
            <w:r>
              <w:rPr>
                <w:rFonts w:hint="eastAsia" w:ascii="宋体" w:hAnsi="宋体" w:cs="宋体"/>
                <w:color w:val="auto"/>
                <w:sz w:val="24"/>
                <w:highlight w:val="none"/>
                <w:u w:val="single"/>
                <w:lang w:eastAsia="zh-CN"/>
              </w:rPr>
              <w:t>一</w:t>
            </w:r>
            <w:r>
              <w:rPr>
                <w:rFonts w:hint="eastAsia" w:ascii="宋体" w:hAnsi="宋体" w:cs="宋体"/>
                <w:color w:val="auto"/>
                <w:sz w:val="24"/>
                <w:highlight w:val="none"/>
                <w:u w:val="single"/>
              </w:rPr>
              <w:t>、采购</w:t>
            </w:r>
            <w:r>
              <w:rPr>
                <w:rFonts w:hint="eastAsia" w:ascii="宋体" w:hAnsi="宋体" w:cs="宋体"/>
                <w:color w:val="auto"/>
                <w:sz w:val="24"/>
                <w:highlight w:val="none"/>
                <w:u w:val="single"/>
                <w:lang w:eastAsia="zh-CN"/>
              </w:rPr>
              <w:t>标的</w:t>
            </w:r>
            <w:r>
              <w:rPr>
                <w:rFonts w:hint="eastAsia" w:ascii="宋体" w:hAnsi="宋体" w:cs="宋体"/>
                <w:color w:val="auto"/>
                <w:sz w:val="24"/>
                <w:highlight w:val="none"/>
                <w:u w:val="single"/>
              </w:rPr>
              <w:t>清单</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序号</w:t>
            </w:r>
            <w:r>
              <w:rPr>
                <w:rFonts w:hint="eastAsia" w:ascii="宋体" w:hAnsi="宋体" w:cs="宋体"/>
                <w:color w:val="auto"/>
                <w:sz w:val="24"/>
                <w:highlight w:val="none"/>
                <w:u w:val="single"/>
                <w:lang w:val="en-US" w:eastAsia="zh-CN"/>
              </w:rPr>
              <w:t xml:space="preserve">19、30 </w:t>
            </w:r>
            <w:r>
              <w:rPr>
                <w:rFonts w:hint="eastAsia" w:ascii="宋体" w:hAnsi="宋体" w:cs="宋体"/>
                <w:color w:val="auto"/>
                <w:kern w:val="0"/>
                <w:sz w:val="24"/>
                <w:highlight w:val="none"/>
              </w:rPr>
              <w:t>；</w:t>
            </w:r>
          </w:p>
          <w:p w14:paraId="16DF8580">
            <w:pPr>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w:t>
            </w:r>
          </w:p>
          <w:p w14:paraId="1364902B">
            <w:pPr>
              <w:spacing w:line="360" w:lineRule="auto"/>
              <w:ind w:firstLine="240" w:firstLineChars="100"/>
              <w:rPr>
                <w:rFonts w:ascii="宋体" w:hAnsi="宋体" w:cs="宋体"/>
                <w:color w:val="auto"/>
                <w:sz w:val="24"/>
                <w:highlight w:val="none"/>
              </w:rPr>
            </w:pPr>
            <w:r>
              <w:rPr>
                <w:rFonts w:hint="eastAsia" w:ascii="宋体" w:hAnsi="宋体" w:cs="宋体"/>
                <w:color w:val="auto"/>
                <w:kern w:val="0"/>
                <w:sz w:val="24"/>
                <w:highlight w:val="none"/>
              </w:rPr>
              <w:sym w:font="Wingdings 2" w:char="0052"/>
            </w:r>
            <w:r>
              <w:rPr>
                <w:rFonts w:hint="eastAsia" w:ascii="宋体" w:hAnsi="宋体" w:cs="宋体"/>
                <w:color w:val="auto"/>
                <w:sz w:val="24"/>
                <w:highlight w:val="none"/>
              </w:rPr>
              <w:t>样品分未超过价格分的50%；</w:t>
            </w:r>
          </w:p>
          <w:p w14:paraId="54422464">
            <w:pPr>
              <w:spacing w:line="360" w:lineRule="auto"/>
              <w:ind w:firstLine="240" w:firstLineChars="100"/>
              <w:rPr>
                <w:rFonts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sz w:val="24"/>
                <w:highlight w:val="none"/>
              </w:rPr>
              <w:t>样品分超过价格分的50%，理由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77BD6BB1">
            <w:pPr>
              <w:spacing w:line="360" w:lineRule="auto"/>
              <w:ind w:firstLine="240" w:firstLineChars="100"/>
              <w:rPr>
                <w:rFonts w:ascii="宋体" w:hAnsi="宋体" w:cs="宋体"/>
                <w:color w:val="auto"/>
                <w:kern w:val="0"/>
                <w:sz w:val="24"/>
                <w:highlight w:val="none"/>
              </w:rPr>
            </w:pPr>
            <w:r>
              <w:rPr>
                <w:rFonts w:hint="eastAsia" w:ascii="宋体" w:hAnsi="宋体" w:cs="宋体"/>
                <w:snapToGrid w:val="0"/>
                <w:color w:val="auto"/>
                <w:kern w:val="28"/>
                <w:sz w:val="24"/>
                <w:highlight w:val="none"/>
              </w:rPr>
              <w:t>详见招标文件第四部分</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 xml:space="preserve">。 </w:t>
            </w:r>
          </w:p>
          <w:p w14:paraId="20635D2E">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r>
              <w:rPr>
                <w:rFonts w:hint="eastAsia" w:ascii="宋体" w:hAnsi="宋体" w:cs="宋体"/>
                <w:color w:val="auto"/>
                <w:kern w:val="0"/>
                <w:sz w:val="24"/>
                <w:highlight w:val="none"/>
              </w:rPr>
              <w:sym w:font="Wingdings" w:char="F0FE"/>
            </w:r>
            <w:r>
              <w:rPr>
                <w:rFonts w:hint="eastAsia" w:ascii="宋体" w:hAnsi="宋体" w:cs="宋体"/>
                <w:color w:val="auto"/>
                <w:kern w:val="0"/>
                <w:sz w:val="24"/>
                <w:highlight w:val="none"/>
              </w:rPr>
              <w:t>否；☐是，检测机构的要求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5A7983D2">
            <w:pPr>
              <w:spacing w:line="360" w:lineRule="auto"/>
              <w:rPr>
                <w:rFonts w:ascii="宋体" w:hAnsi="宋体" w:cs="宋体"/>
                <w:sz w:val="24"/>
              </w:rPr>
            </w:pPr>
            <w:r>
              <w:rPr>
                <w:rFonts w:hint="eastAsia" w:ascii="宋体" w:hAnsi="宋体" w:cs="宋体"/>
                <w:sz w:val="24"/>
                <w:highlight w:val="none"/>
              </w:rPr>
              <w:t>（5）提供样品的时间：</w:t>
            </w:r>
            <w:r>
              <w:rPr>
                <w:rFonts w:hint="eastAsia" w:ascii="宋体" w:hAnsi="宋体" w:cs="宋体"/>
                <w:sz w:val="24"/>
                <w:szCs w:val="24"/>
                <w:highlight w:val="none"/>
                <w:lang w:val="en-US" w:eastAsia="zh-CN"/>
              </w:rPr>
              <w:t>2025年2</w:t>
            </w:r>
            <w:r>
              <w:rPr>
                <w:rFonts w:hint="eastAsia" w:ascii="宋体" w:hAnsi="宋体" w:cs="宋体"/>
                <w:sz w:val="24"/>
                <w:szCs w:val="24"/>
                <w:highlight w:val="none"/>
                <w:u w:val="single" w:color="auto"/>
                <w:lang w:val="en-US" w:eastAsia="zh-CN"/>
              </w:rPr>
              <w:t>月21日 8：30 ——10：30</w:t>
            </w:r>
            <w:r>
              <w:rPr>
                <w:rFonts w:hint="eastAsia" w:ascii="宋体" w:hAnsi="宋体" w:cs="宋体"/>
                <w:kern w:val="0"/>
                <w:sz w:val="24"/>
                <w:highlight w:val="none"/>
              </w:rPr>
              <w:t>；</w:t>
            </w:r>
            <w:r>
              <w:rPr>
                <w:rFonts w:hint="eastAsia" w:ascii="宋体" w:hAnsi="宋体" w:cs="宋体"/>
                <w:color w:val="auto"/>
                <w:kern w:val="0"/>
                <w:sz w:val="24"/>
                <w:highlight w:val="none"/>
              </w:rPr>
              <w:t>地点：</w:t>
            </w:r>
            <w:r>
              <w:rPr>
                <w:rFonts w:hint="eastAsia" w:ascii="宋体" w:hAnsi="宋体" w:cs="宋体"/>
                <w:color w:val="auto"/>
                <w:sz w:val="24"/>
                <w:highlight w:val="none"/>
                <w:u w:val="single"/>
              </w:rPr>
              <w:t>杭州市余杭区余杭街道凤新路与城东路交叉口东南100米瑞鸿大厦B1样品间（位于地下车库凤新路出入口附近）</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rPr>
              <w:t>孟老师</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u w:val="single"/>
              </w:rPr>
              <w:t>15958181261</w:t>
            </w:r>
            <w:r>
              <w:rPr>
                <w:rFonts w:hint="eastAsia" w:ascii="宋体" w:hAnsi="宋体" w:cs="宋体"/>
                <w:color w:val="auto"/>
                <w:sz w:val="24"/>
                <w:highlight w:val="none"/>
              </w:rPr>
              <w:t>。</w:t>
            </w:r>
            <w:r>
              <w:rPr>
                <w:rFonts w:hint="eastAsia" w:ascii="宋体" w:hAnsi="宋体" w:cs="宋体"/>
                <w:sz w:val="24"/>
              </w:rPr>
              <w:t>请投标人在上述时间内提供样品并按规定位置安装完毕。超过截止时间的，采购人将不予接收，并将清场并封闭样品现场。</w:t>
            </w:r>
          </w:p>
          <w:p w14:paraId="07CF8B11">
            <w:pPr>
              <w:spacing w:line="360" w:lineRule="auto"/>
              <w:rPr>
                <w:rFonts w:ascii="宋体" w:hAnsi="宋体" w:cs="宋体"/>
                <w:sz w:val="24"/>
              </w:rPr>
            </w:pPr>
            <w:r>
              <w:rPr>
                <w:rFonts w:hint="eastAsia" w:ascii="宋体" w:hAnsi="宋体" w:cs="宋体"/>
                <w:sz w:val="24"/>
              </w:rPr>
              <w:t xml:space="preserve"> </w:t>
            </w:r>
            <w:r>
              <w:rPr>
                <w:rFonts w:hint="eastAsia" w:ascii="宋体" w:hAnsi="宋体" w:cs="宋体"/>
                <w:sz w:val="24"/>
                <w:lang w:eastAsia="zh-CN"/>
              </w:rPr>
              <w:t>（</w:t>
            </w:r>
            <w:r>
              <w:rPr>
                <w:rFonts w:hint="eastAsia" w:ascii="宋体" w:hAnsi="宋体" w:cs="宋体"/>
                <w:sz w:val="24"/>
              </w:rPr>
              <w:t>6</w:t>
            </w:r>
            <w:r>
              <w:rPr>
                <w:rFonts w:hint="eastAsia" w:ascii="宋体" w:hAnsi="宋体" w:cs="宋体"/>
                <w:sz w:val="24"/>
                <w:lang w:eastAsia="zh-CN"/>
              </w:rPr>
              <w:t>）</w:t>
            </w:r>
            <w:r>
              <w:rPr>
                <w:rFonts w:hint="eastAsia" w:ascii="宋体" w:hAnsi="宋体" w:cs="宋体"/>
                <w:sz w:val="24"/>
              </w:rPr>
              <w:t>采购活动结束后，对于未中标人提供的样品，采购人将通知未中标人在规定的时间内取回，逾期未取回的，采购人、</w:t>
            </w:r>
            <w:r>
              <w:rPr>
                <w:rFonts w:hint="eastAsia" w:ascii="宋体" w:hAnsi="宋体" w:cs="宋体"/>
                <w:sz w:val="24"/>
                <w:lang w:eastAsia="zh-CN"/>
              </w:rPr>
              <w:t>采购代理机构</w:t>
            </w:r>
            <w:r>
              <w:rPr>
                <w:rFonts w:hint="eastAsia" w:ascii="宋体" w:hAnsi="宋体" w:cs="宋体"/>
                <w:sz w:val="24"/>
              </w:rPr>
              <w:t>不负保管义务；对于中标人提供的样品，采购人将进行保管、封存，并作为履约验收的参考。</w:t>
            </w:r>
          </w:p>
          <w:p w14:paraId="764511C8">
            <w:pPr>
              <w:spacing w:line="360" w:lineRule="auto"/>
              <w:rPr>
                <w:rFonts w:ascii="宋体" w:hAnsi="宋体" w:cs="宋体"/>
                <w:b/>
                <w:sz w:val="24"/>
              </w:rPr>
            </w:pPr>
            <w:r>
              <w:rPr>
                <w:rFonts w:hint="eastAsia" w:ascii="宋体" w:hAnsi="宋体" w:cs="宋体"/>
                <w:sz w:val="24"/>
              </w:rPr>
              <w:t>（7）制作、运输、安装和保管样品所发生的一切费用由投标人自理。</w:t>
            </w:r>
          </w:p>
        </w:tc>
      </w:tr>
      <w:tr w14:paraId="4D4E34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74FD5BD">
            <w:pPr>
              <w:snapToGrid w:val="0"/>
              <w:spacing w:line="360" w:lineRule="auto"/>
              <w:jc w:val="center"/>
              <w:rPr>
                <w:rFonts w:ascii="宋体" w:hAnsi="宋体" w:cs="宋体"/>
                <w:sz w:val="24"/>
              </w:rPr>
            </w:pPr>
          </w:p>
          <w:p w14:paraId="5C836314">
            <w:pPr>
              <w:snapToGrid w:val="0"/>
              <w:spacing w:line="360" w:lineRule="auto"/>
              <w:jc w:val="center"/>
              <w:rPr>
                <w:rFonts w:ascii="宋体" w:hAnsi="宋体" w:cs="宋体"/>
                <w:sz w:val="24"/>
              </w:rPr>
            </w:pPr>
          </w:p>
          <w:p w14:paraId="02AEBD42">
            <w:pPr>
              <w:snapToGrid w:val="0"/>
              <w:spacing w:line="360" w:lineRule="auto"/>
              <w:jc w:val="center"/>
              <w:rPr>
                <w:rFonts w:ascii="宋体" w:hAnsi="宋体" w:cs="宋体"/>
                <w:sz w:val="24"/>
              </w:rPr>
            </w:pPr>
          </w:p>
          <w:p w14:paraId="221E8590">
            <w:pPr>
              <w:snapToGrid w:val="0"/>
              <w:spacing w:line="360" w:lineRule="auto"/>
              <w:jc w:val="center"/>
              <w:rPr>
                <w:rFonts w:ascii="宋体" w:hAnsi="宋体" w:cs="宋体"/>
                <w:sz w:val="24"/>
              </w:rPr>
            </w:pPr>
          </w:p>
          <w:p w14:paraId="69D4B1B6">
            <w:pPr>
              <w:snapToGrid w:val="0"/>
              <w:spacing w:line="360" w:lineRule="auto"/>
              <w:jc w:val="center"/>
              <w:rPr>
                <w:rFonts w:ascii="宋体" w:hAnsi="宋体" w:cs="宋体"/>
                <w:sz w:val="24"/>
              </w:rPr>
            </w:pPr>
          </w:p>
          <w:p w14:paraId="43C92E0B">
            <w:pPr>
              <w:snapToGrid w:val="0"/>
              <w:spacing w:line="360" w:lineRule="auto"/>
              <w:jc w:val="center"/>
              <w:rPr>
                <w:rFonts w:ascii="宋体" w:hAnsi="宋体" w:cs="宋体"/>
                <w:sz w:val="24"/>
              </w:rPr>
            </w:pPr>
          </w:p>
          <w:p w14:paraId="39061F5B">
            <w:pPr>
              <w:snapToGrid w:val="0"/>
              <w:spacing w:line="360" w:lineRule="auto"/>
              <w:jc w:val="center"/>
              <w:rPr>
                <w:rFonts w:ascii="宋体" w:hAnsi="宋体" w:cs="宋体"/>
                <w:sz w:val="24"/>
              </w:rPr>
            </w:pPr>
          </w:p>
          <w:p w14:paraId="5640409F">
            <w:pPr>
              <w:snapToGrid w:val="0"/>
              <w:spacing w:line="360" w:lineRule="auto"/>
              <w:jc w:val="center"/>
              <w:rPr>
                <w:rFonts w:ascii="宋体" w:hAnsi="宋体" w:cs="宋体"/>
                <w:sz w:val="24"/>
              </w:rPr>
            </w:pPr>
          </w:p>
          <w:p w14:paraId="351366FA">
            <w:pPr>
              <w:snapToGrid w:val="0"/>
              <w:spacing w:line="360" w:lineRule="auto"/>
              <w:jc w:val="center"/>
              <w:rPr>
                <w:rFonts w:ascii="宋体" w:hAnsi="宋体" w:cs="宋体"/>
                <w:sz w:val="24"/>
              </w:rPr>
            </w:pPr>
            <w:r>
              <w:rPr>
                <w:rFonts w:hint="eastAsia" w:ascii="宋体" w:hAnsi="宋体" w:cs="宋体"/>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778C96A2">
            <w:pPr>
              <w:snapToGrid w:val="0"/>
              <w:spacing w:line="360" w:lineRule="auto"/>
              <w:jc w:val="center"/>
              <w:rPr>
                <w:rFonts w:ascii="宋体" w:hAnsi="宋体" w:cs="宋体"/>
                <w:bCs/>
                <w:sz w:val="24"/>
              </w:rPr>
            </w:pPr>
            <w:r>
              <w:rPr>
                <w:rFonts w:hint="eastAsia" w:ascii="宋体" w:hAnsi="宋体" w:cs="宋体"/>
                <w:b/>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068FBE16">
            <w:pPr>
              <w:spacing w:line="360" w:lineRule="auto"/>
              <w:rPr>
                <w:rFonts w:ascii="宋体" w:hAnsi="宋体" w:cs="宋体"/>
                <w:b/>
                <w:kern w:val="0"/>
                <w:sz w:val="24"/>
                <w:lang w:val="zh-CN"/>
              </w:rPr>
            </w:pPr>
            <w:r>
              <w:rPr>
                <w:rFonts w:ascii="Wingdings" w:hAnsi="Wingdings" w:cs="宋体"/>
                <w:kern w:val="0"/>
                <w:sz w:val="24"/>
                <w:highlight w:val="none"/>
              </w:rPr>
              <w:t></w:t>
            </w:r>
            <w:r>
              <w:rPr>
                <w:rFonts w:hint="eastAsia" w:ascii="宋体" w:hAnsi="宋体" w:cs="宋体"/>
                <w:kern w:val="0"/>
                <w:sz w:val="24"/>
                <w:highlight w:val="none"/>
              </w:rPr>
              <w:t>A</w:t>
            </w:r>
            <w:r>
              <w:rPr>
                <w:rFonts w:hint="eastAsia" w:ascii="宋体" w:hAnsi="宋体" w:cs="宋体"/>
                <w:sz w:val="24"/>
                <w:highlight w:val="none"/>
              </w:rPr>
              <w:t>不组织。</w:t>
            </w:r>
          </w:p>
        </w:tc>
      </w:tr>
      <w:tr w14:paraId="017558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14:paraId="7E475FAE">
            <w:pPr>
              <w:snapToGrid w:val="0"/>
              <w:spacing w:line="360" w:lineRule="auto"/>
              <w:jc w:val="center"/>
              <w:rPr>
                <w:rFonts w:ascii="宋体" w:hAnsi="宋体" w:cs="宋体"/>
                <w:sz w:val="24"/>
              </w:rPr>
            </w:pPr>
          </w:p>
          <w:p w14:paraId="276710AC">
            <w:pPr>
              <w:snapToGrid w:val="0"/>
              <w:spacing w:line="360" w:lineRule="auto"/>
              <w:jc w:val="center"/>
              <w:rPr>
                <w:rFonts w:ascii="宋体" w:hAnsi="宋体" w:cs="宋体"/>
                <w:sz w:val="24"/>
              </w:rPr>
            </w:pPr>
          </w:p>
          <w:p w14:paraId="28472E05">
            <w:pPr>
              <w:snapToGrid w:val="0"/>
              <w:spacing w:line="360" w:lineRule="auto"/>
              <w:jc w:val="center"/>
              <w:rPr>
                <w:rFonts w:ascii="宋体" w:hAnsi="宋体" w:cs="宋体"/>
                <w:sz w:val="24"/>
              </w:rPr>
            </w:pPr>
            <w:r>
              <w:rPr>
                <w:rFonts w:hint="eastAsia" w:ascii="宋体" w:hAnsi="宋体" w:cs="宋体"/>
                <w:sz w:val="24"/>
              </w:rPr>
              <w:t>8</w:t>
            </w:r>
          </w:p>
        </w:tc>
        <w:tc>
          <w:tcPr>
            <w:tcW w:w="1843" w:type="dxa"/>
            <w:vMerge w:val="restart"/>
            <w:tcBorders>
              <w:top w:val="single" w:color="000000" w:sz="8" w:space="0"/>
              <w:left w:val="single" w:color="auto" w:sz="4" w:space="0"/>
              <w:right w:val="single" w:color="000000" w:sz="8" w:space="0"/>
            </w:tcBorders>
            <w:vAlign w:val="center"/>
          </w:tcPr>
          <w:p w14:paraId="36C1753A">
            <w:pPr>
              <w:snapToGrid w:val="0"/>
              <w:spacing w:line="360" w:lineRule="auto"/>
              <w:jc w:val="center"/>
              <w:rPr>
                <w:rFonts w:ascii="宋体" w:hAnsi="宋体" w:cs="宋体"/>
                <w:b/>
                <w:sz w:val="24"/>
              </w:rPr>
            </w:pPr>
            <w:r>
              <w:rPr>
                <w:rFonts w:hint="eastAsia" w:ascii="宋体" w:hAnsi="宋体" w:cs="宋体"/>
                <w:b/>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539A21DE">
            <w:pPr>
              <w:spacing w:line="360" w:lineRule="auto"/>
              <w:rPr>
                <w:rFonts w:ascii="宋体" w:hAnsi="宋体" w:cs="宋体"/>
                <w:sz w:val="24"/>
              </w:rPr>
            </w:pPr>
            <w:r>
              <w:rPr>
                <w:rFonts w:hint="eastAsia" w:ascii="宋体" w:hAnsi="宋体" w:cs="宋体"/>
                <w:sz w:val="24"/>
              </w:rPr>
              <w:t>（1）资格证明文件：见招标文件第二部分11.1。</w:t>
            </w:r>
          </w:p>
          <w:p w14:paraId="0E13AF15">
            <w:pPr>
              <w:spacing w:line="360" w:lineRule="auto"/>
              <w:rPr>
                <w:rFonts w:ascii="宋体" w:hAnsi="宋体" w:cs="宋体"/>
                <w:snapToGrid w:val="0"/>
                <w:kern w:val="0"/>
                <w:szCs w:val="21"/>
              </w:rPr>
            </w:pPr>
            <w:r>
              <w:rPr>
                <w:rFonts w:hint="eastAsia" w:ascii="宋体" w:hAnsi="宋体" w:cs="宋体"/>
                <w:kern w:val="0"/>
                <w:sz w:val="24"/>
                <w:lang w:val="zh-CN"/>
              </w:rPr>
              <w:t>投标人未提供有效的资格证明文件的，视为投标人不具备招标文件中规定的资格要求，投标无效。</w:t>
            </w:r>
          </w:p>
        </w:tc>
      </w:tr>
      <w:tr w14:paraId="1618CE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vAlign w:val="center"/>
          </w:tcPr>
          <w:p w14:paraId="3940F265">
            <w:pPr>
              <w:snapToGrid w:val="0"/>
              <w:spacing w:line="360" w:lineRule="auto"/>
              <w:jc w:val="center"/>
              <w:rPr>
                <w:rFonts w:ascii="宋体" w:hAnsi="宋体" w:cs="宋体"/>
                <w:sz w:val="24"/>
              </w:rPr>
            </w:pPr>
          </w:p>
        </w:tc>
        <w:tc>
          <w:tcPr>
            <w:tcW w:w="1843" w:type="dxa"/>
            <w:vMerge w:val="continue"/>
            <w:tcBorders>
              <w:left w:val="single" w:color="auto" w:sz="4" w:space="0"/>
              <w:bottom w:val="single" w:color="000000" w:sz="8" w:space="0"/>
              <w:right w:val="single" w:color="000000" w:sz="8" w:space="0"/>
            </w:tcBorders>
            <w:vAlign w:val="center"/>
          </w:tcPr>
          <w:p w14:paraId="48F44B66">
            <w:pPr>
              <w:snapToGrid w:val="0"/>
              <w:spacing w:line="360" w:lineRule="auto"/>
              <w:jc w:val="center"/>
              <w:rPr>
                <w:rFonts w:ascii="宋体" w:hAnsi="宋体" w:cs="宋体"/>
                <w:b/>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2DD2ABF4">
            <w:pPr>
              <w:spacing w:line="360" w:lineRule="auto"/>
              <w:rPr>
                <w:rFonts w:ascii="宋体" w:hAnsi="宋体" w:cs="宋体"/>
                <w:sz w:val="24"/>
              </w:rPr>
            </w:pPr>
            <w:r>
              <w:rPr>
                <w:rFonts w:hint="eastAsia" w:ascii="宋体" w:hAnsi="宋体" w:cs="宋体"/>
                <w:sz w:val="24"/>
              </w:rPr>
              <w:t>（2）资信证明文件：根据招标文件第四部分评标标准提供。</w:t>
            </w:r>
          </w:p>
        </w:tc>
      </w:tr>
      <w:tr w14:paraId="54C80D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97D0304">
            <w:pPr>
              <w:snapToGrid w:val="0"/>
              <w:spacing w:line="360" w:lineRule="auto"/>
              <w:jc w:val="center"/>
              <w:rPr>
                <w:rFonts w:ascii="宋体" w:hAnsi="宋体" w:cs="宋体"/>
                <w:sz w:val="24"/>
              </w:rPr>
            </w:pPr>
          </w:p>
          <w:p w14:paraId="19B829ED">
            <w:pPr>
              <w:snapToGrid w:val="0"/>
              <w:spacing w:line="360" w:lineRule="auto"/>
              <w:jc w:val="center"/>
              <w:rPr>
                <w:rFonts w:ascii="宋体" w:hAnsi="宋体" w:cs="宋体"/>
                <w:sz w:val="24"/>
              </w:rPr>
            </w:pPr>
          </w:p>
          <w:p w14:paraId="32BEF97A">
            <w:pPr>
              <w:snapToGrid w:val="0"/>
              <w:spacing w:line="360" w:lineRule="auto"/>
              <w:jc w:val="center"/>
              <w:rPr>
                <w:rFonts w:ascii="宋体" w:hAnsi="宋体" w:cs="宋体"/>
                <w:sz w:val="24"/>
              </w:rPr>
            </w:pPr>
            <w:r>
              <w:rPr>
                <w:rFonts w:hint="eastAsia" w:ascii="宋体" w:hAnsi="宋体" w:cs="宋体"/>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13433B0F">
            <w:pPr>
              <w:snapToGrid w:val="0"/>
              <w:spacing w:line="360" w:lineRule="auto"/>
              <w:jc w:val="center"/>
              <w:rPr>
                <w:rFonts w:ascii="宋体" w:hAnsi="宋体" w:cs="宋体"/>
                <w:b/>
                <w:sz w:val="24"/>
                <w:highlight w:val="none"/>
              </w:rPr>
            </w:pPr>
            <w:r>
              <w:rPr>
                <w:rFonts w:hint="eastAsia" w:ascii="宋体" w:hAnsi="宋体" w:cs="宋体"/>
                <w:b/>
                <w:sz w:val="24"/>
                <w:highlight w:val="none"/>
              </w:rPr>
              <w:t>节能产品、环境标志产品政府优先采购或强制采购</w:t>
            </w:r>
          </w:p>
        </w:tc>
        <w:tc>
          <w:tcPr>
            <w:tcW w:w="6095" w:type="dxa"/>
            <w:tcBorders>
              <w:top w:val="single" w:color="000000" w:sz="8" w:space="0"/>
              <w:left w:val="single" w:color="000000" w:sz="2" w:space="0"/>
              <w:bottom w:val="single" w:color="000000" w:sz="8" w:space="0"/>
              <w:right w:val="single" w:color="000000" w:sz="8" w:space="0"/>
            </w:tcBorders>
            <w:vAlign w:val="center"/>
          </w:tcPr>
          <w:p w14:paraId="1868F015">
            <w:pPr>
              <w:spacing w:line="360" w:lineRule="auto"/>
              <w:rPr>
                <w:rFonts w:ascii="宋体" w:hAnsi="宋体" w:cs="宋体"/>
                <w:highlight w:val="none"/>
              </w:rPr>
            </w:pPr>
            <w:r>
              <w:rPr>
                <w:rFonts w:hint="eastAsia" w:ascii="宋体" w:hAnsi="宋体" w:cs="宋体"/>
                <w:kern w:val="0"/>
                <w:sz w:val="24"/>
                <w:highlight w:val="none"/>
                <w:lang w:val="zh-CN"/>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7B1463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2AD1E79D">
            <w:pPr>
              <w:snapToGrid w:val="0"/>
              <w:spacing w:line="360" w:lineRule="auto"/>
              <w:jc w:val="center"/>
              <w:rPr>
                <w:rFonts w:ascii="宋体" w:hAnsi="宋体" w:cs="宋体"/>
                <w:sz w:val="24"/>
              </w:rPr>
            </w:pPr>
          </w:p>
          <w:p w14:paraId="6E32BFA0">
            <w:pPr>
              <w:snapToGrid w:val="0"/>
              <w:spacing w:line="360" w:lineRule="auto"/>
              <w:jc w:val="center"/>
              <w:rPr>
                <w:rFonts w:ascii="宋体" w:hAnsi="宋体" w:cs="宋体"/>
                <w:sz w:val="24"/>
              </w:rPr>
            </w:pPr>
          </w:p>
          <w:p w14:paraId="60BEA615">
            <w:pPr>
              <w:snapToGrid w:val="0"/>
              <w:spacing w:line="360" w:lineRule="auto"/>
              <w:jc w:val="center"/>
              <w:rPr>
                <w:rFonts w:ascii="宋体" w:hAnsi="宋体" w:cs="宋体"/>
                <w:sz w:val="24"/>
              </w:rPr>
            </w:pPr>
          </w:p>
          <w:p w14:paraId="1EC8CA9E">
            <w:pPr>
              <w:snapToGrid w:val="0"/>
              <w:spacing w:line="360" w:lineRule="auto"/>
              <w:jc w:val="center"/>
              <w:rPr>
                <w:rFonts w:ascii="宋体" w:hAnsi="宋体" w:cs="宋体"/>
                <w:sz w:val="24"/>
              </w:rPr>
            </w:pPr>
          </w:p>
          <w:p w14:paraId="58C12FF0">
            <w:pPr>
              <w:snapToGrid w:val="0"/>
              <w:spacing w:line="360" w:lineRule="auto"/>
              <w:jc w:val="center"/>
              <w:rPr>
                <w:rFonts w:ascii="宋体" w:hAnsi="宋体" w:cs="宋体"/>
                <w:sz w:val="24"/>
              </w:rPr>
            </w:pPr>
          </w:p>
          <w:p w14:paraId="7F87D62C">
            <w:pPr>
              <w:snapToGrid w:val="0"/>
              <w:spacing w:line="360" w:lineRule="auto"/>
              <w:jc w:val="center"/>
              <w:rPr>
                <w:rFonts w:ascii="宋体" w:hAnsi="宋体" w:cs="宋体"/>
                <w:sz w:val="24"/>
              </w:rPr>
            </w:pPr>
            <w:r>
              <w:rPr>
                <w:rFonts w:hint="eastAsia" w:ascii="宋体" w:hAnsi="宋体" w:cs="宋体"/>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2A4A8962">
            <w:pPr>
              <w:snapToGrid w:val="0"/>
              <w:spacing w:line="360" w:lineRule="auto"/>
              <w:jc w:val="center"/>
              <w:rPr>
                <w:rFonts w:ascii="宋体" w:hAnsi="宋体" w:cs="宋体"/>
                <w:b/>
                <w:sz w:val="24"/>
              </w:rPr>
            </w:pPr>
            <w:r>
              <w:rPr>
                <w:rFonts w:hint="eastAsia" w:ascii="宋体" w:hAnsi="宋体" w:cs="宋体"/>
                <w:b/>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6CF5E7EE">
            <w:pPr>
              <w:snapToGrid w:val="0"/>
              <w:spacing w:line="360" w:lineRule="auto"/>
              <w:jc w:val="left"/>
              <w:rPr>
                <w:rFonts w:ascii="宋体" w:hAnsi="宋体" w:cs="宋体"/>
                <w:b/>
                <w:kern w:val="0"/>
                <w:sz w:val="24"/>
                <w:lang w:val="zh-CN"/>
              </w:rPr>
            </w:pPr>
            <w:r>
              <w:rPr>
                <w:rFonts w:hint="eastAsia" w:ascii="宋体" w:hAnsi="宋体" w:cs="宋体"/>
                <w:kern w:val="0"/>
                <w:sz w:val="24"/>
                <w:lang w:val="zh-CN"/>
              </w:rPr>
              <w:t>有关本项目实施所需的所有费用（含税费）均计入报价。</w:t>
            </w:r>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kern w:val="0"/>
                <w:sz w:val="24"/>
                <w:lang w:val="zh-CN"/>
              </w:rPr>
              <w:t>投标文件中价格全部采用人民币报价。招标文件未列明，而投标人认为必需的费用也需列入报价。</w:t>
            </w:r>
            <w:r>
              <w:rPr>
                <w:rFonts w:hint="eastAsia" w:ascii="宋体" w:hAnsi="宋体" w:cs="宋体"/>
                <w:b/>
                <w:kern w:val="0"/>
                <w:sz w:val="24"/>
                <w:lang w:val="zh-CN"/>
              </w:rPr>
              <w:t>提醒：验收时检测费用由采购人承担，不包含在投标总价中。</w:t>
            </w:r>
          </w:p>
          <w:p w14:paraId="4FDFCBC3">
            <w:pPr>
              <w:snapToGrid w:val="0"/>
              <w:spacing w:line="360" w:lineRule="auto"/>
              <w:jc w:val="left"/>
              <w:rPr>
                <w:rFonts w:ascii="宋体" w:hAnsi="宋体" w:cs="宋体"/>
                <w:b/>
                <w:kern w:val="0"/>
                <w:sz w:val="24"/>
                <w:lang w:val="zh-CN"/>
              </w:rPr>
            </w:pPr>
            <w:r>
              <w:rPr>
                <w:rFonts w:hint="eastAsia" w:ascii="宋体" w:hAnsi="宋体" w:cs="宋体"/>
                <w:b/>
                <w:kern w:val="0"/>
                <w:sz w:val="24"/>
                <w:lang w:val="zh-CN"/>
              </w:rPr>
              <w:t>投标报价出现下列情形的，投标无效：</w:t>
            </w:r>
          </w:p>
          <w:p w14:paraId="295B2E16">
            <w:pPr>
              <w:snapToGrid w:val="0"/>
              <w:spacing w:line="360" w:lineRule="auto"/>
              <w:ind w:firstLine="241" w:firstLineChars="100"/>
              <w:jc w:val="left"/>
              <w:rPr>
                <w:rFonts w:ascii="宋体" w:hAnsi="宋体" w:cs="宋体"/>
                <w:b/>
                <w:kern w:val="0"/>
                <w:sz w:val="24"/>
                <w:lang w:val="zh-CN"/>
              </w:rPr>
            </w:pPr>
            <w:r>
              <w:rPr>
                <w:rFonts w:hint="eastAsia" w:ascii="宋体" w:hAnsi="宋体" w:cs="宋体"/>
                <w:b/>
                <w:kern w:val="0"/>
                <w:sz w:val="24"/>
                <w:lang w:val="zh-CN"/>
              </w:rPr>
              <w:t>投标文件出现不是唯一的、有选择性投标报价的；</w:t>
            </w:r>
          </w:p>
          <w:p w14:paraId="37319E8E">
            <w:pPr>
              <w:snapToGrid w:val="0"/>
              <w:spacing w:line="360" w:lineRule="auto"/>
              <w:ind w:firstLine="241" w:firstLineChars="100"/>
              <w:jc w:val="left"/>
              <w:rPr>
                <w:rFonts w:ascii="宋体" w:hAnsi="宋体" w:cs="宋体"/>
                <w:kern w:val="0"/>
                <w:sz w:val="24"/>
                <w:lang w:val="zh-CN"/>
              </w:rPr>
            </w:pPr>
            <w:r>
              <w:rPr>
                <w:rFonts w:hint="eastAsia" w:ascii="宋体" w:hAnsi="宋体" w:cs="宋体"/>
                <w:b/>
                <w:kern w:val="0"/>
                <w:sz w:val="24"/>
                <w:lang w:val="zh-CN"/>
              </w:rPr>
              <w:t>投标报价超过招标文件中规定的预算金额或者最高限价的；</w:t>
            </w:r>
          </w:p>
          <w:p w14:paraId="2F1339C3">
            <w:pPr>
              <w:spacing w:line="360" w:lineRule="auto"/>
              <w:ind w:firstLine="241" w:firstLineChars="100"/>
              <w:rPr>
                <w:rFonts w:ascii="宋体" w:hAnsi="宋体" w:cs="宋体"/>
                <w:b/>
                <w:sz w:val="24"/>
              </w:rPr>
            </w:pPr>
            <w:r>
              <w:rPr>
                <w:rFonts w:hint="eastAsia" w:ascii="宋体" w:hAnsi="宋体" w:cs="宋体"/>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kern w:val="0"/>
                <w:sz w:val="24"/>
                <w:lang w:val="zh-CN"/>
              </w:rPr>
              <w:t>；</w:t>
            </w:r>
          </w:p>
          <w:p w14:paraId="429E5163">
            <w:pPr>
              <w:spacing w:line="360" w:lineRule="auto"/>
              <w:ind w:firstLine="241" w:firstLineChars="100"/>
              <w:rPr>
                <w:rFonts w:ascii="宋体" w:hAnsi="宋体" w:cs="宋体"/>
                <w:sz w:val="24"/>
              </w:rPr>
            </w:pPr>
            <w:r>
              <w:rPr>
                <w:rFonts w:hint="eastAsia" w:ascii="宋体" w:hAnsi="宋体" w:cs="宋体"/>
                <w:b/>
                <w:kern w:val="0"/>
                <w:sz w:val="24"/>
              </w:rPr>
              <w:t>投标人对根据修正原则修正后的报价不确认的</w:t>
            </w:r>
            <w:r>
              <w:rPr>
                <w:rFonts w:hint="eastAsia" w:ascii="宋体" w:hAnsi="宋体" w:cs="宋体"/>
                <w:b/>
                <w:sz w:val="24"/>
              </w:rPr>
              <w:t>。</w:t>
            </w:r>
          </w:p>
        </w:tc>
      </w:tr>
      <w:tr w14:paraId="51C7BA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vMerge w:val="restart"/>
            <w:tcBorders>
              <w:top w:val="single" w:color="auto" w:sz="4" w:space="0"/>
              <w:left w:val="single" w:color="000000" w:sz="8" w:space="0"/>
              <w:right w:val="single" w:color="000000" w:sz="2" w:space="0"/>
            </w:tcBorders>
            <w:vAlign w:val="center"/>
          </w:tcPr>
          <w:p w14:paraId="0475BBC8">
            <w:pPr>
              <w:snapToGrid w:val="0"/>
              <w:spacing w:line="360" w:lineRule="auto"/>
              <w:jc w:val="center"/>
              <w:rPr>
                <w:rFonts w:ascii="宋体" w:hAnsi="宋体" w:cs="宋体"/>
                <w:sz w:val="24"/>
              </w:rPr>
            </w:pPr>
          </w:p>
          <w:p w14:paraId="20E0F70C">
            <w:pPr>
              <w:snapToGrid w:val="0"/>
              <w:spacing w:line="360" w:lineRule="auto"/>
              <w:jc w:val="center"/>
              <w:rPr>
                <w:rFonts w:ascii="宋体" w:hAnsi="宋体" w:cs="宋体"/>
                <w:sz w:val="24"/>
              </w:rPr>
            </w:pPr>
            <w:r>
              <w:rPr>
                <w:rFonts w:hint="eastAsia" w:ascii="宋体" w:hAnsi="宋体" w:cs="宋体"/>
                <w:sz w:val="24"/>
              </w:rPr>
              <w:t>11</w:t>
            </w:r>
          </w:p>
        </w:tc>
        <w:tc>
          <w:tcPr>
            <w:tcW w:w="1843" w:type="dxa"/>
            <w:vMerge w:val="restart"/>
            <w:tcBorders>
              <w:top w:val="single" w:color="000000" w:sz="8" w:space="0"/>
              <w:left w:val="single" w:color="000000" w:sz="2" w:space="0"/>
              <w:right w:val="single" w:color="000000" w:sz="8" w:space="0"/>
            </w:tcBorders>
            <w:vAlign w:val="center"/>
          </w:tcPr>
          <w:p w14:paraId="2B4AAE38">
            <w:pPr>
              <w:snapToGrid w:val="0"/>
              <w:spacing w:line="360" w:lineRule="auto"/>
              <w:jc w:val="center"/>
              <w:rPr>
                <w:rFonts w:ascii="宋体" w:hAnsi="宋体" w:cs="宋体"/>
                <w:b/>
                <w:sz w:val="24"/>
              </w:rPr>
            </w:pPr>
            <w:r>
              <w:rPr>
                <w:rFonts w:hint="eastAsia" w:ascii="宋体" w:hAnsi="宋体" w:cs="宋体"/>
                <w:b/>
                <w:sz w:val="24"/>
              </w:rPr>
              <w:t>中小企业信用融资</w:t>
            </w:r>
          </w:p>
        </w:tc>
        <w:tc>
          <w:tcPr>
            <w:tcW w:w="6095" w:type="dxa"/>
            <w:tcBorders>
              <w:top w:val="single" w:color="000000" w:sz="8" w:space="0"/>
              <w:left w:val="single" w:color="000000" w:sz="2" w:space="0"/>
              <w:bottom w:val="single" w:color="000000" w:sz="8" w:space="0"/>
              <w:right w:val="single" w:color="000000" w:sz="8" w:space="0"/>
            </w:tcBorders>
            <w:vAlign w:val="center"/>
          </w:tcPr>
          <w:p w14:paraId="62303ABE">
            <w:pPr>
              <w:spacing w:line="360" w:lineRule="auto"/>
              <w:ind w:firstLine="240" w:firstLineChars="100"/>
              <w:rPr>
                <w:rFonts w:hint="eastAsia" w:ascii="宋体" w:hAnsi="宋体" w:cs="宋体"/>
                <w:b/>
                <w:kern w:val="0"/>
                <w:sz w:val="24"/>
              </w:rPr>
            </w:pPr>
            <w:r>
              <w:rPr>
                <w:rFonts w:hint="eastAsia" w:ascii="宋体" w:hAnsi="宋体" w:eastAsia="宋体" w:cs="宋体"/>
                <w:color w:val="000000"/>
                <w:sz w:val="24"/>
                <w:highlight w:val="none"/>
                <w:lang w:val="en-US" w:eastAsia="zh-CN"/>
              </w:rPr>
              <w:t>根据《余杭区政府采购支持中小企业信用融资暂行办法》（余财采〔2015〕1号）的规定，凡已在浙江政府采购网上注册入库，并取得余杭区政府采购合同的区内中小企业供应商，均可申请政府采购信用融资。相关融资银行可咨询余杭区财政局政府采购监管科。</w:t>
            </w:r>
          </w:p>
        </w:tc>
      </w:tr>
      <w:tr w14:paraId="2281A0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18" w:hRule="atLeast"/>
          <w:tblHeader/>
        </w:trPr>
        <w:tc>
          <w:tcPr>
            <w:tcW w:w="629" w:type="dxa"/>
            <w:vMerge w:val="continue"/>
            <w:tcBorders>
              <w:left w:val="single" w:color="000000" w:sz="8" w:space="0"/>
              <w:right w:val="single" w:color="000000" w:sz="2" w:space="0"/>
            </w:tcBorders>
            <w:vAlign w:val="center"/>
          </w:tcPr>
          <w:p w14:paraId="1D51E8AE">
            <w:pPr>
              <w:snapToGrid w:val="0"/>
              <w:spacing w:line="360" w:lineRule="auto"/>
              <w:jc w:val="center"/>
              <w:rPr>
                <w:rFonts w:ascii="宋体" w:hAnsi="宋体" w:cs="宋体"/>
                <w:sz w:val="24"/>
              </w:rPr>
            </w:pPr>
          </w:p>
        </w:tc>
        <w:tc>
          <w:tcPr>
            <w:tcW w:w="1843" w:type="dxa"/>
            <w:vMerge w:val="continue"/>
            <w:tcBorders>
              <w:left w:val="single" w:color="000000" w:sz="2" w:space="0"/>
              <w:right w:val="single" w:color="000000" w:sz="8" w:space="0"/>
            </w:tcBorders>
            <w:vAlign w:val="center"/>
          </w:tcPr>
          <w:p w14:paraId="0F166EA8">
            <w:pPr>
              <w:snapToGrid w:val="0"/>
              <w:spacing w:line="360" w:lineRule="auto"/>
              <w:jc w:val="center"/>
              <w:rPr>
                <w:rFonts w:ascii="宋体" w:hAnsi="宋体" w:cs="宋体"/>
                <w:b/>
                <w:sz w:val="24"/>
              </w:rPr>
            </w:pPr>
          </w:p>
        </w:tc>
        <w:tc>
          <w:tcPr>
            <w:tcW w:w="6095" w:type="dxa"/>
            <w:tcBorders>
              <w:top w:val="single" w:color="000000" w:sz="8" w:space="0"/>
              <w:left w:val="single" w:color="000000" w:sz="2" w:space="0"/>
              <w:right w:val="single" w:color="000000" w:sz="8" w:space="0"/>
            </w:tcBorders>
            <w:vAlign w:val="center"/>
          </w:tcPr>
          <w:p w14:paraId="3F45FF07">
            <w:pPr>
              <w:spacing w:line="360" w:lineRule="auto"/>
              <w:ind w:firstLine="480" w:firstLineChars="200"/>
              <w:rPr>
                <w:rFonts w:ascii="宋体" w:hAnsi="宋体" w:cs="宋体"/>
                <w:sz w:val="24"/>
              </w:rPr>
            </w:pPr>
            <w:r>
              <w:rPr>
                <w:rFonts w:hint="eastAsia" w:ascii="宋体" w:hAnsi="宋体" w:cs="宋体"/>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496E8F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78"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0F255658">
            <w:pPr>
              <w:snapToGrid w:val="0"/>
              <w:spacing w:line="360" w:lineRule="auto"/>
              <w:jc w:val="center"/>
              <w:rPr>
                <w:rFonts w:ascii="宋体" w:hAnsi="宋体" w:cs="宋体"/>
                <w:sz w:val="24"/>
              </w:rPr>
            </w:pPr>
            <w:r>
              <w:rPr>
                <w:rFonts w:hint="eastAsia" w:ascii="宋体" w:hAnsi="宋体" w:cs="宋体"/>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50DACAB7">
            <w:pPr>
              <w:snapToGrid w:val="0"/>
              <w:spacing w:line="360" w:lineRule="auto"/>
              <w:jc w:val="center"/>
              <w:rPr>
                <w:rFonts w:ascii="宋体" w:hAnsi="宋体" w:cs="宋体"/>
                <w:b/>
                <w:sz w:val="24"/>
              </w:rPr>
            </w:pPr>
            <w:r>
              <w:rPr>
                <w:rFonts w:hint="eastAsia" w:ascii="宋体" w:hAnsi="宋体" w:cs="宋体"/>
                <w:b/>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0ACFBB4B">
            <w:pPr>
              <w:snapToGrid w:val="0"/>
              <w:spacing w:beforeLines="0" w:afterLines="0" w:line="360" w:lineRule="auto"/>
              <w:ind w:firstLine="480" w:firstLineChars="200"/>
              <w:rPr>
                <w:rFonts w:hAnsi="宋体" w:cs="宋体"/>
                <w:kern w:val="28"/>
                <w:sz w:val="24"/>
              </w:rPr>
            </w:pPr>
            <w:r>
              <w:rPr>
                <w:rFonts w:hint="eastAsia" w:ascii="宋体" w:hAnsi="宋体" w:eastAsia="宋体" w:cs="宋体"/>
                <w:snapToGrid w:val="0"/>
                <w:color w:val="auto"/>
                <w:kern w:val="28"/>
                <w:sz w:val="24"/>
                <w:highlight w:val="none"/>
              </w:rPr>
              <w:t>投标人应当</w:t>
            </w:r>
            <w:r>
              <w:rPr>
                <w:rFonts w:hint="eastAsia" w:ascii="宋体" w:hAnsi="宋体" w:eastAsia="宋体" w:cs="宋体"/>
                <w:b/>
                <w:bCs/>
                <w:snapToGrid w:val="0"/>
                <w:color w:val="auto"/>
                <w:kern w:val="28"/>
                <w:sz w:val="24"/>
                <w:highlight w:val="none"/>
              </w:rPr>
              <w:t>在投标截止时间前半小时内</w:t>
            </w:r>
            <w:r>
              <w:rPr>
                <w:rFonts w:hint="eastAsia" w:ascii="宋体" w:hAnsi="宋体" w:eastAsia="宋体" w:cs="宋体"/>
                <w:snapToGrid w:val="0"/>
                <w:color w:val="auto"/>
                <w:kern w:val="28"/>
                <w:sz w:val="24"/>
                <w:highlight w:val="none"/>
              </w:rPr>
              <w:t>将备份投标文件密封送交到</w:t>
            </w:r>
            <w:r>
              <w:rPr>
                <w:rFonts w:hint="eastAsia" w:ascii="宋体" w:hAnsi="宋体" w:eastAsia="宋体" w:cs="宋体"/>
                <w:b w:val="0"/>
                <w:bCs w:val="0"/>
                <w:snapToGrid w:val="0"/>
                <w:color w:val="auto"/>
                <w:kern w:val="28"/>
                <w:sz w:val="24"/>
                <w:highlight w:val="none"/>
                <w:u w:val="thick"/>
              </w:rPr>
              <w:t>杭州市公共资源交易中心余杭分中心</w:t>
            </w:r>
            <w:r>
              <w:rPr>
                <w:rFonts w:hint="eastAsia" w:ascii="宋体" w:hAnsi="宋体" w:eastAsia="宋体" w:cs="宋体"/>
                <w:b w:val="0"/>
                <w:snapToGrid w:val="0"/>
                <w:color w:val="auto"/>
                <w:kern w:val="28"/>
                <w:sz w:val="24"/>
                <w:highlight w:val="none"/>
                <w:u w:val="thick"/>
              </w:rPr>
              <w:t xml:space="preserve">     </w:t>
            </w:r>
            <w:r>
              <w:rPr>
                <w:rFonts w:hint="eastAsia" w:ascii="宋体" w:hAnsi="宋体" w:cs="宋体"/>
                <w:b w:val="0"/>
                <w:snapToGrid w:val="0"/>
                <w:color w:val="auto"/>
                <w:kern w:val="28"/>
                <w:sz w:val="24"/>
                <w:highlight w:val="none"/>
                <w:u w:val="thick"/>
                <w:lang w:val="en-US" w:eastAsia="zh-CN"/>
              </w:rPr>
              <w:t xml:space="preserve">     4</w:t>
            </w:r>
            <w:r>
              <w:rPr>
                <w:rFonts w:hint="eastAsia" w:ascii="宋体" w:hAnsi="宋体" w:eastAsia="宋体" w:cs="宋体"/>
                <w:b w:val="0"/>
                <w:snapToGrid w:val="0"/>
                <w:color w:val="auto"/>
                <w:kern w:val="28"/>
                <w:sz w:val="24"/>
                <w:highlight w:val="none"/>
                <w:u w:val="thick"/>
              </w:rPr>
              <w:t>号开标室</w:t>
            </w:r>
            <w:r>
              <w:rPr>
                <w:rFonts w:hint="eastAsia" w:ascii="宋体" w:hAnsi="宋体" w:cs="宋体"/>
                <w:b w:val="0"/>
                <w:snapToGrid w:val="0"/>
                <w:color w:val="auto"/>
                <w:kern w:val="28"/>
                <w:sz w:val="24"/>
                <w:highlight w:val="none"/>
                <w:u w:val="thick"/>
                <w:lang w:eastAsia="zh-CN"/>
              </w:rPr>
              <w:t>（</w:t>
            </w:r>
            <w:r>
              <w:rPr>
                <w:rFonts w:hint="eastAsia" w:ascii="宋体" w:hAnsi="宋体" w:cs="宋体"/>
                <w:snapToGrid w:val="0"/>
                <w:kern w:val="28"/>
                <w:sz w:val="24"/>
                <w:highlight w:val="none"/>
                <w:lang w:eastAsia="zh-CN"/>
              </w:rPr>
              <w:t>浙</w:t>
            </w:r>
            <w:r>
              <w:rPr>
                <w:rFonts w:hint="eastAsia" w:ascii="宋体" w:hAnsi="宋体" w:cs="宋体"/>
                <w:snapToGrid w:val="0"/>
                <w:kern w:val="28"/>
                <w:sz w:val="24"/>
                <w:lang w:eastAsia="zh-CN"/>
              </w:rPr>
              <w:t>江省</w:t>
            </w:r>
            <w:r>
              <w:rPr>
                <w:rFonts w:hint="eastAsia" w:ascii="宋体" w:hAnsi="宋体" w:eastAsia="宋体" w:cs="宋体"/>
                <w:snapToGrid w:val="0"/>
                <w:color w:val="auto"/>
                <w:kern w:val="28"/>
                <w:sz w:val="24"/>
              </w:rPr>
              <w:t>杭州市余杭区</w:t>
            </w:r>
            <w:r>
              <w:rPr>
                <w:rFonts w:hint="eastAsia" w:ascii="宋体" w:hAnsi="宋体" w:cs="宋体"/>
                <w:snapToGrid w:val="0"/>
                <w:color w:val="auto"/>
                <w:kern w:val="28"/>
                <w:sz w:val="24"/>
                <w:lang w:eastAsia="zh-CN"/>
              </w:rPr>
              <w:t>余杭街道凤新路</w:t>
            </w:r>
            <w:r>
              <w:rPr>
                <w:rFonts w:hint="eastAsia" w:ascii="宋体" w:hAnsi="宋体" w:cs="宋体"/>
                <w:snapToGrid w:val="0"/>
                <w:color w:val="auto"/>
                <w:kern w:val="28"/>
                <w:sz w:val="24"/>
                <w:lang w:val="en-US" w:eastAsia="zh-CN"/>
              </w:rPr>
              <w:t>366号瑞鸿大厦</w:t>
            </w:r>
            <w:r>
              <w:rPr>
                <w:rFonts w:hint="eastAsia" w:ascii="宋体" w:hAnsi="宋体" w:eastAsia="宋体" w:cs="宋体"/>
                <w:snapToGrid w:val="0"/>
                <w:color w:val="auto"/>
                <w:kern w:val="28"/>
                <w:sz w:val="24"/>
              </w:rPr>
              <w:t>六楼</w:t>
            </w:r>
            <w:r>
              <w:rPr>
                <w:rFonts w:hint="eastAsia" w:ascii="宋体" w:hAnsi="宋体" w:cs="宋体"/>
                <w:snapToGrid w:val="0"/>
                <w:color w:val="auto"/>
                <w:kern w:val="28"/>
                <w:sz w:val="24"/>
                <w:lang w:eastAsia="zh-CN"/>
              </w:rPr>
              <w:t>）</w:t>
            </w:r>
            <w:r>
              <w:rPr>
                <w:rFonts w:hint="eastAsia" w:ascii="宋体" w:hAnsi="宋体" w:eastAsia="宋体" w:cs="宋体"/>
                <w:snapToGrid w:val="0"/>
                <w:color w:val="auto"/>
                <w:kern w:val="28"/>
                <w:sz w:val="24"/>
                <w:highlight w:val="none"/>
              </w:rPr>
              <w:t>，逾期送达或未密封将被拒收。</w:t>
            </w:r>
            <w:r>
              <w:rPr>
                <w:rFonts w:hint="eastAsia" w:ascii="宋体" w:hAnsi="宋体" w:cs="宋体"/>
                <w:b w:val="0"/>
                <w:snapToGrid w:val="0"/>
                <w:kern w:val="28"/>
                <w:sz w:val="24"/>
                <w:szCs w:val="24"/>
              </w:rPr>
              <w:t>采购人、</w:t>
            </w:r>
            <w:r>
              <w:rPr>
                <w:rFonts w:hint="eastAsia" w:ascii="宋体" w:hAnsi="宋体" w:cs="宋体"/>
                <w:b w:val="0"/>
                <w:snapToGrid w:val="0"/>
                <w:kern w:val="28"/>
                <w:sz w:val="24"/>
                <w:szCs w:val="24"/>
                <w:lang w:eastAsia="zh-CN"/>
              </w:rPr>
              <w:t>采购代理机构</w:t>
            </w:r>
            <w:r>
              <w:rPr>
                <w:rFonts w:hint="eastAsia" w:ascii="宋体" w:hAnsi="宋体" w:cs="宋体"/>
                <w:b w:val="0"/>
                <w:snapToGrid w:val="0"/>
                <w:kern w:val="28"/>
                <w:sz w:val="24"/>
                <w:szCs w:val="24"/>
              </w:rPr>
              <w:t>不强制或变相强制投标人提交备份投标文件。</w:t>
            </w:r>
          </w:p>
        </w:tc>
      </w:tr>
      <w:tr w14:paraId="602EB9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14:paraId="6B9586F1">
            <w:pPr>
              <w:snapToGrid w:val="0"/>
              <w:spacing w:line="360" w:lineRule="auto"/>
              <w:jc w:val="center"/>
              <w:rPr>
                <w:rFonts w:ascii="宋体" w:hAnsi="宋体" w:cs="宋体"/>
                <w:sz w:val="24"/>
              </w:rPr>
            </w:pPr>
            <w:r>
              <w:rPr>
                <w:rFonts w:hint="eastAsia" w:ascii="宋体" w:hAnsi="宋体" w:cs="宋体"/>
                <w:sz w:val="24"/>
              </w:rPr>
              <w:t>13</w:t>
            </w:r>
          </w:p>
        </w:tc>
        <w:tc>
          <w:tcPr>
            <w:tcW w:w="1843" w:type="dxa"/>
            <w:vMerge w:val="restart"/>
            <w:tcBorders>
              <w:top w:val="single" w:color="000000" w:sz="8" w:space="0"/>
              <w:left w:val="single" w:color="000000" w:sz="2" w:space="0"/>
              <w:right w:val="single" w:color="000000" w:sz="8" w:space="0"/>
            </w:tcBorders>
            <w:vAlign w:val="center"/>
          </w:tcPr>
          <w:p w14:paraId="6500DAD1">
            <w:pPr>
              <w:snapToGrid w:val="0"/>
              <w:spacing w:line="360" w:lineRule="auto"/>
              <w:jc w:val="center"/>
              <w:rPr>
                <w:rFonts w:ascii="宋体" w:hAnsi="宋体" w:cs="宋体"/>
                <w:b/>
                <w:sz w:val="24"/>
              </w:rPr>
            </w:pPr>
            <w:r>
              <w:rPr>
                <w:rFonts w:hint="eastAsia" w:ascii="宋体" w:hAnsi="宋体" w:eastAsia="宋体" w:cs="仿宋_GB2312"/>
                <w:b/>
                <w:sz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61A54729">
            <w:pPr>
              <w:spacing w:line="360" w:lineRule="auto"/>
              <w:rPr>
                <w:rFonts w:ascii="宋体" w:hAnsi="宋体" w:cs="宋体"/>
                <w:snapToGrid w:val="0"/>
                <w:kern w:val="28"/>
                <w:sz w:val="24"/>
              </w:rPr>
            </w:pPr>
            <w:r>
              <w:rPr>
                <w:rFonts w:hint="eastAsia" w:ascii="宋体" w:hAnsi="宋体" w:cs="宋体"/>
                <w:snapToGrid w:val="0"/>
                <w:kern w:val="28"/>
                <w:sz w:val="24"/>
              </w:rPr>
              <w:t>联合体投标的，联合体各方分别提供与联合体协议中规定的分工内容相应的业绩证明材料，业绩数量以提供材料较少的一方为准。招标文件第四部分评</w:t>
            </w:r>
            <w:r>
              <w:rPr>
                <w:rFonts w:hint="eastAsia" w:ascii="宋体" w:hAnsi="宋体" w:cs="宋体"/>
                <w:snapToGrid w:val="0"/>
                <w:kern w:val="28"/>
                <w:sz w:val="24"/>
                <w:lang w:eastAsia="zh-CN"/>
              </w:rPr>
              <w:t>标</w:t>
            </w:r>
            <w:r>
              <w:rPr>
                <w:rFonts w:hint="eastAsia" w:ascii="宋体" w:hAnsi="宋体" w:cs="宋体"/>
                <w:snapToGrid w:val="0"/>
                <w:kern w:val="28"/>
                <w:sz w:val="24"/>
              </w:rPr>
              <w:t>标准有其他规定的，从其规定。</w:t>
            </w:r>
          </w:p>
        </w:tc>
      </w:tr>
      <w:tr w14:paraId="4A1544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vAlign w:val="center"/>
          </w:tcPr>
          <w:p w14:paraId="2301A8E1">
            <w:pPr>
              <w:snapToGrid w:val="0"/>
              <w:spacing w:line="360" w:lineRule="auto"/>
              <w:jc w:val="center"/>
              <w:rPr>
                <w:rFonts w:ascii="宋体" w:hAnsi="宋体" w:cs="宋体"/>
                <w:sz w:val="24"/>
              </w:rPr>
            </w:pPr>
          </w:p>
        </w:tc>
        <w:tc>
          <w:tcPr>
            <w:tcW w:w="1843" w:type="dxa"/>
            <w:vMerge w:val="continue"/>
            <w:tcBorders>
              <w:left w:val="single" w:color="000000" w:sz="2" w:space="0"/>
              <w:right w:val="single" w:color="000000" w:sz="8" w:space="0"/>
            </w:tcBorders>
            <w:vAlign w:val="center"/>
          </w:tcPr>
          <w:p w14:paraId="44920CA6">
            <w:pPr>
              <w:snapToGrid w:val="0"/>
              <w:spacing w:line="360" w:lineRule="auto"/>
              <w:jc w:val="center"/>
              <w:rPr>
                <w:rFonts w:ascii="宋体" w:hAnsi="宋体" w:cs="宋体"/>
                <w:b/>
                <w:sz w:val="24"/>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45926E47">
            <w:pPr>
              <w:spacing w:line="360" w:lineRule="auto"/>
              <w:rPr>
                <w:rFonts w:ascii="宋体" w:hAnsi="宋体" w:cs="宋体"/>
                <w:snapToGrid w:val="0"/>
                <w:kern w:val="28"/>
                <w:sz w:val="24"/>
              </w:rPr>
            </w:pPr>
            <w:r>
              <w:rPr>
                <w:rFonts w:hint="eastAsia" w:ascii="MS Mincho" w:hAnsi="MS Mincho" w:eastAsia="MS Mincho" w:cs="MS Mincho"/>
                <w:kern w:val="0"/>
                <w:sz w:val="24"/>
              </w:rPr>
              <w:t>☐</w:t>
            </w:r>
            <w:r>
              <w:rPr>
                <w:rFonts w:hint="eastAsia" w:ascii="宋体" w:hAnsi="宋体" w:cs="宋体"/>
                <w:snapToGrid w:val="0"/>
                <w:kern w:val="28"/>
                <w:sz w:val="24"/>
              </w:rPr>
              <w:t>联合体投标的，联合体各方均需按招标文件第四部分评标标准要求提供资信证明文件，否则视为不符合相关要求。招标文件第四部分评分标准有其他规定的，从其规定。</w:t>
            </w:r>
          </w:p>
          <w:p w14:paraId="706A2A89">
            <w:pPr>
              <w:spacing w:line="360" w:lineRule="auto"/>
              <w:rPr>
                <w:rFonts w:ascii="宋体" w:hAnsi="宋体" w:cs="宋体"/>
                <w:snapToGrid w:val="0"/>
                <w:kern w:val="28"/>
                <w:sz w:val="24"/>
              </w:rPr>
            </w:pPr>
            <w:r>
              <w:rPr>
                <w:rFonts w:hint="eastAsia" w:ascii="宋体" w:hAnsi="宋体" w:eastAsia="宋体" w:cs="Arial"/>
                <w:kern w:val="0"/>
                <w:sz w:val="24"/>
              </w:rPr>
              <w:sym w:font="Wingdings" w:char="F0FE"/>
            </w:r>
            <w:r>
              <w:rPr>
                <w:rFonts w:hint="eastAsia" w:ascii="宋体" w:hAnsi="宋体" w:cs="宋体"/>
                <w:snapToGrid w:val="0"/>
                <w:kern w:val="28"/>
                <w:sz w:val="24"/>
              </w:rPr>
              <w:t>联合体投标的，联合体中有一方或者联合体成员根据分工按招标文件第四部分评标标准要求提供资信证明文件的，视为符合了相关要求。招标文件第四部分评</w:t>
            </w:r>
            <w:r>
              <w:rPr>
                <w:rFonts w:hint="eastAsia" w:ascii="宋体" w:hAnsi="宋体" w:cs="宋体"/>
                <w:snapToGrid w:val="0"/>
                <w:kern w:val="28"/>
                <w:sz w:val="24"/>
                <w:lang w:eastAsia="zh-CN"/>
              </w:rPr>
              <w:t>标</w:t>
            </w:r>
            <w:r>
              <w:rPr>
                <w:rFonts w:hint="eastAsia" w:ascii="宋体" w:hAnsi="宋体" w:cs="宋体"/>
                <w:snapToGrid w:val="0"/>
                <w:kern w:val="28"/>
                <w:sz w:val="24"/>
              </w:rPr>
              <w:t>标准有其他规定的，从其规定。</w:t>
            </w:r>
          </w:p>
        </w:tc>
      </w:tr>
      <w:tr w14:paraId="5ED373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vAlign w:val="center"/>
          </w:tcPr>
          <w:p w14:paraId="1B8EA93E">
            <w:pPr>
              <w:snapToGrid w:val="0"/>
              <w:spacing w:line="360" w:lineRule="auto"/>
              <w:jc w:val="center"/>
              <w:rPr>
                <w:rFonts w:ascii="宋体" w:hAnsi="宋体" w:cs="宋体"/>
                <w:sz w:val="24"/>
              </w:rPr>
            </w:pPr>
          </w:p>
        </w:tc>
        <w:tc>
          <w:tcPr>
            <w:tcW w:w="1843" w:type="dxa"/>
            <w:vMerge w:val="continue"/>
            <w:tcBorders>
              <w:left w:val="single" w:color="000000" w:sz="2" w:space="0"/>
              <w:right w:val="single" w:color="000000" w:sz="8" w:space="0"/>
            </w:tcBorders>
            <w:vAlign w:val="center"/>
          </w:tcPr>
          <w:p w14:paraId="4A7DD0FD">
            <w:pPr>
              <w:snapToGrid w:val="0"/>
              <w:spacing w:line="360" w:lineRule="auto"/>
              <w:jc w:val="center"/>
              <w:rPr>
                <w:rFonts w:ascii="宋体" w:hAnsi="宋体" w:cs="宋体"/>
                <w:b/>
                <w:sz w:val="24"/>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6C8C5B69">
            <w:pPr>
              <w:spacing w:line="360" w:lineRule="auto"/>
              <w:rPr>
                <w:rFonts w:hint="eastAsia" w:ascii="宋体" w:hAnsi="宋体" w:eastAsia="宋体" w:cs="Arial"/>
                <w:kern w:val="0"/>
                <w:sz w:val="24"/>
                <w:highlight w:val="none"/>
              </w:rPr>
            </w:pPr>
            <w:r>
              <w:rPr>
                <w:rFonts w:hint="eastAsia" w:ascii="宋体" w:hAnsi="宋体" w:eastAsia="宋体" w:cs="Arial"/>
                <w:kern w:val="0"/>
                <w:sz w:val="24"/>
                <w:highlight w:val="none"/>
              </w:rPr>
              <w:t>评审因素对应的要求视为采购需求的一部分。</w:t>
            </w:r>
          </w:p>
        </w:tc>
      </w:tr>
      <w:tr w14:paraId="501BE8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left w:val="single" w:color="000000" w:sz="8" w:space="0"/>
              <w:bottom w:val="single" w:color="auto" w:sz="4" w:space="0"/>
              <w:right w:val="single" w:color="000000" w:sz="2" w:space="0"/>
            </w:tcBorders>
            <w:vAlign w:val="center"/>
          </w:tcPr>
          <w:p w14:paraId="35DFB2E6">
            <w:pPr>
              <w:snapToGrid w:val="0"/>
              <w:spacing w:line="360" w:lineRule="auto"/>
              <w:jc w:val="center"/>
              <w:rPr>
                <w:rFonts w:ascii="宋体" w:hAnsi="宋体" w:cs="宋体"/>
                <w:sz w:val="24"/>
              </w:rPr>
            </w:pPr>
          </w:p>
        </w:tc>
        <w:tc>
          <w:tcPr>
            <w:tcW w:w="1843" w:type="dxa"/>
            <w:tcBorders>
              <w:left w:val="single" w:color="000000" w:sz="2" w:space="0"/>
              <w:bottom w:val="single" w:color="000000" w:sz="8" w:space="0"/>
              <w:right w:val="single" w:color="000000" w:sz="8" w:space="0"/>
            </w:tcBorders>
            <w:vAlign w:val="center"/>
          </w:tcPr>
          <w:p w14:paraId="6AC9FB6D">
            <w:pPr>
              <w:snapToGrid w:val="0"/>
              <w:spacing w:line="360" w:lineRule="auto"/>
              <w:jc w:val="center"/>
              <w:rPr>
                <w:rFonts w:ascii="宋体" w:hAnsi="宋体" w:cs="宋体"/>
                <w:b/>
                <w:sz w:val="24"/>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5D560E61">
            <w:pPr>
              <w:spacing w:line="360" w:lineRule="auto"/>
              <w:rPr>
                <w:rFonts w:hint="eastAsia" w:ascii="宋体" w:hAnsi="宋体" w:eastAsia="宋体" w:cs="Arial"/>
                <w:kern w:val="0"/>
                <w:sz w:val="24"/>
                <w:highlight w:val="none"/>
              </w:rPr>
            </w:pPr>
            <w:r>
              <w:rPr>
                <w:rFonts w:hint="eastAsia" w:ascii="宋体" w:hAnsi="宋体" w:eastAsia="宋体" w:cs="Arial"/>
                <w:kern w:val="0"/>
                <w:sz w:val="24"/>
                <w:highlight w:val="none"/>
              </w:rPr>
              <w:t>本项目评审报告推荐的中标候选人数量：</w:t>
            </w:r>
            <w:r>
              <w:rPr>
                <w:rFonts w:hint="eastAsia" w:ascii="宋体" w:hAnsi="宋体" w:eastAsia="宋体" w:cs="Arial"/>
                <w:kern w:val="0"/>
                <w:sz w:val="24"/>
                <w:highlight w:val="none"/>
                <w:u w:val="single"/>
              </w:rPr>
              <w:t xml:space="preserve">  1 </w:t>
            </w:r>
            <w:r>
              <w:rPr>
                <w:rFonts w:hint="eastAsia" w:ascii="宋体" w:hAnsi="宋体" w:eastAsia="宋体" w:cs="Arial"/>
                <w:kern w:val="0"/>
                <w:sz w:val="24"/>
                <w:highlight w:val="none"/>
              </w:rPr>
              <w:t xml:space="preserve"> 。</w:t>
            </w:r>
          </w:p>
        </w:tc>
      </w:tr>
    </w:tbl>
    <w:p w14:paraId="736DA683">
      <w:pPr>
        <w:snapToGrid w:val="0"/>
        <w:spacing w:line="360" w:lineRule="auto"/>
        <w:jc w:val="center"/>
        <w:rPr>
          <w:rFonts w:ascii="宋体" w:hAnsi="宋体" w:cs="宋体"/>
          <w:b/>
          <w:sz w:val="32"/>
          <w:szCs w:val="20"/>
        </w:rPr>
      </w:pPr>
    </w:p>
    <w:bookmarkEnd w:id="10"/>
    <w:p w14:paraId="5A55296B">
      <w:pPr>
        <w:adjustRightInd/>
        <w:spacing w:line="360" w:lineRule="auto"/>
        <w:ind w:firstLine="3845" w:firstLineChars="1197"/>
        <w:outlineLvl w:val="0"/>
        <w:rPr>
          <w:rFonts w:ascii="宋体" w:hAnsi="宋体" w:cs="宋体"/>
          <w:b/>
          <w:sz w:val="32"/>
          <w:szCs w:val="20"/>
        </w:rPr>
      </w:pPr>
      <w:bookmarkStart w:id="12" w:name="第三部分"/>
      <w:bookmarkStart w:id="13" w:name="_Toc164416483"/>
      <w:r>
        <w:rPr>
          <w:rFonts w:hint="eastAsia" w:ascii="宋体" w:hAnsi="宋体" w:cs="宋体"/>
          <w:b/>
          <w:sz w:val="32"/>
          <w:szCs w:val="20"/>
        </w:rPr>
        <w:t>一、总则</w:t>
      </w:r>
    </w:p>
    <w:p w14:paraId="79B3CFD1">
      <w:pPr>
        <w:snapToGrid w:val="0"/>
        <w:spacing w:line="360" w:lineRule="auto"/>
        <w:ind w:firstLine="361" w:firstLineChars="150"/>
        <w:jc w:val="left"/>
        <w:outlineLvl w:val="1"/>
        <w:rPr>
          <w:rFonts w:ascii="宋体" w:hAnsi="宋体" w:cs="宋体"/>
          <w:b/>
          <w:sz w:val="24"/>
        </w:rPr>
      </w:pPr>
      <w:r>
        <w:rPr>
          <w:rFonts w:hint="eastAsia" w:ascii="宋体" w:hAnsi="宋体" w:cs="宋体"/>
          <w:b/>
          <w:sz w:val="24"/>
        </w:rPr>
        <w:t>1. 适用范围</w:t>
      </w:r>
    </w:p>
    <w:p w14:paraId="4AA3BB60">
      <w:pPr>
        <w:snapToGrid w:val="0"/>
        <w:spacing w:line="360" w:lineRule="auto"/>
        <w:ind w:firstLine="480" w:firstLineChars="200"/>
        <w:jc w:val="left"/>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14:paraId="7D41F704">
      <w:pPr>
        <w:adjustRightInd/>
        <w:spacing w:line="360" w:lineRule="auto"/>
        <w:outlineLvl w:val="0"/>
        <w:rPr>
          <w:rFonts w:ascii="宋体" w:hAnsi="宋体" w:cs="宋体"/>
          <w:b/>
          <w:sz w:val="24"/>
        </w:rPr>
      </w:pPr>
      <w:r>
        <w:rPr>
          <w:rFonts w:hint="eastAsia" w:ascii="宋体" w:hAnsi="宋体" w:cs="宋体"/>
          <w:b/>
          <w:sz w:val="24"/>
        </w:rPr>
        <w:t xml:space="preserve">   2.定义</w:t>
      </w:r>
    </w:p>
    <w:p w14:paraId="3044DD49">
      <w:pPr>
        <w:spacing w:line="360" w:lineRule="auto"/>
        <w:ind w:firstLine="480" w:firstLineChars="200"/>
        <w:rPr>
          <w:rFonts w:ascii="宋体" w:hAnsi="宋体" w:cs="宋体"/>
          <w:sz w:val="24"/>
        </w:rPr>
      </w:pPr>
      <w:r>
        <w:rPr>
          <w:rFonts w:hint="eastAsia" w:ascii="宋体" w:hAnsi="宋体" w:cs="宋体"/>
          <w:sz w:val="24"/>
        </w:rPr>
        <w:t>2.1 “采购人”系指招标公告中载明的本项目的采购人。</w:t>
      </w:r>
    </w:p>
    <w:p w14:paraId="31CDAAAD">
      <w:pPr>
        <w:spacing w:line="360" w:lineRule="auto"/>
        <w:ind w:firstLine="480" w:firstLineChars="200"/>
        <w:rPr>
          <w:rFonts w:ascii="宋体" w:hAnsi="宋体" w:cs="宋体"/>
          <w:sz w:val="24"/>
        </w:rPr>
      </w:pPr>
      <w:r>
        <w:rPr>
          <w:rFonts w:hint="eastAsia" w:ascii="宋体" w:hAnsi="宋体" w:cs="宋体"/>
          <w:sz w:val="24"/>
        </w:rPr>
        <w:t>2.2 “</w:t>
      </w:r>
      <w:r>
        <w:rPr>
          <w:rFonts w:hint="eastAsia" w:ascii="宋体" w:hAnsi="宋体" w:cs="宋体"/>
          <w:sz w:val="24"/>
          <w:lang w:eastAsia="zh-CN"/>
        </w:rPr>
        <w:t>采购代理机构</w:t>
      </w:r>
      <w:r>
        <w:rPr>
          <w:rFonts w:hint="eastAsia" w:ascii="宋体" w:hAnsi="宋体" w:cs="宋体"/>
          <w:sz w:val="24"/>
        </w:rPr>
        <w:t>”系指招标公告中载明的本项目的</w:t>
      </w:r>
      <w:r>
        <w:rPr>
          <w:rFonts w:hint="eastAsia" w:ascii="宋体" w:hAnsi="宋体" w:cs="宋体"/>
          <w:sz w:val="24"/>
          <w:lang w:eastAsia="zh-CN"/>
        </w:rPr>
        <w:t>采购代理机构</w:t>
      </w:r>
      <w:r>
        <w:rPr>
          <w:rFonts w:hint="eastAsia" w:ascii="宋体" w:hAnsi="宋体" w:cs="宋体"/>
          <w:sz w:val="24"/>
        </w:rPr>
        <w:t>。</w:t>
      </w:r>
    </w:p>
    <w:p w14:paraId="419E6C87">
      <w:pPr>
        <w:spacing w:line="360" w:lineRule="auto"/>
        <w:ind w:firstLine="480" w:firstLineChars="200"/>
        <w:rPr>
          <w:rFonts w:ascii="宋体" w:hAnsi="宋体" w:cs="宋体"/>
          <w:sz w:val="24"/>
        </w:rPr>
      </w:pPr>
      <w:r>
        <w:rPr>
          <w:rFonts w:hint="eastAsia" w:ascii="宋体" w:hAnsi="宋体" w:cs="宋体"/>
          <w:sz w:val="24"/>
        </w:rPr>
        <w:t>2.3 “投标人”系指是指响应招标、参加投标竞争的法人、其他组织或者自然人。</w:t>
      </w:r>
    </w:p>
    <w:p w14:paraId="1F8E3CA6">
      <w:pPr>
        <w:spacing w:line="360" w:lineRule="auto"/>
        <w:ind w:firstLine="480" w:firstLineChars="200"/>
        <w:rPr>
          <w:rFonts w:ascii="宋体" w:hAnsi="宋体" w:cs="宋体"/>
          <w:sz w:val="24"/>
        </w:rPr>
      </w:pPr>
      <w:r>
        <w:rPr>
          <w:rFonts w:hint="eastAsia" w:ascii="宋体" w:hAnsi="宋体" w:cs="宋体"/>
          <w:sz w:val="24"/>
        </w:rPr>
        <w:t>2.4 “负责人”系指法人企业的法定负责人，或其他组织为法律、行政法规规定代表单位行使职权的主要负责人，或自然人本人。</w:t>
      </w:r>
    </w:p>
    <w:p w14:paraId="4686C8B8">
      <w:pPr>
        <w:spacing w:line="360" w:lineRule="auto"/>
        <w:ind w:firstLine="480" w:firstLineChars="200"/>
        <w:rPr>
          <w:rFonts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8D94468">
      <w:pPr>
        <w:spacing w:line="360" w:lineRule="auto"/>
        <w:ind w:firstLine="480" w:firstLineChars="200"/>
        <w:rPr>
          <w:rFonts w:ascii="宋体" w:hAnsi="宋体" w:cs="宋体"/>
          <w:sz w:val="24"/>
        </w:rPr>
      </w:pPr>
      <w:r>
        <w:rPr>
          <w:rFonts w:hint="eastAsia" w:ascii="宋体" w:hAnsi="宋体" w:cs="宋体"/>
          <w:sz w:val="24"/>
        </w:rPr>
        <w:t>2.6“电子交易平台”</w:t>
      </w:r>
      <w:r>
        <w:rPr>
          <w:rFonts w:hint="eastAsia" w:ascii="宋体" w:hAnsi="宋体" w:cs="宋体"/>
          <w:sz w:val="24"/>
          <w:lang w:val="en-US" w:eastAsia="zh-CN"/>
        </w:rPr>
        <w:t>是</w:t>
      </w:r>
      <w:r>
        <w:rPr>
          <w:rFonts w:hint="eastAsia" w:ascii="宋体" w:hAnsi="宋体" w:cs="宋体"/>
          <w:sz w:val="24"/>
        </w:rPr>
        <w:t>指本项目政府采购活动所依托的政府采购云平台（https://www.zcygov.cn/）。</w:t>
      </w:r>
    </w:p>
    <w:p w14:paraId="6484B3C7">
      <w:pPr>
        <w:spacing w:line="360" w:lineRule="auto"/>
        <w:ind w:firstLine="480" w:firstLineChars="200"/>
        <w:rPr>
          <w:rFonts w:ascii="宋体" w:hAnsi="宋体" w:cs="宋体"/>
          <w:sz w:val="24"/>
        </w:rPr>
      </w:pPr>
      <w:r>
        <w:rPr>
          <w:rFonts w:hint="eastAsia" w:ascii="宋体" w:hAnsi="宋体" w:cs="宋体"/>
          <w:sz w:val="24"/>
        </w:rPr>
        <w:t>2.7 “▲” 系指实质性要求条款，“</w:t>
      </w:r>
      <w:r>
        <w:rPr>
          <w:rFonts w:ascii="Wingdings" w:hAnsi="Wingdings" w:cs="宋体"/>
          <w:kern w:val="0"/>
          <w:sz w:val="24"/>
        </w:rPr>
        <w:t></w:t>
      </w:r>
      <w:r>
        <w:rPr>
          <w:rFonts w:hint="eastAsia" w:ascii="宋体" w:hAnsi="宋体" w:cs="宋体"/>
          <w:sz w:val="24"/>
        </w:rPr>
        <w:t>” 系指适用本项目的要求，“</w:t>
      </w:r>
      <w:r>
        <w:rPr>
          <w:rFonts w:hint="eastAsia" w:ascii="宋体" w:hAnsi="宋体" w:cs="宋体"/>
          <w:kern w:val="0"/>
          <w:sz w:val="24"/>
        </w:rPr>
        <w:t>☐</w:t>
      </w:r>
      <w:r>
        <w:rPr>
          <w:rFonts w:hint="eastAsia" w:ascii="宋体" w:hAnsi="宋体" w:cs="宋体"/>
          <w:sz w:val="24"/>
        </w:rPr>
        <w:t>” 系指不适用本项目的要求。</w:t>
      </w:r>
    </w:p>
    <w:p w14:paraId="129AFC7C">
      <w:pPr>
        <w:spacing w:line="360" w:lineRule="auto"/>
        <w:ind w:firstLine="241" w:firstLineChars="100"/>
        <w:rPr>
          <w:rFonts w:ascii="宋体" w:hAnsi="宋体" w:cs="宋体"/>
          <w:b/>
          <w:sz w:val="24"/>
        </w:rPr>
      </w:pPr>
      <w:r>
        <w:rPr>
          <w:rFonts w:hint="eastAsia" w:ascii="宋体" w:hAnsi="宋体" w:cs="宋体"/>
          <w:b/>
          <w:sz w:val="24"/>
        </w:rPr>
        <w:t>3.</w:t>
      </w:r>
      <w:r>
        <w:rPr>
          <w:rFonts w:hint="eastAsia" w:ascii="宋体" w:hAnsi="宋体" w:cs="宋体"/>
        </w:rPr>
        <w:t xml:space="preserve"> </w:t>
      </w:r>
      <w:r>
        <w:rPr>
          <w:rFonts w:hint="eastAsia" w:ascii="宋体" w:hAnsi="宋体" w:cs="宋体"/>
          <w:b/>
          <w:sz w:val="24"/>
        </w:rPr>
        <w:t>采购项目需要落实的政府采购政策</w:t>
      </w:r>
    </w:p>
    <w:p w14:paraId="74B9BC7B">
      <w:pPr>
        <w:spacing w:line="360" w:lineRule="auto"/>
        <w:ind w:firstLine="240" w:firstLineChars="100"/>
        <w:rPr>
          <w:rFonts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sz w:val="24"/>
          <w:lang w:eastAsia="zh-CN"/>
        </w:rPr>
        <w:t>采购代理机构</w:t>
      </w:r>
      <w:r>
        <w:rPr>
          <w:rFonts w:hint="eastAsia" w:ascii="宋体" w:hAnsi="宋体" w:cs="宋体"/>
          <w:sz w:val="24"/>
        </w:rPr>
        <w:t>不会对其加以限制，仍将按照公平竞争原则实施采购）；</w:t>
      </w:r>
      <w:r>
        <w:rPr>
          <w:rFonts w:hint="eastAsia" w:ascii="宋体" w:hAnsi="宋体" w:cs="宋体"/>
          <w:kern w:val="0"/>
          <w:sz w:val="24"/>
        </w:rPr>
        <w:t>优先采购向我国企业转让技术、与我国企业签订消化吸收再创新方案的供应商的进口产品</w:t>
      </w:r>
      <w:r>
        <w:rPr>
          <w:rFonts w:hint="eastAsia" w:ascii="宋体" w:hAnsi="宋体" w:cs="宋体"/>
          <w:sz w:val="24"/>
        </w:rPr>
        <w:t>。</w:t>
      </w:r>
    </w:p>
    <w:p w14:paraId="1CE8AD0A">
      <w:pPr>
        <w:spacing w:line="360" w:lineRule="auto"/>
        <w:ind w:firstLine="240" w:firstLineChars="100"/>
        <w:rPr>
          <w:rFonts w:ascii="宋体" w:hAnsi="宋体" w:cs="宋体"/>
          <w:sz w:val="24"/>
        </w:rPr>
      </w:pPr>
      <w:r>
        <w:rPr>
          <w:rFonts w:hint="eastAsia" w:ascii="宋体" w:hAnsi="宋体" w:cs="宋体"/>
          <w:sz w:val="24"/>
        </w:rPr>
        <w:t>3.2 支持绿色发展</w:t>
      </w:r>
    </w:p>
    <w:p w14:paraId="230E6129">
      <w:pPr>
        <w:spacing w:line="360" w:lineRule="auto"/>
        <w:ind w:firstLine="480" w:firstLineChars="200"/>
        <w:rPr>
          <w:rFonts w:ascii="宋体" w:hAnsi="宋体" w:cs="宋体"/>
          <w:b/>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rPr>
        <w:t>▲采购人拟采购的产品属于政府强制采购的节能产品品目清单范围的，投标人相应的投标产品未获得国家确定的认证机构出具的、处于有效期之内的节能产品认证证书的，投标无效。</w:t>
      </w:r>
    </w:p>
    <w:p w14:paraId="315F03EC">
      <w:pPr>
        <w:spacing w:line="360" w:lineRule="auto"/>
        <w:ind w:firstLine="480" w:firstLineChars="200"/>
        <w:rPr>
          <w:rFonts w:ascii="宋体" w:hAnsi="宋体" w:cs="宋体"/>
          <w:sz w:val="24"/>
        </w:rPr>
      </w:pPr>
      <w:r>
        <w:rPr>
          <w:rFonts w:hint="eastAsia" w:ascii="宋体" w:hAnsi="宋体" w:cs="宋体"/>
          <w:sz w:val="24"/>
        </w:rPr>
        <w:t>3.2.2 纳入政府采购管理的修缮、装修类项目采购建材的，鼓励采购单位将绿色建材性能、指标等作为实质性条件纳入采购文件和合同，具体性能指标要求参考相关绿色建材政府采购需求标准。</w:t>
      </w:r>
    </w:p>
    <w:p w14:paraId="1A880C2F">
      <w:pPr>
        <w:spacing w:line="360" w:lineRule="auto"/>
        <w:ind w:firstLine="480" w:firstLineChars="200"/>
        <w:rPr>
          <w:rFonts w:ascii="宋体" w:hAnsi="宋体" w:cs="宋体"/>
          <w:color w:val="auto"/>
          <w:sz w:val="24"/>
        </w:rPr>
      </w:pPr>
      <w:r>
        <w:rPr>
          <w:rFonts w:hint="eastAsia" w:ascii="宋体" w:hAnsi="宋体"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w:t>
      </w:r>
      <w:r>
        <w:rPr>
          <w:rFonts w:hint="eastAsia" w:ascii="宋体" w:hAnsi="宋体" w:cs="宋体"/>
          <w:sz w:val="24"/>
          <w:lang w:eastAsia="zh-CN"/>
        </w:rPr>
        <w:t>》《</w:t>
      </w:r>
      <w:r>
        <w:rPr>
          <w:rFonts w:hint="eastAsia" w:ascii="宋体" w:hAnsi="宋体" w:cs="宋体"/>
          <w:sz w:val="24"/>
        </w:rPr>
        <w:t>快递包装政府采购需求标准（试行）》。</w:t>
      </w:r>
      <w:bookmarkStart w:id="14" w:name="_Hlk107568539"/>
      <w:r>
        <w:rPr>
          <w:rFonts w:hint="eastAsia" w:ascii="宋体" w:hAnsi="宋体" w:cs="宋体"/>
          <w:color w:val="auto"/>
          <w:sz w:val="24"/>
        </w:rPr>
        <w:t>优先采购绿色包装产品、绿色物流配送服务以及循环利用产品。</w:t>
      </w:r>
    </w:p>
    <w:bookmarkEnd w:id="14"/>
    <w:p w14:paraId="5B9B0412">
      <w:pPr>
        <w:spacing w:line="360" w:lineRule="auto"/>
        <w:ind w:firstLine="240" w:firstLineChars="100"/>
        <w:rPr>
          <w:rFonts w:ascii="宋体" w:hAnsi="宋体" w:cs="宋体"/>
          <w:sz w:val="24"/>
        </w:rPr>
      </w:pPr>
      <w:r>
        <w:rPr>
          <w:rFonts w:hint="eastAsia" w:ascii="宋体" w:hAnsi="宋体" w:cs="宋体"/>
          <w:sz w:val="24"/>
        </w:rPr>
        <w:t>3.3支持中小企业发展</w:t>
      </w:r>
    </w:p>
    <w:p w14:paraId="35ACB555">
      <w:pPr>
        <w:spacing w:line="360" w:lineRule="auto"/>
        <w:ind w:firstLine="480" w:firstLineChars="200"/>
        <w:rPr>
          <w:rFonts w:ascii="宋体" w:hAnsi="宋体" w:cs="宋体"/>
          <w:sz w:val="24"/>
        </w:rPr>
      </w:pPr>
      <w:r>
        <w:rPr>
          <w:rFonts w:hint="eastAsia" w:ascii="宋体" w:hAnsi="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5C0F6EBB">
      <w:pPr>
        <w:spacing w:line="360" w:lineRule="auto"/>
        <w:ind w:firstLine="480" w:firstLineChars="200"/>
        <w:rPr>
          <w:rFonts w:ascii="宋体" w:hAnsi="宋体" w:cs="宋体"/>
          <w:sz w:val="24"/>
        </w:rPr>
      </w:pPr>
      <w:r>
        <w:rPr>
          <w:rFonts w:hint="eastAsia" w:ascii="宋体" w:hAnsi="宋体" w:cs="宋体"/>
          <w:sz w:val="24"/>
        </w:rPr>
        <w:t>符合中小企业划分标准的个体工商户，在政府采购活动中视同中小企业。</w:t>
      </w:r>
    </w:p>
    <w:p w14:paraId="237EFD18">
      <w:pPr>
        <w:widowControl/>
        <w:spacing w:line="360" w:lineRule="auto"/>
        <w:ind w:firstLine="480" w:firstLineChars="200"/>
        <w:jc w:val="left"/>
        <w:rPr>
          <w:rFonts w:ascii="宋体" w:hAnsi="宋体" w:cs="宋体"/>
          <w:kern w:val="0"/>
          <w:sz w:val="24"/>
        </w:rPr>
      </w:pPr>
      <w:r>
        <w:rPr>
          <w:rFonts w:ascii="宋体" w:hAnsi="宋体" w:cs="宋体"/>
          <w:bCs/>
          <w:sz w:val="24"/>
        </w:rPr>
        <w:t>3.3.2</w:t>
      </w:r>
      <w:r>
        <w:rPr>
          <w:rFonts w:hint="eastAsia" w:ascii="宋体" w:hAnsi="宋体" w:cs="宋体"/>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44A95816">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以联合体形式参加政府采购活动，联合体各方均为中小企业的，联合体视同中小企业。其中，联合体各方均为小微企业的，联合体视同小微企业。</w:t>
      </w:r>
    </w:p>
    <w:p w14:paraId="35443D5A">
      <w:pPr>
        <w:spacing w:line="360" w:lineRule="auto"/>
        <w:ind w:firstLine="480" w:firstLineChars="200"/>
        <w:rPr>
          <w:rFonts w:ascii="宋体" w:hAnsi="宋体" w:cs="宋体"/>
          <w:sz w:val="24"/>
        </w:rPr>
      </w:pPr>
      <w:r>
        <w:rPr>
          <w:rFonts w:hint="eastAsia" w:ascii="宋体" w:hAnsi="宋体" w:cs="宋体"/>
          <w:sz w:val="24"/>
        </w:rPr>
        <w:t>3.3.3对于未预留份额专门面向中小企业的政府采购货物项目，以及预留份额政府</w:t>
      </w:r>
      <w:r>
        <w:rPr>
          <w:rFonts w:hint="eastAsia" w:ascii="宋体" w:hAnsi="宋体" w:cs="宋体"/>
          <w:sz w:val="24"/>
          <w:highlight w:val="none"/>
        </w:rPr>
        <w:t>采购货物项目中的非预留部分标项，对小型和微型企业的投标报价给予10%</w:t>
      </w:r>
      <w:r>
        <w:rPr>
          <w:rFonts w:hint="eastAsia" w:ascii="宋体" w:hAnsi="宋体" w:cs="宋体"/>
          <w:sz w:val="24"/>
          <w:highlight w:val="none"/>
          <w:lang w:eastAsia="zh-CN"/>
        </w:rPr>
        <w:t>—</w:t>
      </w:r>
      <w:r>
        <w:rPr>
          <w:rFonts w:ascii="宋体" w:hAnsi="宋体" w:cs="宋体"/>
          <w:sz w:val="24"/>
          <w:highlight w:val="none"/>
        </w:rPr>
        <w:t>20</w:t>
      </w:r>
      <w:r>
        <w:rPr>
          <w:rFonts w:hint="eastAsia" w:ascii="宋体" w:hAnsi="宋体" w:cs="宋体"/>
          <w:sz w:val="24"/>
          <w:highlight w:val="none"/>
        </w:rPr>
        <w:t>%的扣除（</w:t>
      </w:r>
      <w:r>
        <w:rPr>
          <w:rFonts w:hint="eastAsia" w:ascii="宋体" w:hAnsi="宋体" w:cs="宋体"/>
          <w:snapToGrid w:val="0"/>
          <w:kern w:val="28"/>
          <w:sz w:val="24"/>
          <w:highlight w:val="none"/>
        </w:rPr>
        <w:t>招标文件第四部分</w:t>
      </w:r>
      <w:r>
        <w:rPr>
          <w:rFonts w:hint="eastAsia" w:ascii="宋体" w:hAnsi="宋体" w:cs="宋体"/>
          <w:sz w:val="24"/>
          <w:highlight w:val="none"/>
          <w:u w:val="single"/>
        </w:rPr>
        <w:t>评标办法明确具体的扣除比例，未明确的，</w:t>
      </w:r>
      <w:r>
        <w:rPr>
          <w:rFonts w:hint="eastAsia" w:ascii="宋体" w:hAnsi="宋体" w:cs="宋体"/>
          <w:sz w:val="24"/>
          <w:highlight w:val="none"/>
        </w:rPr>
        <w:t>给予</w:t>
      </w:r>
      <w:r>
        <w:rPr>
          <w:rFonts w:ascii="宋体" w:hAnsi="宋体" w:cs="宋体"/>
          <w:sz w:val="24"/>
          <w:highlight w:val="none"/>
        </w:rPr>
        <w:t>20</w:t>
      </w:r>
      <w:r>
        <w:rPr>
          <w:rFonts w:hint="eastAsia" w:ascii="宋体" w:hAnsi="宋体" w:cs="宋体"/>
          <w:sz w:val="24"/>
          <w:highlight w:val="none"/>
        </w:rPr>
        <w:t>%的扣除），用扣除后的价格参与评审。接受大中型企业与小微企业组成联合体或者允许大中型企业向一家或者多家小微企业分包的政府采购货物项目，对于</w:t>
      </w:r>
      <w:bookmarkStart w:id="15" w:name="_Hlk101132181"/>
      <w:r>
        <w:rPr>
          <w:rFonts w:hint="eastAsia" w:ascii="宋体" w:hAnsi="宋体" w:cs="宋体"/>
          <w:sz w:val="24"/>
          <w:highlight w:val="none"/>
        </w:rPr>
        <w:t>联合协议或者分包意向协议约定小微企业的合同份额占到合同总金额30%以上的</w:t>
      </w:r>
      <w:bookmarkEnd w:id="15"/>
      <w:r>
        <w:rPr>
          <w:rFonts w:hint="eastAsia" w:ascii="宋体" w:hAnsi="宋体" w:cs="宋体"/>
          <w:sz w:val="24"/>
          <w:highlight w:val="none"/>
        </w:rPr>
        <w:t>，对联合体或者大中型企业的报价给予4%</w:t>
      </w:r>
      <w:r>
        <w:rPr>
          <w:rFonts w:hint="eastAsia" w:ascii="宋体" w:hAnsi="宋体" w:cs="宋体"/>
          <w:sz w:val="24"/>
          <w:highlight w:val="none"/>
          <w:lang w:eastAsia="zh-CN"/>
        </w:rPr>
        <w:t>—</w:t>
      </w:r>
      <w:r>
        <w:rPr>
          <w:rFonts w:ascii="宋体" w:hAnsi="宋体" w:cs="宋体"/>
          <w:sz w:val="24"/>
          <w:highlight w:val="none"/>
        </w:rPr>
        <w:t>6</w:t>
      </w:r>
      <w:r>
        <w:rPr>
          <w:rFonts w:hint="eastAsia" w:ascii="宋体" w:hAnsi="宋体" w:cs="宋体"/>
          <w:sz w:val="24"/>
          <w:highlight w:val="none"/>
        </w:rPr>
        <w:t>%（</w:t>
      </w:r>
      <w:r>
        <w:rPr>
          <w:rFonts w:hint="eastAsia" w:ascii="宋体" w:hAnsi="宋体" w:cs="宋体"/>
          <w:snapToGrid w:val="0"/>
          <w:kern w:val="28"/>
          <w:sz w:val="24"/>
          <w:highlight w:val="none"/>
        </w:rPr>
        <w:t>招标文件第四部分</w:t>
      </w:r>
      <w:r>
        <w:rPr>
          <w:rFonts w:hint="eastAsia" w:ascii="宋体" w:hAnsi="宋体" w:cs="宋体"/>
          <w:sz w:val="24"/>
          <w:highlight w:val="none"/>
          <w:u w:val="single"/>
        </w:rPr>
        <w:t>评标办法明确具体的扣除比例，未明确的，</w:t>
      </w:r>
      <w:r>
        <w:rPr>
          <w:rFonts w:hint="eastAsia" w:ascii="宋体" w:hAnsi="宋体" w:cs="宋体"/>
          <w:sz w:val="24"/>
          <w:highlight w:val="none"/>
        </w:rPr>
        <w:t>给予6%的扣除）</w:t>
      </w:r>
      <w:r>
        <w:rPr>
          <w:rFonts w:hint="eastAsia" w:ascii="宋体" w:hAnsi="宋体" w:cs="宋体"/>
          <w:sz w:val="24"/>
        </w:rPr>
        <w:t>的扣除，用扣除后的价格参加评审。组成联合体或者接受分包的小微企业与联合体内其他企业、分包企业之间存在直接控股、管理关系的，不享受价格扣除优惠政策。</w:t>
      </w:r>
    </w:p>
    <w:p w14:paraId="49FA6A6E">
      <w:pPr>
        <w:spacing w:line="360" w:lineRule="auto"/>
        <w:ind w:firstLine="480" w:firstLineChars="200"/>
        <w:rPr>
          <w:rFonts w:ascii="宋体" w:hAnsi="宋体" w:cs="宋体"/>
          <w:sz w:val="24"/>
        </w:rPr>
      </w:pPr>
      <w:r>
        <w:rPr>
          <w:rFonts w:hint="eastAsia" w:ascii="宋体" w:hAnsi="宋体" w:cs="宋体"/>
          <w:sz w:val="24"/>
        </w:rPr>
        <w:t>3.3.4符合《关于促进残疾人就业政府采购政策的通知》（财库〔2017〕141号）规定的条件并提供《残疾人福利性单位声明函》（附件1）的残疾人福利性单位视同小型、微型企业；</w:t>
      </w:r>
    </w:p>
    <w:p w14:paraId="3A6ADDB0">
      <w:pPr>
        <w:spacing w:line="360" w:lineRule="auto"/>
        <w:ind w:firstLine="480" w:firstLineChars="200"/>
        <w:rPr>
          <w:rFonts w:ascii="宋体" w:hAnsi="宋体" w:cs="宋体"/>
          <w:sz w:val="24"/>
        </w:rPr>
      </w:pPr>
      <w:r>
        <w:rPr>
          <w:rFonts w:hint="eastAsia" w:ascii="宋体" w:hAnsi="宋体"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14A2C80D">
      <w:pPr>
        <w:spacing w:line="360" w:lineRule="auto"/>
        <w:ind w:firstLine="480" w:firstLineChars="200"/>
        <w:rPr>
          <w:rFonts w:ascii="宋体" w:hAnsi="宋体" w:cs="宋体"/>
          <w:sz w:val="24"/>
        </w:rPr>
      </w:pPr>
      <w:r>
        <w:rPr>
          <w:rFonts w:hint="eastAsia" w:ascii="宋体" w:hAnsi="宋体" w:cs="宋体"/>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2E9753E7">
      <w:pPr>
        <w:spacing w:line="360" w:lineRule="auto"/>
        <w:ind w:firstLine="480" w:firstLineChars="200"/>
        <w:rPr>
          <w:rFonts w:ascii="宋体" w:hAnsi="宋体" w:cs="宋体"/>
          <w:sz w:val="24"/>
        </w:rPr>
      </w:pPr>
      <w:r>
        <w:rPr>
          <w:rFonts w:hint="eastAsia" w:ascii="宋体" w:hAnsi="宋体" w:cs="宋体"/>
          <w:sz w:val="24"/>
        </w:rPr>
        <w:t>3.3.7中小企业享受扶持政策获得政府采购合同的，小微企业不得将合同分包给大中型企业，中型企业不得将合同分包给大型企业。</w:t>
      </w:r>
    </w:p>
    <w:p w14:paraId="73BA4786">
      <w:pPr>
        <w:spacing w:line="360" w:lineRule="auto"/>
        <w:ind w:firstLine="240" w:firstLineChars="100"/>
        <w:rPr>
          <w:rFonts w:ascii="宋体" w:hAnsi="宋体" w:cs="宋体"/>
          <w:sz w:val="24"/>
        </w:rPr>
      </w:pPr>
      <w:r>
        <w:rPr>
          <w:rFonts w:hint="eastAsia" w:ascii="宋体" w:hAnsi="宋体" w:cs="宋体"/>
          <w:sz w:val="24"/>
        </w:rPr>
        <w:t>3.4</w:t>
      </w:r>
      <w:r>
        <w:rPr>
          <w:rFonts w:hint="eastAsia" w:ascii="宋体" w:hAnsi="宋体" w:cs="宋体"/>
          <w:bCs/>
          <w:sz w:val="24"/>
        </w:rPr>
        <w:t>支持创新发展</w:t>
      </w:r>
    </w:p>
    <w:p w14:paraId="019B1709">
      <w:pPr>
        <w:spacing w:line="360" w:lineRule="auto"/>
        <w:ind w:firstLine="480" w:firstLineChars="200"/>
        <w:rPr>
          <w:rFonts w:ascii="宋体" w:hAnsi="宋体" w:cs="宋体"/>
          <w:sz w:val="24"/>
        </w:rPr>
      </w:pPr>
      <w:r>
        <w:rPr>
          <w:rFonts w:hint="eastAsia" w:ascii="宋体" w:hAnsi="宋体" w:cs="宋体"/>
          <w:sz w:val="24"/>
        </w:rPr>
        <w:t>3.4.1 采购人优先采购被认定为首台套产品和“制造精品”的自主创新产品。</w:t>
      </w:r>
    </w:p>
    <w:p w14:paraId="7A2ECE00">
      <w:pPr>
        <w:spacing w:line="360" w:lineRule="auto"/>
        <w:ind w:firstLine="480" w:firstLineChars="200"/>
        <w:rPr>
          <w:rFonts w:hint="eastAsia" w:ascii="宋体" w:hAnsi="宋体" w:cs="宋体"/>
          <w:sz w:val="24"/>
        </w:rPr>
      </w:pPr>
      <w:r>
        <w:rPr>
          <w:rFonts w:hint="eastAsia" w:ascii="宋体" w:hAnsi="宋体" w:cs="宋体"/>
          <w:sz w:val="24"/>
        </w:rPr>
        <w:t>3.4.2首台套产品被纳入《首台套产品推广应用指导目录》之日起</w:t>
      </w:r>
      <w:r>
        <w:rPr>
          <w:rFonts w:ascii="宋体" w:hAnsi="宋体" w:cs="宋体"/>
          <w:sz w:val="24"/>
        </w:rPr>
        <w:t>3</w:t>
      </w:r>
      <w:r>
        <w:rPr>
          <w:rFonts w:hint="eastAsia" w:ascii="宋体" w:hAnsi="宋体" w:cs="宋体"/>
          <w:sz w:val="24"/>
        </w:rPr>
        <w:t>年内，以及产品核心技术高于国内领先水平，并具有明晰自主知识产权的“制造精品”产品，自认定之日起2年内视同已具备相应销售业绩，参加政府采购活动时业绩分值为满分。</w:t>
      </w:r>
    </w:p>
    <w:p w14:paraId="1286EA8D">
      <w:pPr>
        <w:spacing w:line="360" w:lineRule="auto"/>
        <w:ind w:firstLine="480" w:firstLineChars="200"/>
      </w:pPr>
      <w:r>
        <w:rPr>
          <w:rFonts w:hint="eastAsia" w:ascii="宋体" w:hAnsi="宋体" w:eastAsia="宋体" w:cs="仿宋"/>
          <w:b w:val="0"/>
          <w:bCs w:val="0"/>
          <w:color w:val="auto"/>
          <w:sz w:val="24"/>
          <w:szCs w:val="24"/>
          <w:lang w:val="en-US"/>
        </w:rPr>
        <w:t xml:space="preserve">3.4.3 </w:t>
      </w:r>
      <w:r>
        <w:rPr>
          <w:rFonts w:hint="eastAsia" w:ascii="宋体" w:hAnsi="宋体" w:eastAsia="宋体" w:cs="仿宋"/>
          <w:b w:val="0"/>
          <w:bCs w:val="0"/>
          <w:color w:val="auto"/>
          <w:sz w:val="24"/>
          <w:szCs w:val="24"/>
          <w:lang w:val="en-US" w:eastAsia="zh-CN"/>
        </w:rPr>
        <w:t>采购人应当贯彻落实知识产权</w:t>
      </w:r>
      <w:r>
        <w:rPr>
          <w:rFonts w:hint="eastAsia" w:ascii="宋体" w:hAnsi="宋体" w:eastAsia="宋体" w:cs="宋体"/>
          <w:sz w:val="24"/>
          <w:lang w:val="en-US" w:eastAsia="zh-CN"/>
        </w:rPr>
        <w:t>保护</w:t>
      </w:r>
      <w:r>
        <w:rPr>
          <w:rFonts w:hint="eastAsia" w:ascii="宋体" w:hAnsi="宋体" w:eastAsia="宋体" w:cs="仿宋"/>
          <w:b w:val="0"/>
          <w:bCs w:val="0"/>
          <w:color w:val="auto"/>
          <w:sz w:val="24"/>
          <w:szCs w:val="24"/>
          <w:lang w:val="en-US" w:eastAsia="zh-CN"/>
        </w:rPr>
        <w:t>相关法律法规，</w:t>
      </w:r>
      <w:r>
        <w:rPr>
          <w:rFonts w:hint="eastAsia" w:ascii="宋体" w:hAnsi="宋体" w:eastAsia="宋体" w:cs="仿宋"/>
          <w:b w:val="0"/>
          <w:bCs w:val="0"/>
          <w:color w:val="auto"/>
          <w:sz w:val="24"/>
          <w:szCs w:val="24"/>
          <w:lang w:val="en-US"/>
        </w:rPr>
        <w:t>应当采购使用正版软件。</w:t>
      </w:r>
    </w:p>
    <w:p w14:paraId="48FA79C5">
      <w:pPr>
        <w:spacing w:line="360" w:lineRule="auto"/>
        <w:ind w:firstLine="240" w:firstLineChars="100"/>
        <w:rPr>
          <w:rFonts w:ascii="宋体" w:hAnsi="宋体" w:cs="宋体"/>
          <w:sz w:val="24"/>
        </w:rPr>
      </w:pPr>
      <w:r>
        <w:rPr>
          <w:rFonts w:hint="eastAsia" w:ascii="宋体" w:hAnsi="宋体" w:cs="宋体"/>
          <w:sz w:val="24"/>
        </w:rPr>
        <w:t>3.5平等对待内外资企业和符合条件的破产重整企业</w:t>
      </w:r>
    </w:p>
    <w:p w14:paraId="76AD4D0C">
      <w:pPr>
        <w:spacing w:line="360" w:lineRule="auto"/>
        <w:ind w:firstLine="480" w:firstLineChars="200"/>
        <w:rPr>
          <w:b/>
        </w:rPr>
      </w:pPr>
      <w:r>
        <w:rPr>
          <w:rFonts w:hint="eastAsia" w:ascii="宋体" w:hAnsi="宋体" w:cs="宋体"/>
          <w:sz w:val="24"/>
        </w:rPr>
        <w:t>平等对待内外资企业和符合条件的破产重整企业，切实保障企业公平竞争，平等维护企业的合法利益。</w:t>
      </w:r>
      <w:r>
        <w:rPr>
          <w:rFonts w:hint="eastAsia" w:ascii="宋体" w:hAnsi="宋体" w:cs="宋体"/>
          <w:sz w:val="24"/>
        </w:rPr>
        <w:cr/>
      </w:r>
      <w:r>
        <w:rPr>
          <w:rFonts w:hint="eastAsia"/>
          <w:b/>
        </w:rPr>
        <w:t>4. 询问、质疑、投诉</w:t>
      </w:r>
    </w:p>
    <w:p w14:paraId="297AB9B7">
      <w:pPr>
        <w:pStyle w:val="571"/>
        <w:shd w:val="clear" w:color="auto" w:fill="FFFFFF"/>
        <w:snapToGrid w:val="0"/>
        <w:spacing w:after="240" w:afterAutospacing="0" w:line="360" w:lineRule="auto"/>
        <w:ind w:firstLine="400"/>
        <w:contextualSpacing/>
        <w:rPr>
          <w:lang w:val="zh-CN"/>
        </w:rPr>
      </w:pPr>
      <w:r>
        <w:rPr>
          <w:rFonts w:hint="eastAsia"/>
          <w:lang w:val="zh-CN"/>
        </w:rPr>
        <w:t>4.1在线询问、质疑、投诉</w:t>
      </w:r>
    </w:p>
    <w:p w14:paraId="1E5C0F5D">
      <w:pPr>
        <w:pStyle w:val="571"/>
        <w:shd w:val="clear" w:color="auto" w:fill="FFFFFF"/>
        <w:snapToGrid w:val="0"/>
        <w:spacing w:after="240" w:afterAutospacing="0" w:line="360" w:lineRule="auto"/>
        <w:ind w:firstLine="400"/>
        <w:contextualSpacing/>
        <w:rPr>
          <w:lang w:val="zh-CN"/>
        </w:rPr>
      </w:pPr>
      <w:r>
        <w:rPr>
          <w:rFonts w:hint="eastAsia"/>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w:t>
      </w:r>
      <w:r>
        <w:rPr>
          <w:rFonts w:hint="eastAsia"/>
          <w:lang w:val="en-US" w:eastAsia="zh-CN"/>
        </w:rPr>
        <w:t>务</w:t>
      </w:r>
      <w:r>
        <w:rPr>
          <w:rFonts w:hint="eastAsia"/>
          <w:lang w:val="zh-CN"/>
        </w:rPr>
        <w:t>服务网－政府采购投诉处理－在线办理。</w:t>
      </w:r>
    </w:p>
    <w:p w14:paraId="71E87AD3">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4.2供应商询问</w:t>
      </w:r>
    </w:p>
    <w:p w14:paraId="655DBEC8">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D54CDEE">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4.3供应商质疑</w:t>
      </w:r>
    </w:p>
    <w:p w14:paraId="1773E598">
      <w:pPr>
        <w:pStyle w:val="32"/>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.1提出质疑的供应商应当是参与所质疑项目采购活动的供应商。潜在供应商已依法获取其可质疑的招标文件的，可以对该文件提出质疑。</w:t>
      </w:r>
    </w:p>
    <w:p w14:paraId="2505061E">
      <w:pPr>
        <w:pStyle w:val="32"/>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.2供应商认为招标文件、采购过程和中标结果使自己的权益受到损害的，可以在知道或者应知其权益受到损害之日起七个工作日内，以书面形式向采购人或者</w:t>
      </w:r>
      <w:r>
        <w:rPr>
          <w:rFonts w:hint="eastAsia" w:hAnsi="宋体" w:cs="宋体"/>
          <w:sz w:val="24"/>
          <w:lang w:eastAsia="zh-CN"/>
        </w:rPr>
        <w:t>采购代理机构</w:t>
      </w:r>
      <w:r>
        <w:rPr>
          <w:rFonts w:hint="eastAsia" w:hAnsi="宋体" w:cs="宋体"/>
          <w:sz w:val="24"/>
        </w:rPr>
        <w:t>提出质疑，否则，采购人或者</w:t>
      </w:r>
      <w:r>
        <w:rPr>
          <w:rFonts w:hint="eastAsia" w:hAnsi="宋体" w:cs="宋体"/>
          <w:sz w:val="24"/>
          <w:lang w:eastAsia="zh-CN"/>
        </w:rPr>
        <w:t>采购代理机构</w:t>
      </w:r>
      <w:r>
        <w:rPr>
          <w:rFonts w:hint="eastAsia" w:hAnsi="宋体" w:cs="宋体"/>
          <w:sz w:val="24"/>
        </w:rPr>
        <w:t>不予受理：</w:t>
      </w:r>
    </w:p>
    <w:p w14:paraId="29627009">
      <w:pPr>
        <w:pStyle w:val="5"/>
        <w:spacing w:line="360" w:lineRule="auto"/>
        <w:ind w:firstLine="480" w:firstLineChars="200"/>
        <w:rPr>
          <w:rFonts w:hAnsi="宋体" w:cs="宋体"/>
          <w:color w:val="auto"/>
          <w:kern w:val="2"/>
          <w:sz w:val="24"/>
        </w:rPr>
      </w:pPr>
      <w:r>
        <w:rPr>
          <w:rFonts w:hint="eastAsia" w:hAnsi="宋体" w:cs="宋体"/>
          <w:color w:val="auto"/>
          <w:kern w:val="2"/>
          <w:sz w:val="24"/>
        </w:rPr>
        <w:t>4.3.2.1对招标文件提出质疑的，质疑期限为供应商获得招标文件之日或者招标文件公告期限届满之日起计算。</w:t>
      </w:r>
    </w:p>
    <w:p w14:paraId="496A29CA">
      <w:pPr>
        <w:pStyle w:val="32"/>
        <w:spacing w:line="360" w:lineRule="auto"/>
        <w:ind w:left="479" w:leftChars="228"/>
        <w:rPr>
          <w:rFonts w:hAnsi="宋体" w:cs="宋体"/>
          <w:sz w:val="24"/>
        </w:rPr>
      </w:pPr>
      <w:r>
        <w:rPr>
          <w:rFonts w:hint="eastAsia" w:hAnsi="宋体" w:cs="宋体"/>
          <w:sz w:val="24"/>
        </w:rPr>
        <w:t>4.3.2.2对采购过程提出质疑的，质疑期限为各采购程序环节结束之日起计算。4.3.2.3对采购结果提出质疑的，质疑期限自采购结果公告期限届满之日起计算。</w:t>
      </w:r>
    </w:p>
    <w:p w14:paraId="5E92FE9D">
      <w:pPr>
        <w:pStyle w:val="32"/>
        <w:spacing w:line="360" w:lineRule="auto"/>
        <w:ind w:firstLine="480" w:firstLineChars="200"/>
        <w:rPr>
          <w:rFonts w:hAnsi="宋体" w:cs="宋体"/>
          <w:kern w:val="0"/>
          <w:sz w:val="24"/>
          <w:lang w:val="zh-CN"/>
        </w:rPr>
      </w:pPr>
      <w:r>
        <w:rPr>
          <w:rFonts w:hint="eastAsia" w:hAnsi="宋体" w:cs="宋体"/>
          <w:kern w:val="0"/>
          <w:sz w:val="24"/>
          <w:lang w:val="zh-CN"/>
        </w:rPr>
        <w:t>4.3.3</w:t>
      </w:r>
      <w:r>
        <w:rPr>
          <w:rFonts w:hint="eastAsia" w:hAnsi="宋体" w:cs="宋体"/>
          <w:sz w:val="24"/>
        </w:rPr>
        <w:t>供应商提出质疑应当提交质疑函和必要的证明材料。质疑函应当包括下列内容：</w:t>
      </w:r>
    </w:p>
    <w:p w14:paraId="02C8EC48">
      <w:pPr>
        <w:pStyle w:val="32"/>
        <w:spacing w:line="360" w:lineRule="auto"/>
        <w:ind w:firstLine="480" w:firstLineChars="200"/>
        <w:rPr>
          <w:rFonts w:hAnsi="宋体" w:cs="宋体"/>
          <w:kern w:val="0"/>
          <w:sz w:val="24"/>
          <w:lang w:val="zh-CN"/>
        </w:rPr>
      </w:pPr>
      <w:r>
        <w:rPr>
          <w:rFonts w:hint="eastAsia" w:hAnsi="宋体" w:cs="宋体"/>
          <w:kern w:val="0"/>
          <w:sz w:val="24"/>
          <w:lang w:val="zh-CN"/>
        </w:rPr>
        <w:t>　　4.3.3.1供应商的姓名或者名称、地址、邮编、联系人及联系电话；</w:t>
      </w:r>
    </w:p>
    <w:p w14:paraId="3B2643B6">
      <w:pPr>
        <w:pStyle w:val="32"/>
        <w:spacing w:line="360" w:lineRule="auto"/>
        <w:ind w:firstLine="480" w:firstLineChars="200"/>
        <w:rPr>
          <w:rFonts w:hAnsi="宋体" w:cs="宋体"/>
          <w:kern w:val="0"/>
          <w:sz w:val="24"/>
          <w:lang w:val="zh-CN"/>
        </w:rPr>
      </w:pPr>
      <w:r>
        <w:rPr>
          <w:rFonts w:hint="eastAsia" w:hAnsi="宋体" w:cs="宋体"/>
          <w:kern w:val="0"/>
          <w:sz w:val="24"/>
          <w:lang w:val="zh-CN"/>
        </w:rPr>
        <w:t>　　4.3.3.2质疑项目的名称、编号；</w:t>
      </w:r>
    </w:p>
    <w:p w14:paraId="3D1F8F05">
      <w:pPr>
        <w:pStyle w:val="32"/>
        <w:spacing w:line="360" w:lineRule="auto"/>
        <w:ind w:firstLine="480" w:firstLineChars="200"/>
        <w:rPr>
          <w:rFonts w:hAnsi="宋体" w:cs="宋体"/>
          <w:kern w:val="0"/>
          <w:sz w:val="24"/>
          <w:lang w:val="zh-CN"/>
        </w:rPr>
      </w:pPr>
      <w:r>
        <w:rPr>
          <w:rFonts w:hint="eastAsia" w:hAnsi="宋体" w:cs="宋体"/>
          <w:kern w:val="0"/>
          <w:sz w:val="24"/>
          <w:lang w:val="zh-CN"/>
        </w:rPr>
        <w:t>　　4.3.3.3具体、明确的质疑事项和与质疑事项相关的请求；</w:t>
      </w:r>
    </w:p>
    <w:p w14:paraId="4C1644CC">
      <w:pPr>
        <w:pStyle w:val="32"/>
        <w:spacing w:line="360" w:lineRule="auto"/>
        <w:ind w:firstLine="480" w:firstLineChars="200"/>
        <w:rPr>
          <w:rFonts w:hAnsi="宋体" w:cs="宋体"/>
          <w:kern w:val="0"/>
          <w:sz w:val="24"/>
          <w:lang w:val="zh-CN"/>
        </w:rPr>
      </w:pPr>
      <w:r>
        <w:rPr>
          <w:rFonts w:hint="eastAsia" w:hAnsi="宋体" w:cs="宋体"/>
          <w:kern w:val="0"/>
          <w:sz w:val="24"/>
          <w:lang w:val="zh-CN"/>
        </w:rPr>
        <w:t>　　4.3.3.4事实依据；</w:t>
      </w:r>
    </w:p>
    <w:p w14:paraId="27C82761">
      <w:pPr>
        <w:pStyle w:val="32"/>
        <w:spacing w:line="360" w:lineRule="auto"/>
        <w:ind w:firstLine="480" w:firstLineChars="200"/>
        <w:rPr>
          <w:rFonts w:hAnsi="宋体" w:cs="宋体"/>
          <w:kern w:val="0"/>
          <w:sz w:val="24"/>
          <w:lang w:val="zh-CN"/>
        </w:rPr>
      </w:pPr>
      <w:r>
        <w:rPr>
          <w:rFonts w:hint="eastAsia" w:hAnsi="宋体" w:cs="宋体"/>
          <w:kern w:val="0"/>
          <w:sz w:val="24"/>
          <w:lang w:val="zh-CN"/>
        </w:rPr>
        <w:t>　　4.3.3.5必要的法律依据；</w:t>
      </w:r>
    </w:p>
    <w:p w14:paraId="37178780">
      <w:pPr>
        <w:pStyle w:val="32"/>
        <w:spacing w:line="360" w:lineRule="auto"/>
        <w:ind w:firstLine="960" w:firstLineChars="400"/>
        <w:rPr>
          <w:rFonts w:hAnsi="宋体" w:cs="宋体"/>
          <w:kern w:val="0"/>
          <w:sz w:val="24"/>
          <w:lang w:val="zh-CN"/>
        </w:rPr>
      </w:pPr>
      <w:r>
        <w:rPr>
          <w:rFonts w:hint="eastAsia" w:hAnsi="宋体" w:cs="宋体"/>
          <w:kern w:val="0"/>
          <w:sz w:val="24"/>
          <w:lang w:val="zh-CN"/>
        </w:rPr>
        <w:t>4.3.3.6提出质疑的日期。</w:t>
      </w:r>
    </w:p>
    <w:p w14:paraId="15E7F709">
      <w:pPr>
        <w:pStyle w:val="571"/>
        <w:shd w:val="clear" w:color="auto" w:fill="FFFFFF"/>
        <w:snapToGrid w:val="0"/>
        <w:spacing w:after="240" w:afterAutospacing="0" w:line="360" w:lineRule="auto"/>
        <w:ind w:firstLine="400"/>
        <w:contextualSpacing/>
      </w:pPr>
      <w:r>
        <w:rPr>
          <w:rFonts w:hint="eastAsia"/>
        </w:rPr>
        <w:t>供应商提交的质疑函需一式三份。供应商为自然人的，应当由本人签字；供应商为法人或者其他组织的，应当由法定代表人、主要负责人，或者其授权代表签字或者盖章，并加盖公章。</w:t>
      </w:r>
    </w:p>
    <w:p w14:paraId="4E15985A">
      <w:pPr>
        <w:pStyle w:val="571"/>
        <w:shd w:val="clear" w:color="auto" w:fill="FFFFFF"/>
        <w:snapToGrid w:val="0"/>
        <w:spacing w:after="240" w:afterAutospacing="0" w:line="360" w:lineRule="auto"/>
        <w:ind w:firstLine="400"/>
        <w:contextualSpacing/>
      </w:pPr>
      <w:r>
        <w:rPr>
          <w:rFonts w:hint="eastAsia"/>
        </w:rPr>
        <w:t>质疑函范本及制作说明详见附件2。</w:t>
      </w:r>
    </w:p>
    <w:p w14:paraId="4720A981">
      <w:pPr>
        <w:pStyle w:val="571"/>
        <w:shd w:val="clear" w:color="auto" w:fill="FFFFFF"/>
        <w:snapToGrid w:val="0"/>
        <w:spacing w:after="240" w:afterAutospacing="0" w:line="360" w:lineRule="auto"/>
        <w:ind w:firstLine="400"/>
        <w:contextualSpacing/>
      </w:pPr>
      <w:r>
        <w:rPr>
          <w:rFonts w:hint="eastAsia"/>
        </w:rPr>
        <w:t>4.3.4对同一采购程序环节的质疑，供应商须在法定质疑期内一次性提出。</w:t>
      </w:r>
    </w:p>
    <w:p w14:paraId="711303FA">
      <w:pPr>
        <w:pStyle w:val="571"/>
        <w:shd w:val="clear" w:color="auto" w:fill="FFFFFF"/>
        <w:snapToGrid w:val="0"/>
        <w:spacing w:after="240" w:afterAutospacing="0" w:line="360" w:lineRule="auto"/>
        <w:ind w:firstLine="400"/>
        <w:contextualSpacing/>
      </w:pPr>
      <w:r>
        <w:rPr>
          <w:rFonts w:hint="eastAsia"/>
          <w:lang w:val="zh-CN"/>
        </w:rPr>
        <w:t>4.3</w:t>
      </w:r>
      <w:r>
        <w:rPr>
          <w:rFonts w:hint="eastAsia"/>
        </w:rPr>
        <w:t>.5采购人或者</w:t>
      </w:r>
      <w:r>
        <w:rPr>
          <w:rFonts w:hint="eastAsia"/>
          <w:lang w:eastAsia="zh-CN"/>
        </w:rPr>
        <w:t>采购代理机构</w:t>
      </w:r>
      <w:r>
        <w:rPr>
          <w:rFonts w:hint="eastAsia"/>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w:t>
      </w:r>
      <w:r>
        <w:rPr>
          <w:rFonts w:hint="eastAsia"/>
          <w:lang w:eastAsia="zh-CN"/>
        </w:rPr>
        <w:t>，</w:t>
      </w:r>
      <w:r>
        <w:rPr>
          <w:rFonts w:hint="eastAsia"/>
        </w:rPr>
        <w:t>采购人或者</w:t>
      </w:r>
      <w:r>
        <w:rPr>
          <w:rFonts w:hint="eastAsia"/>
          <w:lang w:eastAsia="zh-CN"/>
        </w:rPr>
        <w:t>采购代理机构</w:t>
      </w:r>
      <w:r>
        <w:rPr>
          <w:rFonts w:hint="eastAsia"/>
        </w:rPr>
        <w:t>在质疑回复后5个工作日内，在浙江政府采购网的“其他公告”栏目公开质疑答复，答复内容应当完整。质疑函作为附件上传。</w:t>
      </w:r>
    </w:p>
    <w:p w14:paraId="0938F16B">
      <w:pPr>
        <w:pStyle w:val="571"/>
        <w:shd w:val="clear" w:color="auto" w:fill="FFFFFF"/>
        <w:snapToGrid w:val="0"/>
        <w:spacing w:after="240" w:line="360" w:lineRule="auto"/>
        <w:ind w:firstLine="400"/>
        <w:contextualSpacing/>
        <w:rPr>
          <w:rFonts w:hint="eastAsia" w:ascii="宋体" w:hAnsi="宋体" w:eastAsia="宋体"/>
          <w:color w:val="auto"/>
          <w:sz w:val="24"/>
          <w:highlight w:val="none"/>
        </w:rPr>
      </w:pPr>
      <w:r>
        <w:rPr>
          <w:rFonts w:hint="eastAsia" w:ascii="宋体" w:hAnsi="宋体" w:eastAsia="宋体"/>
          <w:color w:val="auto"/>
          <w:sz w:val="24"/>
          <w:highlight w:val="none"/>
        </w:rPr>
        <w:t>根据采购人与采购</w:t>
      </w:r>
      <w:r>
        <w:rPr>
          <w:rFonts w:hint="eastAsia" w:ascii="宋体" w:hAnsi="宋体" w:eastAsia="宋体"/>
          <w:color w:val="auto"/>
          <w:sz w:val="24"/>
          <w:highlight w:val="none"/>
          <w:lang w:val="en-US" w:eastAsia="zh-CN"/>
        </w:rPr>
        <w:t>代理</w:t>
      </w:r>
      <w:r>
        <w:rPr>
          <w:rFonts w:hint="eastAsia" w:ascii="宋体" w:hAnsi="宋体" w:eastAsia="宋体"/>
          <w:color w:val="auto"/>
          <w:sz w:val="24"/>
          <w:highlight w:val="none"/>
        </w:rPr>
        <w:t>机构签订的《杭州市</w:t>
      </w:r>
      <w:r>
        <w:rPr>
          <w:rFonts w:hint="eastAsia" w:ascii="宋体" w:hAnsi="宋体" w:eastAsia="宋体"/>
          <w:color w:val="auto"/>
          <w:sz w:val="24"/>
          <w:highlight w:val="none"/>
          <w:lang w:val="en-US" w:eastAsia="zh-CN"/>
        </w:rPr>
        <w:t>余杭区</w:t>
      </w:r>
      <w:r>
        <w:rPr>
          <w:rFonts w:hint="eastAsia" w:ascii="宋体" w:hAnsi="宋体" w:eastAsia="宋体"/>
          <w:color w:val="auto"/>
          <w:sz w:val="24"/>
          <w:highlight w:val="none"/>
        </w:rPr>
        <w:t>集中采购委托协议》的</w:t>
      </w:r>
      <w:r>
        <w:rPr>
          <w:rFonts w:hint="eastAsia"/>
          <w:color w:val="auto"/>
          <w:sz w:val="24"/>
          <w:highlight w:val="none"/>
          <w:lang w:val="en-US" w:eastAsia="zh-CN"/>
        </w:rPr>
        <w:t>约</w:t>
      </w:r>
      <w:r>
        <w:rPr>
          <w:rFonts w:hint="eastAsia" w:ascii="宋体" w:hAnsi="宋体" w:eastAsia="宋体"/>
          <w:color w:val="auto"/>
          <w:sz w:val="24"/>
          <w:highlight w:val="none"/>
        </w:rPr>
        <w:t>定，质疑答复责任主体如下：</w:t>
      </w:r>
    </w:p>
    <w:p w14:paraId="25F9F4F9">
      <w:pPr>
        <w:widowControl/>
        <w:adjustRightInd/>
        <w:jc w:val="center"/>
        <w:rPr>
          <w:rFonts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rPr>
        <w:t>质疑答复责任主体一览表</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36"/>
        <w:gridCol w:w="2232"/>
      </w:tblGrid>
      <w:tr w14:paraId="4C269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054" w:type="dxa"/>
            <w:gridSpan w:val="2"/>
            <w:vAlign w:val="center"/>
          </w:tcPr>
          <w:p w14:paraId="76376245">
            <w:pPr>
              <w:pStyle w:val="32"/>
              <w:spacing w:line="360" w:lineRule="auto"/>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质疑内容</w:t>
            </w:r>
          </w:p>
        </w:tc>
        <w:tc>
          <w:tcPr>
            <w:tcW w:w="2232" w:type="dxa"/>
            <w:vAlign w:val="center"/>
          </w:tcPr>
          <w:p w14:paraId="24F9061B">
            <w:pPr>
              <w:pStyle w:val="32"/>
              <w:spacing w:line="360" w:lineRule="auto"/>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质疑答复责任主体</w:t>
            </w:r>
          </w:p>
        </w:tc>
      </w:tr>
      <w:tr w14:paraId="5559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vAlign w:val="center"/>
          </w:tcPr>
          <w:p w14:paraId="21E75856">
            <w:pPr>
              <w:pStyle w:val="32"/>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对采购文件提出质疑</w:t>
            </w:r>
          </w:p>
        </w:tc>
        <w:tc>
          <w:tcPr>
            <w:tcW w:w="4536" w:type="dxa"/>
            <w:vAlign w:val="center"/>
          </w:tcPr>
          <w:p w14:paraId="74885C07">
            <w:pPr>
              <w:pStyle w:val="32"/>
              <w:spacing w:line="360"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对采购文件中</w:t>
            </w:r>
            <w:r>
              <w:rPr>
                <w:rFonts w:hint="eastAsia" w:asciiTheme="minorEastAsia" w:hAnsiTheme="minorEastAsia" w:eastAsiaTheme="minorEastAsia"/>
                <w:color w:val="auto"/>
                <w:sz w:val="24"/>
                <w:szCs w:val="21"/>
                <w:highlight w:val="none"/>
              </w:rPr>
              <w:t>“申请人的资格要求”、“采购需求”、“评审办法”、“采购合同的主要条款”、“采购文件前附表内容”、“报价内容”</w:t>
            </w:r>
            <w:r>
              <w:rPr>
                <w:rFonts w:hint="eastAsia" w:asciiTheme="minorEastAsia" w:hAnsiTheme="minorEastAsia" w:eastAsiaTheme="minorEastAsia"/>
                <w:color w:val="auto"/>
                <w:sz w:val="24"/>
                <w:highlight w:val="none"/>
              </w:rPr>
              <w:t>的质疑</w:t>
            </w:r>
          </w:p>
        </w:tc>
        <w:tc>
          <w:tcPr>
            <w:tcW w:w="2232" w:type="dxa"/>
            <w:vAlign w:val="center"/>
          </w:tcPr>
          <w:p w14:paraId="3275C8B2">
            <w:pPr>
              <w:pStyle w:val="32"/>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采购人</w:t>
            </w:r>
          </w:p>
        </w:tc>
      </w:tr>
      <w:tr w14:paraId="126B1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continue"/>
            <w:vAlign w:val="center"/>
          </w:tcPr>
          <w:p w14:paraId="37932CF5">
            <w:pPr>
              <w:pStyle w:val="32"/>
              <w:spacing w:line="360" w:lineRule="auto"/>
              <w:jc w:val="center"/>
              <w:rPr>
                <w:rFonts w:asciiTheme="minorEastAsia" w:hAnsiTheme="minorEastAsia" w:eastAsiaTheme="minorEastAsia"/>
                <w:color w:val="auto"/>
                <w:sz w:val="24"/>
                <w:highlight w:val="none"/>
              </w:rPr>
            </w:pPr>
          </w:p>
        </w:tc>
        <w:tc>
          <w:tcPr>
            <w:tcW w:w="4536" w:type="dxa"/>
            <w:vAlign w:val="center"/>
          </w:tcPr>
          <w:p w14:paraId="2BE127FC">
            <w:pPr>
              <w:pStyle w:val="32"/>
              <w:spacing w:line="360"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对采购文件中其他内容提出的质疑</w:t>
            </w:r>
          </w:p>
        </w:tc>
        <w:tc>
          <w:tcPr>
            <w:tcW w:w="2232" w:type="dxa"/>
            <w:vAlign w:val="center"/>
          </w:tcPr>
          <w:p w14:paraId="1678A195">
            <w:pPr>
              <w:pStyle w:val="32"/>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w:t>
            </w:r>
            <w:r>
              <w:rPr>
                <w:rFonts w:hint="eastAsia" w:asciiTheme="minorEastAsia" w:hAnsiTheme="minorEastAsia" w:eastAsiaTheme="minorEastAsia"/>
                <w:color w:val="auto"/>
                <w:sz w:val="24"/>
                <w:highlight w:val="none"/>
                <w:lang w:val="en-US" w:eastAsia="zh-CN"/>
              </w:rPr>
              <w:t>代理</w:t>
            </w:r>
            <w:r>
              <w:rPr>
                <w:rFonts w:hint="eastAsia" w:asciiTheme="minorEastAsia" w:hAnsiTheme="minorEastAsia" w:eastAsiaTheme="minorEastAsia"/>
                <w:color w:val="auto"/>
                <w:sz w:val="24"/>
                <w:highlight w:val="none"/>
              </w:rPr>
              <w:t>机构</w:t>
            </w:r>
          </w:p>
        </w:tc>
      </w:tr>
      <w:tr w14:paraId="57C17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vAlign w:val="center"/>
          </w:tcPr>
          <w:p w14:paraId="02FC99DC">
            <w:pPr>
              <w:pStyle w:val="32"/>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对采购过程</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采购结果</w:t>
            </w:r>
            <w:r>
              <w:rPr>
                <w:rFonts w:hint="eastAsia" w:asciiTheme="minorEastAsia" w:hAnsiTheme="minorEastAsia" w:eastAsiaTheme="minorEastAsia"/>
                <w:color w:val="auto"/>
                <w:sz w:val="24"/>
                <w:highlight w:val="none"/>
              </w:rPr>
              <w:t>提出质疑</w:t>
            </w:r>
          </w:p>
        </w:tc>
        <w:tc>
          <w:tcPr>
            <w:tcW w:w="4536" w:type="dxa"/>
            <w:vAlign w:val="center"/>
          </w:tcPr>
          <w:p w14:paraId="6B5C0ECC">
            <w:pPr>
              <w:pStyle w:val="32"/>
              <w:spacing w:line="360"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szCs w:val="21"/>
                <w:highlight w:val="none"/>
              </w:rPr>
              <w:t>对“现场考察、答疑会”、 “甲方负责接收和保存的样品” 、“资格审查”等由</w:t>
            </w:r>
            <w:r>
              <w:rPr>
                <w:rFonts w:hint="eastAsia" w:asciiTheme="minorEastAsia" w:hAnsiTheme="minorEastAsia" w:eastAsiaTheme="minorEastAsia"/>
                <w:color w:val="auto"/>
                <w:sz w:val="24"/>
                <w:szCs w:val="21"/>
                <w:highlight w:val="none"/>
                <w:lang w:val="en-US" w:eastAsia="zh-CN"/>
              </w:rPr>
              <w:t>采购人</w:t>
            </w:r>
            <w:r>
              <w:rPr>
                <w:rFonts w:hint="eastAsia" w:asciiTheme="minorEastAsia" w:hAnsiTheme="minorEastAsia" w:eastAsiaTheme="minorEastAsia"/>
                <w:color w:val="auto"/>
                <w:sz w:val="24"/>
                <w:szCs w:val="21"/>
                <w:highlight w:val="none"/>
              </w:rPr>
              <w:t>负责组织的环节的质疑</w:t>
            </w:r>
          </w:p>
        </w:tc>
        <w:tc>
          <w:tcPr>
            <w:tcW w:w="2232" w:type="dxa"/>
            <w:vAlign w:val="center"/>
          </w:tcPr>
          <w:p w14:paraId="12216CB0">
            <w:pPr>
              <w:pStyle w:val="32"/>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采购人</w:t>
            </w:r>
          </w:p>
        </w:tc>
      </w:tr>
      <w:tr w14:paraId="592EA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518" w:type="dxa"/>
            <w:vMerge w:val="continue"/>
            <w:vAlign w:val="center"/>
          </w:tcPr>
          <w:p w14:paraId="46B2B8DE">
            <w:pPr>
              <w:pStyle w:val="32"/>
              <w:spacing w:line="360" w:lineRule="auto"/>
              <w:jc w:val="center"/>
              <w:rPr>
                <w:rFonts w:asciiTheme="minorEastAsia" w:hAnsiTheme="minorEastAsia" w:eastAsiaTheme="minorEastAsia"/>
                <w:color w:val="auto"/>
                <w:sz w:val="24"/>
                <w:highlight w:val="none"/>
              </w:rPr>
            </w:pPr>
          </w:p>
        </w:tc>
        <w:tc>
          <w:tcPr>
            <w:tcW w:w="4536" w:type="dxa"/>
            <w:vAlign w:val="center"/>
          </w:tcPr>
          <w:p w14:paraId="1628EE20">
            <w:pPr>
              <w:pStyle w:val="32"/>
              <w:spacing w:line="360"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对采购过程</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采购结果其他</w:t>
            </w:r>
            <w:r>
              <w:rPr>
                <w:rFonts w:hint="eastAsia" w:asciiTheme="minorEastAsia" w:hAnsiTheme="minorEastAsia" w:eastAsiaTheme="minorEastAsia"/>
                <w:color w:val="auto"/>
                <w:sz w:val="24"/>
                <w:szCs w:val="21"/>
                <w:highlight w:val="none"/>
              </w:rPr>
              <w:t>环节的质疑</w:t>
            </w:r>
          </w:p>
        </w:tc>
        <w:tc>
          <w:tcPr>
            <w:tcW w:w="2232" w:type="dxa"/>
            <w:vAlign w:val="center"/>
          </w:tcPr>
          <w:p w14:paraId="6A7E61EC">
            <w:pPr>
              <w:pStyle w:val="32"/>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w:t>
            </w:r>
            <w:r>
              <w:rPr>
                <w:rFonts w:hint="eastAsia" w:asciiTheme="minorEastAsia" w:hAnsiTheme="minorEastAsia" w:eastAsiaTheme="minorEastAsia"/>
                <w:color w:val="auto"/>
                <w:sz w:val="24"/>
                <w:highlight w:val="none"/>
                <w:lang w:val="en-US" w:eastAsia="zh-CN"/>
              </w:rPr>
              <w:t>代理</w:t>
            </w:r>
            <w:r>
              <w:rPr>
                <w:rFonts w:hint="eastAsia" w:asciiTheme="minorEastAsia" w:hAnsiTheme="minorEastAsia" w:eastAsiaTheme="minorEastAsia"/>
                <w:color w:val="auto"/>
                <w:sz w:val="24"/>
                <w:highlight w:val="none"/>
              </w:rPr>
              <w:t>机构</w:t>
            </w:r>
          </w:p>
        </w:tc>
      </w:tr>
    </w:tbl>
    <w:p w14:paraId="11DB34A9">
      <w:pPr>
        <w:pStyle w:val="571"/>
        <w:shd w:val="clear" w:color="auto" w:fill="FFFFFF"/>
        <w:snapToGrid w:val="0"/>
        <w:spacing w:after="240" w:afterAutospacing="0" w:line="360" w:lineRule="auto"/>
        <w:ind w:firstLine="400"/>
        <w:contextualSpacing/>
      </w:pPr>
      <w:r>
        <w:rPr>
          <w:rFonts w:hint="eastAsia"/>
          <w:lang w:val="zh-CN"/>
        </w:rPr>
        <w:t>4.3</w:t>
      </w:r>
      <w:r>
        <w:rPr>
          <w:rFonts w:hint="eastAsia"/>
        </w:rPr>
        <w:t>.6询问或者质疑事项可能影响采购结果的，采购人应当暂停签订合同，已经签订合同的，应当中止履行合同。</w:t>
      </w:r>
    </w:p>
    <w:p w14:paraId="3C36D96C">
      <w:pPr>
        <w:pStyle w:val="571"/>
        <w:shd w:val="clear" w:color="auto" w:fill="FFFFFF"/>
        <w:snapToGrid w:val="0"/>
        <w:spacing w:after="240" w:afterAutospacing="0" w:line="360" w:lineRule="auto"/>
        <w:ind w:firstLine="480" w:firstLineChars="200"/>
        <w:contextualSpacing/>
        <w:rPr>
          <w:lang w:val="zh-CN"/>
        </w:rPr>
      </w:pPr>
      <w:r>
        <w:rPr>
          <w:rFonts w:hint="eastAsia"/>
          <w:lang w:val="zh-CN"/>
        </w:rPr>
        <w:t>4.4供应商投诉</w:t>
      </w:r>
    </w:p>
    <w:p w14:paraId="58CAC942">
      <w:pPr>
        <w:pStyle w:val="571"/>
        <w:shd w:val="clear" w:color="auto" w:fill="FFFFFF"/>
        <w:snapToGrid w:val="0"/>
        <w:spacing w:after="240" w:afterAutospacing="0" w:line="360" w:lineRule="auto"/>
        <w:ind w:firstLine="400"/>
        <w:contextualSpacing/>
      </w:pPr>
      <w:r>
        <w:rPr>
          <w:rFonts w:hint="eastAsia"/>
        </w:rPr>
        <w:t>4.4.1质疑供应商对采购人、</w:t>
      </w:r>
      <w:r>
        <w:rPr>
          <w:rFonts w:hint="eastAsia"/>
          <w:lang w:eastAsia="zh-CN"/>
        </w:rPr>
        <w:t>采购代理机构</w:t>
      </w:r>
      <w:r>
        <w:rPr>
          <w:rFonts w:hint="eastAsia"/>
        </w:rPr>
        <w:t>的答复不满意或者采购人、</w:t>
      </w:r>
      <w:r>
        <w:rPr>
          <w:rFonts w:hint="eastAsia"/>
          <w:lang w:eastAsia="zh-CN"/>
        </w:rPr>
        <w:t>采购代理机构</w:t>
      </w:r>
      <w:r>
        <w:rPr>
          <w:rFonts w:hint="eastAsia"/>
        </w:rPr>
        <w:t>未在规定的时间内作出答复的，可以在答复期满后十五个工作日内向同级政府采购监督管理部门提出投诉。</w:t>
      </w:r>
    </w:p>
    <w:p w14:paraId="202DEAED">
      <w:pPr>
        <w:pStyle w:val="571"/>
        <w:shd w:val="clear" w:color="auto" w:fill="FFFFFF"/>
        <w:snapToGrid w:val="0"/>
        <w:spacing w:after="240" w:afterAutospacing="0" w:line="360" w:lineRule="auto"/>
        <w:ind w:firstLine="400"/>
        <w:contextualSpacing/>
      </w:pPr>
      <w:r>
        <w:rPr>
          <w:rFonts w:hint="eastAsia"/>
        </w:rPr>
        <w:t>4.4.</w:t>
      </w:r>
      <w:r>
        <w:rPr>
          <w:rFonts w:hint="eastAsia"/>
          <w:lang w:val="zh-CN"/>
        </w:rPr>
        <w:t>2</w:t>
      </w:r>
      <w:r>
        <w:rPr>
          <w:rFonts w:hint="eastAsia"/>
        </w:rPr>
        <w:t>供应商投诉的事项不得超出已质疑事项的范围，基于质疑答复内容提出的投诉事项除外。</w:t>
      </w:r>
    </w:p>
    <w:p w14:paraId="1B9E41A2">
      <w:pPr>
        <w:pStyle w:val="571"/>
        <w:shd w:val="clear" w:color="auto" w:fill="FFFFFF"/>
        <w:snapToGrid w:val="0"/>
        <w:spacing w:after="240" w:afterAutospacing="0" w:line="360" w:lineRule="auto"/>
        <w:ind w:firstLine="400"/>
        <w:contextualSpacing/>
      </w:pPr>
      <w:r>
        <w:rPr>
          <w:rFonts w:hint="eastAsia"/>
        </w:rPr>
        <w:t>4.4.3供应商投诉应当有明确的请求和必要的证明材料。</w:t>
      </w:r>
    </w:p>
    <w:p w14:paraId="08F224F7">
      <w:pPr>
        <w:pStyle w:val="571"/>
        <w:shd w:val="clear" w:color="auto" w:fill="FFFFFF"/>
        <w:snapToGrid w:val="0"/>
        <w:spacing w:after="240" w:afterAutospacing="0" w:line="360" w:lineRule="auto"/>
        <w:ind w:firstLine="400"/>
        <w:contextualSpacing/>
      </w:pPr>
      <w:r>
        <w:rPr>
          <w:rFonts w:hint="eastAsia"/>
        </w:rPr>
        <w:t>4.4.4 以联合体形式参加政府采购活动的，其投诉应当由组成联合体的所有供应商共同提出。</w:t>
      </w:r>
    </w:p>
    <w:p w14:paraId="7966F243">
      <w:pPr>
        <w:pStyle w:val="571"/>
        <w:shd w:val="clear" w:color="auto" w:fill="FFFFFF"/>
        <w:snapToGrid w:val="0"/>
        <w:spacing w:after="240" w:afterAutospacing="0" w:line="360" w:lineRule="auto"/>
        <w:ind w:firstLine="480" w:firstLineChars="200"/>
        <w:contextualSpacing/>
      </w:pPr>
      <w:r>
        <w:rPr>
          <w:rFonts w:hint="eastAsia"/>
        </w:rPr>
        <w:t>4.4.5</w:t>
      </w:r>
      <w:r>
        <w:rPr>
          <w:rFonts w:hint="eastAsia"/>
          <w:lang w:val="en-US" w:eastAsia="zh-CN"/>
        </w:rPr>
        <w:t xml:space="preserve"> </w:t>
      </w:r>
      <w:r>
        <w:rPr>
          <w:rFonts w:hint="eastAsia"/>
        </w:rPr>
        <w:t>投诉书范本及制作说明详见附件3。</w:t>
      </w:r>
    </w:p>
    <w:p w14:paraId="02E2CF31">
      <w:pPr>
        <w:pStyle w:val="85"/>
        <w:snapToGrid w:val="0"/>
        <w:spacing w:before="0"/>
        <w:ind w:firstLine="360"/>
        <w:rPr>
          <w:rFonts w:ascii="宋体" w:hAnsi="宋体" w:cs="宋体"/>
          <w:sz w:val="18"/>
          <w:szCs w:val="18"/>
        </w:rPr>
      </w:pPr>
    </w:p>
    <w:p w14:paraId="1F178048">
      <w:pPr>
        <w:adjustRightInd/>
        <w:spacing w:line="360" w:lineRule="auto"/>
        <w:jc w:val="center"/>
        <w:outlineLvl w:val="0"/>
        <w:rPr>
          <w:rFonts w:ascii="宋体" w:hAnsi="宋体" w:cs="宋体"/>
          <w:b/>
          <w:sz w:val="32"/>
          <w:szCs w:val="20"/>
        </w:rPr>
      </w:pPr>
      <w:r>
        <w:rPr>
          <w:rFonts w:hint="eastAsia" w:ascii="宋体" w:hAnsi="宋体" w:cs="宋体"/>
          <w:b/>
          <w:sz w:val="32"/>
          <w:szCs w:val="20"/>
        </w:rPr>
        <w:t xml:space="preserve">      二、招标文件的构成、澄清、修改</w:t>
      </w:r>
    </w:p>
    <w:p w14:paraId="0376DA26">
      <w:pPr>
        <w:pStyle w:val="32"/>
        <w:spacing w:line="360" w:lineRule="auto"/>
        <w:rPr>
          <w:rFonts w:hAnsi="宋体" w:cs="宋体"/>
          <w:b/>
          <w:sz w:val="24"/>
          <w:szCs w:val="24"/>
        </w:rPr>
      </w:pPr>
      <w:r>
        <w:rPr>
          <w:rFonts w:hint="eastAsia" w:hAnsi="宋体" w:cs="宋体"/>
          <w:b/>
          <w:sz w:val="24"/>
          <w:szCs w:val="24"/>
        </w:rPr>
        <w:t>5．招标文件的构成</w:t>
      </w:r>
    </w:p>
    <w:p w14:paraId="0CA0F21D">
      <w:pPr>
        <w:pStyle w:val="32"/>
        <w:spacing w:line="360" w:lineRule="auto"/>
        <w:ind w:firstLine="480" w:firstLineChars="200"/>
        <w:rPr>
          <w:rFonts w:hAnsi="宋体" w:cs="宋体"/>
          <w:sz w:val="24"/>
          <w:szCs w:val="24"/>
        </w:rPr>
      </w:pPr>
      <w:r>
        <w:rPr>
          <w:rFonts w:hint="eastAsia" w:hAnsi="宋体" w:cs="宋体"/>
          <w:sz w:val="24"/>
          <w:szCs w:val="24"/>
        </w:rPr>
        <w:t>5.1 招标文件包括下列文件及附件：</w:t>
      </w:r>
    </w:p>
    <w:p w14:paraId="60D890BD">
      <w:pPr>
        <w:pStyle w:val="32"/>
        <w:tabs>
          <w:tab w:val="left" w:pos="840"/>
        </w:tabs>
        <w:spacing w:line="360" w:lineRule="auto"/>
        <w:ind w:firstLine="960" w:firstLineChars="400"/>
        <w:rPr>
          <w:rFonts w:hAnsi="宋体" w:cs="宋体"/>
          <w:sz w:val="24"/>
          <w:szCs w:val="24"/>
        </w:rPr>
      </w:pPr>
      <w:r>
        <w:rPr>
          <w:rFonts w:hint="eastAsia" w:hAnsi="宋体" w:cs="宋体"/>
          <w:sz w:val="24"/>
          <w:szCs w:val="24"/>
        </w:rPr>
        <w:t>5.1.1招标公告；</w:t>
      </w:r>
    </w:p>
    <w:p w14:paraId="235D84C5">
      <w:pPr>
        <w:pStyle w:val="32"/>
        <w:tabs>
          <w:tab w:val="left" w:pos="840"/>
        </w:tabs>
        <w:spacing w:line="360" w:lineRule="auto"/>
        <w:ind w:firstLine="960" w:firstLineChars="400"/>
        <w:rPr>
          <w:rFonts w:hAnsi="宋体" w:cs="宋体"/>
          <w:sz w:val="24"/>
          <w:szCs w:val="24"/>
        </w:rPr>
      </w:pPr>
      <w:r>
        <w:rPr>
          <w:rFonts w:hint="eastAsia" w:hAnsi="宋体" w:cs="宋体"/>
          <w:sz w:val="24"/>
          <w:szCs w:val="24"/>
        </w:rPr>
        <w:t>5.1.2投标人须知；</w:t>
      </w:r>
    </w:p>
    <w:p w14:paraId="3C59BD27">
      <w:pPr>
        <w:pStyle w:val="32"/>
        <w:tabs>
          <w:tab w:val="left" w:pos="840"/>
        </w:tabs>
        <w:spacing w:line="360" w:lineRule="auto"/>
        <w:ind w:firstLine="960" w:firstLineChars="400"/>
        <w:rPr>
          <w:rFonts w:hAnsi="宋体" w:cs="宋体"/>
          <w:sz w:val="24"/>
          <w:szCs w:val="24"/>
        </w:rPr>
      </w:pPr>
      <w:r>
        <w:rPr>
          <w:rFonts w:hint="eastAsia" w:hAnsi="宋体" w:cs="宋体"/>
          <w:sz w:val="24"/>
          <w:szCs w:val="24"/>
        </w:rPr>
        <w:t>5.1.3采购需求；</w:t>
      </w:r>
    </w:p>
    <w:p w14:paraId="2517A498">
      <w:pPr>
        <w:pStyle w:val="32"/>
        <w:tabs>
          <w:tab w:val="left" w:pos="840"/>
        </w:tabs>
        <w:spacing w:line="360" w:lineRule="auto"/>
        <w:ind w:firstLine="960" w:firstLineChars="400"/>
        <w:rPr>
          <w:rFonts w:hAnsi="宋体" w:cs="宋体"/>
          <w:sz w:val="24"/>
          <w:szCs w:val="24"/>
        </w:rPr>
      </w:pPr>
      <w:r>
        <w:rPr>
          <w:rFonts w:hint="eastAsia" w:hAnsi="宋体" w:cs="宋体"/>
          <w:sz w:val="24"/>
          <w:szCs w:val="24"/>
        </w:rPr>
        <w:t>5.1.4评标办法；</w:t>
      </w:r>
    </w:p>
    <w:p w14:paraId="481B8AE4">
      <w:pPr>
        <w:pStyle w:val="32"/>
        <w:tabs>
          <w:tab w:val="left" w:pos="840"/>
        </w:tabs>
        <w:spacing w:line="360" w:lineRule="auto"/>
        <w:ind w:firstLine="960" w:firstLineChars="400"/>
        <w:rPr>
          <w:rFonts w:hAnsi="宋体" w:cs="宋体"/>
          <w:sz w:val="24"/>
          <w:szCs w:val="24"/>
        </w:rPr>
      </w:pPr>
      <w:r>
        <w:rPr>
          <w:rFonts w:hint="eastAsia" w:hAnsi="宋体" w:cs="宋体"/>
          <w:sz w:val="24"/>
          <w:szCs w:val="24"/>
        </w:rPr>
        <w:t>5.1.5拟签订的合同文本；</w:t>
      </w:r>
    </w:p>
    <w:p w14:paraId="58D317F1">
      <w:pPr>
        <w:pStyle w:val="32"/>
        <w:tabs>
          <w:tab w:val="left" w:pos="840"/>
        </w:tabs>
        <w:spacing w:line="360" w:lineRule="auto"/>
        <w:ind w:firstLine="960" w:firstLineChars="400"/>
        <w:rPr>
          <w:rFonts w:hAnsi="宋体" w:cs="宋体"/>
          <w:sz w:val="24"/>
          <w:szCs w:val="24"/>
        </w:rPr>
      </w:pPr>
      <w:r>
        <w:rPr>
          <w:rFonts w:hint="eastAsia" w:hAnsi="宋体" w:cs="宋体"/>
          <w:sz w:val="24"/>
        </w:rPr>
        <w:t>5.1.6</w:t>
      </w:r>
      <w:r>
        <w:rPr>
          <w:rFonts w:hint="eastAsia" w:hAnsi="宋体" w:cs="宋体"/>
          <w:sz w:val="24"/>
          <w:szCs w:val="24"/>
        </w:rPr>
        <w:t>应提交的有关格式范例。</w:t>
      </w:r>
    </w:p>
    <w:p w14:paraId="2D97A434">
      <w:pPr>
        <w:spacing w:line="360" w:lineRule="auto"/>
        <w:ind w:firstLine="480" w:firstLineChars="200"/>
        <w:rPr>
          <w:rFonts w:ascii="宋体" w:hAnsi="宋体" w:cs="宋体"/>
          <w:sz w:val="24"/>
        </w:rPr>
      </w:pPr>
      <w:r>
        <w:rPr>
          <w:rFonts w:hint="eastAsia" w:ascii="宋体" w:hAnsi="宋体" w:cs="宋体"/>
          <w:sz w:val="24"/>
        </w:rPr>
        <w:t>5.2与本项目有关的</w:t>
      </w:r>
      <w:r>
        <w:rPr>
          <w:rFonts w:hint="eastAsia" w:ascii="宋体" w:hAnsi="宋体" w:cs="宋体"/>
          <w:bCs/>
          <w:sz w:val="24"/>
        </w:rPr>
        <w:t>澄清或者修改的内容为招标文件的组成部分</w:t>
      </w:r>
      <w:r>
        <w:rPr>
          <w:rFonts w:hint="eastAsia" w:ascii="宋体" w:hAnsi="宋体" w:cs="宋体"/>
          <w:sz w:val="24"/>
        </w:rPr>
        <w:t>。</w:t>
      </w:r>
    </w:p>
    <w:p w14:paraId="5FD04EFE">
      <w:pPr>
        <w:pStyle w:val="32"/>
        <w:spacing w:line="360" w:lineRule="auto"/>
        <w:rPr>
          <w:rFonts w:hAnsi="宋体" w:cs="宋体"/>
          <w:b/>
          <w:sz w:val="24"/>
          <w:szCs w:val="24"/>
        </w:rPr>
      </w:pPr>
      <w:r>
        <w:rPr>
          <w:rFonts w:hint="eastAsia" w:hAnsi="宋体" w:cs="宋体"/>
          <w:b/>
          <w:sz w:val="24"/>
          <w:szCs w:val="24"/>
        </w:rPr>
        <w:t>6. 招标文件的澄清、修改</w:t>
      </w:r>
    </w:p>
    <w:p w14:paraId="49D27EB5">
      <w:pPr>
        <w:pStyle w:val="85"/>
        <w:snapToGrid w:val="0"/>
        <w:spacing w:before="0"/>
        <w:ind w:firstLine="480"/>
        <w:rPr>
          <w:rFonts w:ascii="宋体" w:hAnsi="宋体" w:cs="宋体"/>
        </w:rPr>
      </w:pPr>
      <w:r>
        <w:rPr>
          <w:rFonts w:hint="eastAsia" w:ascii="宋体" w:hAnsi="宋体" w:cs="宋体"/>
        </w:rPr>
        <w:t>6.1已获取招标文件的潜在投标人，若有问题需要澄清，应于投标截止时间前，以书面形式向</w:t>
      </w:r>
      <w:r>
        <w:rPr>
          <w:rFonts w:hint="eastAsia" w:ascii="宋体" w:hAnsi="宋体" w:cs="宋体"/>
          <w:lang w:eastAsia="zh-CN"/>
        </w:rPr>
        <w:t>采购代理机构</w:t>
      </w:r>
      <w:r>
        <w:rPr>
          <w:rFonts w:hint="eastAsia" w:ascii="宋体" w:hAnsi="宋体" w:cs="宋体"/>
        </w:rPr>
        <w:t>提出。</w:t>
      </w:r>
    </w:p>
    <w:p w14:paraId="42538BD8">
      <w:pPr>
        <w:pStyle w:val="85"/>
        <w:snapToGrid w:val="0"/>
        <w:spacing w:before="0"/>
        <w:ind w:firstLine="480"/>
        <w:rPr>
          <w:rFonts w:ascii="宋体" w:hAnsi="宋体" w:cs="宋体"/>
        </w:rPr>
      </w:pPr>
      <w:r>
        <w:rPr>
          <w:rFonts w:hint="eastAsia" w:ascii="宋体" w:hAnsi="宋体" w:cs="宋体"/>
        </w:rPr>
        <w:t xml:space="preserve">6.2 </w:t>
      </w:r>
      <w:r>
        <w:rPr>
          <w:rFonts w:hint="eastAsia" w:ascii="宋体" w:hAnsi="宋体" w:cs="宋体"/>
          <w:lang w:eastAsia="zh-CN"/>
        </w:rPr>
        <w:t>采购代理机构</w:t>
      </w:r>
      <w:r>
        <w:rPr>
          <w:rFonts w:hint="eastAsia" w:ascii="宋体" w:hAnsi="宋体" w:cs="宋体"/>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5CACE07B">
      <w:pPr>
        <w:pStyle w:val="23"/>
        <w:rPr>
          <w:rFonts w:hAnsi="宋体" w:cs="宋体"/>
          <w:sz w:val="18"/>
          <w:szCs w:val="18"/>
          <w:lang w:val="en-US"/>
        </w:rPr>
      </w:pPr>
      <w:r>
        <w:rPr>
          <w:rFonts w:hint="eastAsia" w:hAnsi="宋体" w:cs="宋体"/>
          <w:szCs w:val="24"/>
          <w:lang w:val="en-US"/>
        </w:rPr>
        <w:t xml:space="preserve">    </w:t>
      </w:r>
    </w:p>
    <w:p w14:paraId="63F4BEA0">
      <w:pPr>
        <w:adjustRightInd/>
        <w:spacing w:line="360" w:lineRule="auto"/>
        <w:jc w:val="center"/>
        <w:outlineLvl w:val="0"/>
        <w:rPr>
          <w:rFonts w:ascii="宋体" w:hAnsi="宋体" w:cs="宋体"/>
          <w:b/>
          <w:sz w:val="30"/>
          <w:szCs w:val="20"/>
        </w:rPr>
      </w:pPr>
      <w:r>
        <w:rPr>
          <w:rFonts w:hint="eastAsia" w:ascii="宋体" w:hAnsi="宋体" w:cs="宋体"/>
          <w:b/>
          <w:sz w:val="30"/>
          <w:szCs w:val="20"/>
        </w:rPr>
        <w:t>三、投标</w:t>
      </w:r>
    </w:p>
    <w:p w14:paraId="7D4E266A">
      <w:pPr>
        <w:pStyle w:val="32"/>
        <w:spacing w:line="360" w:lineRule="auto"/>
        <w:rPr>
          <w:rFonts w:hAnsi="宋体" w:cs="宋体"/>
          <w:b/>
          <w:sz w:val="24"/>
          <w:szCs w:val="24"/>
        </w:rPr>
      </w:pPr>
      <w:r>
        <w:rPr>
          <w:rFonts w:hint="eastAsia" w:hAnsi="宋体" w:cs="宋体"/>
          <w:b/>
          <w:sz w:val="24"/>
          <w:szCs w:val="24"/>
        </w:rPr>
        <w:t>7. 招标文件的获取</w:t>
      </w:r>
    </w:p>
    <w:p w14:paraId="068A80B7">
      <w:pPr>
        <w:spacing w:line="360" w:lineRule="auto"/>
        <w:ind w:firstLine="480" w:firstLineChars="200"/>
        <w:rPr>
          <w:rFonts w:ascii="宋体" w:hAnsi="宋体" w:cs="宋体"/>
          <w:snapToGrid w:val="0"/>
          <w:kern w:val="28"/>
          <w:sz w:val="24"/>
        </w:rPr>
      </w:pPr>
      <w:r>
        <w:rPr>
          <w:rFonts w:hint="eastAsia" w:ascii="宋体" w:hAnsi="宋体" w:cs="宋体"/>
          <w:snapToGrid w:val="0"/>
          <w:kern w:val="28"/>
          <w:sz w:val="24"/>
        </w:rPr>
        <w:t>详见招标公告中获取招标文件的时间期限、地点、方式及招标文件售价。</w:t>
      </w:r>
    </w:p>
    <w:p w14:paraId="6BF832DA">
      <w:pPr>
        <w:pStyle w:val="32"/>
        <w:spacing w:line="360" w:lineRule="auto"/>
        <w:rPr>
          <w:rFonts w:hAnsi="宋体" w:cs="宋体"/>
          <w:b/>
          <w:sz w:val="24"/>
          <w:szCs w:val="24"/>
        </w:rPr>
      </w:pPr>
      <w:r>
        <w:rPr>
          <w:rFonts w:hint="eastAsia" w:hAnsi="宋体" w:cs="宋体"/>
          <w:b/>
          <w:sz w:val="24"/>
          <w:szCs w:val="24"/>
        </w:rPr>
        <w:t>8.开标前答疑会或现场考察</w:t>
      </w:r>
    </w:p>
    <w:p w14:paraId="3F9696B4">
      <w:pPr>
        <w:pStyle w:val="32"/>
        <w:spacing w:line="360" w:lineRule="auto"/>
        <w:ind w:firstLine="480" w:firstLineChars="200"/>
        <w:rPr>
          <w:rFonts w:hAnsi="宋体" w:cs="宋体"/>
          <w:sz w:val="24"/>
          <w:szCs w:val="24"/>
        </w:rPr>
      </w:pPr>
      <w:r>
        <w:rPr>
          <w:rFonts w:hint="eastAsia" w:hAnsi="宋体" w:cs="宋体"/>
          <w:sz w:val="24"/>
          <w:szCs w:val="24"/>
        </w:rPr>
        <w:t>采购人组织潜在投标人现场考察或者召开开标前答疑会的，潜在投标人按第二部分投标人须知前附表的规定参加现场考察或者开标前答疑会。</w:t>
      </w:r>
    </w:p>
    <w:p w14:paraId="759474B5">
      <w:pPr>
        <w:pStyle w:val="32"/>
        <w:spacing w:line="360" w:lineRule="auto"/>
        <w:rPr>
          <w:rFonts w:hAnsi="宋体" w:cs="宋体"/>
          <w:b/>
          <w:szCs w:val="24"/>
        </w:rPr>
      </w:pPr>
      <w:r>
        <w:rPr>
          <w:rFonts w:hint="eastAsia" w:hAnsi="宋体" w:cs="宋体"/>
          <w:b/>
          <w:kern w:val="28"/>
          <w:sz w:val="24"/>
          <w:szCs w:val="24"/>
        </w:rPr>
        <w:t>9.投标保证金</w:t>
      </w:r>
    </w:p>
    <w:p w14:paraId="1B0AC85E">
      <w:pPr>
        <w:pStyle w:val="5"/>
        <w:spacing w:line="360" w:lineRule="auto"/>
        <w:ind w:firstLine="470" w:firstLineChars="196"/>
        <w:rPr>
          <w:rFonts w:hAnsi="宋体" w:cs="宋体"/>
          <w:color w:val="auto"/>
          <w:sz w:val="24"/>
        </w:rPr>
      </w:pPr>
      <w:r>
        <w:rPr>
          <w:rFonts w:hint="eastAsia" w:hAnsi="宋体" w:cs="宋体"/>
          <w:color w:val="auto"/>
          <w:sz w:val="24"/>
        </w:rPr>
        <w:t>本项目不需缴纳投标保证金。</w:t>
      </w:r>
    </w:p>
    <w:p w14:paraId="2273B011">
      <w:pPr>
        <w:pStyle w:val="32"/>
        <w:spacing w:line="360" w:lineRule="auto"/>
        <w:rPr>
          <w:rFonts w:hAnsi="宋体" w:cs="宋体"/>
          <w:b/>
          <w:sz w:val="24"/>
          <w:szCs w:val="24"/>
        </w:rPr>
      </w:pPr>
      <w:r>
        <w:rPr>
          <w:rFonts w:hint="eastAsia" w:hAnsi="宋体" w:cs="宋体"/>
          <w:b/>
          <w:sz w:val="24"/>
          <w:szCs w:val="24"/>
        </w:rPr>
        <w:t>10. 投标文件的语言</w:t>
      </w:r>
    </w:p>
    <w:p w14:paraId="5E705934">
      <w:pPr>
        <w:autoSpaceDE w:val="0"/>
        <w:autoSpaceDN w:val="0"/>
        <w:spacing w:line="360" w:lineRule="auto"/>
        <w:ind w:firstLine="480" w:firstLineChars="200"/>
        <w:rPr>
          <w:rFonts w:ascii="宋体" w:hAnsi="宋体" w:cs="宋体"/>
          <w:sz w:val="24"/>
          <w:lang w:val="zh-CN"/>
        </w:rPr>
      </w:pPr>
      <w:r>
        <w:rPr>
          <w:rFonts w:hint="eastAsia" w:ascii="宋体" w:hAnsi="宋体" w:cs="宋体"/>
          <w:sz w:val="24"/>
        </w:rPr>
        <w:t>投标文件及投标人与采购有关的来往通知、函件和文件均应使用中文。</w:t>
      </w:r>
    </w:p>
    <w:p w14:paraId="56C12E9C">
      <w:pPr>
        <w:pStyle w:val="32"/>
        <w:spacing w:line="360" w:lineRule="auto"/>
        <w:rPr>
          <w:rFonts w:hAnsi="宋体" w:cs="宋体"/>
          <w:b/>
          <w:sz w:val="24"/>
          <w:szCs w:val="24"/>
        </w:rPr>
      </w:pPr>
      <w:r>
        <w:rPr>
          <w:rFonts w:hint="eastAsia" w:hAnsi="宋体" w:cs="宋体"/>
          <w:b/>
          <w:sz w:val="24"/>
          <w:szCs w:val="24"/>
        </w:rPr>
        <w:t>11. 投标文件的组成</w:t>
      </w:r>
    </w:p>
    <w:p w14:paraId="62FCAEEE">
      <w:pPr>
        <w:snapToGrid w:val="0"/>
        <w:spacing w:line="360" w:lineRule="auto"/>
        <w:ind w:firstLine="480" w:firstLineChars="200"/>
        <w:rPr>
          <w:rFonts w:ascii="宋体" w:hAnsi="宋体" w:cs="宋体"/>
          <w:color w:val="auto"/>
          <w:sz w:val="24"/>
        </w:rPr>
      </w:pPr>
      <w:r>
        <w:rPr>
          <w:rFonts w:hint="eastAsia" w:ascii="宋体" w:hAnsi="宋体" w:cs="宋体"/>
          <w:sz w:val="24"/>
        </w:rPr>
        <w:t>11.1</w:t>
      </w:r>
      <w:r>
        <w:rPr>
          <w:rFonts w:hint="eastAsia" w:ascii="宋体" w:hAnsi="宋体" w:cs="宋体"/>
          <w:b/>
          <w:sz w:val="24"/>
        </w:rPr>
        <w:t>资格文件</w:t>
      </w:r>
      <w:r>
        <w:rPr>
          <w:rFonts w:hint="eastAsia" w:ascii="宋体" w:hAnsi="宋体" w:cs="宋体"/>
          <w:sz w:val="24"/>
        </w:rPr>
        <w:t>：</w:t>
      </w:r>
    </w:p>
    <w:p w14:paraId="7434F151">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11.1.1符合参加政府采购活动应当具备的一般条件的承诺函；</w:t>
      </w:r>
    </w:p>
    <w:p w14:paraId="5C894076">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w:t>
      </w:r>
      <w:r>
        <w:rPr>
          <w:rFonts w:ascii="宋体" w:hAnsi="宋体" w:cs="宋体"/>
          <w:color w:val="auto"/>
          <w:sz w:val="24"/>
        </w:rPr>
        <w:t>1.1.2</w:t>
      </w:r>
      <w:bookmarkStart w:id="16" w:name="_Hlk101259339"/>
      <w:r>
        <w:rPr>
          <w:rFonts w:hint="eastAsia" w:ascii="宋体" w:hAnsi="宋体" w:cs="宋体"/>
          <w:snapToGrid w:val="0"/>
          <w:color w:val="auto"/>
          <w:kern w:val="28"/>
          <w:sz w:val="24"/>
          <w:szCs w:val="20"/>
        </w:rPr>
        <w:t>联合协议</w:t>
      </w:r>
      <w:bookmarkEnd w:id="16"/>
      <w:r>
        <w:rPr>
          <w:rFonts w:hint="eastAsia" w:ascii="宋体" w:hAnsi="宋体" w:cs="宋体"/>
          <w:snapToGrid w:val="0"/>
          <w:color w:val="auto"/>
          <w:kern w:val="28"/>
          <w:sz w:val="24"/>
          <w:szCs w:val="20"/>
        </w:rPr>
        <w:t>（如果有</w:t>
      </w:r>
      <w:r>
        <w:rPr>
          <w:rFonts w:hint="eastAsia" w:ascii="宋体" w:hAnsi="宋体" w:cs="宋体"/>
          <w:snapToGrid w:val="0"/>
          <w:color w:val="auto"/>
          <w:kern w:val="28"/>
          <w:sz w:val="24"/>
          <w:szCs w:val="20"/>
          <w:lang w:eastAsia="zh-CN"/>
        </w:rPr>
        <w:t>）</w:t>
      </w:r>
      <w:r>
        <w:rPr>
          <w:rFonts w:hint="eastAsia" w:ascii="宋体" w:hAnsi="宋体" w:cs="宋体"/>
          <w:snapToGrid w:val="0"/>
          <w:color w:val="auto"/>
          <w:kern w:val="28"/>
          <w:sz w:val="24"/>
          <w:szCs w:val="20"/>
        </w:rPr>
        <w:t>；</w:t>
      </w:r>
    </w:p>
    <w:p w14:paraId="70D12885">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11.1.</w:t>
      </w:r>
      <w:r>
        <w:rPr>
          <w:rFonts w:ascii="宋体" w:hAnsi="宋体" w:cs="宋体"/>
          <w:color w:val="auto"/>
          <w:sz w:val="24"/>
        </w:rPr>
        <w:t>3</w:t>
      </w:r>
      <w:r>
        <w:rPr>
          <w:rFonts w:hint="eastAsia" w:ascii="宋体" w:hAnsi="宋体" w:cs="宋体"/>
          <w:color w:val="auto"/>
          <w:sz w:val="24"/>
        </w:rPr>
        <w:t>落实政府采购政策需满足的资格要求</w:t>
      </w:r>
      <w:r>
        <w:rPr>
          <w:rFonts w:hint="eastAsia" w:ascii="宋体" w:hAnsi="宋体" w:cs="宋体"/>
          <w:snapToGrid w:val="0"/>
          <w:color w:val="auto"/>
          <w:kern w:val="28"/>
          <w:sz w:val="24"/>
          <w:szCs w:val="20"/>
        </w:rPr>
        <w:t>（如果有</w:t>
      </w:r>
      <w:r>
        <w:rPr>
          <w:rFonts w:hint="eastAsia" w:ascii="宋体" w:hAnsi="宋体" w:cs="宋体"/>
          <w:snapToGrid w:val="0"/>
          <w:color w:val="auto"/>
          <w:kern w:val="28"/>
          <w:sz w:val="24"/>
          <w:szCs w:val="20"/>
          <w:lang w:eastAsia="zh-CN"/>
        </w:rPr>
        <w:t>）</w:t>
      </w:r>
      <w:r>
        <w:rPr>
          <w:rFonts w:hint="eastAsia" w:ascii="宋体" w:hAnsi="宋体" w:cs="宋体"/>
          <w:color w:val="auto"/>
          <w:sz w:val="24"/>
        </w:rPr>
        <w:t>；</w:t>
      </w:r>
    </w:p>
    <w:p w14:paraId="341DF9C7">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11.1.</w:t>
      </w:r>
      <w:r>
        <w:rPr>
          <w:rFonts w:ascii="宋体" w:hAnsi="宋体" w:cs="宋体"/>
          <w:color w:val="auto"/>
          <w:sz w:val="24"/>
        </w:rPr>
        <w:t>4</w:t>
      </w:r>
      <w:r>
        <w:rPr>
          <w:rFonts w:hint="eastAsia" w:ascii="宋体" w:hAnsi="宋体" w:cs="宋体"/>
          <w:color w:val="auto"/>
          <w:sz w:val="24"/>
        </w:rPr>
        <w:t>本项目的特定资格要求</w:t>
      </w:r>
      <w:r>
        <w:rPr>
          <w:rFonts w:hint="eastAsia" w:ascii="宋体" w:hAnsi="宋体" w:cs="宋体"/>
          <w:snapToGrid w:val="0"/>
          <w:color w:val="auto"/>
          <w:kern w:val="28"/>
          <w:sz w:val="24"/>
          <w:szCs w:val="20"/>
        </w:rPr>
        <w:t>（如果有</w:t>
      </w:r>
      <w:r>
        <w:rPr>
          <w:rFonts w:hint="eastAsia" w:ascii="宋体" w:hAnsi="宋体" w:cs="宋体"/>
          <w:snapToGrid w:val="0"/>
          <w:color w:val="auto"/>
          <w:kern w:val="28"/>
          <w:sz w:val="24"/>
          <w:szCs w:val="20"/>
          <w:lang w:eastAsia="zh-CN"/>
        </w:rPr>
        <w:t>）</w:t>
      </w:r>
      <w:r>
        <w:rPr>
          <w:rFonts w:hint="eastAsia" w:ascii="宋体" w:hAnsi="宋体" w:cs="宋体"/>
          <w:color w:val="auto"/>
          <w:sz w:val="24"/>
        </w:rPr>
        <w:t>。</w:t>
      </w:r>
    </w:p>
    <w:p w14:paraId="76B36977">
      <w:pPr>
        <w:snapToGrid w:val="0"/>
        <w:spacing w:line="360" w:lineRule="auto"/>
        <w:ind w:firstLine="480" w:firstLineChars="200"/>
        <w:rPr>
          <w:rFonts w:ascii="宋体" w:hAnsi="宋体" w:cs="宋体"/>
          <w:color w:val="auto"/>
          <w:sz w:val="24"/>
          <w:lang w:val="zh-CN"/>
        </w:rPr>
      </w:pPr>
      <w:r>
        <w:rPr>
          <w:rFonts w:hint="eastAsia" w:ascii="宋体" w:hAnsi="宋体" w:cs="宋体"/>
          <w:color w:val="auto"/>
          <w:sz w:val="24"/>
          <w:lang w:val="zh-CN"/>
        </w:rPr>
        <w:t>11.</w:t>
      </w:r>
      <w:r>
        <w:rPr>
          <w:rFonts w:hint="eastAsia" w:ascii="宋体" w:hAnsi="宋体" w:cs="宋体"/>
          <w:color w:val="auto"/>
          <w:sz w:val="24"/>
        </w:rPr>
        <w:t>2</w:t>
      </w:r>
      <w:r>
        <w:rPr>
          <w:rFonts w:hint="eastAsia" w:ascii="宋体" w:hAnsi="宋体" w:cs="宋体"/>
          <w:color w:val="auto"/>
          <w:sz w:val="24"/>
          <w:lang w:val="zh-CN"/>
        </w:rPr>
        <w:t xml:space="preserve">  </w:t>
      </w:r>
      <w:r>
        <w:rPr>
          <w:rFonts w:hint="eastAsia" w:ascii="宋体" w:hAnsi="宋体" w:cs="宋体"/>
          <w:color w:val="auto"/>
          <w:sz w:val="24"/>
        </w:rPr>
        <w:t>商务技术</w:t>
      </w:r>
      <w:r>
        <w:rPr>
          <w:rFonts w:hint="eastAsia" w:ascii="宋体" w:hAnsi="宋体" w:cs="宋体"/>
          <w:color w:val="auto"/>
          <w:sz w:val="24"/>
          <w:lang w:val="zh-CN"/>
        </w:rPr>
        <w:t>文件：</w:t>
      </w:r>
    </w:p>
    <w:p w14:paraId="2F6B7019">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11.2.1投标函；</w:t>
      </w:r>
      <w:r>
        <w:rPr>
          <w:rFonts w:hint="eastAsia" w:ascii="宋体" w:hAnsi="宋体" w:cs="宋体"/>
          <w:color w:val="auto"/>
          <w:sz w:val="24"/>
          <w:lang w:val="zh-CN"/>
        </w:rPr>
        <w:t xml:space="preserve"> </w:t>
      </w:r>
    </w:p>
    <w:p w14:paraId="4F2CE7AC">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11.2.2授权委托书或法定代表人（单位负责人、自然人本人）身份证明；</w:t>
      </w:r>
    </w:p>
    <w:p w14:paraId="16C40456">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11.2.</w:t>
      </w:r>
      <w:r>
        <w:rPr>
          <w:rFonts w:ascii="宋体" w:hAnsi="宋体" w:cs="宋体"/>
          <w:color w:val="auto"/>
          <w:sz w:val="24"/>
        </w:rPr>
        <w:t>3</w:t>
      </w:r>
      <w:r>
        <w:rPr>
          <w:rFonts w:hint="eastAsia" w:ascii="宋体" w:hAnsi="宋体" w:cs="宋体"/>
          <w:color w:val="auto"/>
          <w:sz w:val="24"/>
        </w:rPr>
        <w:t>分包意向协议</w:t>
      </w:r>
      <w:r>
        <w:rPr>
          <w:rFonts w:hint="eastAsia" w:ascii="宋体" w:hAnsi="宋体" w:cs="宋体"/>
          <w:snapToGrid w:val="0"/>
          <w:color w:val="auto"/>
          <w:kern w:val="28"/>
          <w:sz w:val="24"/>
          <w:szCs w:val="20"/>
        </w:rPr>
        <w:t>（如果有</w:t>
      </w:r>
      <w:r>
        <w:rPr>
          <w:rFonts w:hint="eastAsia" w:ascii="宋体" w:hAnsi="宋体" w:cs="宋体"/>
          <w:snapToGrid w:val="0"/>
          <w:color w:val="auto"/>
          <w:kern w:val="28"/>
          <w:sz w:val="24"/>
          <w:szCs w:val="20"/>
          <w:lang w:eastAsia="zh-CN"/>
        </w:rPr>
        <w:t>）</w:t>
      </w:r>
      <w:r>
        <w:rPr>
          <w:rFonts w:hint="eastAsia" w:ascii="宋体" w:hAnsi="宋体" w:cs="宋体"/>
          <w:color w:val="auto"/>
          <w:sz w:val="24"/>
        </w:rPr>
        <w:t>；</w:t>
      </w:r>
    </w:p>
    <w:p w14:paraId="2C3CF1A7">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11.2.</w:t>
      </w:r>
      <w:r>
        <w:rPr>
          <w:rFonts w:ascii="宋体" w:hAnsi="宋体" w:cs="宋体"/>
          <w:color w:val="auto"/>
          <w:sz w:val="24"/>
        </w:rPr>
        <w:t>4</w:t>
      </w:r>
      <w:r>
        <w:rPr>
          <w:rFonts w:hint="eastAsia" w:ascii="宋体" w:hAnsi="宋体" w:cs="宋体"/>
          <w:color w:val="auto"/>
          <w:sz w:val="24"/>
        </w:rPr>
        <w:t>符合性审查资料；</w:t>
      </w:r>
    </w:p>
    <w:p w14:paraId="10AFE73B">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11.2.</w:t>
      </w:r>
      <w:r>
        <w:rPr>
          <w:rFonts w:ascii="宋体" w:hAnsi="宋体" w:cs="宋体"/>
          <w:color w:val="auto"/>
          <w:sz w:val="24"/>
        </w:rPr>
        <w:t>5</w:t>
      </w:r>
      <w:r>
        <w:rPr>
          <w:rFonts w:hint="eastAsia" w:ascii="宋体" w:hAnsi="宋体" w:cs="宋体"/>
          <w:color w:val="auto"/>
          <w:sz w:val="24"/>
        </w:rPr>
        <w:t>评标标准相应的商务技术资料；</w:t>
      </w:r>
    </w:p>
    <w:p w14:paraId="33443AA3">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11.2.</w:t>
      </w:r>
      <w:r>
        <w:rPr>
          <w:rFonts w:ascii="宋体" w:hAnsi="宋体" w:cs="宋体"/>
          <w:color w:val="auto"/>
          <w:sz w:val="24"/>
        </w:rPr>
        <w:t>6</w:t>
      </w:r>
      <w:r>
        <w:rPr>
          <w:rFonts w:hint="eastAsia" w:ascii="宋体" w:hAnsi="宋体" w:cs="宋体"/>
          <w:color w:val="auto"/>
          <w:sz w:val="24"/>
        </w:rPr>
        <w:t>投标标的清单；</w:t>
      </w:r>
    </w:p>
    <w:p w14:paraId="1FAAEA63">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11.2.</w:t>
      </w:r>
      <w:r>
        <w:rPr>
          <w:rFonts w:ascii="宋体" w:hAnsi="宋体" w:cs="宋体"/>
          <w:color w:val="auto"/>
          <w:sz w:val="24"/>
        </w:rPr>
        <w:t>7</w:t>
      </w:r>
      <w:r>
        <w:rPr>
          <w:rFonts w:hint="eastAsia" w:ascii="宋体" w:hAnsi="宋体" w:cs="宋体"/>
          <w:color w:val="auto"/>
          <w:sz w:val="24"/>
        </w:rPr>
        <w:t>商务技术偏离表；</w:t>
      </w:r>
    </w:p>
    <w:p w14:paraId="652CF4E7">
      <w:pPr>
        <w:snapToGrid w:val="0"/>
        <w:spacing w:line="360" w:lineRule="auto"/>
        <w:ind w:firstLine="960" w:firstLineChars="400"/>
        <w:rPr>
          <w:rFonts w:ascii="宋体" w:hAnsi="宋体" w:cs="宋体"/>
          <w:color w:val="auto"/>
          <w:sz w:val="24"/>
          <w:lang w:val="zh-CN"/>
        </w:rPr>
      </w:pPr>
      <w:r>
        <w:rPr>
          <w:rFonts w:hint="eastAsia" w:ascii="宋体" w:hAnsi="宋体" w:cs="宋体"/>
          <w:color w:val="auto"/>
          <w:sz w:val="24"/>
          <w:lang w:val="zh-CN"/>
        </w:rPr>
        <w:t>11.</w:t>
      </w:r>
      <w:r>
        <w:rPr>
          <w:rFonts w:hint="eastAsia" w:ascii="宋体" w:hAnsi="宋体" w:cs="宋体"/>
          <w:color w:val="auto"/>
          <w:sz w:val="24"/>
        </w:rPr>
        <w:t>2</w:t>
      </w:r>
      <w:r>
        <w:rPr>
          <w:rFonts w:hint="eastAsia" w:ascii="宋体" w:hAnsi="宋体" w:cs="宋体"/>
          <w:color w:val="auto"/>
          <w:sz w:val="24"/>
          <w:lang w:val="zh-CN"/>
        </w:rPr>
        <w:t>.</w:t>
      </w:r>
      <w:r>
        <w:rPr>
          <w:rFonts w:ascii="宋体" w:hAnsi="宋体" w:cs="宋体"/>
          <w:color w:val="auto"/>
          <w:sz w:val="24"/>
        </w:rPr>
        <w:t>8</w:t>
      </w:r>
      <w:r>
        <w:rPr>
          <w:rFonts w:hint="eastAsia" w:ascii="宋体" w:hAnsi="宋体" w:cs="宋体"/>
          <w:color w:val="auto"/>
          <w:sz w:val="24"/>
          <w:lang w:val="zh-CN"/>
        </w:rPr>
        <w:t>政府采购供应商廉洁自律承诺书；</w:t>
      </w:r>
    </w:p>
    <w:p w14:paraId="0C190C3E">
      <w:pPr>
        <w:snapToGrid w:val="0"/>
        <w:spacing w:line="360" w:lineRule="auto"/>
        <w:ind w:firstLine="480" w:firstLineChars="200"/>
        <w:rPr>
          <w:rFonts w:ascii="宋体" w:hAnsi="宋体" w:cs="宋体"/>
          <w:color w:val="auto"/>
          <w:sz w:val="24"/>
          <w:u w:val="single"/>
          <w:lang w:val="zh-CN"/>
        </w:rPr>
      </w:pPr>
      <w:r>
        <w:rPr>
          <w:rFonts w:hint="eastAsia" w:ascii="宋体" w:hAnsi="宋体" w:cs="宋体"/>
          <w:color w:val="auto"/>
          <w:kern w:val="0"/>
          <w:sz w:val="24"/>
          <w:lang w:val="zh-CN"/>
        </w:rPr>
        <w:t>11.</w:t>
      </w:r>
      <w:r>
        <w:rPr>
          <w:rFonts w:hint="eastAsia" w:ascii="宋体" w:hAnsi="宋体" w:cs="宋体"/>
          <w:color w:val="auto"/>
          <w:kern w:val="0"/>
          <w:sz w:val="24"/>
        </w:rPr>
        <w:t>3</w:t>
      </w:r>
      <w:r>
        <w:rPr>
          <w:rFonts w:hint="eastAsia" w:ascii="宋体" w:hAnsi="宋体" w:cs="宋体"/>
          <w:b/>
          <w:color w:val="auto"/>
          <w:sz w:val="24"/>
        </w:rPr>
        <w:t>报价文件：</w:t>
      </w:r>
      <w:r>
        <w:rPr>
          <w:rFonts w:hint="eastAsia" w:ascii="宋体" w:hAnsi="宋体" w:cs="宋体"/>
          <w:color w:val="auto"/>
          <w:sz w:val="24"/>
        </w:rPr>
        <w:t xml:space="preserve"> </w:t>
      </w:r>
    </w:p>
    <w:p w14:paraId="79CE18EB">
      <w:pPr>
        <w:snapToGrid w:val="0"/>
        <w:spacing w:line="360" w:lineRule="auto"/>
        <w:ind w:firstLine="960" w:firstLineChars="400"/>
        <w:rPr>
          <w:rFonts w:hint="eastAsia" w:ascii="宋体" w:hAnsi="宋体" w:cs="宋体"/>
          <w:color w:val="auto"/>
          <w:sz w:val="24"/>
        </w:rPr>
      </w:pPr>
      <w:r>
        <w:rPr>
          <w:rFonts w:hint="eastAsia" w:ascii="宋体" w:hAnsi="宋体" w:cs="宋体"/>
          <w:color w:val="auto"/>
          <w:sz w:val="24"/>
        </w:rPr>
        <w:t>11.3.1开标一览表（报价表）；</w:t>
      </w:r>
    </w:p>
    <w:p w14:paraId="026E0B61">
      <w:pPr>
        <w:snapToGrid w:val="0"/>
        <w:spacing w:line="360" w:lineRule="auto"/>
        <w:ind w:firstLine="960" w:firstLineChars="400"/>
        <w:rPr>
          <w:rFonts w:hint="eastAsia" w:ascii="宋体" w:hAnsi="宋体" w:cs="宋体"/>
          <w:color w:val="auto"/>
          <w:sz w:val="24"/>
        </w:rPr>
      </w:pPr>
      <w:r>
        <w:rPr>
          <w:rFonts w:hint="eastAsia" w:ascii="宋体" w:hAnsi="宋体" w:eastAsia="宋体" w:cs="宋体"/>
          <w:b w:val="0"/>
          <w:bCs w:val="0"/>
          <w:color w:val="auto"/>
          <w:sz w:val="24"/>
          <w:szCs w:val="24"/>
          <w:lang w:val="en-US"/>
        </w:rPr>
        <w:t>11.3.</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lang w:val="en-US"/>
        </w:rPr>
        <w:t xml:space="preserve"> 报价情况说明（如供应商报价低于项目预算50%的，应当提交本文档，详细阐述不影响产品质量或者诚信履约的具体原因）</w:t>
      </w:r>
      <w:r>
        <w:rPr>
          <w:rFonts w:hint="eastAsia" w:ascii="宋体" w:hAnsi="宋体" w:eastAsia="宋体" w:cs="宋体"/>
          <w:b w:val="0"/>
          <w:bCs w:val="0"/>
          <w:color w:val="auto"/>
          <w:sz w:val="24"/>
          <w:szCs w:val="24"/>
          <w:lang w:val="en-US" w:eastAsia="zh-CN"/>
        </w:rPr>
        <w:t>；</w:t>
      </w:r>
    </w:p>
    <w:p w14:paraId="73D7D1E9">
      <w:pPr>
        <w:snapToGrid w:val="0"/>
        <w:spacing w:line="360" w:lineRule="auto"/>
        <w:ind w:firstLine="960" w:firstLineChars="400"/>
        <w:rPr>
          <w:rFonts w:hint="eastAsia" w:ascii="宋体" w:hAnsi="宋体" w:eastAsia="宋体" w:cs="宋体"/>
          <w:b w:val="0"/>
          <w:bCs w:val="0"/>
          <w:color w:val="auto"/>
          <w:sz w:val="24"/>
          <w:szCs w:val="24"/>
          <w:lang w:val="en-US"/>
        </w:rPr>
      </w:pPr>
      <w:r>
        <w:rPr>
          <w:rFonts w:hint="eastAsia" w:ascii="宋体" w:hAnsi="宋体" w:eastAsia="宋体" w:cs="宋体"/>
          <w:b w:val="0"/>
          <w:bCs w:val="0"/>
          <w:color w:val="auto"/>
          <w:sz w:val="24"/>
          <w:szCs w:val="24"/>
          <w:lang w:val="en-US"/>
        </w:rPr>
        <w:t>11.3.</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lang w:val="en-US"/>
        </w:rPr>
        <w:t>中小企业声明函。</w:t>
      </w:r>
    </w:p>
    <w:p w14:paraId="557EF586">
      <w:pPr>
        <w:spacing w:line="360" w:lineRule="auto"/>
        <w:ind w:firstLine="723" w:firstLineChars="300"/>
        <w:rPr>
          <w:rFonts w:ascii="宋体" w:hAnsi="宋体" w:cs="宋体"/>
          <w:b/>
          <w:color w:val="auto"/>
          <w:sz w:val="24"/>
        </w:rPr>
      </w:pPr>
      <w:r>
        <w:rPr>
          <w:rFonts w:hint="eastAsia" w:ascii="宋体" w:hAnsi="宋体" w:cs="宋体"/>
          <w:b/>
          <w:color w:val="auto"/>
          <w:sz w:val="24"/>
        </w:rPr>
        <w:t>投标文件含有采购人不能接受的附加条件的，投标无效；</w:t>
      </w:r>
    </w:p>
    <w:p w14:paraId="28777709">
      <w:pPr>
        <w:spacing w:line="360" w:lineRule="auto"/>
        <w:ind w:firstLine="723" w:firstLineChars="300"/>
        <w:rPr>
          <w:rFonts w:hint="eastAsia" w:ascii="宋体" w:hAnsi="宋体" w:cs="宋体"/>
          <w:b/>
          <w:color w:val="auto"/>
          <w:sz w:val="24"/>
        </w:rPr>
      </w:pPr>
      <w:r>
        <w:rPr>
          <w:rFonts w:hint="eastAsia" w:ascii="宋体" w:hAnsi="宋体" w:cs="宋体"/>
          <w:b/>
          <w:color w:val="auto"/>
          <w:sz w:val="24"/>
        </w:rPr>
        <w:t>投标人提供虚假材料投标的，投标无效。</w:t>
      </w:r>
    </w:p>
    <w:p w14:paraId="3FC30932">
      <w:pPr>
        <w:spacing w:line="360" w:lineRule="auto"/>
        <w:ind w:firstLine="723" w:firstLineChars="300"/>
        <w:rPr>
          <w:rFonts w:hint="eastAsia" w:ascii="宋体" w:hAnsi="宋体" w:cs="宋体"/>
          <w:b/>
          <w:color w:val="auto"/>
          <w:sz w:val="24"/>
        </w:rPr>
      </w:pPr>
      <w:r>
        <w:rPr>
          <w:rFonts w:hint="eastAsia"/>
          <w:b/>
          <w:bCs/>
          <w:color w:val="auto"/>
          <w:sz w:val="24"/>
          <w:szCs w:val="24"/>
          <w:shd w:val="clear" w:color="auto" w:fill="FFFFFF"/>
          <w:lang w:val="en-US" w:eastAsia="zh-CN"/>
        </w:rPr>
        <w:t>投标人应对投标文件中材料的真实性、合法性负责。</w:t>
      </w:r>
    </w:p>
    <w:p w14:paraId="296DD595">
      <w:pPr>
        <w:pStyle w:val="85"/>
        <w:snapToGrid w:val="0"/>
        <w:spacing w:before="0"/>
        <w:ind w:firstLine="0" w:firstLineChars="0"/>
        <w:outlineLvl w:val="0"/>
        <w:rPr>
          <w:rFonts w:ascii="宋体" w:hAnsi="宋体" w:cs="宋体"/>
          <w:b/>
          <w:color w:val="auto"/>
          <w:szCs w:val="24"/>
        </w:rPr>
      </w:pPr>
      <w:r>
        <w:rPr>
          <w:rFonts w:hint="eastAsia" w:ascii="宋体" w:hAnsi="宋体" w:cs="宋体"/>
          <w:b/>
          <w:color w:val="auto"/>
          <w:szCs w:val="24"/>
        </w:rPr>
        <w:t>12</w:t>
      </w:r>
      <w:r>
        <w:rPr>
          <w:rFonts w:hint="eastAsia" w:ascii="宋体" w:hAnsi="宋体" w:cs="宋体"/>
          <w:b/>
          <w:color w:val="auto"/>
          <w:kern w:val="0"/>
          <w:szCs w:val="24"/>
          <w:lang w:val="zh-CN"/>
        </w:rPr>
        <w:t xml:space="preserve">. </w:t>
      </w:r>
      <w:r>
        <w:rPr>
          <w:rFonts w:hint="eastAsia" w:ascii="宋体" w:hAnsi="宋体" w:cs="宋体"/>
          <w:b/>
          <w:color w:val="auto"/>
          <w:szCs w:val="24"/>
        </w:rPr>
        <w:t>投标文件的编制</w:t>
      </w:r>
    </w:p>
    <w:p w14:paraId="1BF098B8">
      <w:pPr>
        <w:spacing w:line="360" w:lineRule="auto"/>
        <w:ind w:firstLine="480" w:firstLineChars="200"/>
        <w:rPr>
          <w:rFonts w:ascii="宋体" w:hAnsi="宋体" w:cs="宋体"/>
          <w:b/>
          <w:sz w:val="24"/>
        </w:rPr>
      </w:pPr>
      <w:r>
        <w:rPr>
          <w:rFonts w:hint="eastAsia" w:ascii="宋体" w:hAnsi="宋体" w:cs="宋体"/>
          <w:color w:val="auto"/>
          <w:kern w:val="0"/>
          <w:sz w:val="24"/>
          <w:lang w:val="zh-CN"/>
        </w:rPr>
        <w:t>12.1投标文件分为资格文件、商务技术文件、报价文件三部分。各投标人在编制投标文件时请按照招标文件第六部分规定的格式进行，</w:t>
      </w:r>
      <w:r>
        <w:rPr>
          <w:rFonts w:hint="eastAsia" w:ascii="宋体" w:hAnsi="宋体" w:cs="宋体"/>
          <w:kern w:val="0"/>
          <w:sz w:val="24"/>
          <w:lang w:val="zh-CN"/>
        </w:rPr>
        <w:t>混乱的编排导致投标文件被误读或评标委员会查找不到有效文件是投标人的风险。</w:t>
      </w:r>
    </w:p>
    <w:p w14:paraId="601A9434">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7F0FD1E7">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12.3使用“政采云电子交易客户端”需要提前申领CA数字证书，申领流程请自行前往“浙江政府采购网-下载专区－电子交易客户端-CA驱动和申领流程”进行查阅。</w:t>
      </w:r>
    </w:p>
    <w:p w14:paraId="5722ED65">
      <w:pPr>
        <w:snapToGrid w:val="0"/>
        <w:spacing w:line="360" w:lineRule="auto"/>
        <w:rPr>
          <w:rFonts w:ascii="宋体" w:hAnsi="宋体" w:cs="宋体"/>
          <w:b/>
          <w:sz w:val="24"/>
        </w:rPr>
      </w:pPr>
      <w:r>
        <w:rPr>
          <w:rFonts w:hint="eastAsia" w:ascii="宋体" w:hAnsi="宋体" w:cs="宋体"/>
          <w:b/>
          <w:sz w:val="24"/>
        </w:rPr>
        <w:t>13.投标文件的签署、盖章</w:t>
      </w:r>
    </w:p>
    <w:p w14:paraId="48FD980E">
      <w:pPr>
        <w:pStyle w:val="85"/>
        <w:snapToGrid w:val="0"/>
        <w:spacing w:before="0"/>
        <w:ind w:firstLine="480"/>
        <w:rPr>
          <w:rFonts w:ascii="宋体" w:hAnsi="宋体" w:cs="宋体"/>
          <w:b/>
        </w:rPr>
      </w:pPr>
      <w:r>
        <w:rPr>
          <w:rFonts w:hint="eastAsia" w:ascii="宋体" w:hAnsi="宋体" w:cs="宋体"/>
          <w:szCs w:val="24"/>
        </w:rPr>
        <w:t>13.1投标文件按照招标文件第六部分格式要</w:t>
      </w:r>
      <w:r>
        <w:rPr>
          <w:rFonts w:hint="eastAsia" w:ascii="宋体" w:hAnsi="宋体" w:cs="宋体"/>
        </w:rPr>
        <w:t>求进行签署、盖章。</w:t>
      </w:r>
      <w:r>
        <w:rPr>
          <w:rFonts w:hint="eastAsia" w:ascii="宋体" w:hAnsi="宋体" w:cs="宋体"/>
          <w:b/>
        </w:rPr>
        <w:t>▲投标人的投标文件未按照招标文件要求签署、盖章的，其投标无效</w:t>
      </w:r>
      <w:r>
        <w:rPr>
          <w:rFonts w:hint="eastAsia" w:ascii="宋体" w:hAnsi="宋体" w:cs="宋体"/>
          <w:szCs w:val="24"/>
        </w:rPr>
        <w:t>。</w:t>
      </w:r>
    </w:p>
    <w:p w14:paraId="327FA1E6">
      <w:pPr>
        <w:pStyle w:val="85"/>
        <w:snapToGrid w:val="0"/>
        <w:spacing w:before="0"/>
        <w:ind w:firstLine="480"/>
        <w:rPr>
          <w:rFonts w:ascii="宋体" w:hAnsi="宋体" w:cs="宋体"/>
        </w:rPr>
      </w:pPr>
      <w:r>
        <w:rPr>
          <w:rFonts w:hint="eastAsia" w:ascii="宋体" w:hAnsi="宋体" w:cs="宋体"/>
        </w:rPr>
        <w:t>13.2为确保网上操作合法、有效和安全，投标人应当在投标截止时间前完成在“政府采购云平台”的身份认证，确保在电子投标过程中能够对相关数据电文进行加密和使用电子签名。</w:t>
      </w:r>
    </w:p>
    <w:p w14:paraId="785CFDA7">
      <w:pPr>
        <w:pStyle w:val="85"/>
        <w:snapToGrid w:val="0"/>
        <w:spacing w:before="0"/>
        <w:ind w:firstLine="480"/>
        <w:rPr>
          <w:rFonts w:ascii="宋体" w:hAnsi="宋体" w:cs="宋体"/>
          <w:szCs w:val="24"/>
        </w:rPr>
      </w:pPr>
      <w:r>
        <w:rPr>
          <w:rFonts w:hint="eastAsia" w:ascii="宋体" w:hAnsi="宋体" w:cs="宋体"/>
        </w:rPr>
        <w:t>13.3招标文件对投标文件签署、盖章的要求适用于电子签名。</w:t>
      </w:r>
    </w:p>
    <w:p w14:paraId="393BB4DC">
      <w:pPr>
        <w:pStyle w:val="85"/>
        <w:spacing w:before="0"/>
        <w:ind w:firstLine="0" w:firstLineChars="0"/>
        <w:rPr>
          <w:rFonts w:ascii="宋体" w:hAnsi="宋体" w:cs="宋体"/>
          <w:b/>
          <w:szCs w:val="24"/>
        </w:rPr>
      </w:pPr>
      <w:r>
        <w:rPr>
          <w:rFonts w:hint="eastAsia" w:ascii="宋体" w:hAnsi="宋体" w:cs="宋体"/>
          <w:b/>
          <w:szCs w:val="24"/>
        </w:rPr>
        <w:t>14. 投标文件的提交、补充、修改、撤回</w:t>
      </w:r>
    </w:p>
    <w:p w14:paraId="2A62DD77">
      <w:pPr>
        <w:pStyle w:val="85"/>
        <w:ind w:firstLine="480"/>
        <w:rPr>
          <w:rFonts w:ascii="宋体" w:hAnsi="宋体" w:cs="宋体"/>
          <w:szCs w:val="24"/>
        </w:rPr>
      </w:pPr>
      <w:r>
        <w:rPr>
          <w:rFonts w:hint="eastAsia" w:ascii="宋体" w:hAnsi="宋体" w:cs="宋体"/>
          <w:szCs w:val="24"/>
        </w:rPr>
        <w:t>14.1 供应商应当在投标截止时间前完成投标文件的传输递交，并可以补充、修改或者撤回投标文件。补充或者修改投标文件的，应当先行撤回原文件，补充、修改后重新传输递交。</w:t>
      </w:r>
      <w:r>
        <w:rPr>
          <w:rFonts w:hint="eastAsia" w:ascii="宋体" w:hAnsi="宋体" w:cs="宋体"/>
          <w:szCs w:val="24"/>
          <w:highlight w:val="none"/>
        </w:rPr>
        <w:t>供应商撤回投标不得损害国家利益、社会公共利益、采购人利益、代理机构利益、其他供应商利益，否则，供应商撤销（撤回）投标无效。投</w:t>
      </w:r>
      <w:r>
        <w:rPr>
          <w:rFonts w:hint="eastAsia" w:ascii="宋体" w:hAnsi="宋体" w:cs="宋体"/>
          <w:szCs w:val="24"/>
        </w:rPr>
        <w:t>标截止时间前未完成传输的，视为撤回投标文件。投标截止时间后递交的投标文件，电子交易平台将拒收。</w:t>
      </w:r>
    </w:p>
    <w:p w14:paraId="3DC6BDFC">
      <w:pPr>
        <w:pStyle w:val="85"/>
        <w:spacing w:before="0"/>
        <w:ind w:firstLine="480"/>
        <w:rPr>
          <w:rFonts w:ascii="宋体" w:hAnsi="宋体" w:cs="宋体"/>
          <w:szCs w:val="24"/>
        </w:rPr>
      </w:pPr>
      <w:r>
        <w:rPr>
          <w:rFonts w:hint="eastAsia" w:ascii="宋体" w:hAnsi="宋体" w:cs="宋体"/>
          <w:szCs w:val="24"/>
        </w:rPr>
        <w:t>14.2电子交易平台收到投标文件，将妥善保存并即时向供应商发出确认回执通知。在投标截止时间前，除供应商补充、修改或者撤回投标文件外，任何单位和个人不得解密或提取投标文件。</w:t>
      </w:r>
    </w:p>
    <w:p w14:paraId="6402DA88">
      <w:pPr>
        <w:pStyle w:val="85"/>
        <w:spacing w:before="0"/>
        <w:ind w:firstLine="480"/>
        <w:rPr>
          <w:rFonts w:ascii="宋体" w:hAnsi="宋体" w:cs="宋体"/>
          <w:szCs w:val="24"/>
        </w:rPr>
      </w:pPr>
      <w:r>
        <w:rPr>
          <w:rFonts w:hint="eastAsia" w:ascii="宋体" w:hAnsi="宋体" w:cs="宋体"/>
          <w:szCs w:val="24"/>
        </w:rPr>
        <w:t>14.3采购人、</w:t>
      </w:r>
      <w:r>
        <w:rPr>
          <w:rFonts w:hint="eastAsia" w:ascii="宋体" w:hAnsi="宋体" w:cs="宋体"/>
          <w:szCs w:val="24"/>
          <w:lang w:eastAsia="zh-CN"/>
        </w:rPr>
        <w:t>采购代理机构</w:t>
      </w:r>
      <w:r>
        <w:rPr>
          <w:rFonts w:hint="eastAsia" w:ascii="宋体" w:hAnsi="宋体" w:cs="宋体"/>
          <w:szCs w:val="24"/>
        </w:rPr>
        <w:t>可以视情况延长投标文件提交的截止时间。在上述情况下，</w:t>
      </w:r>
      <w:r>
        <w:rPr>
          <w:rFonts w:hint="eastAsia" w:ascii="宋体" w:hAnsi="宋体" w:cs="宋体"/>
          <w:szCs w:val="24"/>
          <w:lang w:eastAsia="zh-CN"/>
        </w:rPr>
        <w:t>采购代理机构</w:t>
      </w:r>
      <w:r>
        <w:rPr>
          <w:rFonts w:hint="eastAsia" w:ascii="宋体" w:hAnsi="宋体" w:cs="宋体"/>
          <w:szCs w:val="24"/>
        </w:rPr>
        <w:t>与投标人以前在投标截止期方面的全部权利、责任和义务，将适用于延长至新的投标截止期。</w:t>
      </w:r>
    </w:p>
    <w:p w14:paraId="109EB752">
      <w:pPr>
        <w:pStyle w:val="32"/>
        <w:spacing w:line="360" w:lineRule="auto"/>
        <w:rPr>
          <w:rFonts w:hAnsi="宋体" w:cs="宋体"/>
          <w:b/>
          <w:sz w:val="24"/>
          <w:szCs w:val="24"/>
        </w:rPr>
      </w:pPr>
      <w:r>
        <w:rPr>
          <w:rFonts w:hint="eastAsia" w:hAnsi="宋体" w:cs="宋体"/>
          <w:b/>
          <w:sz w:val="24"/>
          <w:szCs w:val="24"/>
        </w:rPr>
        <w:t>15.备份投标文件</w:t>
      </w:r>
    </w:p>
    <w:p w14:paraId="4A1FBA4C">
      <w:pPr>
        <w:pStyle w:val="32"/>
        <w:spacing w:line="360" w:lineRule="auto"/>
        <w:ind w:firstLine="360" w:firstLineChars="150"/>
        <w:rPr>
          <w:rFonts w:hAnsi="宋体" w:cs="宋体"/>
          <w:b/>
          <w:sz w:val="24"/>
          <w:szCs w:val="24"/>
        </w:rPr>
      </w:pPr>
      <w:r>
        <w:rPr>
          <w:rFonts w:hint="eastAsia" w:hAnsi="宋体" w:cs="宋体"/>
          <w:sz w:val="24"/>
          <w:szCs w:val="24"/>
        </w:rPr>
        <w:t xml:space="preserve"> 15.1投标人在电子交易平台传输递交投标文件后，还可以在投标截止时间前直接提交备份投标文件1份，</w:t>
      </w:r>
      <w:r>
        <w:rPr>
          <w:rFonts w:hint="eastAsia" w:hAnsi="宋体" w:cs="宋体"/>
          <w:b/>
          <w:sz w:val="24"/>
          <w:szCs w:val="24"/>
        </w:rPr>
        <w:t>但采购人、</w:t>
      </w:r>
      <w:r>
        <w:rPr>
          <w:rFonts w:hint="eastAsia" w:hAnsi="宋体" w:cs="宋体"/>
          <w:b/>
          <w:sz w:val="24"/>
          <w:szCs w:val="24"/>
          <w:lang w:eastAsia="zh-CN"/>
        </w:rPr>
        <w:t>采购代理机构</w:t>
      </w:r>
      <w:r>
        <w:rPr>
          <w:rFonts w:hint="eastAsia" w:hAnsi="宋体" w:cs="宋体"/>
          <w:b/>
          <w:sz w:val="24"/>
          <w:szCs w:val="24"/>
        </w:rPr>
        <w:t>不强制或变相强制投标人提交备份投标文件。</w:t>
      </w:r>
    </w:p>
    <w:p w14:paraId="41428BF1">
      <w:pPr>
        <w:pStyle w:val="32"/>
        <w:spacing w:line="360" w:lineRule="auto"/>
        <w:ind w:firstLine="480" w:firstLineChars="200"/>
        <w:rPr>
          <w:rFonts w:hAnsi="宋体" w:cs="宋体"/>
          <w:b/>
          <w:sz w:val="24"/>
          <w:szCs w:val="24"/>
        </w:rPr>
      </w:pPr>
      <w:r>
        <w:rPr>
          <w:rFonts w:hint="eastAsia" w:hAnsi="宋体" w:cs="宋体"/>
          <w:sz w:val="24"/>
          <w:szCs w:val="24"/>
        </w:rPr>
        <w:t>15.2备份投标文件须在“政采云投标客户端”制作生成，并储存在</w:t>
      </w:r>
      <w:r>
        <w:rPr>
          <w:rFonts w:hint="eastAsia" w:hAnsi="宋体" w:cs="宋体"/>
          <w:sz w:val="24"/>
        </w:rPr>
        <w:t>DVD光盘</w:t>
      </w:r>
      <w:r>
        <w:rPr>
          <w:rFonts w:hint="eastAsia" w:hAnsi="宋体" w:cs="宋体"/>
          <w:sz w:val="24"/>
          <w:szCs w:val="24"/>
        </w:rPr>
        <w:t>中。备份投标文件应当密封包装并在包装上加盖公章并注明投标项目名称，投标人名称</w:t>
      </w:r>
      <w:r>
        <w:rPr>
          <w:rFonts w:hint="eastAsia" w:hAnsi="宋体" w:cs="宋体"/>
          <w:sz w:val="24"/>
          <w:szCs w:val="24"/>
          <w:lang w:eastAsia="zh-CN"/>
        </w:rPr>
        <w:t>（</w:t>
      </w:r>
      <w:r>
        <w:rPr>
          <w:rFonts w:hint="eastAsia" w:hAnsi="宋体" w:cs="宋体"/>
          <w:sz w:val="24"/>
          <w:szCs w:val="24"/>
        </w:rPr>
        <w:t>联合体投标的，包装物封面需注明联合体投标，并注明联合体成员各方的名称和联合协议中约定的牵头人的名称</w:t>
      </w:r>
      <w:r>
        <w:rPr>
          <w:rFonts w:hint="eastAsia" w:hAnsi="宋体" w:cs="宋体"/>
          <w:sz w:val="24"/>
          <w:szCs w:val="24"/>
          <w:lang w:eastAsia="zh-CN"/>
        </w:rPr>
        <w:t>）</w:t>
      </w:r>
      <w:r>
        <w:rPr>
          <w:rFonts w:hint="eastAsia" w:hAnsi="宋体" w:cs="宋体"/>
          <w:sz w:val="24"/>
          <w:szCs w:val="24"/>
        </w:rPr>
        <w:t>。</w:t>
      </w:r>
      <w:r>
        <w:rPr>
          <w:rFonts w:hint="eastAsia" w:hAnsi="宋体" w:cs="宋体"/>
          <w:b/>
          <w:sz w:val="24"/>
        </w:rPr>
        <w:t>不符合上述制作、</w:t>
      </w:r>
      <w:r>
        <w:rPr>
          <w:rFonts w:hint="eastAsia" w:hAnsi="宋体" w:cs="宋体"/>
          <w:b/>
          <w:sz w:val="24"/>
          <w:szCs w:val="24"/>
        </w:rPr>
        <w:t>存储、密封规定的备份投标文件将被视为无效或者被拒绝接收。</w:t>
      </w:r>
    </w:p>
    <w:p w14:paraId="62046BDD">
      <w:pPr>
        <w:pStyle w:val="32"/>
        <w:spacing w:line="360" w:lineRule="auto"/>
        <w:ind w:firstLine="480" w:firstLineChars="200"/>
        <w:rPr>
          <w:rFonts w:hAnsi="宋体" w:cs="宋体"/>
          <w:sz w:val="24"/>
          <w:szCs w:val="24"/>
        </w:rPr>
      </w:pPr>
      <w:r>
        <w:rPr>
          <w:rFonts w:hint="eastAsia" w:hAnsi="宋体" w:cs="宋体"/>
          <w:sz w:val="24"/>
          <w:szCs w:val="24"/>
        </w:rPr>
        <w:t>15.3直接提交备份投标文件的，投标人应于投标截止时间前在招标公告中载明的开标地点将备份投标文件提交给</w:t>
      </w:r>
      <w:r>
        <w:rPr>
          <w:rFonts w:hint="eastAsia" w:hAnsi="宋体" w:cs="宋体"/>
          <w:sz w:val="24"/>
          <w:szCs w:val="24"/>
          <w:lang w:eastAsia="zh-CN"/>
        </w:rPr>
        <w:t>采购代理机构</w:t>
      </w:r>
      <w:r>
        <w:rPr>
          <w:rFonts w:hint="eastAsia" w:hAnsi="宋体" w:cs="宋体"/>
          <w:sz w:val="24"/>
          <w:szCs w:val="24"/>
        </w:rPr>
        <w:t>，</w:t>
      </w:r>
      <w:r>
        <w:rPr>
          <w:rFonts w:hint="eastAsia" w:hAnsi="宋体" w:cs="宋体"/>
          <w:sz w:val="24"/>
          <w:szCs w:val="24"/>
          <w:lang w:eastAsia="zh-CN"/>
        </w:rPr>
        <w:t>采购代理机构</w:t>
      </w:r>
      <w:r>
        <w:rPr>
          <w:rFonts w:hint="eastAsia" w:hAnsi="宋体" w:cs="宋体"/>
          <w:sz w:val="24"/>
          <w:szCs w:val="24"/>
        </w:rPr>
        <w:t>将拒绝接受逾期送达的备份投标文件。</w:t>
      </w:r>
    </w:p>
    <w:p w14:paraId="1F6007D4">
      <w:pPr>
        <w:pStyle w:val="32"/>
        <w:spacing w:line="360" w:lineRule="auto"/>
        <w:ind w:firstLine="479" w:firstLineChars="199"/>
        <w:rPr>
          <w:rFonts w:hAnsi="宋体" w:cs="宋体"/>
          <w:b/>
          <w:sz w:val="24"/>
          <w:szCs w:val="24"/>
        </w:rPr>
      </w:pPr>
      <w:r>
        <w:rPr>
          <w:rFonts w:hint="eastAsia" w:hAnsi="宋体" w:cs="宋体"/>
          <w:b/>
          <w:bCs/>
          <w:sz w:val="24"/>
          <w:szCs w:val="24"/>
        </w:rPr>
        <w:t>15.4</w:t>
      </w:r>
      <w:r>
        <w:rPr>
          <w:rFonts w:hint="eastAsia" w:hAnsi="宋体" w:cs="宋体"/>
          <w:b/>
          <w:bCs/>
          <w:sz w:val="24"/>
          <w:szCs w:val="24"/>
          <w:lang w:val="en-US" w:eastAsia="zh-CN"/>
        </w:rPr>
        <w:t xml:space="preserve"> </w:t>
      </w:r>
      <w:r>
        <w:rPr>
          <w:rFonts w:hint="eastAsia" w:hAnsi="宋体" w:cs="宋体"/>
          <w:b/>
          <w:sz w:val="24"/>
          <w:szCs w:val="24"/>
        </w:rPr>
        <w:t>投标人仅提交备份投标文件，未在电子交易平台传输递交投标文件的，投标无效。</w:t>
      </w:r>
    </w:p>
    <w:p w14:paraId="297FBCED">
      <w:pPr>
        <w:pStyle w:val="85"/>
        <w:spacing w:before="0"/>
        <w:ind w:firstLine="0" w:firstLineChars="0"/>
        <w:rPr>
          <w:rFonts w:ascii="宋体" w:hAnsi="宋体" w:cs="宋体"/>
          <w:b/>
          <w:szCs w:val="24"/>
        </w:rPr>
      </w:pPr>
      <w:r>
        <w:rPr>
          <w:rFonts w:hint="eastAsia" w:ascii="宋体" w:hAnsi="宋体" w:cs="宋体"/>
          <w:b/>
          <w:szCs w:val="24"/>
        </w:rPr>
        <w:t>16.投标文件的无效处理</w:t>
      </w:r>
    </w:p>
    <w:p w14:paraId="0737F729">
      <w:pPr>
        <w:pStyle w:val="24"/>
        <w:spacing w:line="360" w:lineRule="auto"/>
        <w:ind w:firstLine="360" w:firstLineChars="150"/>
        <w:rPr>
          <w:rFonts w:cs="宋体"/>
          <w:szCs w:val="21"/>
        </w:rPr>
      </w:pPr>
      <w:r>
        <w:rPr>
          <w:rFonts w:hint="eastAsia" w:cs="宋体"/>
          <w:szCs w:val="21"/>
        </w:rPr>
        <w:t>有招标文件第四部分</w:t>
      </w:r>
      <w:r>
        <w:rPr>
          <w:rFonts w:cs="宋体"/>
        </w:rPr>
        <w:t>4.2规定</w:t>
      </w:r>
      <w:r>
        <w:rPr>
          <w:rFonts w:hint="eastAsia" w:cs="宋体"/>
          <w:szCs w:val="21"/>
        </w:rPr>
        <w:t>的情形之一的，投标无效</w:t>
      </w:r>
      <w:r>
        <w:rPr>
          <w:rFonts w:hint="eastAsia" w:cs="宋体"/>
          <w:szCs w:val="21"/>
          <w:lang w:eastAsia="zh-CN"/>
        </w:rPr>
        <w:t>。</w:t>
      </w:r>
    </w:p>
    <w:p w14:paraId="6CA3DEBA">
      <w:pPr>
        <w:pStyle w:val="85"/>
        <w:spacing w:before="0"/>
        <w:ind w:firstLine="0" w:firstLineChars="0"/>
        <w:rPr>
          <w:rFonts w:ascii="宋体" w:hAnsi="宋体" w:cs="宋体"/>
          <w:b/>
          <w:szCs w:val="24"/>
        </w:rPr>
      </w:pPr>
      <w:r>
        <w:rPr>
          <w:rFonts w:hint="eastAsia" w:ascii="宋体" w:hAnsi="宋体" w:cs="宋体"/>
          <w:b/>
          <w:szCs w:val="24"/>
        </w:rPr>
        <w:t>17.投标有效期</w:t>
      </w:r>
    </w:p>
    <w:p w14:paraId="16ADB083">
      <w:pPr>
        <w:spacing w:line="360" w:lineRule="auto"/>
        <w:ind w:firstLine="480" w:firstLineChars="200"/>
        <w:rPr>
          <w:rFonts w:ascii="宋体" w:hAnsi="宋体" w:cs="宋体"/>
          <w:b/>
          <w:sz w:val="24"/>
          <w:szCs w:val="21"/>
        </w:rPr>
      </w:pPr>
      <w:r>
        <w:rPr>
          <w:rFonts w:hint="eastAsia" w:ascii="宋体" w:hAnsi="宋体" w:cs="宋体"/>
          <w:sz w:val="24"/>
          <w:szCs w:val="20"/>
        </w:rPr>
        <w:t>17.1投标有效期为从提交投标文件的截止之日起90天。▲</w:t>
      </w:r>
      <w:r>
        <w:rPr>
          <w:rFonts w:hint="eastAsia" w:ascii="宋体" w:hAnsi="宋体" w:cs="宋体"/>
          <w:b/>
          <w:sz w:val="24"/>
          <w:szCs w:val="20"/>
        </w:rPr>
        <w:t>投标人的投标文件中承</w:t>
      </w:r>
      <w:r>
        <w:rPr>
          <w:rFonts w:hint="eastAsia" w:ascii="宋体" w:hAnsi="宋体" w:cs="宋体"/>
          <w:b/>
          <w:sz w:val="24"/>
          <w:szCs w:val="21"/>
        </w:rPr>
        <w:t>诺的投标有效期少于招标文件中载明的投标有效期的，投标无效。</w:t>
      </w:r>
    </w:p>
    <w:p w14:paraId="4CBEC0D8">
      <w:pPr>
        <w:pStyle w:val="85"/>
        <w:spacing w:before="0"/>
        <w:ind w:firstLine="480"/>
        <w:rPr>
          <w:rFonts w:ascii="宋体" w:hAnsi="宋体" w:cs="宋体"/>
        </w:rPr>
      </w:pPr>
      <w:r>
        <w:rPr>
          <w:rFonts w:hint="eastAsia" w:ascii="宋体" w:hAnsi="宋体" w:cs="宋体"/>
        </w:rPr>
        <w:t>17.2投标文件合格投递后，自投标截止日期起，在投标有效期内有效。</w:t>
      </w:r>
    </w:p>
    <w:p w14:paraId="75574388">
      <w:pPr>
        <w:pStyle w:val="85"/>
        <w:spacing w:before="0"/>
        <w:ind w:firstLine="480"/>
        <w:rPr>
          <w:rFonts w:hint="eastAsia" w:ascii="宋体" w:hAnsi="宋体" w:cs="宋体"/>
        </w:rPr>
      </w:pPr>
      <w:r>
        <w:rPr>
          <w:rFonts w:hint="eastAsia" w:ascii="宋体" w:hAnsi="宋体" w:cs="宋体"/>
        </w:rPr>
        <w:t>17.3在原定投标有效期满之前，如果出现特殊情况，</w:t>
      </w:r>
      <w:r>
        <w:rPr>
          <w:rFonts w:hint="eastAsia" w:ascii="宋体" w:hAnsi="宋体" w:cs="宋体"/>
          <w:lang w:eastAsia="zh-CN"/>
        </w:rPr>
        <w:t>采购代理机构</w:t>
      </w:r>
      <w:r>
        <w:rPr>
          <w:rFonts w:hint="eastAsia" w:ascii="宋体" w:hAnsi="宋体" w:cs="宋体"/>
        </w:rPr>
        <w:t>可以以书面形式通知投标人延长投标有效期。投标人同意延长的，不得要求或被允许修改其投标文件，投标人拒绝延长的，其投标无效。</w:t>
      </w:r>
    </w:p>
    <w:p w14:paraId="25754F7F">
      <w:pPr>
        <w:pStyle w:val="85"/>
        <w:spacing w:before="0"/>
        <w:ind w:firstLine="480"/>
        <w:rPr>
          <w:rFonts w:ascii="宋体" w:hAnsi="宋体" w:cs="宋体"/>
          <w:highlight w:val="none"/>
        </w:rPr>
      </w:pPr>
      <w:r>
        <w:rPr>
          <w:rFonts w:hint="eastAsia" w:ascii="宋体" w:hAnsi="宋体" w:cs="宋体"/>
          <w:highlight w:val="none"/>
        </w:rPr>
        <w:t>17.4在投标截止时间起至投标有效期届满，供应商投标文件不可撤销。</w:t>
      </w:r>
    </w:p>
    <w:p w14:paraId="07B4EFFD">
      <w:pPr>
        <w:pStyle w:val="85"/>
        <w:spacing w:before="0"/>
        <w:ind w:firstLine="643"/>
        <w:rPr>
          <w:rFonts w:ascii="宋体" w:hAnsi="宋体" w:cs="宋体"/>
          <w:b/>
          <w:sz w:val="32"/>
        </w:rPr>
      </w:pPr>
    </w:p>
    <w:p w14:paraId="33C7536A">
      <w:pPr>
        <w:pStyle w:val="85"/>
        <w:spacing w:before="0"/>
        <w:ind w:firstLine="1928" w:firstLineChars="600"/>
        <w:rPr>
          <w:rFonts w:ascii="宋体" w:hAnsi="宋体" w:cs="宋体"/>
          <w:b/>
          <w:sz w:val="32"/>
        </w:rPr>
      </w:pPr>
      <w:r>
        <w:rPr>
          <w:rFonts w:hint="eastAsia" w:ascii="宋体" w:hAnsi="宋体" w:cs="宋体"/>
          <w:b/>
          <w:sz w:val="32"/>
        </w:rPr>
        <w:t>四、开标、资格审查与信用信息查询</w:t>
      </w:r>
    </w:p>
    <w:p w14:paraId="5564C842">
      <w:pPr>
        <w:pStyle w:val="239"/>
        <w:spacing w:before="0" w:line="360" w:lineRule="auto"/>
        <w:ind w:left="0" w:firstLine="241" w:firstLineChars="100"/>
        <w:contextualSpacing/>
        <w:rPr>
          <w:rFonts w:ascii="宋体" w:hAnsi="宋体" w:cs="宋体"/>
          <w:sz w:val="24"/>
        </w:rPr>
      </w:pPr>
      <w:r>
        <w:rPr>
          <w:rFonts w:hint="eastAsia" w:ascii="宋体" w:hAnsi="宋体" w:cs="宋体"/>
          <w:b/>
          <w:sz w:val="24"/>
          <w:szCs w:val="24"/>
        </w:rPr>
        <w:t>18.开标</w:t>
      </w:r>
      <w:r>
        <w:rPr>
          <w:rFonts w:hint="eastAsia" w:ascii="宋体" w:hAnsi="宋体" w:cs="宋体"/>
          <w:sz w:val="24"/>
        </w:rPr>
        <w:t xml:space="preserve"> </w:t>
      </w:r>
    </w:p>
    <w:p w14:paraId="55D0FFA4">
      <w:pPr>
        <w:pStyle w:val="239"/>
        <w:spacing w:before="0" w:line="360" w:lineRule="auto"/>
        <w:ind w:left="0" w:firstLine="480" w:firstLineChars="200"/>
        <w:contextualSpacing/>
        <w:rPr>
          <w:rFonts w:ascii="宋体" w:hAnsi="宋体" w:cs="宋体"/>
          <w:sz w:val="24"/>
        </w:rPr>
      </w:pPr>
      <w:r>
        <w:rPr>
          <w:rFonts w:hint="eastAsia" w:ascii="宋体" w:hAnsi="宋体" w:cs="宋体"/>
          <w:sz w:val="24"/>
        </w:rPr>
        <w:t>18.1</w:t>
      </w:r>
      <w:r>
        <w:rPr>
          <w:rFonts w:hint="eastAsia" w:ascii="宋体" w:hAnsi="宋体" w:cs="宋体"/>
          <w:sz w:val="24"/>
          <w:lang w:eastAsia="zh-CN"/>
        </w:rPr>
        <w:t>采购代理机构</w:t>
      </w:r>
      <w:r>
        <w:rPr>
          <w:rFonts w:hint="eastAsia" w:ascii="宋体" w:hAnsi="宋体" w:cs="宋体"/>
          <w:sz w:val="24"/>
        </w:rPr>
        <w:t>按照招标文件规定的时间通过电子交易平台组织开标，所有投标人均应当准时在线参加。投标人不足3家的，不得开标。</w:t>
      </w:r>
    </w:p>
    <w:p w14:paraId="1C022E8B">
      <w:pPr>
        <w:pStyle w:val="239"/>
        <w:spacing w:before="0" w:line="360" w:lineRule="auto"/>
        <w:ind w:left="0" w:firstLine="240" w:firstLineChars="100"/>
        <w:contextualSpacing/>
        <w:rPr>
          <w:rFonts w:ascii="宋体" w:hAnsi="宋体" w:cs="宋体"/>
          <w:sz w:val="24"/>
        </w:rPr>
      </w:pPr>
      <w:r>
        <w:rPr>
          <w:rFonts w:hint="eastAsia" w:ascii="宋体" w:hAnsi="宋体" w:cs="宋体"/>
          <w:sz w:val="24"/>
        </w:rPr>
        <w:t>　18.2开标时，电子交易平台按开标时间自动提取所有投标文件。</w:t>
      </w:r>
      <w:r>
        <w:rPr>
          <w:rFonts w:hint="eastAsia" w:ascii="宋体" w:hAnsi="宋体" w:cs="宋体"/>
          <w:sz w:val="24"/>
          <w:lang w:eastAsia="zh-CN"/>
        </w:rPr>
        <w:t>采购代理机构</w:t>
      </w:r>
      <w:r>
        <w:rPr>
          <w:rFonts w:hint="eastAsia" w:ascii="宋体" w:hAnsi="宋体" w:cs="宋体"/>
          <w:sz w:val="24"/>
        </w:rPr>
        <w:t>依托电子交易平台发起开始解密指令，投标人按照平台提示和招标文件的规定在半小时内完成在线解密。</w:t>
      </w:r>
    </w:p>
    <w:p w14:paraId="05B1EB03">
      <w:pPr>
        <w:pStyle w:val="239"/>
        <w:spacing w:before="0" w:line="360" w:lineRule="auto"/>
        <w:ind w:left="0" w:firstLine="240" w:firstLineChars="100"/>
        <w:contextualSpacing/>
        <w:rPr>
          <w:rFonts w:ascii="宋体" w:hAnsi="宋体" w:cs="宋体"/>
          <w:b/>
          <w:sz w:val="24"/>
        </w:rPr>
      </w:pPr>
      <w:r>
        <w:rPr>
          <w:rFonts w:hint="eastAsia" w:ascii="宋体" w:hAnsi="宋体" w:cs="宋体"/>
          <w:sz w:val="24"/>
        </w:rPr>
        <w:t>　18.3</w:t>
      </w:r>
      <w:r>
        <w:rPr>
          <w:rFonts w:hint="eastAsia" w:ascii="宋体" w:hAnsi="宋体" w:cs="宋体"/>
          <w:b/>
          <w:sz w:val="24"/>
        </w:rPr>
        <w:t>投标文件未按时解密，投标人提供了备份投标文件的，以备份投标文件作为依据，否则视为投标文件撤回。投标文件已按时解密的，备份投标文件自动失效。</w:t>
      </w:r>
    </w:p>
    <w:p w14:paraId="5D44C786">
      <w:pPr>
        <w:widowControl/>
        <w:spacing w:before="100" w:beforeAutospacing="1" w:after="240" w:line="360" w:lineRule="auto"/>
        <w:jc w:val="left"/>
        <w:rPr>
          <w:rFonts w:ascii="宋体" w:hAnsi="宋体" w:cs="宋体"/>
          <w:b/>
          <w:sz w:val="24"/>
          <w:szCs w:val="20"/>
        </w:rPr>
      </w:pPr>
      <w:r>
        <w:rPr>
          <w:rFonts w:hint="eastAsia" w:ascii="宋体" w:hAnsi="宋体" w:cs="宋体"/>
          <w:b/>
          <w:sz w:val="24"/>
          <w:szCs w:val="20"/>
        </w:rPr>
        <w:t>　19、资格审查</w:t>
      </w:r>
    </w:p>
    <w:p w14:paraId="7149170F">
      <w:pPr>
        <w:pStyle w:val="85"/>
        <w:spacing w:before="0"/>
        <w:ind w:firstLine="480"/>
        <w:rPr>
          <w:rFonts w:ascii="宋体" w:hAnsi="宋体" w:cs="宋体"/>
          <w:kern w:val="0"/>
          <w:szCs w:val="24"/>
          <w:highlight w:val="none"/>
        </w:rPr>
      </w:pPr>
      <w:r>
        <w:rPr>
          <w:rFonts w:hint="eastAsia" w:ascii="宋体" w:hAnsi="宋体" w:cs="宋体"/>
          <w:kern w:val="0"/>
          <w:szCs w:val="24"/>
          <w:highlight w:val="none"/>
        </w:rPr>
        <w:t>19.1开标后，采购人将依据法律法规和招标文件的规定，对投标人的资格进行审查。</w:t>
      </w:r>
    </w:p>
    <w:p w14:paraId="6EF8B0D1">
      <w:pPr>
        <w:pStyle w:val="85"/>
        <w:spacing w:before="0"/>
        <w:ind w:firstLine="480"/>
        <w:rPr>
          <w:rFonts w:ascii="宋体" w:hAnsi="宋体" w:cs="宋体"/>
          <w:highlight w:val="none"/>
        </w:rPr>
      </w:pPr>
      <w:r>
        <w:rPr>
          <w:rFonts w:hint="eastAsia" w:ascii="宋体" w:hAnsi="宋体" w:cs="宋体"/>
          <w:kern w:val="0"/>
          <w:szCs w:val="24"/>
          <w:highlight w:val="none"/>
        </w:rPr>
        <w:t>19.2投标人未按照招标文件要求提供与</w:t>
      </w:r>
      <w:r>
        <w:rPr>
          <w:rFonts w:hint="eastAsia" w:ascii="宋体" w:hAnsi="宋体" w:cs="宋体"/>
          <w:highlight w:val="none"/>
        </w:rPr>
        <w:t>资格条件相应的</w:t>
      </w:r>
      <w:r>
        <w:rPr>
          <w:rFonts w:hint="eastAsia" w:ascii="宋体" w:hAnsi="宋体" w:cs="宋体"/>
          <w:kern w:val="0"/>
          <w:szCs w:val="24"/>
          <w:highlight w:val="none"/>
        </w:rPr>
        <w:t>有效资格证明材料的，视为</w:t>
      </w:r>
      <w:r>
        <w:rPr>
          <w:rFonts w:hint="eastAsia" w:ascii="宋体" w:hAnsi="宋体" w:cs="宋体"/>
          <w:highlight w:val="none"/>
        </w:rPr>
        <w:t>投标人不具备招标文件中规定的资格要求，其投标无效。</w:t>
      </w:r>
    </w:p>
    <w:p w14:paraId="60BA65D2">
      <w:pPr>
        <w:pStyle w:val="85"/>
        <w:spacing w:before="0"/>
        <w:ind w:firstLine="480"/>
        <w:rPr>
          <w:rFonts w:ascii="宋体" w:hAnsi="宋体" w:cs="宋体"/>
          <w:highlight w:val="none"/>
        </w:rPr>
      </w:pPr>
      <w:r>
        <w:rPr>
          <w:rFonts w:hint="eastAsia" w:ascii="宋体" w:hAnsi="宋体" w:cs="宋体"/>
          <w:kern w:val="0"/>
          <w:szCs w:val="24"/>
          <w:highlight w:val="none"/>
        </w:rPr>
        <w:t>19.</w:t>
      </w:r>
      <w:r>
        <w:rPr>
          <w:rFonts w:hint="eastAsia" w:ascii="宋体" w:hAnsi="宋体" w:cs="宋体"/>
          <w:highlight w:val="none"/>
        </w:rPr>
        <w:t>3对未通过资格审查的投标人，告知其未通过的原因。</w:t>
      </w:r>
    </w:p>
    <w:p w14:paraId="2C117E19">
      <w:pPr>
        <w:pStyle w:val="85"/>
        <w:spacing w:before="0"/>
        <w:ind w:firstLine="480"/>
        <w:rPr>
          <w:rFonts w:hint="eastAsia" w:ascii="宋体" w:hAnsi="宋体" w:cs="宋体"/>
          <w:highlight w:val="none"/>
        </w:rPr>
      </w:pPr>
      <w:r>
        <w:rPr>
          <w:rFonts w:hint="eastAsia" w:ascii="宋体" w:hAnsi="宋体" w:cs="宋体"/>
          <w:kern w:val="0"/>
          <w:szCs w:val="24"/>
          <w:highlight w:val="none"/>
        </w:rPr>
        <w:t>19.</w:t>
      </w:r>
      <w:r>
        <w:rPr>
          <w:rFonts w:hint="eastAsia" w:ascii="宋体" w:hAnsi="宋体" w:cs="宋体"/>
          <w:highlight w:val="none"/>
        </w:rPr>
        <w:t>4合格投标人不足3家的，不再评标。</w:t>
      </w:r>
    </w:p>
    <w:p w14:paraId="70DAD688">
      <w:pPr>
        <w:pStyle w:val="85"/>
        <w:spacing w:before="0"/>
        <w:ind w:firstLine="480"/>
        <w:rPr>
          <w:rFonts w:hint="eastAsia" w:ascii="宋体" w:hAnsi="宋体" w:cs="宋体"/>
          <w:highlight w:val="none"/>
        </w:rPr>
      </w:pPr>
      <w:r>
        <w:rPr>
          <w:rFonts w:hint="eastAsia" w:ascii="宋体" w:hAnsi="宋体" w:cs="宋体"/>
          <w:color w:val="auto"/>
          <w:kern w:val="0"/>
          <w:szCs w:val="24"/>
        </w:rPr>
        <w:t>19.5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政府采购活动。</w:t>
      </w:r>
    </w:p>
    <w:p w14:paraId="2E956926">
      <w:pPr>
        <w:pStyle w:val="85"/>
        <w:spacing w:before="0"/>
        <w:ind w:firstLine="0" w:firstLineChars="0"/>
        <w:rPr>
          <w:rFonts w:ascii="宋体" w:hAnsi="宋体" w:cs="宋体"/>
          <w:b/>
          <w:szCs w:val="24"/>
        </w:rPr>
      </w:pPr>
      <w:r>
        <w:rPr>
          <w:rFonts w:hint="eastAsia" w:ascii="宋体" w:hAnsi="宋体" w:cs="宋体"/>
          <w:b/>
          <w:szCs w:val="24"/>
        </w:rPr>
        <w:t>20、信用信息查询</w:t>
      </w:r>
    </w:p>
    <w:p w14:paraId="569A11B8">
      <w:pPr>
        <w:pStyle w:val="85"/>
        <w:spacing w:before="0"/>
        <w:ind w:firstLine="495" w:firstLineChars="0"/>
        <w:rPr>
          <w:rFonts w:ascii="宋体" w:hAnsi="宋体" w:cs="宋体"/>
          <w:kern w:val="0"/>
          <w:szCs w:val="24"/>
        </w:rPr>
      </w:pPr>
      <w:r>
        <w:rPr>
          <w:rFonts w:hint="eastAsia" w:ascii="宋体" w:hAnsi="宋体" w:cs="宋体"/>
          <w:kern w:val="0"/>
          <w:szCs w:val="24"/>
        </w:rPr>
        <w:t>20.1信用信息查询渠道及截止时间：</w:t>
      </w:r>
      <w:r>
        <w:rPr>
          <w:rFonts w:hint="eastAsia" w:ascii="宋体" w:hAnsi="宋体" w:cs="宋体"/>
          <w:kern w:val="0"/>
          <w:szCs w:val="24"/>
          <w:lang w:eastAsia="zh-CN"/>
        </w:rPr>
        <w:t>采购代理机构</w:t>
      </w:r>
      <w:r>
        <w:rPr>
          <w:rFonts w:hint="eastAsia" w:ascii="宋体" w:hAnsi="宋体" w:cs="宋体"/>
          <w:kern w:val="0"/>
          <w:szCs w:val="24"/>
        </w:rPr>
        <w:t>将在资格审查时通过“信用中国”网站</w:t>
      </w:r>
      <w:r>
        <w:rPr>
          <w:rFonts w:hint="eastAsia" w:ascii="宋体" w:hAnsi="宋体" w:cs="宋体"/>
          <w:kern w:val="0"/>
          <w:szCs w:val="24"/>
          <w:lang w:eastAsia="zh-CN"/>
        </w:rPr>
        <w:t>（</w:t>
      </w:r>
      <w:r>
        <w:rPr>
          <w:rFonts w:hint="eastAsia" w:ascii="宋体" w:hAnsi="宋体" w:cs="宋体"/>
          <w:kern w:val="0"/>
          <w:szCs w:val="24"/>
        </w:rPr>
        <w:t>www.creditchina.gov.cn</w:t>
      </w:r>
      <w:r>
        <w:rPr>
          <w:rFonts w:hint="eastAsia" w:ascii="宋体" w:hAnsi="宋体" w:cs="宋体"/>
          <w:kern w:val="0"/>
          <w:szCs w:val="24"/>
          <w:lang w:eastAsia="zh-CN"/>
        </w:rPr>
        <w:t>）</w:t>
      </w:r>
      <w:r>
        <w:rPr>
          <w:rFonts w:hint="eastAsia" w:ascii="宋体" w:hAnsi="宋体" w:cs="宋体"/>
          <w:kern w:val="0"/>
          <w:szCs w:val="24"/>
        </w:rPr>
        <w:t>、中国政府采购网</w:t>
      </w:r>
      <w:r>
        <w:rPr>
          <w:rFonts w:hint="eastAsia" w:ascii="宋体" w:hAnsi="宋体" w:cs="宋体"/>
          <w:kern w:val="0"/>
          <w:szCs w:val="24"/>
          <w:lang w:eastAsia="zh-CN"/>
        </w:rPr>
        <w:t>（</w:t>
      </w:r>
      <w:r>
        <w:rPr>
          <w:rFonts w:hint="eastAsia" w:ascii="宋体" w:hAnsi="宋体" w:cs="宋体"/>
          <w:kern w:val="0"/>
          <w:szCs w:val="24"/>
        </w:rPr>
        <w:t>www.ccgp.gov.cn</w:t>
      </w:r>
      <w:r>
        <w:rPr>
          <w:rFonts w:hint="eastAsia" w:ascii="宋体" w:hAnsi="宋体" w:cs="宋体"/>
          <w:kern w:val="0"/>
          <w:szCs w:val="24"/>
          <w:lang w:eastAsia="zh-CN"/>
        </w:rPr>
        <w:t>）</w:t>
      </w:r>
      <w:r>
        <w:rPr>
          <w:rFonts w:hint="eastAsia" w:ascii="宋体" w:hAnsi="宋体" w:cs="宋体"/>
          <w:kern w:val="0"/>
          <w:szCs w:val="24"/>
        </w:rPr>
        <w:t>渠道查询投标人接受资格审查时的信用记录。</w:t>
      </w:r>
    </w:p>
    <w:p w14:paraId="4D72FAC7">
      <w:pPr>
        <w:pStyle w:val="85"/>
        <w:spacing w:before="0"/>
        <w:ind w:firstLine="495" w:firstLineChars="0"/>
        <w:rPr>
          <w:rFonts w:ascii="宋体" w:hAnsi="宋体" w:cs="宋体"/>
          <w:kern w:val="0"/>
          <w:szCs w:val="24"/>
        </w:rPr>
      </w:pPr>
      <w:r>
        <w:rPr>
          <w:rFonts w:hint="eastAsia" w:ascii="宋体" w:hAnsi="宋体" w:cs="宋体"/>
          <w:kern w:val="0"/>
          <w:szCs w:val="24"/>
        </w:rPr>
        <w:t>20.2信用信息查询记录和证据留存的具体方式：现场查询的投标人的信用记录、查询结果经确认后将与采购文件一起存档。</w:t>
      </w:r>
    </w:p>
    <w:p w14:paraId="253EA829">
      <w:pPr>
        <w:pStyle w:val="85"/>
        <w:spacing w:before="0"/>
        <w:ind w:firstLine="495" w:firstLineChars="0"/>
        <w:rPr>
          <w:rFonts w:ascii="宋体" w:hAnsi="宋体" w:cs="宋体"/>
          <w:kern w:val="0"/>
          <w:szCs w:val="24"/>
        </w:rPr>
      </w:pPr>
      <w:r>
        <w:rPr>
          <w:rFonts w:hint="eastAsia" w:ascii="宋体" w:hAnsi="宋体" w:cs="宋体"/>
          <w:kern w:val="0"/>
          <w:szCs w:val="24"/>
        </w:rPr>
        <w:t>20.3信用信息的使用规则：经查询列入失信被执行人名单、重大税收违法案件当事人名单、政府采购严重违法失信行为记录名单的投标人将被拒绝参与政府采购活动。</w:t>
      </w:r>
    </w:p>
    <w:p w14:paraId="00A91D20">
      <w:pPr>
        <w:pStyle w:val="85"/>
        <w:spacing w:before="0"/>
        <w:ind w:firstLine="480"/>
        <w:rPr>
          <w:rFonts w:ascii="宋体" w:hAnsi="宋体" w:cs="宋体"/>
        </w:rPr>
      </w:pPr>
      <w:r>
        <w:rPr>
          <w:rFonts w:hint="eastAsia" w:ascii="宋体" w:hAnsi="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rPr>
        <w:t>。</w:t>
      </w:r>
    </w:p>
    <w:p w14:paraId="2A142FA4">
      <w:pPr>
        <w:pStyle w:val="85"/>
        <w:spacing w:before="0"/>
        <w:ind w:firstLine="0" w:firstLineChars="0"/>
        <w:rPr>
          <w:rFonts w:ascii="宋体" w:hAnsi="宋体" w:cs="宋体"/>
          <w:kern w:val="0"/>
          <w:szCs w:val="24"/>
        </w:rPr>
      </w:pPr>
    </w:p>
    <w:p w14:paraId="40F4143B">
      <w:pPr>
        <w:snapToGrid w:val="0"/>
        <w:spacing w:line="360" w:lineRule="auto"/>
        <w:jc w:val="center"/>
        <w:outlineLvl w:val="0"/>
        <w:rPr>
          <w:rFonts w:ascii="宋体" w:hAnsi="宋体" w:cs="宋体"/>
          <w:b/>
          <w:sz w:val="36"/>
          <w:szCs w:val="36"/>
        </w:rPr>
      </w:pPr>
      <w:r>
        <w:rPr>
          <w:rFonts w:hint="eastAsia" w:ascii="宋体" w:hAnsi="宋体" w:cs="宋体"/>
          <w:b/>
          <w:sz w:val="36"/>
          <w:szCs w:val="36"/>
        </w:rPr>
        <w:t>五、评标</w:t>
      </w:r>
    </w:p>
    <w:p w14:paraId="65C30C6E">
      <w:pPr>
        <w:spacing w:line="360" w:lineRule="auto"/>
        <w:rPr>
          <w:rFonts w:ascii="宋体" w:hAnsi="宋体" w:cs="宋体"/>
          <w:b/>
          <w:sz w:val="24"/>
        </w:rPr>
      </w:pPr>
      <w:bookmarkStart w:id="17" w:name="_Toc91899903"/>
      <w:r>
        <w:rPr>
          <w:rFonts w:hint="eastAsia" w:ascii="宋体" w:hAnsi="宋体" w:cs="宋体"/>
          <w:b/>
          <w:sz w:val="24"/>
        </w:rPr>
        <w:t>21.</w:t>
      </w:r>
      <w:r>
        <w:rPr>
          <w:rFonts w:hint="eastAsia" w:ascii="宋体" w:hAnsi="宋体" w:cs="宋体"/>
        </w:rPr>
        <w:t xml:space="preserve"> </w:t>
      </w:r>
      <w:r>
        <w:rPr>
          <w:rFonts w:hint="eastAsia" w:ascii="宋体" w:hAnsi="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rPr>
        <w:t>详见招标文件第四部分评标办法。</w:t>
      </w:r>
    </w:p>
    <w:p w14:paraId="437648BD">
      <w:pPr>
        <w:spacing w:line="360" w:lineRule="auto"/>
        <w:rPr>
          <w:rFonts w:ascii="宋体" w:hAnsi="宋体" w:cs="宋体"/>
          <w:b/>
          <w:sz w:val="24"/>
        </w:rPr>
      </w:pPr>
    </w:p>
    <w:p w14:paraId="44D0C005">
      <w:pPr>
        <w:snapToGrid w:val="0"/>
        <w:spacing w:line="360" w:lineRule="auto"/>
        <w:jc w:val="center"/>
        <w:outlineLvl w:val="0"/>
        <w:rPr>
          <w:rFonts w:ascii="宋体" w:hAnsi="宋体" w:cs="宋体"/>
          <w:b/>
          <w:sz w:val="36"/>
          <w:szCs w:val="36"/>
        </w:rPr>
      </w:pPr>
      <w:r>
        <w:rPr>
          <w:rFonts w:hint="eastAsia" w:ascii="宋体" w:hAnsi="宋体" w:cs="宋体"/>
          <w:b/>
          <w:sz w:val="36"/>
          <w:szCs w:val="36"/>
        </w:rPr>
        <w:t>六、定 标</w:t>
      </w:r>
    </w:p>
    <w:p w14:paraId="3BB27F68">
      <w:pPr>
        <w:pStyle w:val="24"/>
        <w:spacing w:line="360" w:lineRule="auto"/>
        <w:ind w:left="479" w:hanging="479" w:hangingChars="199"/>
        <w:rPr>
          <w:rFonts w:cs="宋体"/>
          <w:b/>
        </w:rPr>
      </w:pPr>
      <w:r>
        <w:rPr>
          <w:rFonts w:hint="eastAsia" w:cs="宋体"/>
          <w:b/>
        </w:rPr>
        <w:t>22. 确定中标供应商</w:t>
      </w:r>
    </w:p>
    <w:p w14:paraId="2FE8405A">
      <w:pPr>
        <w:pStyle w:val="85"/>
        <w:snapToGrid w:val="0"/>
        <w:spacing w:before="0"/>
        <w:ind w:firstLine="480"/>
        <w:rPr>
          <w:rFonts w:ascii="宋体" w:hAnsi="宋体" w:cs="宋体"/>
          <w:b/>
          <w:szCs w:val="24"/>
          <w:highlight w:val="none"/>
        </w:rPr>
      </w:pPr>
      <w:r>
        <w:rPr>
          <w:rFonts w:hint="eastAsia" w:ascii="宋体" w:hAnsi="宋体" w:cs="宋体"/>
          <w:szCs w:val="24"/>
        </w:rPr>
        <w:t>政府采购项目实行全流程电子化，评审报告送交、采购结果确定和结果公告均在线完成。为进一步提升采购结果确定效率，采购代理机构应当依法及时将评审报告</w:t>
      </w:r>
      <w:r>
        <w:rPr>
          <w:rFonts w:hint="eastAsia" w:ascii="宋体" w:hAnsi="宋体" w:cs="宋体"/>
          <w:szCs w:val="24"/>
          <w:highlight w:val="none"/>
        </w:rPr>
        <w:t>在线送交采购人。采购单位应当自收到评审报告之日起2个工作日内在线确定中标供应商。在采购结果确认环节，中标候选人撤销投标文件不能成为采购人不确认采购结果的正当理由。中标通知书和中标结果公告应当在规定时间内同时发出。</w:t>
      </w:r>
    </w:p>
    <w:p w14:paraId="778804B3">
      <w:pPr>
        <w:pStyle w:val="85"/>
        <w:snapToGrid w:val="0"/>
        <w:spacing w:before="0"/>
        <w:ind w:firstLine="0" w:firstLineChars="0"/>
        <w:rPr>
          <w:rFonts w:ascii="宋体" w:hAnsi="宋体" w:cs="宋体"/>
          <w:b/>
          <w:szCs w:val="24"/>
          <w:highlight w:val="none"/>
        </w:rPr>
      </w:pPr>
      <w:r>
        <w:rPr>
          <w:rFonts w:hint="eastAsia" w:ascii="宋体" w:hAnsi="宋体" w:cs="宋体"/>
          <w:b/>
          <w:szCs w:val="24"/>
          <w:highlight w:val="none"/>
        </w:rPr>
        <w:t>23. 中标通知与中标结果公告</w:t>
      </w:r>
    </w:p>
    <w:p w14:paraId="1E2BAE13">
      <w:pPr>
        <w:widowControl/>
        <w:shd w:val="clear" w:color="auto" w:fill="FFFFFF"/>
        <w:spacing w:line="360" w:lineRule="auto"/>
        <w:ind w:firstLine="480"/>
        <w:jc w:val="left"/>
        <w:rPr>
          <w:rFonts w:ascii="宋体" w:hAnsi="宋体" w:cs="宋体"/>
          <w:sz w:val="24"/>
        </w:rPr>
      </w:pPr>
      <w:r>
        <w:rPr>
          <w:rFonts w:hint="eastAsia" w:ascii="宋体" w:hAnsi="宋体" w:cs="宋体"/>
          <w:sz w:val="24"/>
        </w:rPr>
        <w:t>23.1自中标人确定之日起2个工作日内，</w:t>
      </w:r>
      <w:r>
        <w:rPr>
          <w:rFonts w:hint="eastAsia" w:ascii="宋体" w:hAnsi="宋体" w:cs="宋体"/>
          <w:sz w:val="24"/>
          <w:lang w:eastAsia="zh-CN"/>
        </w:rPr>
        <w:t>采购代理机构</w:t>
      </w:r>
      <w:r>
        <w:rPr>
          <w:rFonts w:hint="eastAsia" w:ascii="宋体" w:hAnsi="宋体" w:cs="宋体"/>
          <w:sz w:val="24"/>
        </w:rPr>
        <w:t>通过电子交易平台向中标人发出中标通知书，同时编制发布采购结果公告。</w:t>
      </w:r>
      <w:r>
        <w:rPr>
          <w:rFonts w:hint="eastAsia" w:ascii="宋体" w:hAnsi="宋体" w:cs="宋体"/>
          <w:sz w:val="24"/>
          <w:lang w:eastAsia="zh-CN"/>
        </w:rPr>
        <w:t>采购代理机构</w:t>
      </w:r>
      <w:r>
        <w:rPr>
          <w:rFonts w:hint="eastAsia" w:ascii="宋体" w:hAnsi="宋体" w:cs="宋体"/>
          <w:sz w:val="24"/>
        </w:rPr>
        <w:t>也可以以纸质形式进行中标通知。</w:t>
      </w:r>
    </w:p>
    <w:p w14:paraId="4F3375E7">
      <w:pPr>
        <w:widowControl/>
        <w:shd w:val="clear" w:color="auto" w:fill="FFFFFF"/>
        <w:spacing w:line="360" w:lineRule="auto"/>
        <w:ind w:firstLine="480"/>
        <w:jc w:val="left"/>
        <w:rPr>
          <w:rFonts w:ascii="宋体" w:hAnsi="宋体" w:cs="宋体"/>
          <w:sz w:val="24"/>
        </w:rPr>
      </w:pPr>
      <w:r>
        <w:rPr>
          <w:rFonts w:hint="eastAsia" w:ascii="宋体" w:hAnsi="宋体" w:cs="宋体"/>
          <w:sz w:val="24"/>
        </w:rPr>
        <w:t>23.2中标结果公告内容包括采购人及其委托的</w:t>
      </w:r>
      <w:r>
        <w:rPr>
          <w:rFonts w:hint="eastAsia" w:ascii="宋体" w:hAnsi="宋体" w:cs="宋体"/>
          <w:sz w:val="24"/>
          <w:lang w:eastAsia="zh-CN"/>
        </w:rPr>
        <w:t>采购代理机构</w:t>
      </w:r>
      <w:r>
        <w:rPr>
          <w:rFonts w:hint="eastAsia" w:ascii="宋体" w:hAnsi="宋体" w:cs="宋体"/>
          <w:sz w:val="24"/>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58CC9CF6">
      <w:pPr>
        <w:widowControl/>
        <w:shd w:val="clear" w:color="auto" w:fill="FFFFFF"/>
        <w:spacing w:line="360" w:lineRule="auto"/>
        <w:ind w:firstLine="480"/>
        <w:jc w:val="left"/>
        <w:rPr>
          <w:rFonts w:ascii="宋体" w:hAnsi="宋体" w:cs="宋体"/>
          <w:sz w:val="24"/>
        </w:rPr>
      </w:pPr>
      <w:r>
        <w:rPr>
          <w:rFonts w:hint="eastAsia" w:ascii="宋体" w:hAnsi="宋体" w:cs="宋体"/>
          <w:sz w:val="24"/>
        </w:rPr>
        <w:t>23.3公告期限为1个工作日。</w:t>
      </w:r>
    </w:p>
    <w:p w14:paraId="5DA03392">
      <w:pPr>
        <w:snapToGrid w:val="0"/>
        <w:spacing w:line="360" w:lineRule="auto"/>
        <w:ind w:left="120" w:leftChars="57" w:firstLine="482" w:firstLineChars="150"/>
        <w:jc w:val="center"/>
        <w:rPr>
          <w:rFonts w:ascii="宋体" w:hAnsi="宋体" w:cs="宋体"/>
          <w:b/>
          <w:sz w:val="32"/>
        </w:rPr>
      </w:pPr>
    </w:p>
    <w:p w14:paraId="09DE1360">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七、合同授予</w:t>
      </w:r>
    </w:p>
    <w:p w14:paraId="542CBF90">
      <w:pPr>
        <w:pStyle w:val="24"/>
        <w:spacing w:line="360" w:lineRule="auto"/>
        <w:ind w:left="479" w:hanging="479" w:hangingChars="199"/>
        <w:rPr>
          <w:rFonts w:cs="宋体"/>
          <w:b/>
        </w:rPr>
      </w:pPr>
      <w:r>
        <w:rPr>
          <w:rFonts w:hint="eastAsia" w:cs="宋体"/>
          <w:b/>
        </w:rPr>
        <w:t xml:space="preserve">24. </w:t>
      </w:r>
      <w:r>
        <w:rPr>
          <w:rFonts w:hint="eastAsia" w:cs="宋体"/>
        </w:rPr>
        <w:t>合同主要条款详见第五部分拟签订的合同文本。</w:t>
      </w:r>
    </w:p>
    <w:p w14:paraId="4B05B2BB">
      <w:pPr>
        <w:pStyle w:val="24"/>
        <w:spacing w:line="360" w:lineRule="auto"/>
        <w:ind w:left="479" w:hanging="479" w:hangingChars="199"/>
        <w:rPr>
          <w:rFonts w:cs="宋体"/>
          <w:b/>
        </w:rPr>
      </w:pPr>
      <w:r>
        <w:rPr>
          <w:rFonts w:hint="eastAsia" w:cs="宋体"/>
          <w:b/>
        </w:rPr>
        <w:t>25. 合同的签订</w:t>
      </w:r>
    </w:p>
    <w:p w14:paraId="527873F5">
      <w:pPr>
        <w:widowControl/>
        <w:shd w:val="clear" w:color="auto" w:fill="FFFFFF"/>
        <w:spacing w:line="360" w:lineRule="auto"/>
        <w:ind w:firstLine="480"/>
        <w:jc w:val="left"/>
        <w:rPr>
          <w:rFonts w:ascii="宋体" w:hAnsi="宋体" w:cs="宋体"/>
          <w:kern w:val="0"/>
          <w:sz w:val="24"/>
        </w:rPr>
      </w:pPr>
      <w:r>
        <w:rPr>
          <w:rFonts w:hint="eastAsia" w:ascii="宋体" w:hAnsi="宋体" w:cs="宋体"/>
          <w:sz w:val="24"/>
        </w:rPr>
        <w:t>25.1</w:t>
      </w:r>
      <w:r>
        <w:rPr>
          <w:rFonts w:hint="eastAsia" w:ascii="宋体" w:hAnsi="宋体" w:cs="宋体"/>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5D7C37F1">
      <w:pPr>
        <w:pStyle w:val="85"/>
        <w:snapToGrid w:val="0"/>
        <w:spacing w:before="0"/>
        <w:ind w:firstLine="480"/>
        <w:rPr>
          <w:rFonts w:ascii="宋体" w:hAnsi="宋体" w:cs="宋体"/>
          <w:kern w:val="0"/>
        </w:rPr>
      </w:pPr>
      <w:r>
        <w:rPr>
          <w:rFonts w:hint="eastAsia" w:ascii="宋体" w:hAnsi="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14:paraId="0E5B8045">
      <w:pPr>
        <w:pStyle w:val="85"/>
        <w:snapToGrid w:val="0"/>
        <w:spacing w:before="0"/>
        <w:ind w:firstLine="480"/>
        <w:rPr>
          <w:rFonts w:ascii="宋体" w:hAnsi="宋体" w:cs="宋体"/>
        </w:rPr>
      </w:pPr>
      <w:r>
        <w:rPr>
          <w:rFonts w:hint="eastAsia" w:ascii="宋体" w:hAnsi="宋体" w:cs="宋体"/>
        </w:rPr>
        <w:t>25.3如签订合同并生效后，供应商无故拒绝或延期，除按照合同条款处理外，列入不良行为记录一次，并给予通报。</w:t>
      </w:r>
    </w:p>
    <w:p w14:paraId="0012C2E8">
      <w:pPr>
        <w:pStyle w:val="85"/>
        <w:snapToGrid w:val="0"/>
        <w:spacing w:before="0"/>
        <w:ind w:firstLine="480"/>
        <w:rPr>
          <w:rFonts w:ascii="宋体" w:hAnsi="宋体" w:cs="宋体"/>
        </w:rPr>
      </w:pPr>
      <w:r>
        <w:rPr>
          <w:rFonts w:hint="eastAsia" w:ascii="宋体" w:hAnsi="宋体" w:cs="宋体"/>
        </w:rPr>
        <w:t>25.4中标供应商拒绝与采购人签订合同的，采购人可以按照评审报告推荐的中标候选人名单排序，确定下一候选人为中标供应商，也可以重新开展政府采购活动。</w:t>
      </w:r>
    </w:p>
    <w:p w14:paraId="76BCC9E7">
      <w:pPr>
        <w:pStyle w:val="85"/>
        <w:snapToGrid w:val="0"/>
        <w:spacing w:before="0" w:after="120"/>
        <w:ind w:firstLine="480"/>
        <w:rPr>
          <w:rFonts w:ascii="宋体" w:hAnsi="宋体" w:cs="宋体"/>
        </w:rPr>
      </w:pPr>
      <w:r>
        <w:rPr>
          <w:rFonts w:hint="eastAsia" w:ascii="宋体" w:hAnsi="宋体" w:cs="宋体"/>
        </w:rPr>
        <w:t>25.5采购合同由采购人与中标供应商根据招标文件、投标文件等内容通过政府采购电子交易平台在线签订，自动备案。</w:t>
      </w:r>
    </w:p>
    <w:p w14:paraId="49F52F63">
      <w:pPr>
        <w:pStyle w:val="24"/>
        <w:spacing w:line="360" w:lineRule="auto"/>
        <w:ind w:left="479" w:hanging="479" w:hangingChars="199"/>
        <w:rPr>
          <w:rFonts w:cs="宋体"/>
          <w:b/>
        </w:rPr>
      </w:pPr>
      <w:r>
        <w:rPr>
          <w:rFonts w:hint="eastAsia" w:cs="宋体"/>
          <w:b/>
        </w:rPr>
        <w:t>26. 履约保证金</w:t>
      </w:r>
    </w:p>
    <w:p w14:paraId="4B4FEA50">
      <w:pPr>
        <w:tabs>
          <w:tab w:val="left" w:pos="0"/>
        </w:tabs>
        <w:spacing w:line="360" w:lineRule="auto"/>
        <w:ind w:firstLine="482"/>
        <w:rPr>
          <w:rFonts w:ascii="宋体" w:hAnsi="宋体" w:cs="宋体"/>
          <w:sz w:val="24"/>
        </w:rPr>
      </w:pPr>
      <w:r>
        <w:rPr>
          <w:rFonts w:hint="eastAsia" w:ascii="宋体" w:hAnsi="宋体" w:cs="宋体"/>
          <w:kern w:val="0"/>
          <w:sz w:val="24"/>
        </w:rPr>
        <w:t>拟签订的合同文本要求中标供应商提交履约保证金的，供应商应当以支票、汇票、本票或者金融机构、担保机构出具的保函等非现金形式提交</w:t>
      </w:r>
      <w:r>
        <w:rPr>
          <w:rFonts w:hint="eastAsia" w:ascii="宋体" w:hAnsi="宋体" w:cs="宋体"/>
          <w:sz w:val="24"/>
        </w:rPr>
        <w:t>。履约保证金的数额不得超过政府采购合同金额的</w:t>
      </w:r>
      <w:r>
        <w:rPr>
          <w:rFonts w:ascii="宋体" w:hAnsi="宋体" w:cs="宋体"/>
          <w:sz w:val="24"/>
        </w:rPr>
        <w:t>1</w:t>
      </w:r>
      <w:r>
        <w:rPr>
          <w:rFonts w:hint="eastAsia" w:ascii="宋体" w:hAnsi="宋体" w:cs="宋体"/>
          <w:sz w:val="24"/>
        </w:rPr>
        <w:t>%</w:t>
      </w:r>
      <w:r>
        <w:rPr>
          <w:rFonts w:hint="eastAsia" w:ascii="宋体" w:hAnsi="宋体" w:cs="宋体"/>
          <w:kern w:val="2"/>
          <w:sz w:val="24"/>
        </w:rPr>
        <w:t>。</w:t>
      </w:r>
      <w:r>
        <w:rPr>
          <w:rFonts w:hint="eastAsia" w:ascii="宋体" w:hAnsi="宋体" w:cs="宋体"/>
          <w:sz w:val="24"/>
        </w:rPr>
        <w:t>鼓励和支持供应商以银行、保险公司出具的保函形式提供履约保证金。采购人不得拒收履约保函，项目验收结束后应及时退还，</w:t>
      </w:r>
      <w:r>
        <w:rPr>
          <w:rFonts w:ascii="宋体" w:hAnsi="宋体" w:cs="宋体"/>
          <w:sz w:val="24"/>
        </w:rPr>
        <w:t>延迟退还的，应当按照合同约定和法律规定承担相应的赔偿责任</w:t>
      </w:r>
      <w:r>
        <w:rPr>
          <w:rFonts w:hint="eastAsia" w:ascii="宋体" w:hAnsi="宋体" w:cs="宋体"/>
          <w:sz w:val="24"/>
        </w:rPr>
        <w:t>。</w:t>
      </w:r>
    </w:p>
    <w:p w14:paraId="69D63A80">
      <w:pPr>
        <w:pStyle w:val="3"/>
        <w:ind w:left="0" w:firstLine="480" w:firstLineChars="200"/>
        <w:rPr>
          <w:rFonts w:ascii="宋体" w:hAnsi="宋体" w:eastAsia="宋体" w:cs="宋体"/>
          <w:b w:val="0"/>
          <w:bCs w:val="0"/>
          <w:snapToGrid w:val="0"/>
          <w:kern w:val="28"/>
          <w:sz w:val="24"/>
        </w:rPr>
      </w:pPr>
      <w:r>
        <w:rPr>
          <w:rFonts w:hint="eastAsia" w:ascii="宋体" w:hAnsi="宋体" w:eastAsia="宋体" w:cs="宋体"/>
          <w:b w:val="0"/>
          <w:bCs w:val="0"/>
          <w:snapToGrid w:val="0"/>
          <w:kern w:val="28"/>
          <w:sz w:val="24"/>
        </w:rPr>
        <w:t>供应商</w:t>
      </w:r>
      <w:r>
        <w:rPr>
          <w:rFonts w:hint="eastAsia" w:ascii="宋体" w:hAnsi="宋体" w:eastAsia="宋体" w:cs="宋体"/>
          <w:b w:val="0"/>
          <w:bCs w:val="0"/>
          <w:snapToGrid w:val="0"/>
          <w:kern w:val="28"/>
          <w:sz w:val="24"/>
          <w:lang w:val="en-US"/>
        </w:rPr>
        <w:t>可</w:t>
      </w:r>
      <w:r>
        <w:rPr>
          <w:rFonts w:hint="eastAsia" w:ascii="宋体" w:hAnsi="宋体" w:eastAsia="宋体" w:cs="宋体"/>
          <w:b w:val="0"/>
          <w:bCs w:val="0"/>
          <w:snapToGrid w:val="0"/>
          <w:kern w:val="28"/>
          <w:sz w:val="24"/>
        </w:rPr>
        <w:t>登录政采云平台</w:t>
      </w:r>
      <w:r>
        <w:rPr>
          <w:rFonts w:hint="eastAsia" w:ascii="宋体" w:hAnsi="宋体" w:eastAsia="宋体" w:cs="宋体"/>
          <w:b w:val="0"/>
          <w:bCs w:val="0"/>
          <w:snapToGrid w:val="0"/>
          <w:kern w:val="28"/>
          <w:sz w:val="24"/>
          <w:lang w:eastAsia="zh-CN"/>
        </w:rPr>
        <w:t>－</w:t>
      </w:r>
      <w:r>
        <w:rPr>
          <w:rFonts w:hint="eastAsia" w:ascii="宋体" w:hAnsi="宋体" w:eastAsia="宋体" w:cs="宋体"/>
          <w:b w:val="0"/>
          <w:bCs w:val="0"/>
          <w:snapToGrid w:val="0"/>
          <w:kern w:val="28"/>
          <w:sz w:val="24"/>
        </w:rPr>
        <w:t>【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22A1933C">
      <w:pPr>
        <w:adjustRightInd/>
        <w:spacing w:line="360" w:lineRule="auto"/>
        <w:ind w:firstLine="420" w:firstLineChars="200"/>
        <w:rPr>
          <w:highlight w:val="none"/>
        </w:rPr>
      </w:pPr>
    </w:p>
    <w:p w14:paraId="66487D68"/>
    <w:p w14:paraId="4ED13F90">
      <w:pPr>
        <w:snapToGrid w:val="0"/>
        <w:spacing w:line="360" w:lineRule="auto"/>
        <w:ind w:firstLine="3357" w:firstLineChars="1045"/>
        <w:rPr>
          <w:rFonts w:ascii="宋体" w:hAnsi="宋体" w:cs="宋体"/>
          <w:b/>
          <w:sz w:val="32"/>
        </w:rPr>
      </w:pPr>
    </w:p>
    <w:p w14:paraId="1BD9E758">
      <w:pPr>
        <w:snapToGrid w:val="0"/>
        <w:spacing w:line="360" w:lineRule="auto"/>
        <w:ind w:firstLine="3357" w:firstLineChars="1045"/>
        <w:rPr>
          <w:rFonts w:ascii="宋体" w:hAnsi="宋体" w:cs="宋体"/>
          <w:b/>
          <w:sz w:val="24"/>
        </w:rPr>
      </w:pPr>
      <w:r>
        <w:rPr>
          <w:rFonts w:hint="eastAsia" w:ascii="宋体" w:hAnsi="宋体" w:cs="宋体"/>
          <w:b/>
          <w:sz w:val="32"/>
        </w:rPr>
        <w:t>八、电子交易活动的中止</w:t>
      </w:r>
    </w:p>
    <w:p w14:paraId="7AF84370">
      <w:pPr>
        <w:pStyle w:val="85"/>
        <w:snapToGrid w:val="0"/>
        <w:spacing w:before="0"/>
        <w:ind w:firstLine="0" w:firstLineChars="0"/>
        <w:rPr>
          <w:rFonts w:ascii="宋体" w:hAnsi="宋体" w:cs="宋体"/>
        </w:rPr>
      </w:pPr>
      <w:r>
        <w:rPr>
          <w:rFonts w:ascii="宋体" w:hAnsi="宋体" w:cs="宋体"/>
          <w:b/>
          <w:bCs/>
          <w:kern w:val="2"/>
          <w:sz w:val="24"/>
          <w:szCs w:val="20"/>
        </w:rPr>
        <w:t>2</w:t>
      </w:r>
      <w:r>
        <w:rPr>
          <w:rFonts w:hint="eastAsia" w:ascii="宋体" w:hAnsi="宋体" w:cs="宋体"/>
          <w:b/>
          <w:bCs/>
          <w:kern w:val="2"/>
          <w:sz w:val="24"/>
          <w:szCs w:val="24"/>
          <w:lang w:val="en-US" w:eastAsia="zh-CN"/>
        </w:rPr>
        <w:t>7</w:t>
      </w:r>
      <w:r>
        <w:rPr>
          <w:rFonts w:hint="eastAsia" w:ascii="宋体" w:hAnsi="宋体" w:cs="宋体"/>
          <w:b/>
          <w:szCs w:val="24"/>
        </w:rPr>
        <w:t>. 电子交易活动的中止。</w:t>
      </w:r>
      <w:r>
        <w:rPr>
          <w:rFonts w:hint="eastAsia" w:ascii="宋体" w:hAnsi="宋体" w:cs="宋体"/>
        </w:rPr>
        <w:t>采购过程中出现以下情形，导致电子交易平台无法正常运行，或者无法保证电子交易的公平、公正和安全时，</w:t>
      </w:r>
      <w:r>
        <w:rPr>
          <w:rFonts w:hint="eastAsia" w:ascii="宋体" w:hAnsi="宋体" w:cs="宋体"/>
          <w:lang w:eastAsia="zh-CN"/>
        </w:rPr>
        <w:t>采购代理机构</w:t>
      </w:r>
      <w:r>
        <w:rPr>
          <w:rFonts w:hint="eastAsia" w:ascii="宋体" w:hAnsi="宋体" w:cs="宋体"/>
        </w:rPr>
        <w:t>可中止电子交易活动：</w:t>
      </w:r>
    </w:p>
    <w:p w14:paraId="2259C4E6">
      <w:pPr>
        <w:pStyle w:val="85"/>
        <w:snapToGrid w:val="0"/>
        <w:spacing w:before="0"/>
        <w:ind w:firstLine="480"/>
        <w:rPr>
          <w:rFonts w:ascii="宋体" w:hAnsi="宋体" w:cs="宋体"/>
        </w:rPr>
      </w:pPr>
      <w:r>
        <w:rPr>
          <w:rFonts w:hint="eastAsia" w:ascii="宋体" w:hAnsi="宋体" w:cs="宋体"/>
        </w:rPr>
        <w:t>2</w:t>
      </w:r>
      <w:r>
        <w:rPr>
          <w:rFonts w:hint="eastAsia" w:ascii="宋体" w:hAnsi="宋体" w:cs="宋体"/>
          <w:lang w:val="en-US" w:eastAsia="zh-CN"/>
        </w:rPr>
        <w:t>7</w:t>
      </w:r>
      <w:r>
        <w:rPr>
          <w:rFonts w:hint="eastAsia" w:ascii="宋体" w:hAnsi="宋体" w:cs="宋体"/>
        </w:rPr>
        <w:t xml:space="preserve">.1电子交易平台发生故障而无法登录访问的； </w:t>
      </w:r>
    </w:p>
    <w:p w14:paraId="523F2724">
      <w:pPr>
        <w:pStyle w:val="85"/>
        <w:snapToGrid w:val="0"/>
        <w:spacing w:before="0"/>
        <w:ind w:firstLine="480"/>
        <w:rPr>
          <w:rFonts w:ascii="宋体" w:hAnsi="宋体" w:cs="宋体"/>
        </w:rPr>
      </w:pPr>
      <w:r>
        <w:rPr>
          <w:rFonts w:hint="eastAsia" w:ascii="宋体" w:hAnsi="宋体" w:cs="宋体"/>
        </w:rPr>
        <w:t>2</w:t>
      </w:r>
      <w:r>
        <w:rPr>
          <w:rFonts w:hint="eastAsia" w:ascii="宋体" w:hAnsi="宋体" w:cs="宋体"/>
          <w:lang w:val="en-US" w:eastAsia="zh-CN"/>
        </w:rPr>
        <w:t>7</w:t>
      </w:r>
      <w:r>
        <w:rPr>
          <w:rFonts w:hint="eastAsia" w:ascii="宋体" w:hAnsi="宋体" w:cs="宋体"/>
        </w:rPr>
        <w:t>.2电子交易平台应用或数据库出现错误，不能进行正常操作的；</w:t>
      </w:r>
    </w:p>
    <w:p w14:paraId="1CB91247">
      <w:pPr>
        <w:pStyle w:val="85"/>
        <w:snapToGrid w:val="0"/>
        <w:spacing w:before="0"/>
        <w:ind w:firstLine="480"/>
        <w:rPr>
          <w:rFonts w:ascii="宋体" w:hAnsi="宋体" w:cs="宋体"/>
        </w:rPr>
      </w:pPr>
      <w:r>
        <w:rPr>
          <w:rFonts w:hint="eastAsia" w:ascii="宋体" w:hAnsi="宋体" w:cs="宋体"/>
        </w:rPr>
        <w:t>2</w:t>
      </w:r>
      <w:r>
        <w:rPr>
          <w:rFonts w:hint="eastAsia" w:ascii="宋体" w:hAnsi="宋体" w:cs="宋体"/>
          <w:lang w:val="en-US" w:eastAsia="zh-CN"/>
        </w:rPr>
        <w:t>7</w:t>
      </w:r>
      <w:r>
        <w:rPr>
          <w:rFonts w:hint="eastAsia" w:ascii="宋体" w:hAnsi="宋体" w:cs="宋体"/>
        </w:rPr>
        <w:t>.3电子交易平台发现严重安全漏洞，有潜在泄密危险的；</w:t>
      </w:r>
    </w:p>
    <w:p w14:paraId="7338D422">
      <w:pPr>
        <w:pStyle w:val="85"/>
        <w:snapToGrid w:val="0"/>
        <w:spacing w:before="0"/>
        <w:ind w:firstLine="480"/>
        <w:rPr>
          <w:rFonts w:ascii="宋体" w:hAnsi="宋体" w:cs="宋体"/>
        </w:rPr>
      </w:pPr>
      <w:r>
        <w:rPr>
          <w:rFonts w:hint="eastAsia" w:ascii="宋体" w:hAnsi="宋体" w:cs="宋体"/>
        </w:rPr>
        <w:t>2</w:t>
      </w:r>
      <w:r>
        <w:rPr>
          <w:rFonts w:hint="eastAsia" w:ascii="宋体" w:hAnsi="宋体" w:cs="宋体"/>
          <w:lang w:val="en-US" w:eastAsia="zh-CN"/>
        </w:rPr>
        <w:t>7</w:t>
      </w:r>
      <w:r>
        <w:rPr>
          <w:rFonts w:hint="eastAsia" w:ascii="宋体" w:hAnsi="宋体" w:cs="宋体"/>
        </w:rPr>
        <w:t xml:space="preserve">.4病毒发作导致不能进行正常操作的； </w:t>
      </w:r>
    </w:p>
    <w:p w14:paraId="36CA815E">
      <w:pPr>
        <w:pStyle w:val="85"/>
        <w:snapToGrid w:val="0"/>
        <w:spacing w:before="0"/>
        <w:ind w:firstLine="480"/>
        <w:rPr>
          <w:rFonts w:ascii="宋体" w:hAnsi="宋体" w:cs="宋体"/>
        </w:rPr>
      </w:pPr>
      <w:r>
        <w:rPr>
          <w:rFonts w:hint="eastAsia" w:ascii="宋体" w:hAnsi="宋体" w:cs="宋体"/>
        </w:rPr>
        <w:t>2</w:t>
      </w:r>
      <w:r>
        <w:rPr>
          <w:rFonts w:hint="eastAsia" w:ascii="宋体" w:hAnsi="宋体" w:cs="宋体"/>
          <w:lang w:val="en-US" w:eastAsia="zh-CN"/>
        </w:rPr>
        <w:t>7</w:t>
      </w:r>
      <w:r>
        <w:rPr>
          <w:rFonts w:hint="eastAsia" w:ascii="宋体" w:hAnsi="宋体" w:cs="宋体"/>
        </w:rPr>
        <w:t>.5其他无法保证电子交易的公平、公正和安全的情况。</w:t>
      </w:r>
    </w:p>
    <w:p w14:paraId="6F327973">
      <w:pPr>
        <w:pStyle w:val="85"/>
        <w:snapToGrid w:val="0"/>
        <w:spacing w:before="0"/>
        <w:ind w:firstLine="0" w:firstLineChars="0"/>
        <w:rPr>
          <w:rFonts w:ascii="宋体" w:hAnsi="宋体" w:cs="宋体"/>
        </w:rPr>
      </w:pPr>
      <w:r>
        <w:rPr>
          <w:rFonts w:hint="eastAsia" w:ascii="宋体" w:hAnsi="宋体" w:cs="宋体"/>
        </w:rPr>
        <w:t xml:space="preserve"> 2</w:t>
      </w:r>
      <w:r>
        <w:rPr>
          <w:rFonts w:hint="eastAsia" w:ascii="宋体" w:hAnsi="宋体" w:cs="宋体"/>
          <w:lang w:val="en-US" w:eastAsia="zh-CN"/>
        </w:rPr>
        <w:t>8</w:t>
      </w:r>
      <w:r>
        <w:rPr>
          <w:rFonts w:hint="eastAsia" w:ascii="宋体" w:hAnsi="宋体" w:cs="宋体"/>
        </w:rPr>
        <w:t>.出现以上情形，不影响采购公平、公正性的，采购组织机构可以待上述情形消除后继续组织电子交易活动，也可以决定某些环节以纸质形式进行；影响或可能影响采购公平、公正性的，应当重新采购。</w:t>
      </w:r>
    </w:p>
    <w:p w14:paraId="1873F614">
      <w:pPr>
        <w:tabs>
          <w:tab w:val="left" w:pos="0"/>
        </w:tabs>
        <w:spacing w:line="360" w:lineRule="auto"/>
        <w:ind w:firstLine="480"/>
        <w:rPr>
          <w:rFonts w:ascii="宋体" w:hAnsi="宋体" w:cs="宋体"/>
          <w:sz w:val="24"/>
        </w:rPr>
      </w:pPr>
    </w:p>
    <w:p w14:paraId="4C5B1EE1">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九、验收</w:t>
      </w:r>
    </w:p>
    <w:p w14:paraId="4E6AAEB3">
      <w:pPr>
        <w:pStyle w:val="24"/>
        <w:spacing w:line="360" w:lineRule="auto"/>
        <w:ind w:firstLine="0" w:firstLineChars="0"/>
        <w:rPr>
          <w:rFonts w:cs="宋体"/>
          <w:b/>
        </w:rPr>
      </w:pPr>
      <w:r>
        <w:rPr>
          <w:rFonts w:hint="eastAsia" w:cs="宋体"/>
          <w:b/>
          <w:lang w:val="en-US" w:eastAsia="zh-CN"/>
        </w:rPr>
        <w:t>29</w:t>
      </w:r>
      <w:r>
        <w:rPr>
          <w:rFonts w:hint="eastAsia" w:cs="宋体"/>
          <w:b/>
        </w:rPr>
        <w:t>.验收</w:t>
      </w:r>
    </w:p>
    <w:p w14:paraId="087197F5">
      <w:pPr>
        <w:tabs>
          <w:tab w:val="left" w:pos="0"/>
        </w:tabs>
        <w:spacing w:line="360" w:lineRule="auto"/>
        <w:ind w:firstLine="480"/>
        <w:rPr>
          <w:rFonts w:ascii="宋体" w:hAnsi="宋体" w:cs="宋体"/>
          <w:kern w:val="0"/>
          <w:sz w:val="24"/>
        </w:rPr>
      </w:pPr>
      <w:r>
        <w:rPr>
          <w:rFonts w:hint="eastAsia" w:ascii="宋体" w:hAnsi="宋体" w:cs="宋体"/>
          <w:kern w:val="0"/>
          <w:sz w:val="24"/>
          <w:lang w:val="en-US" w:eastAsia="zh-CN"/>
        </w:rPr>
        <w:t>29</w:t>
      </w:r>
      <w:r>
        <w:rPr>
          <w:rFonts w:hint="eastAsia" w:ascii="宋体" w:hAnsi="宋体" w:cs="宋体"/>
          <w:kern w:val="0"/>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B7AB950">
      <w:pPr>
        <w:tabs>
          <w:tab w:val="left" w:pos="0"/>
        </w:tabs>
        <w:spacing w:line="360" w:lineRule="auto"/>
        <w:ind w:firstLine="480"/>
        <w:rPr>
          <w:rFonts w:ascii="宋体" w:hAnsi="宋体" w:cs="宋体"/>
          <w:kern w:val="0"/>
          <w:sz w:val="24"/>
        </w:rPr>
      </w:pPr>
      <w:r>
        <w:rPr>
          <w:rFonts w:hint="eastAsia" w:ascii="宋体" w:hAnsi="宋体" w:cs="宋体"/>
          <w:kern w:val="0"/>
          <w:sz w:val="24"/>
          <w:lang w:val="en-US" w:eastAsia="zh-CN"/>
        </w:rPr>
        <w:t>29</w:t>
      </w:r>
      <w:r>
        <w:rPr>
          <w:rFonts w:hint="eastAsia" w:ascii="宋体" w:hAnsi="宋体" w:cs="宋体"/>
          <w:kern w:val="0"/>
          <w:sz w:val="24"/>
        </w:rPr>
        <w:t>.2采购人可以邀请参加本项目的其他投标人或者第三方机构参与验收。参与验收的投标人或者第三方机构的意见作为验收书的参考资料一并存档。</w:t>
      </w:r>
    </w:p>
    <w:p w14:paraId="3A492134">
      <w:pPr>
        <w:tabs>
          <w:tab w:val="left" w:pos="0"/>
        </w:tabs>
        <w:spacing w:line="360" w:lineRule="auto"/>
        <w:ind w:firstLine="480"/>
        <w:rPr>
          <w:rFonts w:ascii="宋体" w:hAnsi="宋体" w:cs="宋体"/>
          <w:kern w:val="0"/>
          <w:sz w:val="24"/>
        </w:rPr>
      </w:pPr>
      <w:r>
        <w:rPr>
          <w:rFonts w:hint="eastAsia" w:ascii="宋体" w:hAnsi="宋体" w:cs="宋体"/>
          <w:kern w:val="0"/>
          <w:sz w:val="24"/>
          <w:lang w:val="en-US" w:eastAsia="zh-CN"/>
        </w:rPr>
        <w:t>29</w:t>
      </w:r>
      <w:r>
        <w:rPr>
          <w:rFonts w:hint="eastAsia" w:ascii="宋体" w:hAnsi="宋体" w:cs="宋体"/>
          <w:kern w:val="0"/>
          <w:sz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23A5FB6">
      <w:pPr>
        <w:tabs>
          <w:tab w:val="left" w:pos="0"/>
        </w:tabs>
        <w:spacing w:line="360" w:lineRule="auto"/>
        <w:ind w:firstLine="480"/>
        <w:rPr>
          <w:rFonts w:ascii="宋体" w:hAnsi="宋体" w:cs="宋体"/>
          <w:kern w:val="0"/>
          <w:sz w:val="24"/>
        </w:rPr>
      </w:pPr>
      <w:r>
        <w:rPr>
          <w:rFonts w:hint="eastAsia" w:ascii="宋体" w:hAnsi="宋体" w:cs="宋体"/>
          <w:kern w:val="0"/>
          <w:sz w:val="24"/>
          <w:lang w:val="en-US" w:eastAsia="zh-CN"/>
        </w:rPr>
        <w:t>29</w:t>
      </w:r>
      <w:r>
        <w:rPr>
          <w:rFonts w:hint="eastAsia" w:ascii="宋体" w:hAnsi="宋体" w:cs="宋体"/>
          <w:kern w:val="0"/>
          <w:sz w:val="24"/>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7"/>
      <w:bookmarkStart w:id="18" w:name="_Hlt74714665"/>
      <w:bookmarkEnd w:id="18"/>
      <w:bookmarkStart w:id="19" w:name="_Hlt68072990"/>
      <w:bookmarkEnd w:id="19"/>
      <w:bookmarkStart w:id="20" w:name="_Hlt74730295"/>
      <w:bookmarkEnd w:id="20"/>
      <w:bookmarkStart w:id="21" w:name="_Hlt68073093"/>
      <w:bookmarkEnd w:id="21"/>
      <w:bookmarkStart w:id="22" w:name="_Hlt68072998"/>
      <w:bookmarkEnd w:id="22"/>
      <w:bookmarkStart w:id="23" w:name="_Hlt68057669"/>
      <w:bookmarkEnd w:id="23"/>
      <w:bookmarkStart w:id="24" w:name="_Hlt74729768"/>
      <w:bookmarkEnd w:id="24"/>
      <w:bookmarkStart w:id="25" w:name="_Hlt68403820"/>
      <w:bookmarkEnd w:id="25"/>
      <w:bookmarkStart w:id="26" w:name="_Hlt75236011"/>
      <w:bookmarkEnd w:id="26"/>
      <w:bookmarkStart w:id="27" w:name="_Hlt75236290"/>
      <w:bookmarkEnd w:id="27"/>
      <w:bookmarkStart w:id="28" w:name="_Hlt75236101"/>
      <w:bookmarkEnd w:id="28"/>
      <w:bookmarkStart w:id="29" w:name="_Hlt74707468"/>
      <w:bookmarkEnd w:id="29"/>
    </w:p>
    <w:p w14:paraId="24432D69">
      <w:pPr>
        <w:tabs>
          <w:tab w:val="left" w:pos="0"/>
        </w:tabs>
        <w:spacing w:line="360" w:lineRule="auto"/>
        <w:ind w:firstLine="480"/>
        <w:rPr>
          <w:color w:val="auto"/>
        </w:rPr>
      </w:pPr>
      <w:r>
        <w:rPr>
          <w:rFonts w:hint="eastAsia" w:ascii="宋体" w:hAnsi="宋体" w:eastAsia="宋体" w:cs="宋体"/>
          <w:b w:val="0"/>
          <w:bCs w:val="0"/>
          <w:color w:val="auto"/>
          <w:kern w:val="0"/>
          <w:sz w:val="24"/>
          <w:szCs w:val="24"/>
          <w:lang w:val="en-US" w:eastAsia="zh-CN"/>
        </w:rPr>
        <w:t>29</w:t>
      </w:r>
      <w:r>
        <w:rPr>
          <w:rFonts w:hint="eastAsia" w:ascii="宋体" w:hAnsi="宋体" w:eastAsia="宋体" w:cs="宋体"/>
          <w:b w:val="0"/>
          <w:bCs w:val="0"/>
          <w:color w:val="auto"/>
          <w:kern w:val="0"/>
          <w:sz w:val="24"/>
          <w:szCs w:val="24"/>
          <w:lang w:val="en-US"/>
        </w:rPr>
        <w:t>.</w:t>
      </w:r>
      <w:r>
        <w:rPr>
          <w:rFonts w:hint="eastAsia" w:ascii="宋体" w:hAnsi="宋体" w:cs="宋体"/>
          <w:b w:val="0"/>
          <w:bCs w:val="0"/>
          <w:color w:val="auto"/>
          <w:kern w:val="0"/>
          <w:sz w:val="24"/>
          <w:szCs w:val="24"/>
          <w:lang w:val="en-US" w:eastAsia="zh-CN"/>
        </w:rPr>
        <w:t>5</w:t>
      </w:r>
      <w:r>
        <w:rPr>
          <w:rFonts w:hint="eastAsia" w:ascii="宋体" w:hAnsi="宋体" w:eastAsia="宋体" w:cs="宋体"/>
          <w:b w:val="0"/>
          <w:bCs w:val="0"/>
          <w:color w:val="auto"/>
          <w:kern w:val="0"/>
          <w:sz w:val="24"/>
          <w:szCs w:val="24"/>
          <w:lang w:val="en-US"/>
        </w:rPr>
        <w:t xml:space="preserve"> 对于满足合同约定的采购资金支付条件的，</w:t>
      </w:r>
      <w:r>
        <w:rPr>
          <w:rFonts w:hint="eastAsia" w:ascii="宋体" w:hAnsi="宋体" w:eastAsia="宋体" w:cs="宋体"/>
          <w:b w:val="0"/>
          <w:bCs w:val="0"/>
          <w:kern w:val="0"/>
          <w:sz w:val="24"/>
          <w:szCs w:val="24"/>
          <w:lang w:val="en-US"/>
        </w:rPr>
        <w:t>供应商</w:t>
      </w:r>
      <w:r>
        <w:rPr>
          <w:rFonts w:hint="eastAsia" w:ascii="宋体" w:hAnsi="宋体" w:eastAsia="宋体" w:cs="宋体"/>
          <w:b w:val="0"/>
          <w:bCs w:val="0"/>
          <w:color w:val="auto"/>
          <w:kern w:val="0"/>
          <w:sz w:val="24"/>
          <w:szCs w:val="24"/>
          <w:lang w:val="en-US"/>
        </w:rPr>
        <w:t>可通过政采云平台提起在线支付申请、查询支付结果，路径为政采云-我的工作台-</w:t>
      </w:r>
      <w:r>
        <w:rPr>
          <w:rFonts w:hint="eastAsia" w:ascii="宋体" w:hAnsi="宋体" w:eastAsia="宋体" w:cs="宋体"/>
          <w:b w:val="0"/>
          <w:bCs w:val="0"/>
          <w:color w:val="auto"/>
          <w:kern w:val="0"/>
          <w:sz w:val="24"/>
          <w:szCs w:val="24"/>
          <w:lang w:val="en-US" w:eastAsia="zh-CN"/>
        </w:rPr>
        <w:t>合同管理</w:t>
      </w:r>
      <w:r>
        <w:rPr>
          <w:rFonts w:hint="eastAsia" w:ascii="宋体" w:hAnsi="宋体" w:eastAsia="宋体" w:cs="宋体"/>
          <w:b w:val="0"/>
          <w:bCs w:val="0"/>
          <w:color w:val="auto"/>
          <w:kern w:val="0"/>
          <w:sz w:val="24"/>
          <w:szCs w:val="24"/>
          <w:lang w:val="en-US"/>
        </w:rPr>
        <w:t>-支付管理。对于供应商提起在线支付申请的，采购</w:t>
      </w:r>
      <w:r>
        <w:rPr>
          <w:rFonts w:hint="eastAsia" w:ascii="宋体" w:hAnsi="宋体" w:eastAsia="宋体" w:cs="宋体"/>
          <w:b w:val="0"/>
          <w:bCs w:val="0"/>
          <w:color w:val="auto"/>
          <w:kern w:val="0"/>
          <w:sz w:val="24"/>
          <w:szCs w:val="24"/>
          <w:lang w:val="en-US" w:eastAsia="zh-CN"/>
        </w:rPr>
        <w:t>人</w:t>
      </w:r>
      <w:r>
        <w:rPr>
          <w:rFonts w:hint="eastAsia" w:ascii="宋体" w:hAnsi="宋体" w:eastAsia="宋体" w:cs="宋体"/>
          <w:b w:val="0"/>
          <w:bCs w:val="0"/>
          <w:color w:val="auto"/>
          <w:kern w:val="0"/>
          <w:sz w:val="24"/>
          <w:szCs w:val="24"/>
          <w:lang w:val="en-US"/>
        </w:rPr>
        <w:t>应当</w:t>
      </w:r>
      <w:r>
        <w:rPr>
          <w:rFonts w:hint="eastAsia" w:ascii="宋体" w:hAnsi="宋体" w:eastAsia="宋体" w:cs="宋体"/>
          <w:b w:val="0"/>
          <w:bCs w:val="0"/>
          <w:color w:val="auto"/>
          <w:kern w:val="0"/>
          <w:sz w:val="24"/>
          <w:szCs w:val="24"/>
          <w:lang w:val="en-US" w:eastAsia="zh-CN"/>
        </w:rPr>
        <w:t>按规定</w:t>
      </w:r>
      <w:r>
        <w:rPr>
          <w:rFonts w:hint="eastAsia" w:ascii="宋体" w:hAnsi="宋体" w:eastAsia="宋体" w:cs="宋体"/>
          <w:b w:val="0"/>
          <w:bCs w:val="0"/>
          <w:color w:val="auto"/>
          <w:kern w:val="0"/>
          <w:sz w:val="24"/>
          <w:szCs w:val="24"/>
          <w:lang w:val="en-US"/>
        </w:rPr>
        <w:t>做好审核并完成支付。</w:t>
      </w:r>
    </w:p>
    <w:p w14:paraId="37E980EA">
      <w:pPr>
        <w:tabs>
          <w:tab w:val="left" w:pos="0"/>
        </w:tabs>
        <w:spacing w:line="360" w:lineRule="auto"/>
        <w:ind w:firstLine="480"/>
        <w:rPr>
          <w:rFonts w:ascii="宋体" w:hAnsi="宋体" w:cs="宋体"/>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bookmarkEnd w:id="12"/>
    <w:bookmarkEnd w:id="13"/>
    <w:p w14:paraId="11B402BD">
      <w:pPr>
        <w:spacing w:line="360" w:lineRule="auto"/>
        <w:jc w:val="center"/>
        <w:outlineLvl w:val="0"/>
        <w:rPr>
          <w:rFonts w:ascii="宋体" w:hAnsi="宋体" w:cs="宋体"/>
          <w:b/>
          <w:sz w:val="36"/>
          <w:szCs w:val="36"/>
          <w:highlight w:val="none"/>
        </w:rPr>
      </w:pPr>
      <w:bookmarkStart w:id="30" w:name="第四部分"/>
      <w:r>
        <w:rPr>
          <w:rFonts w:hint="eastAsia" w:ascii="宋体" w:hAnsi="宋体" w:cs="宋体"/>
          <w:b/>
          <w:sz w:val="36"/>
          <w:szCs w:val="36"/>
          <w:highlight w:val="none"/>
        </w:rPr>
        <w:t>第三部分   采购需求</w:t>
      </w:r>
    </w:p>
    <w:p w14:paraId="624FD3D4">
      <w:pPr>
        <w:adjustRightInd/>
        <w:spacing w:line="480" w:lineRule="auto"/>
        <w:jc w:val="both"/>
        <w:outlineLvl w:val="0"/>
        <w:rPr>
          <w:rFonts w:ascii="宋体" w:hAnsi="宋体" w:cs="宋体"/>
          <w:b/>
          <w:bCs/>
          <w:color w:val="auto"/>
          <w:sz w:val="24"/>
          <w:highlight w:val="none"/>
        </w:rPr>
      </w:pPr>
      <w:r>
        <w:rPr>
          <w:rFonts w:hint="eastAsia" w:ascii="宋体" w:hAnsi="宋体" w:cs="宋体"/>
          <w:b/>
          <w:bCs/>
          <w:color w:val="auto"/>
          <w:sz w:val="24"/>
          <w:highlight w:val="none"/>
        </w:rPr>
        <w:t>一、采购标的清单</w:t>
      </w:r>
    </w:p>
    <w:p w14:paraId="43C58E92">
      <w:pPr>
        <w:rPr>
          <w:color w:val="auto"/>
          <w:highlight w:val="none"/>
        </w:rPr>
      </w:pPr>
    </w:p>
    <w:tbl>
      <w:tblPr>
        <w:tblStyle w:val="62"/>
        <w:tblW w:w="4998" w:type="pct"/>
        <w:tblInd w:w="0" w:type="dxa"/>
        <w:tblLayout w:type="autofit"/>
        <w:tblCellMar>
          <w:top w:w="0" w:type="dxa"/>
          <w:left w:w="108" w:type="dxa"/>
          <w:bottom w:w="0" w:type="dxa"/>
          <w:right w:w="108" w:type="dxa"/>
        </w:tblCellMar>
      </w:tblPr>
      <w:tblGrid>
        <w:gridCol w:w="636"/>
        <w:gridCol w:w="1371"/>
        <w:gridCol w:w="2385"/>
        <w:gridCol w:w="6726"/>
        <w:gridCol w:w="2365"/>
        <w:gridCol w:w="532"/>
        <w:gridCol w:w="427"/>
      </w:tblGrid>
      <w:tr w14:paraId="651EABEF">
        <w:tblPrEx>
          <w:tblCellMar>
            <w:top w:w="0" w:type="dxa"/>
            <w:left w:w="108" w:type="dxa"/>
            <w:bottom w:w="0" w:type="dxa"/>
            <w:right w:w="108" w:type="dxa"/>
          </w:tblCellMar>
        </w:tblPrEx>
        <w:trPr>
          <w:trHeight w:val="721"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1E681">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序号</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4C77F">
            <w:pPr>
              <w:widowControl/>
              <w:jc w:val="center"/>
              <w:textAlignment w:val="center"/>
              <w:rPr>
                <w:rFonts w:hint="default" w:eastAsia="宋体" w:asciiTheme="minorEastAsia" w:hAnsiTheme="minorEastAsia" w:cstheme="minorEastAsia"/>
                <w:color w:val="000000"/>
                <w:kern w:val="0"/>
                <w:szCs w:val="21"/>
                <w:lang w:val="en-US" w:eastAsia="zh-CN" w:bidi="ar"/>
              </w:rPr>
            </w:pPr>
            <w:r>
              <w:rPr>
                <w:rFonts w:hint="eastAsia"/>
                <w:lang w:val="en-US" w:eastAsia="zh-CN"/>
              </w:rPr>
              <w:t>标的名称</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60471">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cstheme="minorEastAsia"/>
                <w:color w:val="000000"/>
                <w:kern w:val="0"/>
                <w:szCs w:val="21"/>
                <w:lang w:bidi="ar"/>
              </w:rPr>
              <w:t>规格（mm）</w:t>
            </w:r>
            <w:r>
              <w:rPr>
                <w:rFonts w:hint="eastAsia" w:asciiTheme="minorEastAsia" w:hAnsiTheme="minorEastAsia" w:cstheme="minorEastAsia"/>
                <w:color w:val="000000"/>
                <w:kern w:val="0"/>
                <w:szCs w:val="21"/>
                <w:lang w:bidi="ar"/>
              </w:rPr>
              <w:br w:type="textWrapping"/>
            </w:r>
            <w:r>
              <w:rPr>
                <w:rFonts w:hint="eastAsia" w:asciiTheme="minorEastAsia" w:hAnsiTheme="minorEastAsia" w:cstheme="minorEastAsia"/>
                <w:color w:val="000000"/>
                <w:kern w:val="0"/>
                <w:szCs w:val="21"/>
                <w:lang w:bidi="ar"/>
              </w:rPr>
              <w:t>长*宽*高</w:t>
            </w:r>
          </w:p>
        </w:tc>
        <w:tc>
          <w:tcPr>
            <w:tcW w:w="2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52A76">
            <w:pPr>
              <w:widowControl/>
              <w:jc w:val="center"/>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cstheme="minorEastAsia"/>
                <w:color w:val="000000"/>
                <w:kern w:val="0"/>
                <w:szCs w:val="21"/>
                <w:lang w:bidi="ar"/>
              </w:rPr>
              <w:t>材质参数配置说明</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AA85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cstheme="minorEastAsia"/>
                <w:color w:val="000000"/>
                <w:kern w:val="0"/>
                <w:szCs w:val="21"/>
                <w:lang w:bidi="ar"/>
              </w:rPr>
              <w:t>图片样式参考</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7EEC9">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cstheme="minorEastAsia"/>
                <w:color w:val="000000"/>
                <w:kern w:val="0"/>
                <w:szCs w:val="21"/>
                <w:lang w:bidi="ar"/>
              </w:rPr>
              <w:t>数量</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07A40">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cstheme="minorEastAsia"/>
                <w:color w:val="000000"/>
                <w:kern w:val="0"/>
                <w:szCs w:val="21"/>
                <w:lang w:bidi="ar"/>
              </w:rPr>
              <w:t>单位</w:t>
            </w:r>
          </w:p>
        </w:tc>
      </w:tr>
      <w:tr w14:paraId="71ABFB6B">
        <w:tblPrEx>
          <w:tblCellMar>
            <w:top w:w="0" w:type="dxa"/>
            <w:left w:w="108" w:type="dxa"/>
            <w:bottom w:w="0" w:type="dxa"/>
            <w:right w:w="108" w:type="dxa"/>
          </w:tblCellMar>
        </w:tblPrEx>
        <w:trPr>
          <w:trHeight w:val="304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BE34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EBB5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全包定制桌组</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DA3B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2200*900*760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2124C27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1.面材：采用优质天然实木木皮贴面，木皮厚度≥0.6mm，扪超纤皮及海绵；</w:t>
            </w:r>
          </w:p>
          <w:p w14:paraId="31F67E2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2.基材：采用E0级密度板，各项性能均优于国家标准；</w:t>
            </w:r>
          </w:p>
          <w:p w14:paraId="7EB1F50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3.油漆：油性木器涂料涂饰，采用五底三面涂饰工艺，符合国家标准；</w:t>
            </w:r>
          </w:p>
          <w:p w14:paraId="3454C7F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4.胶水：采用环保白乳胶；</w:t>
            </w:r>
          </w:p>
          <w:p w14:paraId="7380FBB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工艺要求：桌面厚度≥80mm，支撑脚厚度≥50mm；</w:t>
            </w:r>
          </w:p>
          <w:p w14:paraId="3AAEBB28">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B94C7">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02030" cy="958215"/>
                  <wp:effectExtent l="0" t="0" r="3810" b="1905"/>
                  <wp:docPr id="52" name="图片_6"/>
                  <wp:cNvGraphicFramePr/>
                  <a:graphic xmlns:a="http://schemas.openxmlformats.org/drawingml/2006/main">
                    <a:graphicData uri="http://schemas.openxmlformats.org/drawingml/2006/picture">
                      <pic:pic xmlns:pic="http://schemas.openxmlformats.org/drawingml/2006/picture">
                        <pic:nvPicPr>
                          <pic:cNvPr id="52" name="图片_6"/>
                          <pic:cNvPicPr/>
                        </pic:nvPicPr>
                        <pic:blipFill>
                          <a:blip r:embed="rId22">
                            <a:extLst>
                              <a:ext uri="{28A0092B-C50C-407E-A947-70E740481C1C}">
                                <a14:useLocalDpi xmlns:a14="http://schemas.microsoft.com/office/drawing/2010/main" val="0"/>
                              </a:ext>
                            </a:extLst>
                          </a:blip>
                          <a:stretch>
                            <a:fillRect/>
                          </a:stretch>
                        </pic:blipFill>
                        <pic:spPr>
                          <a:xfrm>
                            <a:off x="0" y="0"/>
                            <a:ext cx="1003664" cy="959707"/>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5B2D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5300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20359343">
        <w:tblPrEx>
          <w:tblCellMar>
            <w:top w:w="0" w:type="dxa"/>
            <w:left w:w="108" w:type="dxa"/>
            <w:bottom w:w="0" w:type="dxa"/>
            <w:right w:w="108" w:type="dxa"/>
          </w:tblCellMar>
        </w:tblPrEx>
        <w:trPr>
          <w:trHeight w:val="205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A96B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534F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单位沙发</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BF22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780*790*790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6AE7804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1.表面材质：  优质国产仿羊绒面料及棉麻面料；所有面料均需经过三防处理 ;</w:t>
            </w:r>
          </w:p>
          <w:p w14:paraId="41098CF7">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2.内部材质：  优质15mm厚弯曲木板及优质环保多层板、高密度环保海绵，部分采用定型棉；</w:t>
            </w:r>
          </w:p>
          <w:p w14:paraId="32F06EB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3.工艺：内部不使用废旧衬垫物 ，采用无苯胶粘剂粘接海绵和丝绵；</w:t>
            </w:r>
          </w:p>
          <w:p w14:paraId="1078528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4.脚架：采用壁厚1.5mm ，20*20mm的方管 ，表面喷涂银色处理 ，配有调整脚。</w:t>
            </w:r>
          </w:p>
          <w:p w14:paraId="5B29519C">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57C16">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970280" cy="932815"/>
                  <wp:effectExtent l="0" t="0" r="5080" b="12065"/>
                  <wp:docPr id="65" name="图片_15"/>
                  <wp:cNvGraphicFramePr/>
                  <a:graphic xmlns:a="http://schemas.openxmlformats.org/drawingml/2006/main">
                    <a:graphicData uri="http://schemas.openxmlformats.org/drawingml/2006/picture">
                      <pic:pic xmlns:pic="http://schemas.openxmlformats.org/drawingml/2006/picture">
                        <pic:nvPicPr>
                          <pic:cNvPr id="65" name="图片_15"/>
                          <pic:cNvPicPr/>
                        </pic:nvPicPr>
                        <pic:blipFill>
                          <a:blip r:embed="rId23">
                            <a:extLst>
                              <a:ext uri="{28A0092B-C50C-407E-A947-70E740481C1C}">
                                <a14:useLocalDpi xmlns:a14="http://schemas.microsoft.com/office/drawing/2010/main" val="0"/>
                              </a:ext>
                            </a:extLst>
                          </a:blip>
                          <a:stretch>
                            <a:fillRect/>
                          </a:stretch>
                        </pic:blipFill>
                        <pic:spPr>
                          <a:xfrm>
                            <a:off x="0" y="0"/>
                            <a:ext cx="970280" cy="93281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8F36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20</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9457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个</w:t>
            </w:r>
          </w:p>
        </w:tc>
      </w:tr>
      <w:tr w14:paraId="190C2C81">
        <w:tblPrEx>
          <w:tblCellMar>
            <w:top w:w="0" w:type="dxa"/>
            <w:left w:w="108" w:type="dxa"/>
            <w:bottom w:w="0" w:type="dxa"/>
            <w:right w:w="108" w:type="dxa"/>
          </w:tblCellMar>
        </w:tblPrEx>
        <w:trPr>
          <w:trHeight w:val="136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BD17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72EA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接待椅（1）</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02418">
            <w:pPr>
              <w:widowControl/>
              <w:jc w:val="center"/>
              <w:textAlignment w:val="center"/>
              <w:rPr>
                <w:rFonts w:hint="eastAsia" w:asciiTheme="minorEastAsia" w:hAnsiTheme="minorEastAsia" w:eastAsiaTheme="minorEastAsia" w:cstheme="minorEastAsia"/>
                <w:color w:val="000000"/>
                <w:kern w:val="0"/>
                <w:szCs w:val="21"/>
                <w:highlight w:val="none"/>
                <w:lang w:bidi="ar"/>
              </w:rPr>
            </w:pPr>
            <w:r>
              <w:rPr>
                <w:rFonts w:hint="eastAsia" w:asciiTheme="minorEastAsia" w:hAnsiTheme="minorEastAsia" w:eastAsiaTheme="minorEastAsia" w:cstheme="minorEastAsia"/>
                <w:color w:val="000000"/>
                <w:kern w:val="0"/>
                <w:szCs w:val="21"/>
                <w:highlight w:val="none"/>
                <w:lang w:bidi="ar"/>
              </w:rPr>
              <w:t>W680*D（670-785）*H（1140-1200）</w:t>
            </w:r>
          </w:p>
          <w:p w14:paraId="194F658F">
            <w:pPr>
              <w:widowControl/>
              <w:jc w:val="center"/>
              <w:textAlignment w:val="center"/>
              <w:rPr>
                <w:rFonts w:hint="eastAsia" w:asciiTheme="minorEastAsia" w:hAnsiTheme="minorEastAsia" w:eastAsiaTheme="minorEastAsia" w:cstheme="minorEastAsia"/>
                <w:color w:val="000000"/>
                <w:kern w:val="0"/>
                <w:szCs w:val="21"/>
                <w:highlight w:val="none"/>
                <w:lang w:bidi="ar"/>
              </w:rPr>
            </w:pPr>
            <w:r>
              <w:rPr>
                <w:rFonts w:hint="eastAsia" w:asciiTheme="minorEastAsia" w:hAnsiTheme="minorEastAsia" w:eastAsiaTheme="minorEastAsia" w:cstheme="minorEastAsia"/>
                <w:color w:val="000000"/>
                <w:kern w:val="0"/>
                <w:szCs w:val="21"/>
                <w:highlight w:val="none"/>
                <w:lang w:bidi="ar"/>
              </w:rPr>
              <w:t>（深度尺寸为坐垫调到最浅到最深坐垫最前侧到背后的距离，高度尺寸为气杆降到最低或升到最高到头枕（降到最低）的距离）</w:t>
            </w:r>
            <w:r>
              <w:rPr>
                <w:rFonts w:asciiTheme="minorEastAsia" w:hAnsiTheme="minorEastAsia" w:eastAsiaTheme="minorEastAsia" w:cstheme="minorEastAsia"/>
                <w:color w:val="000000"/>
                <w:kern w:val="0"/>
                <w:szCs w:val="21"/>
                <w:highlight w:val="none"/>
                <w:lang w:bidi="ar"/>
              </w:rPr>
              <w:br w:type="textWrapping"/>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6866D5CC">
            <w:pPr>
              <w:widowControl/>
              <w:jc w:val="left"/>
              <w:textAlignment w:val="top"/>
              <w:rPr>
                <w:rFonts w:hint="eastAsia" w:asciiTheme="minorEastAsia" w:hAnsiTheme="minorEastAsia" w:eastAsiaTheme="minorEastAsia" w:cstheme="minorEastAsia"/>
                <w:color w:val="000000"/>
                <w:kern w:val="0"/>
                <w:szCs w:val="21"/>
                <w:highlight w:val="none"/>
                <w:lang w:bidi="ar"/>
              </w:rPr>
            </w:pPr>
            <w:r>
              <w:rPr>
                <w:rFonts w:hint="eastAsia" w:asciiTheme="minorEastAsia" w:hAnsiTheme="minorEastAsia" w:eastAsiaTheme="minorEastAsia" w:cstheme="minorEastAsia"/>
                <w:color w:val="000000"/>
                <w:kern w:val="0"/>
                <w:szCs w:val="21"/>
                <w:highlight w:val="none"/>
                <w:lang w:bidi="ar"/>
              </w:rPr>
              <w:t>1.头枕：一体成型塑胶框架主体，网布饰面；</w:t>
            </w:r>
          </w:p>
          <w:p w14:paraId="4B3B729A">
            <w:pPr>
              <w:widowControl/>
              <w:jc w:val="left"/>
              <w:textAlignment w:val="top"/>
              <w:rPr>
                <w:rFonts w:hint="eastAsia" w:asciiTheme="minorEastAsia" w:hAnsiTheme="minorEastAsia" w:eastAsiaTheme="minorEastAsia" w:cstheme="minorEastAsia"/>
                <w:color w:val="000000"/>
                <w:kern w:val="0"/>
                <w:szCs w:val="21"/>
                <w:highlight w:val="none"/>
                <w:lang w:bidi="ar"/>
              </w:rPr>
            </w:pPr>
            <w:r>
              <w:rPr>
                <w:rFonts w:hint="eastAsia" w:asciiTheme="minorEastAsia" w:hAnsiTheme="minorEastAsia" w:eastAsiaTheme="minorEastAsia" w:cstheme="minorEastAsia"/>
                <w:color w:val="000000"/>
                <w:kern w:val="0"/>
                <w:szCs w:val="21"/>
                <w:highlight w:val="none"/>
                <w:lang w:bidi="ar"/>
              </w:rPr>
              <w:t>2.背垫：椅背一体成型塑胶背支撑架主体，网布饰面；</w:t>
            </w:r>
          </w:p>
          <w:p w14:paraId="1F9FEFF4">
            <w:pPr>
              <w:widowControl/>
              <w:jc w:val="left"/>
              <w:textAlignment w:val="top"/>
              <w:rPr>
                <w:rFonts w:hint="eastAsia" w:asciiTheme="minorEastAsia" w:hAnsiTheme="minorEastAsia" w:eastAsiaTheme="minorEastAsia" w:cstheme="minorEastAsia"/>
                <w:color w:val="000000"/>
                <w:kern w:val="0"/>
                <w:szCs w:val="21"/>
                <w:highlight w:val="none"/>
                <w:lang w:bidi="ar"/>
              </w:rPr>
            </w:pPr>
            <w:r>
              <w:rPr>
                <w:rFonts w:hint="eastAsia" w:asciiTheme="minorEastAsia" w:hAnsiTheme="minorEastAsia" w:eastAsiaTheme="minorEastAsia" w:cstheme="minorEastAsia"/>
                <w:color w:val="000000"/>
                <w:kern w:val="0"/>
                <w:szCs w:val="21"/>
                <w:highlight w:val="none"/>
                <w:lang w:bidi="ar"/>
              </w:rPr>
              <w:t>3.腰枕：塑胶主体+网布饰面，面料通过马丁代尔耐磨测试；</w:t>
            </w:r>
          </w:p>
          <w:p w14:paraId="39FFCDFB">
            <w:pPr>
              <w:widowControl/>
              <w:jc w:val="left"/>
              <w:textAlignment w:val="top"/>
              <w:rPr>
                <w:rFonts w:hint="eastAsia" w:asciiTheme="minorEastAsia" w:hAnsiTheme="minorEastAsia" w:eastAsiaTheme="minorEastAsia" w:cstheme="minorEastAsia"/>
                <w:color w:val="000000"/>
                <w:kern w:val="0"/>
                <w:szCs w:val="21"/>
                <w:highlight w:val="none"/>
                <w:lang w:bidi="ar"/>
              </w:rPr>
            </w:pPr>
            <w:r>
              <w:rPr>
                <w:rFonts w:hint="eastAsia" w:asciiTheme="minorEastAsia" w:hAnsiTheme="minorEastAsia" w:eastAsiaTheme="minorEastAsia" w:cstheme="minorEastAsia"/>
                <w:color w:val="000000"/>
                <w:kern w:val="0"/>
                <w:szCs w:val="21"/>
                <w:highlight w:val="none"/>
                <w:lang w:bidi="ar"/>
              </w:rPr>
              <w:t>4.座垫：全网设计；</w:t>
            </w:r>
          </w:p>
          <w:p w14:paraId="6602EBD7">
            <w:pPr>
              <w:widowControl/>
              <w:jc w:val="left"/>
              <w:textAlignment w:val="top"/>
              <w:rPr>
                <w:rFonts w:hint="eastAsia" w:asciiTheme="minorEastAsia" w:hAnsiTheme="minorEastAsia" w:eastAsiaTheme="minorEastAsia" w:cstheme="minorEastAsia"/>
                <w:color w:val="000000"/>
                <w:kern w:val="0"/>
                <w:szCs w:val="21"/>
                <w:highlight w:val="none"/>
                <w:lang w:bidi="ar"/>
              </w:rPr>
            </w:pPr>
            <w:r>
              <w:rPr>
                <w:rFonts w:hint="eastAsia" w:asciiTheme="minorEastAsia" w:hAnsiTheme="minorEastAsia" w:eastAsiaTheme="minorEastAsia" w:cstheme="minorEastAsia"/>
                <w:color w:val="000000"/>
                <w:kern w:val="0"/>
                <w:szCs w:val="21"/>
                <w:highlight w:val="none"/>
                <w:lang w:bidi="ar"/>
              </w:rPr>
              <w:t>5.扶手：塑胶主体+PU扶手面，3D线控扶手；</w:t>
            </w:r>
          </w:p>
          <w:p w14:paraId="06A58AC0">
            <w:pPr>
              <w:widowControl/>
              <w:jc w:val="left"/>
              <w:textAlignment w:val="top"/>
              <w:rPr>
                <w:rFonts w:hint="eastAsia" w:asciiTheme="minorEastAsia" w:hAnsiTheme="minorEastAsia" w:eastAsiaTheme="minorEastAsia" w:cstheme="minorEastAsia"/>
                <w:color w:val="000000"/>
                <w:kern w:val="0"/>
                <w:szCs w:val="21"/>
                <w:highlight w:val="none"/>
                <w:lang w:bidi="ar"/>
              </w:rPr>
            </w:pPr>
            <w:r>
              <w:rPr>
                <w:rFonts w:hint="eastAsia" w:asciiTheme="minorEastAsia" w:hAnsiTheme="minorEastAsia" w:eastAsiaTheme="minorEastAsia" w:cstheme="minorEastAsia"/>
                <w:color w:val="000000"/>
                <w:kern w:val="0"/>
                <w:szCs w:val="21"/>
                <w:highlight w:val="none"/>
                <w:lang w:bidi="ar"/>
              </w:rPr>
              <w:t>6.底盘：钢制线控底盘，2.5mm厚度+塑胶底壳；</w:t>
            </w:r>
          </w:p>
          <w:p w14:paraId="088AAA3B">
            <w:pPr>
              <w:widowControl/>
              <w:jc w:val="left"/>
              <w:textAlignment w:val="top"/>
              <w:rPr>
                <w:rFonts w:hint="eastAsia" w:asciiTheme="minorEastAsia" w:hAnsiTheme="minorEastAsia" w:eastAsiaTheme="minorEastAsia" w:cstheme="minorEastAsia"/>
                <w:color w:val="000000"/>
                <w:kern w:val="0"/>
                <w:szCs w:val="21"/>
                <w:highlight w:val="none"/>
                <w:lang w:bidi="ar"/>
              </w:rPr>
            </w:pPr>
            <w:r>
              <w:rPr>
                <w:rFonts w:hint="eastAsia" w:asciiTheme="minorEastAsia" w:hAnsiTheme="minorEastAsia" w:eastAsiaTheme="minorEastAsia" w:cstheme="minorEastAsia"/>
                <w:color w:val="000000"/>
                <w:kern w:val="0"/>
                <w:szCs w:val="21"/>
                <w:highlight w:val="none"/>
                <w:lang w:bidi="ar"/>
              </w:rPr>
              <w:t>7.气压棒：采用精钢铸造，内充高压氮气；</w:t>
            </w:r>
          </w:p>
          <w:p w14:paraId="4B9908E0">
            <w:pPr>
              <w:widowControl/>
              <w:jc w:val="left"/>
              <w:textAlignment w:val="top"/>
              <w:rPr>
                <w:rFonts w:hint="eastAsia" w:asciiTheme="minorEastAsia" w:hAnsiTheme="minorEastAsia" w:eastAsiaTheme="minorEastAsia" w:cstheme="minorEastAsia"/>
                <w:color w:val="000000"/>
                <w:kern w:val="0"/>
                <w:szCs w:val="21"/>
                <w:highlight w:val="none"/>
                <w:lang w:bidi="ar"/>
              </w:rPr>
            </w:pPr>
            <w:r>
              <w:rPr>
                <w:rFonts w:hint="eastAsia" w:asciiTheme="minorEastAsia" w:hAnsiTheme="minorEastAsia" w:eastAsiaTheme="minorEastAsia" w:cstheme="minorEastAsia"/>
                <w:color w:val="000000"/>
                <w:kern w:val="0"/>
                <w:szCs w:val="21"/>
                <w:highlight w:val="none"/>
                <w:lang w:bidi="ar"/>
              </w:rPr>
              <w:t>8.椅脚：350mm黑色尼龙五星椅脚；</w:t>
            </w:r>
          </w:p>
          <w:p w14:paraId="48426DB5">
            <w:pPr>
              <w:widowControl/>
              <w:jc w:val="left"/>
              <w:textAlignment w:val="top"/>
              <w:rPr>
                <w:rFonts w:hint="eastAsia" w:asciiTheme="minorEastAsia" w:hAnsiTheme="minorEastAsia" w:eastAsiaTheme="minorEastAsia" w:cstheme="minorEastAsia"/>
                <w:color w:val="000000"/>
                <w:kern w:val="0"/>
                <w:szCs w:val="21"/>
                <w:highlight w:val="none"/>
                <w:lang w:bidi="ar"/>
              </w:rPr>
            </w:pPr>
            <w:r>
              <w:rPr>
                <w:rFonts w:hint="eastAsia" w:asciiTheme="minorEastAsia" w:hAnsiTheme="minorEastAsia" w:eastAsiaTheme="minorEastAsia" w:cstheme="minorEastAsia"/>
                <w:color w:val="000000"/>
                <w:kern w:val="0"/>
                <w:szCs w:val="21"/>
                <w:highlight w:val="none"/>
                <w:lang w:bidi="ar"/>
              </w:rPr>
              <w:t>9.滑轮：采用60mmPU椅轮，滑行顺畅、无噪音，且不会刮伤地板.</w:t>
            </w:r>
          </w:p>
          <w:p w14:paraId="0F7DB868">
            <w:pPr>
              <w:widowControl/>
              <w:jc w:val="left"/>
              <w:textAlignment w:val="top"/>
              <w:rPr>
                <w:rFonts w:hint="eastAsia" w:asciiTheme="minorEastAsia" w:hAnsiTheme="minorEastAsia" w:eastAsiaTheme="minorEastAsia" w:cstheme="minorEastAsia"/>
                <w:color w:val="000000"/>
                <w:kern w:val="0"/>
                <w:szCs w:val="21"/>
                <w:highlight w:val="none"/>
                <w:lang w:bidi="ar"/>
              </w:rPr>
            </w:pPr>
            <w:r>
              <w:rPr>
                <w:rFonts w:hint="eastAsia" w:asciiTheme="minorEastAsia" w:hAnsiTheme="minorEastAsia" w:eastAsiaTheme="minorEastAsia" w:cstheme="minorEastAsia"/>
                <w:color w:val="000000"/>
                <w:kern w:val="0"/>
                <w:szCs w:val="21"/>
                <w:highlight w:val="none"/>
                <w:lang w:bidi="ar"/>
              </w:rPr>
              <w:t>10.脚踏：钢制主体+定型棉+西皮;</w:t>
            </w:r>
          </w:p>
          <w:p w14:paraId="4A1CA298">
            <w:pPr>
              <w:widowControl/>
              <w:jc w:val="left"/>
              <w:textAlignment w:val="top"/>
              <w:rPr>
                <w:rFonts w:hint="eastAsia" w:asciiTheme="minorEastAsia" w:hAnsiTheme="minorEastAsia" w:eastAsiaTheme="minorEastAsia" w:cstheme="minorEastAsia"/>
                <w:color w:val="000000"/>
                <w:kern w:val="0"/>
                <w:szCs w:val="21"/>
                <w:highlight w:val="none"/>
                <w:lang w:bidi="ar"/>
              </w:rPr>
            </w:pPr>
            <w:r>
              <w:rPr>
                <w:rFonts w:hint="eastAsia" w:asciiTheme="minorEastAsia" w:hAnsiTheme="minorEastAsia" w:eastAsiaTheme="minorEastAsia" w:cstheme="minorEastAsia"/>
                <w:color w:val="000000"/>
                <w:kern w:val="0"/>
                <w:szCs w:val="21"/>
                <w:highlight w:val="none"/>
                <w:lang w:bidi="ar"/>
              </w:rPr>
              <w:t>功能说明</w:t>
            </w:r>
          </w:p>
          <w:p w14:paraId="0B718AA1">
            <w:pPr>
              <w:widowControl/>
              <w:jc w:val="left"/>
              <w:textAlignment w:val="top"/>
              <w:rPr>
                <w:rFonts w:hint="eastAsia" w:asciiTheme="minorEastAsia" w:hAnsiTheme="minorEastAsia" w:eastAsiaTheme="minorEastAsia" w:cstheme="minorEastAsia"/>
                <w:color w:val="000000"/>
                <w:kern w:val="0"/>
                <w:szCs w:val="21"/>
                <w:highlight w:val="none"/>
                <w:lang w:bidi="ar"/>
              </w:rPr>
            </w:pPr>
            <w:r>
              <w:rPr>
                <w:rFonts w:hint="eastAsia" w:asciiTheme="minorEastAsia" w:hAnsiTheme="minorEastAsia" w:eastAsiaTheme="minorEastAsia" w:cstheme="minorEastAsia"/>
                <w:color w:val="000000"/>
                <w:kern w:val="0"/>
                <w:szCs w:val="21"/>
                <w:highlight w:val="none"/>
                <w:lang w:bidi="ar"/>
              </w:rPr>
              <w:t xml:space="preserve">1.头枕：3D头枕设计，可以实现头枕高低、角度、前后的调节; </w:t>
            </w:r>
          </w:p>
          <w:p w14:paraId="1E94481D">
            <w:pPr>
              <w:widowControl/>
              <w:jc w:val="left"/>
              <w:textAlignment w:val="top"/>
              <w:rPr>
                <w:rFonts w:hint="eastAsia" w:asciiTheme="minorEastAsia" w:hAnsiTheme="minorEastAsia" w:eastAsiaTheme="minorEastAsia" w:cstheme="minorEastAsia"/>
                <w:color w:val="000000"/>
                <w:kern w:val="0"/>
                <w:szCs w:val="21"/>
                <w:highlight w:val="none"/>
                <w:lang w:bidi="ar"/>
              </w:rPr>
            </w:pPr>
            <w:r>
              <w:rPr>
                <w:rFonts w:hint="eastAsia" w:asciiTheme="minorEastAsia" w:hAnsiTheme="minorEastAsia" w:eastAsiaTheme="minorEastAsia" w:cstheme="minorEastAsia"/>
                <w:color w:val="000000"/>
                <w:kern w:val="0"/>
                <w:szCs w:val="21"/>
                <w:highlight w:val="none"/>
                <w:lang w:bidi="ar"/>
              </w:rPr>
              <w:t>2.椅背采用“腰背分离设计”设计结构，同时配合“自动弹性腰枕”，腰枕自动调节其对腰椎支撑的角度和力度.椅背倾仰四档及以上调节锁定，&gt;120°后仰调节，椅背倾仰功能;</w:t>
            </w:r>
          </w:p>
          <w:p w14:paraId="7EA0FADC">
            <w:pPr>
              <w:widowControl/>
              <w:jc w:val="left"/>
              <w:textAlignment w:val="top"/>
              <w:rPr>
                <w:rFonts w:hint="eastAsia" w:asciiTheme="minorEastAsia" w:hAnsiTheme="minorEastAsia" w:eastAsiaTheme="minorEastAsia" w:cstheme="minorEastAsia"/>
                <w:color w:val="000000"/>
                <w:kern w:val="0"/>
                <w:szCs w:val="21"/>
                <w:highlight w:val="none"/>
                <w:lang w:bidi="ar"/>
              </w:rPr>
            </w:pPr>
            <w:r>
              <w:rPr>
                <w:rFonts w:hint="eastAsia" w:asciiTheme="minorEastAsia" w:hAnsiTheme="minorEastAsia" w:eastAsiaTheme="minorEastAsia" w:cstheme="minorEastAsia"/>
                <w:color w:val="000000"/>
                <w:kern w:val="0"/>
                <w:szCs w:val="21"/>
                <w:highlight w:val="none"/>
                <w:lang w:bidi="ar"/>
              </w:rPr>
              <w:t>3.腰枕：弹性腰枕上下升降（不少于5档/含初始档）；</w:t>
            </w:r>
          </w:p>
          <w:p w14:paraId="53BFB1C6">
            <w:pPr>
              <w:widowControl/>
              <w:jc w:val="left"/>
              <w:textAlignment w:val="top"/>
              <w:rPr>
                <w:rFonts w:hint="eastAsia" w:asciiTheme="minorEastAsia" w:hAnsiTheme="minorEastAsia" w:eastAsiaTheme="minorEastAsia" w:cstheme="minorEastAsia"/>
                <w:color w:val="000000"/>
                <w:kern w:val="0"/>
                <w:szCs w:val="21"/>
                <w:highlight w:val="none"/>
                <w:lang w:bidi="ar"/>
              </w:rPr>
            </w:pPr>
            <w:r>
              <w:rPr>
                <w:rFonts w:hint="eastAsia" w:asciiTheme="minorEastAsia" w:hAnsiTheme="minorEastAsia" w:eastAsiaTheme="minorEastAsia" w:cstheme="minorEastAsia"/>
                <w:color w:val="000000"/>
                <w:kern w:val="0"/>
                <w:szCs w:val="21"/>
                <w:highlight w:val="none"/>
                <w:lang w:bidi="ar"/>
              </w:rPr>
              <w:t>4.座垫：深度可调节，前后可滑动，满足不同身高使用者用椅需求；坐垫前端设计，最大限度释放腿部压力;</w:t>
            </w:r>
          </w:p>
          <w:p w14:paraId="019CD665">
            <w:pPr>
              <w:widowControl/>
              <w:jc w:val="left"/>
              <w:textAlignment w:val="top"/>
              <w:rPr>
                <w:rFonts w:hint="eastAsia" w:asciiTheme="minorEastAsia" w:hAnsiTheme="minorEastAsia" w:eastAsiaTheme="minorEastAsia" w:cstheme="minorEastAsia"/>
                <w:color w:val="000000"/>
                <w:kern w:val="0"/>
                <w:szCs w:val="21"/>
                <w:highlight w:val="none"/>
                <w:lang w:bidi="ar"/>
              </w:rPr>
            </w:pPr>
            <w:r>
              <w:rPr>
                <w:rFonts w:hint="eastAsia" w:asciiTheme="minorEastAsia" w:hAnsiTheme="minorEastAsia" w:eastAsiaTheme="minorEastAsia" w:cstheme="minorEastAsia"/>
                <w:color w:val="000000"/>
                <w:kern w:val="0"/>
                <w:szCs w:val="21"/>
                <w:highlight w:val="none"/>
                <w:lang w:bidi="ar"/>
              </w:rPr>
              <w:t xml:space="preserve">5.底盘：钢制自适应线控底盘，可同步倾仰和多角度锁定；独立开关设计，分别操控座垫升降、椅背倾仰锁定功能；   </w:t>
            </w:r>
          </w:p>
          <w:p w14:paraId="283E892F">
            <w:pPr>
              <w:widowControl/>
              <w:jc w:val="left"/>
              <w:textAlignment w:val="top"/>
              <w:rPr>
                <w:rFonts w:hint="eastAsia" w:asciiTheme="minorEastAsia" w:hAnsiTheme="minorEastAsia" w:eastAsiaTheme="minorEastAsia" w:cstheme="minorEastAsia"/>
                <w:color w:val="000000"/>
                <w:kern w:val="0"/>
                <w:szCs w:val="21"/>
                <w:highlight w:val="none"/>
                <w:lang w:bidi="ar"/>
              </w:rPr>
            </w:pPr>
            <w:r>
              <w:rPr>
                <w:rFonts w:hint="eastAsia" w:asciiTheme="minorEastAsia" w:hAnsiTheme="minorEastAsia" w:eastAsiaTheme="minorEastAsia" w:cstheme="minorEastAsia"/>
                <w:color w:val="000000"/>
                <w:kern w:val="0"/>
                <w:szCs w:val="21"/>
                <w:highlight w:val="none"/>
                <w:lang w:bidi="ar"/>
              </w:rPr>
              <w:t>6.扶手：“多功能线控扶手”设计，扶手高度可调节，扶手面可做角度、宽度，上下升降，前后滑动，左右摆动左右，满足不同工作状态下手臂支撑需求，同时扶手设置开关可控制倾仰锁定和座垫高度调节；</w:t>
            </w:r>
          </w:p>
          <w:p w14:paraId="61A4798F">
            <w:pPr>
              <w:widowControl/>
              <w:jc w:val="left"/>
              <w:textAlignment w:val="top"/>
              <w:rPr>
                <w:rFonts w:hint="eastAsia" w:asciiTheme="minorEastAsia" w:hAnsiTheme="minorEastAsia" w:eastAsiaTheme="minorEastAsia" w:cstheme="minorEastAsia"/>
                <w:color w:val="000000"/>
                <w:kern w:val="0"/>
                <w:szCs w:val="21"/>
                <w:highlight w:val="none"/>
                <w:lang w:bidi="ar"/>
              </w:rPr>
            </w:pPr>
            <w:r>
              <w:rPr>
                <w:rFonts w:hint="eastAsia" w:asciiTheme="minorEastAsia" w:hAnsiTheme="minorEastAsia" w:eastAsiaTheme="minorEastAsia" w:cstheme="minorEastAsia"/>
                <w:color w:val="000000"/>
                <w:kern w:val="0"/>
                <w:szCs w:val="21"/>
                <w:highlight w:val="none"/>
                <w:lang w:bidi="ar"/>
              </w:rPr>
              <w:t xml:space="preserve">7.一体式伸缩翻转脚踏； </w:t>
            </w:r>
          </w:p>
          <w:p w14:paraId="7E2C2056">
            <w:pPr>
              <w:widowControl/>
              <w:jc w:val="left"/>
              <w:textAlignment w:val="top"/>
              <w:rPr>
                <w:rFonts w:hint="eastAsia"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kern w:val="0"/>
                <w:szCs w:val="21"/>
                <w:highlight w:val="none"/>
                <w:lang w:bidi="ar"/>
              </w:rPr>
              <w:t>8.颜色：颜色可定制；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B70D5">
            <w:pPr>
              <w:widowControl/>
              <w:jc w:val="center"/>
              <w:textAlignment w:val="center"/>
              <w:rPr>
                <w:rFonts w:hint="eastAsia" w:asciiTheme="minorEastAsia" w:hAnsiTheme="minorEastAsia" w:eastAsiaTheme="minorEastAsia" w:cstheme="minorEastAsia"/>
                <w:color w:val="000000"/>
                <w:szCs w:val="21"/>
              </w:rPr>
            </w:pPr>
            <w:r>
              <w:drawing>
                <wp:inline distT="0" distB="0" distL="0" distR="0">
                  <wp:extent cx="1071245" cy="1560195"/>
                  <wp:effectExtent l="0" t="0" r="0" b="0"/>
                  <wp:docPr id="1181161825" name="图片 36"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61825" name="图片 36" descr="image5"/>
                          <pic:cNvPicPr>
                            <a:picLocks noChangeAspect="1"/>
                          </pic:cNvPicPr>
                        </pic:nvPicPr>
                        <pic:blipFill>
                          <a:blip r:embed="rId24"/>
                          <a:stretch>
                            <a:fillRect/>
                          </a:stretch>
                        </pic:blipFill>
                        <pic:spPr>
                          <a:xfrm>
                            <a:off x="0" y="0"/>
                            <a:ext cx="1075906" cy="1566837"/>
                          </a:xfrm>
                          <a:prstGeom prst="rect">
                            <a:avLst/>
                          </a:prstGeom>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0D61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248</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BE7A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1E419196">
        <w:tblPrEx>
          <w:tblCellMar>
            <w:top w:w="0" w:type="dxa"/>
            <w:left w:w="108" w:type="dxa"/>
            <w:bottom w:w="0" w:type="dxa"/>
            <w:right w:w="108" w:type="dxa"/>
          </w:tblCellMar>
        </w:tblPrEx>
        <w:trPr>
          <w:trHeight w:val="358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B91D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7152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接待洽谈椅（1）</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9F40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500*550*820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1F95E5D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1.脚架：采用优质白蜡木实木制作，所有木材都进行烘干及防蛀处理，木材含水率8-12%；无腐朽、无虫眼、无死结；</w:t>
            </w:r>
          </w:p>
          <w:p w14:paraId="59B59BD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2.椅背：优质多层板接触面采用优质头层牛皮饰面，厚度≥1.0mm，经液态浸色及防潮、防污等工艺处理，皮面更加柔软舒适、光泽持久性好，纹理细腻，耐磨损；</w:t>
            </w:r>
          </w:p>
          <w:p w14:paraId="39F116E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3.油漆：采用水性漆，表面使用大宝、华润、紫荆花、宣伟或同等品牌及以上品牌环保水性面漆喷涂，“五底三面 ”油漆工艺制作，达到色泽美观、不变色、光滑耐磨、手感好，表面硬度达到 3H 级.；</w:t>
            </w:r>
          </w:p>
          <w:p w14:paraId="34603A2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4.海绵：采用优质高弹阻燃海绵，品牌参照或相当于昱辰、圣诺盟、高化；软硬适中、不变形、回弹性好、抗疲劳能力强、坐感舒适.表面涂有防止老化变形的保护膜；</w:t>
            </w:r>
          </w:p>
          <w:p w14:paraId="596E487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5.整体：车缝线路均匀、线条顺畅、针距均匀，扪面整体感观流畅；</w:t>
            </w:r>
          </w:p>
          <w:p w14:paraId="6D6A0715">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0AE7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921385" cy="712470"/>
                  <wp:effectExtent l="0" t="0" r="8255" b="3810"/>
                  <wp:docPr id="43" name="图片_21"/>
                  <wp:cNvGraphicFramePr/>
                  <a:graphic xmlns:a="http://schemas.openxmlformats.org/drawingml/2006/main">
                    <a:graphicData uri="http://schemas.openxmlformats.org/drawingml/2006/picture">
                      <pic:pic xmlns:pic="http://schemas.openxmlformats.org/drawingml/2006/picture">
                        <pic:nvPicPr>
                          <pic:cNvPr id="43" name="图片_21"/>
                          <pic:cNvPicPr/>
                        </pic:nvPicPr>
                        <pic:blipFill>
                          <a:blip r:embed="rId25">
                            <a:extLst>
                              <a:ext uri="{28A0092B-C50C-407E-A947-70E740481C1C}">
                                <a14:useLocalDpi xmlns:a14="http://schemas.microsoft.com/office/drawing/2010/main" val="0"/>
                              </a:ext>
                            </a:extLst>
                          </a:blip>
                          <a:stretch>
                            <a:fillRect/>
                          </a:stretch>
                        </pic:blipFill>
                        <pic:spPr>
                          <a:xfrm>
                            <a:off x="0" y="0"/>
                            <a:ext cx="923928" cy="714436"/>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7E39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B346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599A8C78">
        <w:tblPrEx>
          <w:tblCellMar>
            <w:top w:w="0" w:type="dxa"/>
            <w:left w:w="108" w:type="dxa"/>
            <w:bottom w:w="0" w:type="dxa"/>
            <w:right w:w="108" w:type="dxa"/>
          </w:tblCellMar>
        </w:tblPrEx>
        <w:trPr>
          <w:trHeight w:val="63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A30D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F343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学习椅</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EBC2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450*450*810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0E58982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1.框架：采用优质白蜡木实木制作，所有木材都进行烘干及防蛀处理，木材含水率8-12%；无腐朽、无虫眼、无死结；                                                                                                                                                                           2.饰面：采用优质头层牛皮真皮，厚度≥1.0mm，经液态浸色及防潮、防污等工艺处理，</w:t>
            </w:r>
          </w:p>
          <w:p w14:paraId="7D3CD71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皮面更加柔软舒适、光泽持久性好，纹理细腻，耐磨损，撕裂力≥30N，摩擦色牢度（干擦（500 次） ） ≥4 级；颜色可选；；</w:t>
            </w:r>
          </w:p>
          <w:p w14:paraId="4B9609C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3.油漆：采用水性漆；“五底三面 ”油漆工艺制作，达到色泽美观、不变色、光滑耐磨、</w:t>
            </w:r>
          </w:p>
          <w:p w14:paraId="24F908F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手感好，表面硬度达到 3H 级。</w:t>
            </w:r>
          </w:p>
          <w:p w14:paraId="2B9C453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4.海绵：采用优质高弹阻燃海绵，软硬适中、不变形、回弹性好、抗疲劳能力强、坐感舒适.表面涂有防止老化变形的保护膜.                                                                                                                                                          5.整体：车缝线路均匀、线条顺畅、针距均匀，扪面整体感观流畅；</w:t>
            </w:r>
          </w:p>
          <w:p w14:paraId="7AC133CF">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68CA2">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233805" cy="1366520"/>
                  <wp:effectExtent l="0" t="0" r="635" b="5080"/>
                  <wp:docPr id="49" name="图片_22"/>
                  <wp:cNvGraphicFramePr/>
                  <a:graphic xmlns:a="http://schemas.openxmlformats.org/drawingml/2006/main">
                    <a:graphicData uri="http://schemas.openxmlformats.org/drawingml/2006/picture">
                      <pic:pic xmlns:pic="http://schemas.openxmlformats.org/drawingml/2006/picture">
                        <pic:nvPicPr>
                          <pic:cNvPr id="49" name="图片_22"/>
                          <pic:cNvPicPr/>
                        </pic:nvPicPr>
                        <pic:blipFill>
                          <a:blip r:embed="rId26">
                            <a:extLst>
                              <a:ext uri="{28A0092B-C50C-407E-A947-70E740481C1C}">
                                <a14:useLocalDpi xmlns:a14="http://schemas.microsoft.com/office/drawing/2010/main" val="0"/>
                              </a:ext>
                            </a:extLst>
                          </a:blip>
                          <a:stretch>
                            <a:fillRect/>
                          </a:stretch>
                        </pic:blipFill>
                        <pic:spPr>
                          <a:xfrm>
                            <a:off x="0" y="0"/>
                            <a:ext cx="1233805" cy="136652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FA08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56</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0E6D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21104682">
        <w:tblPrEx>
          <w:tblCellMar>
            <w:top w:w="0" w:type="dxa"/>
            <w:left w:w="108" w:type="dxa"/>
            <w:bottom w:w="0" w:type="dxa"/>
            <w:right w:w="108" w:type="dxa"/>
          </w:tblCellMar>
        </w:tblPrEx>
        <w:trPr>
          <w:trHeight w:val="358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419A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4102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会议接待椅（1）</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2A6A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640*700*1080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65316CA7">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1.框架：采用优质白蜡木实木制作，所有木材都进行烘干及防蛀处理，木材含水率8-12%；无腐朽、无虫眼、无死结；</w:t>
            </w:r>
          </w:p>
          <w:p w14:paraId="51C31E9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2.饰面：采用优质头层牛皮饰面，厚度≥1.0mm，经液态浸色及防潮、防污等工艺处理，皮面更加柔软舒适、光泽持久性好，纹理细腻，耐磨损；</w:t>
            </w:r>
          </w:p>
          <w:p w14:paraId="6D48680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3.油漆：采用水性漆；</w:t>
            </w:r>
          </w:p>
          <w:p w14:paraId="0328E54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4.海绵：采用优质高弹阻燃海绵，软硬适中、不变形、回弹性好、抗疲劳能力强、坐感舒适.表面涂有防止老化变形的保护膜;</w:t>
            </w:r>
          </w:p>
          <w:p w14:paraId="2754070F">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3A42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78865" cy="1814830"/>
                  <wp:effectExtent l="0" t="0" r="3175" b="13970"/>
                  <wp:docPr id="66" name="图片_24"/>
                  <wp:cNvGraphicFramePr/>
                  <a:graphic xmlns:a="http://schemas.openxmlformats.org/drawingml/2006/main">
                    <a:graphicData uri="http://schemas.openxmlformats.org/drawingml/2006/picture">
                      <pic:pic xmlns:pic="http://schemas.openxmlformats.org/drawingml/2006/picture">
                        <pic:nvPicPr>
                          <pic:cNvPr id="66" name="图片_24"/>
                          <pic:cNvPicPr/>
                        </pic:nvPicPr>
                        <pic:blipFill>
                          <a:blip r:embed="rId27">
                            <a:extLst>
                              <a:ext uri="{28A0092B-C50C-407E-A947-70E740481C1C}">
                                <a14:useLocalDpi xmlns:a14="http://schemas.microsoft.com/office/drawing/2010/main" val="0"/>
                              </a:ext>
                            </a:extLst>
                          </a:blip>
                          <a:stretch>
                            <a:fillRect/>
                          </a:stretch>
                        </pic:blipFill>
                        <pic:spPr>
                          <a:xfrm>
                            <a:off x="0" y="0"/>
                            <a:ext cx="1078865" cy="181483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101F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74</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D2CC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0E2AC7C4">
        <w:tblPrEx>
          <w:tblCellMar>
            <w:top w:w="0" w:type="dxa"/>
            <w:left w:w="108" w:type="dxa"/>
            <w:bottom w:w="0" w:type="dxa"/>
            <w:right w:w="108" w:type="dxa"/>
          </w:tblCellMar>
        </w:tblPrEx>
        <w:trPr>
          <w:trHeight w:val="204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0EE8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DE6C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会议接待椅（2）</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F54A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650*680*1050</w:t>
            </w:r>
          </w:p>
        </w:tc>
        <w:tc>
          <w:tcPr>
            <w:tcW w:w="2329" w:type="pct"/>
            <w:tcBorders>
              <w:top w:val="single" w:color="000000" w:sz="4" w:space="0"/>
              <w:left w:val="single" w:color="000000" w:sz="4" w:space="0"/>
              <w:bottom w:val="nil"/>
              <w:right w:val="single" w:color="000000" w:sz="4" w:space="0"/>
            </w:tcBorders>
            <w:shd w:val="clear" w:color="auto" w:fill="auto"/>
          </w:tcPr>
          <w:p w14:paraId="2EC93F1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1.面料：选用牛皮软包饰面；</w:t>
            </w:r>
          </w:p>
          <w:p w14:paraId="31709A0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2.同步倾仰机构，倾仰机构具有可调整弹力大小功能;</w:t>
            </w:r>
          </w:p>
          <w:p w14:paraId="205946C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3.北美进口白栓实木，实木扶手+皮饰面、实木椅脚、座海绵密度40#,椅背海绵密度35#；</w:t>
            </w:r>
          </w:p>
          <w:p w14:paraId="15CF8AF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4.气压棒：60mm行程气压棒，采用精钢铸造，内充高压氮气；</w:t>
            </w:r>
          </w:p>
          <w:p w14:paraId="65E1FE20">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tcBorders>
              <w:top w:val="single" w:color="000000" w:sz="4" w:space="0"/>
              <w:left w:val="single" w:color="000000" w:sz="4" w:space="0"/>
              <w:bottom w:val="nil"/>
              <w:right w:val="single" w:color="000000" w:sz="4" w:space="0"/>
            </w:tcBorders>
            <w:shd w:val="clear" w:color="auto" w:fill="auto"/>
            <w:vAlign w:val="center"/>
          </w:tcPr>
          <w:p w14:paraId="6BE6E375">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205230" cy="1111250"/>
                  <wp:effectExtent l="0" t="0" r="13970" b="1270"/>
                  <wp:docPr id="67" name="图片_72"/>
                  <wp:cNvGraphicFramePr/>
                  <a:graphic xmlns:a="http://schemas.openxmlformats.org/drawingml/2006/main">
                    <a:graphicData uri="http://schemas.openxmlformats.org/drawingml/2006/picture">
                      <pic:pic xmlns:pic="http://schemas.openxmlformats.org/drawingml/2006/picture">
                        <pic:nvPicPr>
                          <pic:cNvPr id="67" name="图片_72"/>
                          <pic:cNvPicPr/>
                        </pic:nvPicPr>
                        <pic:blipFill>
                          <a:blip r:embed="rId28">
                            <a:extLst>
                              <a:ext uri="{28A0092B-C50C-407E-A947-70E740481C1C}">
                                <a14:useLocalDpi xmlns:a14="http://schemas.microsoft.com/office/drawing/2010/main" val="0"/>
                              </a:ext>
                            </a:extLst>
                          </a:blip>
                          <a:stretch>
                            <a:fillRect/>
                          </a:stretch>
                        </pic:blipFill>
                        <pic:spPr>
                          <a:xfrm>
                            <a:off x="0" y="0"/>
                            <a:ext cx="1205230" cy="111125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9CD6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67</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1E04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781C94F1">
        <w:tblPrEx>
          <w:tblCellMar>
            <w:top w:w="0" w:type="dxa"/>
            <w:left w:w="108" w:type="dxa"/>
            <w:bottom w:w="0" w:type="dxa"/>
            <w:right w:w="108" w:type="dxa"/>
          </w:tblCellMar>
        </w:tblPrEx>
        <w:trPr>
          <w:trHeight w:val="379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CBFF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3780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接待椅（2）</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E3F5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750*760*1155</w:t>
            </w:r>
          </w:p>
        </w:tc>
        <w:tc>
          <w:tcPr>
            <w:tcW w:w="2329" w:type="pct"/>
            <w:tcBorders>
              <w:top w:val="single" w:color="000000" w:sz="4" w:space="0"/>
              <w:left w:val="single" w:color="000000" w:sz="4" w:space="0"/>
              <w:bottom w:val="nil"/>
              <w:right w:val="single" w:color="000000" w:sz="4" w:space="0"/>
            </w:tcBorders>
            <w:shd w:val="clear" w:color="auto" w:fill="auto"/>
          </w:tcPr>
          <w:p w14:paraId="3CA5975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1.面料：选用牛皮软包饰面；</w:t>
            </w:r>
          </w:p>
          <w:p w14:paraId="19A78D9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2.框架：18mm曲木板采用多层热压成型；</w:t>
            </w:r>
          </w:p>
          <w:p w14:paraId="4BD75C7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3.采用高密度海绵；</w:t>
            </w:r>
          </w:p>
          <w:p w14:paraId="3634C8B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4.实木油漆扶手；</w:t>
            </w:r>
          </w:p>
          <w:p w14:paraId="1B191CF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5.配倾仰锁定功能底盘·65#电镀杆；</w:t>
            </w:r>
          </w:p>
          <w:p w14:paraId="5F9516E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6.椅脚采用实木油漆脚；采用滑轮，滑行顺畅、无噪音，不伤地板；</w:t>
            </w:r>
          </w:p>
          <w:p w14:paraId="6D48659E">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2303A">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950595" cy="1412875"/>
                  <wp:effectExtent l="0" t="0" r="9525" b="4445"/>
                  <wp:docPr id="50" name="图片_19"/>
                  <wp:cNvGraphicFramePr/>
                  <a:graphic xmlns:a="http://schemas.openxmlformats.org/drawingml/2006/main">
                    <a:graphicData uri="http://schemas.openxmlformats.org/drawingml/2006/picture">
                      <pic:pic xmlns:pic="http://schemas.openxmlformats.org/drawingml/2006/picture">
                        <pic:nvPicPr>
                          <pic:cNvPr id="50" name="图片_19"/>
                          <pic:cNvPicPr/>
                        </pic:nvPicPr>
                        <pic:blipFill>
                          <a:blip r:embed="rId29">
                            <a:extLst>
                              <a:ext uri="{28A0092B-C50C-407E-A947-70E740481C1C}">
                                <a14:useLocalDpi xmlns:a14="http://schemas.microsoft.com/office/drawing/2010/main" val="0"/>
                              </a:ext>
                            </a:extLst>
                          </a:blip>
                          <a:stretch>
                            <a:fillRect/>
                          </a:stretch>
                        </pic:blipFill>
                        <pic:spPr>
                          <a:xfrm>
                            <a:off x="0" y="0"/>
                            <a:ext cx="951677" cy="1413917"/>
                          </a:xfrm>
                          <a:prstGeom prst="rect">
                            <a:avLst/>
                          </a:prstGeom>
                          <a:noFill/>
                          <a:ln>
                            <a:noFill/>
                          </a:ln>
                        </pic:spPr>
                      </pic:pic>
                    </a:graphicData>
                  </a:graphic>
                </wp:inline>
              </w:drawing>
            </w:r>
          </w:p>
        </w:tc>
        <w:tc>
          <w:tcPr>
            <w:tcW w:w="184" w:type="pct"/>
            <w:tcBorders>
              <w:top w:val="nil"/>
              <w:left w:val="nil"/>
              <w:bottom w:val="nil"/>
              <w:right w:val="nil"/>
            </w:tcBorders>
            <w:shd w:val="clear" w:color="auto" w:fill="auto"/>
            <w:noWrap/>
            <w:vAlign w:val="center"/>
          </w:tcPr>
          <w:p w14:paraId="7A019C9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20</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B689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5E02192B">
        <w:tblPrEx>
          <w:tblCellMar>
            <w:top w:w="0" w:type="dxa"/>
            <w:left w:w="108" w:type="dxa"/>
            <w:bottom w:w="0" w:type="dxa"/>
            <w:right w:w="108" w:type="dxa"/>
          </w:tblCellMar>
        </w:tblPrEx>
        <w:trPr>
          <w:trHeight w:val="379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61D4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9</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AF8B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接待椅（3）</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0A42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660*730*1060</w:t>
            </w:r>
          </w:p>
        </w:tc>
        <w:tc>
          <w:tcPr>
            <w:tcW w:w="2329" w:type="pct"/>
            <w:tcBorders>
              <w:top w:val="single" w:color="000000" w:sz="4" w:space="0"/>
              <w:left w:val="single" w:color="000000" w:sz="4" w:space="0"/>
              <w:bottom w:val="nil"/>
              <w:right w:val="single" w:color="000000" w:sz="4" w:space="0"/>
            </w:tcBorders>
            <w:shd w:val="clear" w:color="auto" w:fill="auto"/>
          </w:tcPr>
          <w:p w14:paraId="6D8EE76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1.面料：选用牛皮软包饰面；</w:t>
            </w:r>
          </w:p>
          <w:p w14:paraId="04C99F4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2.框架：18mm曲木板采用多层热压成型；</w:t>
            </w:r>
          </w:p>
          <w:p w14:paraId="4E749877">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3.采用高密度海绵；</w:t>
            </w:r>
          </w:p>
          <w:p w14:paraId="3101DA4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4.实木油漆扶手；</w:t>
            </w:r>
          </w:p>
          <w:p w14:paraId="0A0F727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5.配倾仰锁定功能底盘·65#电镀杆；</w:t>
            </w:r>
          </w:p>
          <w:p w14:paraId="3004B00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6.椅脚采用实木油漆脚；采用滑轮，滑行顺畅、无噪音，不伤地板；</w:t>
            </w:r>
          </w:p>
          <w:p w14:paraId="72E2C32B">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1C534">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31240" cy="1464310"/>
                  <wp:effectExtent l="0" t="0" r="5080" b="13970"/>
                  <wp:docPr id="55" name="图片_23"/>
                  <wp:cNvGraphicFramePr/>
                  <a:graphic xmlns:a="http://schemas.openxmlformats.org/drawingml/2006/main">
                    <a:graphicData uri="http://schemas.openxmlformats.org/drawingml/2006/picture">
                      <pic:pic xmlns:pic="http://schemas.openxmlformats.org/drawingml/2006/picture">
                        <pic:nvPicPr>
                          <pic:cNvPr id="55" name="图片_23"/>
                          <pic:cNvPicPr/>
                        </pic:nvPicPr>
                        <pic:blipFill>
                          <a:blip r:embed="rId30">
                            <a:extLst>
                              <a:ext uri="{28A0092B-C50C-407E-A947-70E740481C1C}">
                                <a14:useLocalDpi xmlns:a14="http://schemas.microsoft.com/office/drawing/2010/main" val="0"/>
                              </a:ext>
                            </a:extLst>
                          </a:blip>
                          <a:stretch>
                            <a:fillRect/>
                          </a:stretch>
                        </pic:blipFill>
                        <pic:spPr>
                          <a:xfrm>
                            <a:off x="0" y="0"/>
                            <a:ext cx="1031779" cy="1464787"/>
                          </a:xfrm>
                          <a:prstGeom prst="rect">
                            <a:avLst/>
                          </a:prstGeom>
                          <a:noFill/>
                          <a:ln>
                            <a:noFill/>
                          </a:ln>
                        </pic:spPr>
                      </pic:pic>
                    </a:graphicData>
                  </a:graphic>
                </wp:inline>
              </w:drawing>
            </w:r>
          </w:p>
        </w:tc>
        <w:tc>
          <w:tcPr>
            <w:tcW w:w="184" w:type="pct"/>
            <w:tcBorders>
              <w:top w:val="nil"/>
              <w:left w:val="nil"/>
              <w:bottom w:val="nil"/>
              <w:right w:val="nil"/>
            </w:tcBorders>
            <w:shd w:val="clear" w:color="auto" w:fill="auto"/>
            <w:noWrap/>
            <w:vAlign w:val="center"/>
          </w:tcPr>
          <w:p w14:paraId="144BF50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28</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E65D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7DB3AC33">
        <w:tblPrEx>
          <w:tblCellMar>
            <w:top w:w="0" w:type="dxa"/>
            <w:left w:w="108" w:type="dxa"/>
            <w:bottom w:w="0" w:type="dxa"/>
            <w:right w:w="108" w:type="dxa"/>
          </w:tblCellMar>
        </w:tblPrEx>
        <w:trPr>
          <w:trHeight w:val="325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1130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F06B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活动椅（1）</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C992C">
            <w:pPr>
              <w:widowControl/>
              <w:jc w:val="center"/>
              <w:textAlignment w:val="center"/>
            </w:pPr>
            <w:r>
              <w:rPr>
                <w:rFonts w:hint="eastAsia" w:asciiTheme="minorEastAsia" w:hAnsiTheme="minorEastAsia" w:eastAsiaTheme="minorEastAsia" w:cstheme="minorEastAsia"/>
                <w:color w:val="000000"/>
                <w:kern w:val="0"/>
                <w:szCs w:val="21"/>
                <w:lang w:bidi="ar"/>
              </w:rPr>
              <w:t>680*780*（1030-1090）</w:t>
            </w:r>
          </w:p>
          <w:p w14:paraId="106F8A0E">
            <w:pPr>
              <w:widowControl/>
              <w:jc w:val="center"/>
              <w:textAlignment w:val="center"/>
              <w:rPr>
                <w:rFonts w:hint="eastAsia"/>
              </w:rPr>
            </w:pPr>
            <w:r>
              <w:rPr>
                <w:rFonts w:hint="eastAsia" w:asciiTheme="minorEastAsia" w:hAnsiTheme="minorEastAsia" w:eastAsiaTheme="minorEastAsia" w:cstheme="minorEastAsia"/>
                <w:color w:val="000000"/>
                <w:kern w:val="0"/>
                <w:szCs w:val="21"/>
                <w:lang w:bidi="ar"/>
              </w:rPr>
              <w:t>高度尺寸为气杆降到最低或升到最高到头枕（降到最低）的距离）</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476E2FE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1.面料：选用牛皮软包饰面；</w:t>
            </w:r>
          </w:p>
          <w:p w14:paraId="7393466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2.底盘：升降、倾仰多档锁定功能;</w:t>
            </w:r>
          </w:p>
          <w:p w14:paraId="2307CA3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3.海绵:  椅座海绵密度50#;</w:t>
            </w:r>
          </w:p>
          <w:p w14:paraId="26531BA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4.木板：加厚型20mm双层板材，环保E0级;</w:t>
            </w:r>
          </w:p>
          <w:p w14:paraId="4F3C3DAB">
            <w:pPr>
              <w:widowControl/>
              <w:jc w:val="left"/>
              <w:textAlignment w:val="top"/>
              <w:rPr>
                <w:rFonts w:hint="eastAsia" w:asciiTheme="minorEastAsia" w:hAnsiTheme="minorEastAsia" w:eastAsiaTheme="minorEastAsia" w:cstheme="minorEastAsia"/>
                <w:color w:val="000000"/>
                <w:kern w:val="0"/>
                <w:szCs w:val="21"/>
                <w:highlight w:val="none"/>
                <w:lang w:bidi="ar"/>
              </w:rPr>
            </w:pPr>
            <w:r>
              <w:rPr>
                <w:rFonts w:hint="eastAsia" w:asciiTheme="minorEastAsia" w:hAnsiTheme="minorEastAsia" w:eastAsiaTheme="minorEastAsia" w:cstheme="minorEastAsia"/>
                <w:color w:val="000000"/>
                <w:kern w:val="0"/>
                <w:szCs w:val="21"/>
                <w:lang w:bidi="ar"/>
              </w:rPr>
              <w:t>5.扶手：北美白栓</w:t>
            </w:r>
            <w:r>
              <w:rPr>
                <w:rFonts w:hint="eastAsia" w:asciiTheme="minorEastAsia" w:hAnsiTheme="minorEastAsia" w:eastAsiaTheme="minorEastAsia" w:cstheme="minorEastAsia"/>
                <w:color w:val="000000"/>
                <w:kern w:val="0"/>
                <w:szCs w:val="21"/>
                <w:highlight w:val="none"/>
                <w:lang w:bidi="ar"/>
              </w:rPr>
              <w:t>木材质，胡桃色 开放漆;</w:t>
            </w:r>
          </w:p>
          <w:p w14:paraId="5529F8A6">
            <w:pPr>
              <w:widowControl/>
              <w:jc w:val="left"/>
              <w:textAlignment w:val="top"/>
              <w:rPr>
                <w:rFonts w:hint="eastAsia" w:asciiTheme="minorEastAsia" w:hAnsiTheme="minorEastAsia" w:eastAsiaTheme="minorEastAsia" w:cstheme="minorEastAsia"/>
                <w:color w:val="000000"/>
                <w:kern w:val="0"/>
                <w:szCs w:val="21"/>
                <w:highlight w:val="none"/>
                <w:lang w:bidi="ar"/>
              </w:rPr>
            </w:pPr>
            <w:r>
              <w:rPr>
                <w:rFonts w:hint="eastAsia" w:asciiTheme="minorEastAsia" w:hAnsiTheme="minorEastAsia" w:eastAsiaTheme="minorEastAsia" w:cstheme="minorEastAsia"/>
                <w:color w:val="000000"/>
                <w:kern w:val="0"/>
                <w:szCs w:val="21"/>
                <w:highlight w:val="none"/>
                <w:lang w:bidi="ar"/>
              </w:rPr>
              <w:t>6.五星脚：实木五星脚架;</w:t>
            </w:r>
          </w:p>
          <w:p w14:paraId="0A738742">
            <w:pPr>
              <w:widowControl/>
              <w:jc w:val="left"/>
              <w:textAlignment w:val="top"/>
              <w:rPr>
                <w:rFonts w:hint="eastAsia" w:asciiTheme="minorEastAsia" w:hAnsiTheme="minorEastAsia" w:eastAsiaTheme="minorEastAsia" w:cstheme="minorEastAsia"/>
                <w:color w:val="000000"/>
                <w:kern w:val="0"/>
                <w:szCs w:val="21"/>
                <w:highlight w:val="none"/>
                <w:lang w:bidi="ar"/>
              </w:rPr>
            </w:pPr>
            <w:r>
              <w:rPr>
                <w:rFonts w:hint="eastAsia" w:asciiTheme="minorEastAsia" w:hAnsiTheme="minorEastAsia" w:eastAsiaTheme="minorEastAsia" w:cstheme="minorEastAsia"/>
                <w:color w:val="000000"/>
                <w:kern w:val="0"/>
                <w:szCs w:val="21"/>
                <w:highlight w:val="none"/>
                <w:lang w:bidi="ar"/>
              </w:rPr>
              <w:t>7.气杆管壁厚度2.5mm；</w:t>
            </w:r>
          </w:p>
          <w:p w14:paraId="440C172E">
            <w:pPr>
              <w:widowControl/>
              <w:jc w:val="left"/>
              <w:textAlignment w:val="top"/>
              <w:rPr>
                <w:rFonts w:hint="eastAsia" w:asciiTheme="minorEastAsia" w:hAnsiTheme="minorEastAsia" w:eastAsiaTheme="minorEastAsia" w:cstheme="minorEastAsia"/>
                <w:color w:val="000000"/>
                <w:kern w:val="0"/>
                <w:szCs w:val="21"/>
                <w:highlight w:val="none"/>
                <w:lang w:eastAsia="zh-CN" w:bidi="ar"/>
              </w:rPr>
            </w:pPr>
            <w:r>
              <w:rPr>
                <w:rFonts w:hint="eastAsia" w:asciiTheme="minorEastAsia" w:hAnsiTheme="minorEastAsia" w:eastAsiaTheme="minorEastAsia" w:cstheme="minorEastAsia"/>
                <w:color w:val="000000"/>
                <w:kern w:val="0"/>
                <w:szCs w:val="21"/>
                <w:highlight w:val="none"/>
                <w:lang w:bidi="ar"/>
              </w:rPr>
              <w:t>8.脚轮：万向静音轮</w:t>
            </w:r>
            <w:r>
              <w:rPr>
                <w:rFonts w:hint="eastAsia" w:asciiTheme="minorEastAsia" w:hAnsiTheme="minorEastAsia" w:eastAsiaTheme="minorEastAsia" w:cstheme="minorEastAsia"/>
                <w:color w:val="000000"/>
                <w:kern w:val="0"/>
                <w:szCs w:val="21"/>
                <w:highlight w:val="none"/>
                <w:lang w:eastAsia="zh-CN" w:bidi="ar"/>
              </w:rPr>
              <w:t>；</w:t>
            </w:r>
          </w:p>
          <w:p w14:paraId="43A63AC3">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highlight w:val="none"/>
                <w:lang w:bidi="ar"/>
              </w:rPr>
              <w:t>9.颜色：颜色可定制；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02F24">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155700" cy="1474470"/>
                  <wp:effectExtent l="0" t="0" r="2540" b="3810"/>
                  <wp:docPr id="47" name="图片_55"/>
                  <wp:cNvGraphicFramePr/>
                  <a:graphic xmlns:a="http://schemas.openxmlformats.org/drawingml/2006/main">
                    <a:graphicData uri="http://schemas.openxmlformats.org/drawingml/2006/picture">
                      <pic:pic xmlns:pic="http://schemas.openxmlformats.org/drawingml/2006/picture">
                        <pic:nvPicPr>
                          <pic:cNvPr id="47" name="图片_55"/>
                          <pic:cNvPicPr/>
                        </pic:nvPicPr>
                        <pic:blipFill>
                          <a:blip r:embed="rId31">
                            <a:extLst>
                              <a:ext uri="{28A0092B-C50C-407E-A947-70E740481C1C}">
                                <a14:useLocalDpi xmlns:a14="http://schemas.microsoft.com/office/drawing/2010/main" val="0"/>
                              </a:ext>
                            </a:extLst>
                          </a:blip>
                          <a:stretch>
                            <a:fillRect/>
                          </a:stretch>
                        </pic:blipFill>
                        <pic:spPr>
                          <a:xfrm>
                            <a:off x="0" y="0"/>
                            <a:ext cx="1155700" cy="147447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5072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78</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A659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79F3D41A">
        <w:tblPrEx>
          <w:tblCellMar>
            <w:top w:w="0" w:type="dxa"/>
            <w:left w:w="108" w:type="dxa"/>
            <w:bottom w:w="0" w:type="dxa"/>
            <w:right w:w="108" w:type="dxa"/>
          </w:tblCellMar>
        </w:tblPrEx>
        <w:trPr>
          <w:trHeight w:val="307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E0C7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11</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0694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会议接待椅（3）</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5694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780*790*1100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49E1667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1.椅背：靠背骨架采用11层15毫米高强度层压胶合板，环保海绵填充，面料为环保透气真皮绒；</w:t>
            </w:r>
          </w:p>
          <w:p w14:paraId="0B921E0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2扶手：扶手主体采用优质烤漆实木扶手材质，表面烤漆工艺，烤漆附着力达到3H；                                       </w:t>
            </w:r>
          </w:p>
          <w:p w14:paraId="4AE28EC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3.座垫：坐垫骨架采用11层15毫米高强度层压胶合板，填充物高密度海绵组合；</w:t>
            </w:r>
          </w:p>
          <w:p w14:paraId="00894AB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4.底盘：采用线控底盘，2.5MM加厚钢板，倾仰角度10度，机构运动无干涉，无噪音；  </w:t>
            </w:r>
          </w:p>
          <w:p w14:paraId="64C7289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5.气杆：气杆棒芯采用3.0MM的优质无缝钢管，4级气杆标准；</w:t>
            </w:r>
          </w:p>
          <w:p w14:paraId="54B7F30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6.椅脚：实木五星脚；</w:t>
            </w:r>
          </w:p>
          <w:p w14:paraId="7C3DA40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7.脚轮：采用PA+30%玻璃纤维材料，组装后经过高温热处理，轮片直径75mm;</w:t>
            </w:r>
          </w:p>
          <w:p w14:paraId="00631A21">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17ED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283335" cy="1632585"/>
                  <wp:effectExtent l="0" t="0" r="12065" b="13335"/>
                  <wp:docPr id="53" name="图片_62"/>
                  <wp:cNvGraphicFramePr/>
                  <a:graphic xmlns:a="http://schemas.openxmlformats.org/drawingml/2006/main">
                    <a:graphicData uri="http://schemas.openxmlformats.org/drawingml/2006/picture">
                      <pic:pic xmlns:pic="http://schemas.openxmlformats.org/drawingml/2006/picture">
                        <pic:nvPicPr>
                          <pic:cNvPr id="53" name="图片_62"/>
                          <pic:cNvPicPr/>
                        </pic:nvPicPr>
                        <pic:blipFill>
                          <a:blip r:embed="rId32">
                            <a:extLst>
                              <a:ext uri="{28A0092B-C50C-407E-A947-70E740481C1C}">
                                <a14:useLocalDpi xmlns:a14="http://schemas.microsoft.com/office/drawing/2010/main" val="0"/>
                              </a:ext>
                            </a:extLst>
                          </a:blip>
                          <a:stretch>
                            <a:fillRect/>
                          </a:stretch>
                        </pic:blipFill>
                        <pic:spPr>
                          <a:xfrm>
                            <a:off x="0" y="0"/>
                            <a:ext cx="1283335" cy="163258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D849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18</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3BF1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27D3D501">
        <w:tblPrEx>
          <w:tblCellMar>
            <w:top w:w="0" w:type="dxa"/>
            <w:left w:w="108" w:type="dxa"/>
            <w:bottom w:w="0" w:type="dxa"/>
            <w:right w:w="108" w:type="dxa"/>
          </w:tblCellMar>
        </w:tblPrEx>
        <w:trPr>
          <w:trHeight w:val="1527"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1CE0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12</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D9C7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全包接待椅</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2934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510*600*880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5C9AD7C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1.面材：采用优质天然实木木皮贴面，木皮厚度≥0.6mm，扪超纤皮及海绵；</w:t>
            </w:r>
          </w:p>
          <w:p w14:paraId="6867134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2.基材：采用E0级密度板，各项性能均优于国家标准；</w:t>
            </w:r>
          </w:p>
          <w:p w14:paraId="4A976A4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3.油漆：油性木器涂料涂饰，采用五底三面涂饰工艺，符合国家标准；</w:t>
            </w:r>
          </w:p>
          <w:p w14:paraId="0CF6E05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4.胶水：采用环保白乳胶；</w:t>
            </w:r>
          </w:p>
          <w:p w14:paraId="105FADFF">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62744">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511810" cy="787400"/>
                  <wp:effectExtent l="0" t="0" r="6350" b="5080"/>
                  <wp:docPr id="54" name="图片_52"/>
                  <wp:cNvGraphicFramePr/>
                  <a:graphic xmlns:a="http://schemas.openxmlformats.org/drawingml/2006/main">
                    <a:graphicData uri="http://schemas.openxmlformats.org/drawingml/2006/picture">
                      <pic:pic xmlns:pic="http://schemas.openxmlformats.org/drawingml/2006/picture">
                        <pic:nvPicPr>
                          <pic:cNvPr id="54" name="图片_5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1810" cy="78740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BD7E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B01A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638574D2">
        <w:tblPrEx>
          <w:tblCellMar>
            <w:top w:w="0" w:type="dxa"/>
            <w:left w:w="108" w:type="dxa"/>
            <w:bottom w:w="0" w:type="dxa"/>
            <w:right w:w="108" w:type="dxa"/>
          </w:tblCellMar>
        </w:tblPrEx>
        <w:trPr>
          <w:trHeight w:val="2574"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F97F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13</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5503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接待洽谈椅（2）</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9D16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480*550*720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3FEA097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1.框架：采用优质白蜡木实木制作，所有木材都进行烘干及防蛀处理，木材含水率8-12%；无腐朽、无虫眼、无死结；</w:t>
            </w:r>
          </w:p>
          <w:p w14:paraId="45E3ACD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2.饰面：采用优质头层牛皮饰面，厚度≥1.0mm，经液态浸色及防潮、防污等工艺处理，皮面更加柔软舒适、光泽持久性好，纹理细腻，耐磨损；</w:t>
            </w:r>
          </w:p>
          <w:p w14:paraId="24EC7F8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3.油漆：采用水性漆；</w:t>
            </w:r>
          </w:p>
          <w:p w14:paraId="20564BF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4.海绵：采用优质高弹阻燃海绵，软硬适中、不变形、回弹性好、抗疲劳能力强、坐感舒适.表面涂有防止老化变形的保护膜;</w:t>
            </w:r>
          </w:p>
          <w:p w14:paraId="438C2C17">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6DDC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965835" cy="1292860"/>
                  <wp:effectExtent l="0" t="0" r="9525" b="2540"/>
                  <wp:docPr id="56" name="图片_3"/>
                  <wp:cNvGraphicFramePr/>
                  <a:graphic xmlns:a="http://schemas.openxmlformats.org/drawingml/2006/main">
                    <a:graphicData uri="http://schemas.openxmlformats.org/drawingml/2006/picture">
                      <pic:pic xmlns:pic="http://schemas.openxmlformats.org/drawingml/2006/picture">
                        <pic:nvPicPr>
                          <pic:cNvPr id="56" name="图片_3"/>
                          <pic:cNvPicPr/>
                        </pic:nvPicPr>
                        <pic:blipFill>
                          <a:blip r:embed="rId34">
                            <a:extLst>
                              <a:ext uri="{28A0092B-C50C-407E-A947-70E740481C1C}">
                                <a14:useLocalDpi xmlns:a14="http://schemas.microsoft.com/office/drawing/2010/main" val="0"/>
                              </a:ext>
                            </a:extLst>
                          </a:blip>
                          <a:stretch>
                            <a:fillRect/>
                          </a:stretch>
                        </pic:blipFill>
                        <pic:spPr>
                          <a:xfrm>
                            <a:off x="0" y="0"/>
                            <a:ext cx="965835" cy="129286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F3CC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86</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4288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5B5CEFAF">
        <w:tblPrEx>
          <w:tblCellMar>
            <w:top w:w="0" w:type="dxa"/>
            <w:left w:w="108" w:type="dxa"/>
            <w:bottom w:w="0" w:type="dxa"/>
            <w:right w:w="108" w:type="dxa"/>
          </w:tblCellMar>
        </w:tblPrEx>
        <w:trPr>
          <w:trHeight w:val="300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21CF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14</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B126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会议接待椅（4）</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D6E7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450*540*930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31FAA177">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1.铝合金管材，烤漆工艺;</w:t>
            </w:r>
          </w:p>
          <w:p w14:paraId="6A330BD7">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2.表面真皮内置高回弹海绵;</w:t>
            </w:r>
          </w:p>
          <w:p w14:paraId="3AB24C2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3.可上叠14张及以上（每张含一套布套）;</w:t>
            </w:r>
          </w:p>
          <w:p w14:paraId="0C754FE2">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4050C">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783590" cy="1242060"/>
                  <wp:effectExtent l="0" t="0" r="8890" b="7620"/>
                  <wp:docPr id="57" name="图片_20"/>
                  <wp:cNvGraphicFramePr/>
                  <a:graphic xmlns:a="http://schemas.openxmlformats.org/drawingml/2006/main">
                    <a:graphicData uri="http://schemas.openxmlformats.org/drawingml/2006/picture">
                      <pic:pic xmlns:pic="http://schemas.openxmlformats.org/drawingml/2006/picture">
                        <pic:nvPicPr>
                          <pic:cNvPr id="57" name="图片_20"/>
                          <pic:cNvPicPr/>
                        </pic:nvPicPr>
                        <pic:blipFill>
                          <a:blip r:embed="rId35">
                            <a:extLst>
                              <a:ext uri="{28A0092B-C50C-407E-A947-70E740481C1C}">
                                <a14:useLocalDpi xmlns:a14="http://schemas.microsoft.com/office/drawing/2010/main" val="0"/>
                              </a:ext>
                            </a:extLst>
                          </a:blip>
                          <a:stretch>
                            <a:fillRect/>
                          </a:stretch>
                        </pic:blipFill>
                        <pic:spPr>
                          <a:xfrm>
                            <a:off x="0" y="0"/>
                            <a:ext cx="785067" cy="124488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33B2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120</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F7B1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19E46984">
        <w:tblPrEx>
          <w:tblCellMar>
            <w:top w:w="0" w:type="dxa"/>
            <w:left w:w="108" w:type="dxa"/>
            <w:bottom w:w="0" w:type="dxa"/>
            <w:right w:w="108" w:type="dxa"/>
          </w:tblCellMar>
        </w:tblPrEx>
        <w:trPr>
          <w:trHeight w:val="300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9B69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15</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914F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活动椅（3）</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3A370">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680*780*（1030-1090）</w:t>
            </w:r>
          </w:p>
          <w:p w14:paraId="44DBA25F">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高度尺寸为气杆降到最低或升到最高到头枕（降到最低）的距离）</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405FBDC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1.面料：选用牛皮软包饰面；</w:t>
            </w:r>
          </w:p>
          <w:p w14:paraId="7C95DF0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2.海绵:  椅座海绵密度50#;</w:t>
            </w:r>
          </w:p>
          <w:p w14:paraId="74C4674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3.扶手：PP固定扶手;</w:t>
            </w:r>
          </w:p>
          <w:p w14:paraId="2622037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4.脚架：壁厚≥2mm加厚喷涂弓形架;</w:t>
            </w:r>
          </w:p>
          <w:p w14:paraId="7454A128">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BA7ED">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145540" cy="1331595"/>
                  <wp:effectExtent l="0" t="0" r="12700" b="9525"/>
                  <wp:docPr id="58" name="图片_54"/>
                  <wp:cNvGraphicFramePr/>
                  <a:graphic xmlns:a="http://schemas.openxmlformats.org/drawingml/2006/main">
                    <a:graphicData uri="http://schemas.openxmlformats.org/drawingml/2006/picture">
                      <pic:pic xmlns:pic="http://schemas.openxmlformats.org/drawingml/2006/picture">
                        <pic:nvPicPr>
                          <pic:cNvPr id="58" name="图片_54"/>
                          <pic:cNvPicPr/>
                        </pic:nvPicPr>
                        <pic:blipFill>
                          <a:blip r:embed="rId36">
                            <a:extLst>
                              <a:ext uri="{28A0092B-C50C-407E-A947-70E740481C1C}">
                                <a14:useLocalDpi xmlns:a14="http://schemas.microsoft.com/office/drawing/2010/main" val="0"/>
                              </a:ext>
                            </a:extLst>
                          </a:blip>
                          <a:stretch>
                            <a:fillRect/>
                          </a:stretch>
                        </pic:blipFill>
                        <pic:spPr>
                          <a:xfrm>
                            <a:off x="0" y="0"/>
                            <a:ext cx="1145540" cy="133159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E36A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24</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775E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416FB566">
        <w:tblPrEx>
          <w:tblCellMar>
            <w:top w:w="0" w:type="dxa"/>
            <w:left w:w="108" w:type="dxa"/>
            <w:bottom w:w="0" w:type="dxa"/>
            <w:right w:w="108" w:type="dxa"/>
          </w:tblCellMar>
        </w:tblPrEx>
        <w:trPr>
          <w:trHeight w:val="300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4A87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16</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93CA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书椅</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09FB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480*550*720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23F89B0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1.框架：采用优质白蜡木实木制作，所有木材都进行烘干及防蛀处理，木材含水率8-12%；无腐朽、无虫眼、无死结；</w:t>
            </w:r>
          </w:p>
          <w:p w14:paraId="70606AD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2.饰面：采用优质头层牛皮饰面，厚度≥1.0mm，经液态浸色及防潮、防污等工艺处理，皮面更加柔软舒适、光泽持久性好，纹理细腻，耐磨损；</w:t>
            </w:r>
          </w:p>
          <w:p w14:paraId="50D389D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3.油漆：采用水性漆；</w:t>
            </w:r>
          </w:p>
          <w:p w14:paraId="3ECA874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4.海绵：采用优质高弹阻燃海绵，软硬适中、不变形、回弹性好、抗疲劳能力强、坐感舒适.表面涂有防止老化变形的保护膜;</w:t>
            </w:r>
          </w:p>
          <w:p w14:paraId="50AFA77E">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4E036">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90295" cy="1441450"/>
                  <wp:effectExtent l="0" t="0" r="6985" b="6350"/>
                  <wp:docPr id="61" name="图片_4"/>
                  <wp:cNvGraphicFramePr/>
                  <a:graphic xmlns:a="http://schemas.openxmlformats.org/drawingml/2006/main">
                    <a:graphicData uri="http://schemas.openxmlformats.org/drawingml/2006/picture">
                      <pic:pic xmlns:pic="http://schemas.openxmlformats.org/drawingml/2006/picture">
                        <pic:nvPicPr>
                          <pic:cNvPr id="61" name="图片_4"/>
                          <pic:cNvPicPr/>
                        </pic:nvPicPr>
                        <pic:blipFill>
                          <a:blip r:embed="rId37">
                            <a:extLst>
                              <a:ext uri="{28A0092B-C50C-407E-A947-70E740481C1C}">
                                <a14:useLocalDpi xmlns:a14="http://schemas.microsoft.com/office/drawing/2010/main" val="0"/>
                              </a:ext>
                            </a:extLst>
                          </a:blip>
                          <a:stretch>
                            <a:fillRect/>
                          </a:stretch>
                        </pic:blipFill>
                        <pic:spPr>
                          <a:xfrm>
                            <a:off x="0" y="0"/>
                            <a:ext cx="1090295" cy="144145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594A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1BF4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06478EEB">
        <w:tblPrEx>
          <w:tblCellMar>
            <w:top w:w="0" w:type="dxa"/>
            <w:left w:w="108" w:type="dxa"/>
            <w:bottom w:w="0" w:type="dxa"/>
            <w:right w:w="108" w:type="dxa"/>
          </w:tblCellMar>
        </w:tblPrEx>
        <w:trPr>
          <w:trHeight w:val="289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C19F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17</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7D7B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后排椅</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9245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560*650*840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421189C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1.面料：选用牛皮软包饰面；</w:t>
            </w:r>
          </w:p>
          <w:p w14:paraId="6733849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2.北美进口白蜡实木，实木扶手、实木椅脚、座海绵密度40#,椅背海绵密度35#；</w:t>
            </w:r>
          </w:p>
          <w:p w14:paraId="59DD02EB">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F814B">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807085" cy="1222375"/>
                  <wp:effectExtent l="0" t="0" r="635" b="12065"/>
                  <wp:docPr id="48" name="图片_45"/>
                  <wp:cNvGraphicFramePr/>
                  <a:graphic xmlns:a="http://schemas.openxmlformats.org/drawingml/2006/main">
                    <a:graphicData uri="http://schemas.openxmlformats.org/drawingml/2006/picture">
                      <pic:pic xmlns:pic="http://schemas.openxmlformats.org/drawingml/2006/picture">
                        <pic:nvPicPr>
                          <pic:cNvPr id="48" name="图片_45"/>
                          <pic:cNvPicPr/>
                        </pic:nvPicPr>
                        <pic:blipFill>
                          <a:blip r:embed="rId38">
                            <a:extLst>
                              <a:ext uri="{28A0092B-C50C-407E-A947-70E740481C1C}">
                                <a14:useLocalDpi xmlns:a14="http://schemas.microsoft.com/office/drawing/2010/main" val="0"/>
                              </a:ext>
                            </a:extLst>
                          </a:blip>
                          <a:stretch>
                            <a:fillRect/>
                          </a:stretch>
                        </pic:blipFill>
                        <pic:spPr>
                          <a:xfrm>
                            <a:off x="0" y="0"/>
                            <a:ext cx="807085" cy="122237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FA60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56</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ED2F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358E2087">
        <w:tblPrEx>
          <w:tblCellMar>
            <w:top w:w="0" w:type="dxa"/>
            <w:left w:w="108" w:type="dxa"/>
            <w:bottom w:w="0" w:type="dxa"/>
            <w:right w:w="108" w:type="dxa"/>
          </w:tblCellMar>
        </w:tblPrEx>
        <w:trPr>
          <w:trHeight w:val="346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274E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18</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BEED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会议接待后排椅</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52EE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620*580*960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1DBFBB0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1.框架：采用优质白蜡木实木制作，所有木材都进行烘干及防蛀处理，木材含水率8-12%；无腐朽、无虫眼、无死结；</w:t>
            </w:r>
          </w:p>
          <w:p w14:paraId="74DA15C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2.饰面：采用优质头层牛皮饰面，厚度≥1.0mm，经液态浸色及防潮、防污等工艺处理，皮面更加柔软舒适、光泽持久性好，纹理细腻，耐磨损；</w:t>
            </w:r>
          </w:p>
          <w:p w14:paraId="2FE403B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3.油漆：采用水性漆；</w:t>
            </w:r>
          </w:p>
          <w:p w14:paraId="70E98B3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4.海绵：采用优质高弹阻燃海绵，软硬适中、不变形、回弹性好、抗疲劳能力强、坐感舒适.表面涂有防止老化变形的保护膜;</w:t>
            </w:r>
          </w:p>
          <w:p w14:paraId="5603EF49">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4131D">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884555" cy="1472565"/>
                  <wp:effectExtent l="0" t="0" r="14605" b="5715"/>
                  <wp:docPr id="59" name="图片_46"/>
                  <wp:cNvGraphicFramePr/>
                  <a:graphic xmlns:a="http://schemas.openxmlformats.org/drawingml/2006/main">
                    <a:graphicData uri="http://schemas.openxmlformats.org/drawingml/2006/picture">
                      <pic:pic xmlns:pic="http://schemas.openxmlformats.org/drawingml/2006/picture">
                        <pic:nvPicPr>
                          <pic:cNvPr id="59" name="图片_46"/>
                          <pic:cNvPicPr/>
                        </pic:nvPicPr>
                        <pic:blipFill>
                          <a:blip r:embed="rId39">
                            <a:extLst>
                              <a:ext uri="{28A0092B-C50C-407E-A947-70E740481C1C}">
                                <a14:useLocalDpi xmlns:a14="http://schemas.microsoft.com/office/drawing/2010/main" val="0"/>
                              </a:ext>
                            </a:extLst>
                          </a:blip>
                          <a:stretch>
                            <a:fillRect/>
                          </a:stretch>
                        </pic:blipFill>
                        <pic:spPr>
                          <a:xfrm>
                            <a:off x="0" y="0"/>
                            <a:ext cx="884555" cy="147256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7EAD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68</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1F00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063A6E14">
        <w:tblPrEx>
          <w:tblCellMar>
            <w:top w:w="0" w:type="dxa"/>
            <w:left w:w="108" w:type="dxa"/>
            <w:bottom w:w="0" w:type="dxa"/>
            <w:right w:w="108" w:type="dxa"/>
          </w:tblCellMar>
        </w:tblPrEx>
        <w:trPr>
          <w:trHeight w:val="346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A08B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19</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52AF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会议接待椅（5）</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DAA7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690*740*985</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583AFD2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1.框架：采用优质白蜡木实木制作，所有木材都进行烘干及防蛀处理，木材含水率8-12%；无腐朽、无虫眼、无死结；</w:t>
            </w:r>
          </w:p>
          <w:p w14:paraId="56232F6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2.饰面：采用优质头层牛皮饰面，厚度≥1.0mm，经液态浸色及防潮、防污等工艺处理，皮面更加柔软舒适、光泽持久性好，纹理细腻，耐磨损；</w:t>
            </w:r>
          </w:p>
          <w:p w14:paraId="4FDFA62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3.油漆：采用水性漆；</w:t>
            </w:r>
          </w:p>
          <w:p w14:paraId="590EC5A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4.海绵：采用优质高弹阻燃海绵，软硬适中、不变形、回弹性好、抗疲劳能力强、坐感舒适.表面涂有防止老化变形的保护膜.</w:t>
            </w:r>
          </w:p>
          <w:p w14:paraId="08FDD613">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18310">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54735" cy="1700530"/>
                  <wp:effectExtent l="0" t="0" r="12065" b="6350"/>
                  <wp:docPr id="60" name="图片_57"/>
                  <wp:cNvGraphicFramePr/>
                  <a:graphic xmlns:a="http://schemas.openxmlformats.org/drawingml/2006/main">
                    <a:graphicData uri="http://schemas.openxmlformats.org/drawingml/2006/picture">
                      <pic:pic xmlns:pic="http://schemas.openxmlformats.org/drawingml/2006/picture">
                        <pic:nvPicPr>
                          <pic:cNvPr id="60" name="图片_57"/>
                          <pic:cNvPicPr/>
                        </pic:nvPicPr>
                        <pic:blipFill>
                          <a:blip r:embed="rId40">
                            <a:extLst>
                              <a:ext uri="{28A0092B-C50C-407E-A947-70E740481C1C}">
                                <a14:useLocalDpi xmlns:a14="http://schemas.microsoft.com/office/drawing/2010/main" val="0"/>
                              </a:ext>
                            </a:extLst>
                          </a:blip>
                          <a:stretch>
                            <a:fillRect/>
                          </a:stretch>
                        </pic:blipFill>
                        <pic:spPr>
                          <a:xfrm>
                            <a:off x="0" y="0"/>
                            <a:ext cx="1054735" cy="170053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AE7D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148</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5083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1CD35453">
        <w:tblPrEx>
          <w:tblCellMar>
            <w:top w:w="0" w:type="dxa"/>
            <w:left w:w="108" w:type="dxa"/>
            <w:bottom w:w="0" w:type="dxa"/>
            <w:right w:w="108" w:type="dxa"/>
          </w:tblCellMar>
        </w:tblPrEx>
        <w:trPr>
          <w:trHeight w:val="331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F28B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20</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97C2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接待椅（4）</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1A87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780*720*1210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5631AFB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1.框架：采用优质白栓实木制作，所有木材都进行烘干及防蛀处理，木材含水率8-12%；无腐朽、无虫眼、无死结；</w:t>
            </w:r>
          </w:p>
          <w:p w14:paraId="0F53035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2.饰面：采用优质头层牛皮饰面，厚度≥1.0mm，经液态浸色及防潮、防污等工艺处理，皮面更加柔软舒适、光泽持久性好，纹理细腻，耐磨损；</w:t>
            </w:r>
          </w:p>
          <w:p w14:paraId="4EBE771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3.油漆：采用水性漆；</w:t>
            </w:r>
          </w:p>
          <w:p w14:paraId="4C28555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4.海绵：采用优质高弹阻燃海绵，软硬适中、不变形、回弹性好、抗疲劳能力强、坐感舒适.表面涂有防止老化变形的保护膜;</w:t>
            </w:r>
          </w:p>
          <w:p w14:paraId="1E03EA2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5.功能：升降、倾仰多档锁定功能，高飞模慢回弹底盘，板材：加厚型15mmE0级板材;</w:t>
            </w:r>
          </w:p>
          <w:p w14:paraId="57632E69">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8BE23">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938530" cy="1815465"/>
                  <wp:effectExtent l="0" t="0" r="6350" b="13335"/>
                  <wp:docPr id="68" name="图片_65"/>
                  <wp:cNvGraphicFramePr/>
                  <a:graphic xmlns:a="http://schemas.openxmlformats.org/drawingml/2006/main">
                    <a:graphicData uri="http://schemas.openxmlformats.org/drawingml/2006/picture">
                      <pic:pic xmlns:pic="http://schemas.openxmlformats.org/drawingml/2006/picture">
                        <pic:nvPicPr>
                          <pic:cNvPr id="68" name="图片_65"/>
                          <pic:cNvPicPr/>
                        </pic:nvPicPr>
                        <pic:blipFill>
                          <a:blip r:embed="rId41">
                            <a:extLst>
                              <a:ext uri="{28A0092B-C50C-407E-A947-70E740481C1C}">
                                <a14:useLocalDpi xmlns:a14="http://schemas.microsoft.com/office/drawing/2010/main" val="0"/>
                              </a:ext>
                            </a:extLst>
                          </a:blip>
                          <a:stretch>
                            <a:fillRect/>
                          </a:stretch>
                        </pic:blipFill>
                        <pic:spPr>
                          <a:xfrm>
                            <a:off x="0" y="0"/>
                            <a:ext cx="938530" cy="181546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0CAB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35E5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6D5F998D">
        <w:tblPrEx>
          <w:tblCellMar>
            <w:top w:w="0" w:type="dxa"/>
            <w:left w:w="108" w:type="dxa"/>
            <w:bottom w:w="0" w:type="dxa"/>
            <w:right w:w="108" w:type="dxa"/>
          </w:tblCellMar>
        </w:tblPrEx>
        <w:trPr>
          <w:trHeight w:val="331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D4A6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21</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2EF6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接待客椅</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C774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780*730*1020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2752C11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1.框架：采用优质白栓实木制作，所有木材都进行烘干及防蛀处理，木材含水率8-12%；无腐朽、无虫眼、无死结；</w:t>
            </w:r>
          </w:p>
          <w:p w14:paraId="2D0156F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2.饰面：采用优质头层牛皮饰面，厚度≥1.0mm，经液态浸色及防潮、防污等工艺处理，皮面更加柔软舒适、光泽持久性好，纹理细腻，耐磨损；</w:t>
            </w:r>
          </w:p>
          <w:p w14:paraId="3F387B17">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3.油漆：采用水性漆；</w:t>
            </w:r>
          </w:p>
          <w:p w14:paraId="50E432F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4.海绵：采用优质高弹阻燃海绵，软硬适中、不变形、回弹性好、抗疲劳能力强、坐感舒适.表面涂有防止老化变形的保护膜;</w:t>
            </w:r>
          </w:p>
          <w:p w14:paraId="2DEDAAB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5.功能：升降、倾仰多档锁定功能，高飞模慢回弹底盘，板材：加厚型15mmE0级板材;</w:t>
            </w:r>
          </w:p>
          <w:p w14:paraId="0A68B4FB">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C8A2D">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16635" cy="1407160"/>
                  <wp:effectExtent l="0" t="0" r="4445" b="10160"/>
                  <wp:docPr id="44" name="图片_66"/>
                  <wp:cNvGraphicFramePr/>
                  <a:graphic xmlns:a="http://schemas.openxmlformats.org/drawingml/2006/main">
                    <a:graphicData uri="http://schemas.openxmlformats.org/drawingml/2006/picture">
                      <pic:pic xmlns:pic="http://schemas.openxmlformats.org/drawingml/2006/picture">
                        <pic:nvPicPr>
                          <pic:cNvPr id="44" name="图片_66"/>
                          <pic:cNvPicPr/>
                        </pic:nvPicPr>
                        <pic:blipFill>
                          <a:blip r:embed="rId42">
                            <a:extLst>
                              <a:ext uri="{28A0092B-C50C-407E-A947-70E740481C1C}">
                                <a14:useLocalDpi xmlns:a14="http://schemas.microsoft.com/office/drawing/2010/main" val="0"/>
                              </a:ext>
                            </a:extLst>
                          </a:blip>
                          <a:stretch>
                            <a:fillRect/>
                          </a:stretch>
                        </pic:blipFill>
                        <pic:spPr>
                          <a:xfrm>
                            <a:off x="0" y="0"/>
                            <a:ext cx="1016635" cy="140716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EC9D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E5B0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6F744585">
        <w:tblPrEx>
          <w:tblCellMar>
            <w:top w:w="0" w:type="dxa"/>
            <w:left w:w="108" w:type="dxa"/>
            <w:bottom w:w="0" w:type="dxa"/>
            <w:right w:w="108" w:type="dxa"/>
          </w:tblCellMar>
        </w:tblPrEx>
        <w:trPr>
          <w:trHeight w:val="300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7DEE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22</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4D54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接待椅（5）</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CFEB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495*595*990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6D1DF8B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1.主体框架：进口白蜡木；</w:t>
            </w:r>
          </w:p>
          <w:p w14:paraId="5AA14FB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2.前脚：拉丝玫瑰金五金脚套；</w:t>
            </w:r>
          </w:p>
          <w:p w14:paraId="68D6051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3.软包：高密度海绵扪优质真皮；</w:t>
            </w:r>
          </w:p>
          <w:p w14:paraId="20338AF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4.油漆：环保水性漆开放漆，五底三面工艺；</w:t>
            </w:r>
          </w:p>
          <w:p w14:paraId="625BFFD8">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B9C0A">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78230" cy="1522730"/>
                  <wp:effectExtent l="0" t="0" r="3810" b="1270"/>
                  <wp:docPr id="45" name="图片_27"/>
                  <wp:cNvGraphicFramePr/>
                  <a:graphic xmlns:a="http://schemas.openxmlformats.org/drawingml/2006/main">
                    <a:graphicData uri="http://schemas.openxmlformats.org/drawingml/2006/picture">
                      <pic:pic xmlns:pic="http://schemas.openxmlformats.org/drawingml/2006/picture">
                        <pic:nvPicPr>
                          <pic:cNvPr id="45" name="图片_27"/>
                          <pic:cNvPicPr/>
                        </pic:nvPicPr>
                        <pic:blipFill>
                          <a:blip r:embed="rId43">
                            <a:extLst>
                              <a:ext uri="{28A0092B-C50C-407E-A947-70E740481C1C}">
                                <a14:useLocalDpi xmlns:a14="http://schemas.microsoft.com/office/drawing/2010/main" val="0"/>
                              </a:ext>
                            </a:extLst>
                          </a:blip>
                          <a:stretch>
                            <a:fillRect/>
                          </a:stretch>
                        </pic:blipFill>
                        <pic:spPr>
                          <a:xfrm>
                            <a:off x="0" y="0"/>
                            <a:ext cx="1078230" cy="152273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D48A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74</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E33C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4081FF61">
        <w:tblPrEx>
          <w:tblCellMar>
            <w:top w:w="0" w:type="dxa"/>
            <w:left w:w="108" w:type="dxa"/>
            <w:bottom w:w="0" w:type="dxa"/>
            <w:right w:w="108" w:type="dxa"/>
          </w:tblCellMar>
        </w:tblPrEx>
        <w:trPr>
          <w:trHeight w:val="300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CB08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23</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5C8A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全包接待客椅</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9B37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450*610*900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3EB9232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1.面材：采用优质天然实木木皮贴面，木皮厚度≥0.6mm，扪超纤皮及海绵；</w:t>
            </w:r>
          </w:p>
          <w:p w14:paraId="001F850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2.基材：采用E0级密度板，各项性能均优于国家标准；</w:t>
            </w:r>
          </w:p>
          <w:p w14:paraId="114EA9E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3.油漆：油性木器涂料涂饰，采用五底三面涂饰工艺，符合国家标准；</w:t>
            </w:r>
          </w:p>
          <w:p w14:paraId="18DFC607">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4.胶水：采用环保白乳胶；</w:t>
            </w:r>
          </w:p>
          <w:p w14:paraId="08F943C1">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EE263">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208405" cy="1409700"/>
                  <wp:effectExtent l="0" t="0" r="10795" b="7620"/>
                  <wp:docPr id="69" name="图片_26"/>
                  <wp:cNvGraphicFramePr/>
                  <a:graphic xmlns:a="http://schemas.openxmlformats.org/drawingml/2006/main">
                    <a:graphicData uri="http://schemas.openxmlformats.org/drawingml/2006/picture">
                      <pic:pic xmlns:pic="http://schemas.openxmlformats.org/drawingml/2006/picture">
                        <pic:nvPicPr>
                          <pic:cNvPr id="69" name="图片_26"/>
                          <pic:cNvPicPr/>
                        </pic:nvPicPr>
                        <pic:blipFill>
                          <a:blip r:embed="rId44">
                            <a:extLst>
                              <a:ext uri="{28A0092B-C50C-407E-A947-70E740481C1C}">
                                <a14:useLocalDpi xmlns:a14="http://schemas.microsoft.com/office/drawing/2010/main" val="0"/>
                              </a:ext>
                            </a:extLst>
                          </a:blip>
                          <a:stretch>
                            <a:fillRect/>
                          </a:stretch>
                        </pic:blipFill>
                        <pic:spPr>
                          <a:xfrm>
                            <a:off x="0" y="0"/>
                            <a:ext cx="1208405" cy="140970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8EAB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4E53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66C7A053">
        <w:tblPrEx>
          <w:tblCellMar>
            <w:top w:w="0" w:type="dxa"/>
            <w:left w:w="108" w:type="dxa"/>
            <w:bottom w:w="0" w:type="dxa"/>
            <w:right w:w="108" w:type="dxa"/>
          </w:tblCellMar>
        </w:tblPrEx>
        <w:trPr>
          <w:trHeight w:val="300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C184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24</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9039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琴房专用椅</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B1ED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750*350*480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45BEE27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1.框架：采用优质白蜡木实木制作，所有木材都进行烘干及防蛀处理，木材含水率8-12%；无腐朽、无虫眼、无死结；</w:t>
            </w:r>
          </w:p>
          <w:p w14:paraId="026BC4E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2.饰面：采用优质牛皮饰面，厚度≥1.0mm，经液态浸色及防潮、防污等工艺处理，皮面更加柔软舒适、光泽持久性好，纹理细腻，耐磨损；</w:t>
            </w:r>
          </w:p>
          <w:p w14:paraId="452C8AF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3.油漆：采用水性漆；</w:t>
            </w:r>
          </w:p>
          <w:p w14:paraId="4F05FE2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4.海绵：采用优质高弹阻燃海绵，软硬适中、不变形、回弹性好、抗疲劳能力强、坐感舒适.表面涂有防止老化变形的保护膜;</w:t>
            </w:r>
          </w:p>
          <w:p w14:paraId="5FB0872F">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17D74">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981075" cy="1427480"/>
                  <wp:effectExtent l="0" t="0" r="9525" b="5080"/>
                  <wp:docPr id="62" name="图片_25"/>
                  <wp:cNvGraphicFramePr/>
                  <a:graphic xmlns:a="http://schemas.openxmlformats.org/drawingml/2006/main">
                    <a:graphicData uri="http://schemas.openxmlformats.org/drawingml/2006/picture">
                      <pic:pic xmlns:pic="http://schemas.openxmlformats.org/drawingml/2006/picture">
                        <pic:nvPicPr>
                          <pic:cNvPr id="62" name="图片_25"/>
                          <pic:cNvPicPr/>
                        </pic:nvPicPr>
                        <pic:blipFill>
                          <a:blip r:embed="rId45">
                            <a:extLst>
                              <a:ext uri="{28A0092B-C50C-407E-A947-70E740481C1C}">
                                <a14:useLocalDpi xmlns:a14="http://schemas.microsoft.com/office/drawing/2010/main" val="0"/>
                              </a:ext>
                            </a:extLst>
                          </a:blip>
                          <a:stretch>
                            <a:fillRect/>
                          </a:stretch>
                        </pic:blipFill>
                        <pic:spPr>
                          <a:xfrm>
                            <a:off x="0" y="0"/>
                            <a:ext cx="981075" cy="142748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4D68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B3D6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1C831439">
        <w:tblPrEx>
          <w:tblCellMar>
            <w:top w:w="0" w:type="dxa"/>
            <w:left w:w="108" w:type="dxa"/>
            <w:bottom w:w="0" w:type="dxa"/>
            <w:right w:w="108" w:type="dxa"/>
          </w:tblCellMar>
        </w:tblPrEx>
        <w:trPr>
          <w:trHeight w:val="300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DC5E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25</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114C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接待桌（1）</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127F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φ800*750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37EA796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1.面材：采用优质天然实木木皮贴面，木皮厚度≥0.6mm；</w:t>
            </w:r>
          </w:p>
          <w:p w14:paraId="3079CE2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2.基材：采用E0级多层板，桌面厚度≥25，斜边处理，各项性能均优于国家标准；</w:t>
            </w:r>
          </w:p>
          <w:p w14:paraId="7B4B72F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3.油漆：油性木器涂料涂饰，采用三底五面涂饰工艺，符合国家标准；</w:t>
            </w:r>
          </w:p>
          <w:p w14:paraId="0A0859E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4.胶水：采用环保白乳胶；</w:t>
            </w:r>
          </w:p>
          <w:p w14:paraId="6579EDF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5.底部：金属脚架，可调节水平；</w:t>
            </w:r>
          </w:p>
          <w:p w14:paraId="02771FC5">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0FC77">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206500" cy="1242060"/>
                  <wp:effectExtent l="0" t="0" r="12700" b="7620"/>
                  <wp:docPr id="63" name="图片_8"/>
                  <wp:cNvGraphicFramePr/>
                  <a:graphic xmlns:a="http://schemas.openxmlformats.org/drawingml/2006/main">
                    <a:graphicData uri="http://schemas.openxmlformats.org/drawingml/2006/picture">
                      <pic:pic xmlns:pic="http://schemas.openxmlformats.org/drawingml/2006/picture">
                        <pic:nvPicPr>
                          <pic:cNvPr id="63" name="图片_8"/>
                          <pic:cNvPicPr/>
                        </pic:nvPicPr>
                        <pic:blipFill>
                          <a:blip r:embed="rId46">
                            <a:extLst>
                              <a:ext uri="{28A0092B-C50C-407E-A947-70E740481C1C}">
                                <a14:useLocalDpi xmlns:a14="http://schemas.microsoft.com/office/drawing/2010/main" val="0"/>
                              </a:ext>
                            </a:extLst>
                          </a:blip>
                          <a:stretch>
                            <a:fillRect/>
                          </a:stretch>
                        </pic:blipFill>
                        <pic:spPr>
                          <a:xfrm>
                            <a:off x="0" y="0"/>
                            <a:ext cx="1206500" cy="124206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AC1D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26</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6938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02F07BC8">
        <w:tblPrEx>
          <w:tblCellMar>
            <w:top w:w="0" w:type="dxa"/>
            <w:left w:w="108" w:type="dxa"/>
            <w:bottom w:w="0" w:type="dxa"/>
            <w:right w:w="108" w:type="dxa"/>
          </w:tblCellMar>
        </w:tblPrEx>
        <w:trPr>
          <w:trHeight w:val="300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C970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26</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45DE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接待桌（2）</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436C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φ800*750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38602AD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1.基材：采用E0级多层板，游离甲醛释放量均达国家标准，台面厚度≥25MM，桌面边缘斜边油漆处理；                                                           </w:t>
            </w:r>
          </w:p>
          <w:p w14:paraId="0DD3483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2.贴面：采用优质耐磨三聚氰胺浸渍面纸，防火，并具阻燃、耐磨性强、清洁方便等特点；</w:t>
            </w:r>
          </w:p>
          <w:p w14:paraId="6DE5445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3.支架：采用静电喷塑钢管和钢板，底盘实心钢板，配φ80mm圆管壁厚1.5mm，表面静电喷塑处理；耐腐、耐防锈，耐用；</w:t>
            </w:r>
          </w:p>
          <w:p w14:paraId="18F64F41">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753C5">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178560" cy="935355"/>
                  <wp:effectExtent l="0" t="0" r="10160" b="9525"/>
                  <wp:docPr id="46" name="图片_7"/>
                  <wp:cNvGraphicFramePr/>
                  <a:graphic xmlns:a="http://schemas.openxmlformats.org/drawingml/2006/main">
                    <a:graphicData uri="http://schemas.openxmlformats.org/drawingml/2006/picture">
                      <pic:pic xmlns:pic="http://schemas.openxmlformats.org/drawingml/2006/picture">
                        <pic:nvPicPr>
                          <pic:cNvPr id="46" name="图片_7"/>
                          <pic:cNvPicPr/>
                        </pic:nvPicPr>
                        <pic:blipFill>
                          <a:blip r:embed="rId47">
                            <a:extLst>
                              <a:ext uri="{28A0092B-C50C-407E-A947-70E740481C1C}">
                                <a14:useLocalDpi xmlns:a14="http://schemas.microsoft.com/office/drawing/2010/main" val="0"/>
                              </a:ext>
                            </a:extLst>
                          </a:blip>
                          <a:stretch>
                            <a:fillRect/>
                          </a:stretch>
                        </pic:blipFill>
                        <pic:spPr>
                          <a:xfrm>
                            <a:off x="0" y="0"/>
                            <a:ext cx="1178560" cy="93535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ABE1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DE3B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52D55708">
        <w:tblPrEx>
          <w:tblCellMar>
            <w:top w:w="0" w:type="dxa"/>
            <w:left w:w="108" w:type="dxa"/>
            <w:bottom w:w="0" w:type="dxa"/>
            <w:right w:w="108" w:type="dxa"/>
          </w:tblCellMar>
        </w:tblPrEx>
        <w:trPr>
          <w:trHeight w:val="300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EA63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27</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5B35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阅览椅</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40AA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630*525*760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616270E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1.框架：采用优质白蜡木实木制作，所有木材都进行烘干及防蛀处理，木材含水率8-12%；无腐朽、无虫眼、无死结；</w:t>
            </w:r>
          </w:p>
          <w:p w14:paraId="7615E48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2.饰面：采用优质牛皮饰面，厚度≥1.0mm，经液态浸色及防潮、防污等工艺处理，皮面更加柔软舒适、光泽持久性好，纹理细腻，耐磨损；</w:t>
            </w:r>
          </w:p>
          <w:p w14:paraId="5C246D1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3.油漆：采用水性漆；</w:t>
            </w:r>
          </w:p>
          <w:p w14:paraId="623C5AF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4.海绵：采用优质高弹阻燃海绵，软硬适中、不变形、回弹性好、抗疲劳能力强、坐感舒适.表面涂有防止老化变形的保护膜;</w:t>
            </w:r>
          </w:p>
          <w:p w14:paraId="38BED73C">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055B2">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05840" cy="1510665"/>
                  <wp:effectExtent l="0" t="0" r="0" b="13335"/>
                  <wp:docPr id="64" name="图片_28"/>
                  <wp:cNvGraphicFramePr/>
                  <a:graphic xmlns:a="http://schemas.openxmlformats.org/drawingml/2006/main">
                    <a:graphicData uri="http://schemas.openxmlformats.org/drawingml/2006/picture">
                      <pic:pic xmlns:pic="http://schemas.openxmlformats.org/drawingml/2006/picture">
                        <pic:nvPicPr>
                          <pic:cNvPr id="64" name="图片_28"/>
                          <pic:cNvPicPr/>
                        </pic:nvPicPr>
                        <pic:blipFill>
                          <a:blip r:embed="rId48">
                            <a:extLst>
                              <a:ext uri="{28A0092B-C50C-407E-A947-70E740481C1C}">
                                <a14:useLocalDpi xmlns:a14="http://schemas.microsoft.com/office/drawing/2010/main" val="0"/>
                              </a:ext>
                            </a:extLst>
                          </a:blip>
                          <a:stretch>
                            <a:fillRect/>
                          </a:stretch>
                        </pic:blipFill>
                        <pic:spPr>
                          <a:xfrm>
                            <a:off x="0" y="0"/>
                            <a:ext cx="1005840" cy="151066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000E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50</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EF58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个</w:t>
            </w:r>
          </w:p>
        </w:tc>
      </w:tr>
      <w:tr w14:paraId="351B4F2E">
        <w:tblPrEx>
          <w:tblCellMar>
            <w:top w:w="0" w:type="dxa"/>
            <w:left w:w="108" w:type="dxa"/>
            <w:bottom w:w="0" w:type="dxa"/>
            <w:right w:w="108" w:type="dxa"/>
          </w:tblCellMar>
        </w:tblPrEx>
        <w:trPr>
          <w:trHeight w:val="229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ABC0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28</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5BCF8">
            <w:pPr>
              <w:widowControl/>
              <w:jc w:val="center"/>
              <w:textAlignment w:val="center"/>
              <w:rPr>
                <w:rFonts w:hint="eastAsia" w:asciiTheme="minorEastAsia" w:hAnsiTheme="minorEastAsia" w:eastAsiaTheme="minorEastAsia" w:cstheme="minorEastAsia"/>
                <w:color w:val="000000"/>
                <w:szCs w:val="21"/>
                <w:highlight w:val="none"/>
                <w:lang w:eastAsia="zh-CN"/>
              </w:rPr>
            </w:pPr>
            <w:r>
              <w:rPr>
                <w:rFonts w:hint="eastAsia" w:asciiTheme="minorEastAsia" w:hAnsiTheme="minorEastAsia" w:eastAsiaTheme="minorEastAsia" w:cstheme="minorEastAsia"/>
                <w:color w:val="000000"/>
                <w:kern w:val="0"/>
                <w:szCs w:val="21"/>
                <w:highlight w:val="none"/>
                <w:lang w:val="en-US" w:eastAsia="zh-CN" w:bidi="ar"/>
              </w:rPr>
              <w:t>条桌</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C0EA5">
            <w:pPr>
              <w:widowControl/>
              <w:jc w:val="center"/>
              <w:textAlignment w:val="center"/>
              <w:rPr>
                <w:rFonts w:hint="eastAsia"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kern w:val="0"/>
                <w:szCs w:val="21"/>
                <w:highlight w:val="none"/>
                <w:lang w:bidi="ar"/>
              </w:rPr>
              <w:t>1200*450*760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03EA8AB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1.基材：采用E0级多层板，游离甲醛释放量均达国家标准；                                                             </w:t>
            </w:r>
          </w:p>
          <w:p w14:paraId="4ED2A0D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2.贴面：采用优质耐磨三聚氰胺浸渍面纸，防火，并具阻燃、耐磨性强、清洁方便等特点；台面板厚度：36mm；</w:t>
            </w:r>
          </w:p>
          <w:p w14:paraId="663EE1E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3.五金：优质五金件；</w:t>
            </w:r>
          </w:p>
          <w:p w14:paraId="4D5FBF5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4.封边：同色PVC封边条； </w:t>
            </w:r>
          </w:p>
          <w:p w14:paraId="5D73F5F7">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5.功能要求：台面厚度≥25mm，其余板材厚度≥16mm，含置物层；</w:t>
            </w:r>
          </w:p>
          <w:p w14:paraId="135A4885">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24849">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301115" cy="1292225"/>
                  <wp:effectExtent l="0" t="0" r="9525" b="3175"/>
                  <wp:docPr id="75" name="图片_40"/>
                  <wp:cNvGraphicFramePr/>
                  <a:graphic xmlns:a="http://schemas.openxmlformats.org/drawingml/2006/main">
                    <a:graphicData uri="http://schemas.openxmlformats.org/drawingml/2006/picture">
                      <pic:pic xmlns:pic="http://schemas.openxmlformats.org/drawingml/2006/picture">
                        <pic:nvPicPr>
                          <pic:cNvPr id="75" name="图片_40"/>
                          <pic:cNvPicPr/>
                        </pic:nvPicPr>
                        <pic:blipFill>
                          <a:blip r:embed="rId49">
                            <a:extLst>
                              <a:ext uri="{28A0092B-C50C-407E-A947-70E740481C1C}">
                                <a14:useLocalDpi xmlns:a14="http://schemas.microsoft.com/office/drawing/2010/main" val="0"/>
                              </a:ext>
                            </a:extLst>
                          </a:blip>
                          <a:stretch>
                            <a:fillRect/>
                          </a:stretch>
                        </pic:blipFill>
                        <pic:spPr>
                          <a:xfrm>
                            <a:off x="0" y="0"/>
                            <a:ext cx="1301115" cy="129222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15E5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9F35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50766DCC">
        <w:tblPrEx>
          <w:tblCellMar>
            <w:top w:w="0" w:type="dxa"/>
            <w:left w:w="108" w:type="dxa"/>
            <w:bottom w:w="0" w:type="dxa"/>
            <w:right w:w="108" w:type="dxa"/>
          </w:tblCellMar>
        </w:tblPrEx>
        <w:trPr>
          <w:trHeight w:val="259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AA44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29</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9AD7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书桌</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8EAE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1200*550*770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4DE1643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1.基材：采用E0级多层板，游离甲醛释放量均达国家标准，台面厚度≥25mm,背板及其余板材厚度≥16mm；</w:t>
            </w:r>
          </w:p>
          <w:p w14:paraId="1C60BA6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2.贴面：采用优质耐磨三聚氰胺浸渍面纸，防火，并具阻燃、耐磨性强、清洁方便等特点；</w:t>
            </w:r>
          </w:p>
          <w:p w14:paraId="7DC4BA2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3.五金：优质五金件；</w:t>
            </w:r>
          </w:p>
          <w:p w14:paraId="516E1F4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4.封边：同色PVC封边条； </w:t>
            </w:r>
          </w:p>
          <w:p w14:paraId="25C674C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5.成品：要求且不得出现可能产生危害的、危险性的、可触及的边部或尖端等.</w:t>
            </w:r>
          </w:p>
          <w:p w14:paraId="5184956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6.功能：配置支撑敞开主机柜，桌面开过线孔，桌子内部具备走线功能。</w:t>
            </w:r>
          </w:p>
          <w:p w14:paraId="25364458">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897F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156970" cy="1042670"/>
                  <wp:effectExtent l="0" t="0" r="1270" b="8890"/>
                  <wp:docPr id="72" name="图片_36"/>
                  <wp:cNvGraphicFramePr/>
                  <a:graphic xmlns:a="http://schemas.openxmlformats.org/drawingml/2006/main">
                    <a:graphicData uri="http://schemas.openxmlformats.org/drawingml/2006/picture">
                      <pic:pic xmlns:pic="http://schemas.openxmlformats.org/drawingml/2006/picture">
                        <pic:nvPicPr>
                          <pic:cNvPr id="72" name="图片_36"/>
                          <pic:cNvPicPr/>
                        </pic:nvPicPr>
                        <pic:blipFill>
                          <a:blip r:embed="rId50">
                            <a:extLst>
                              <a:ext uri="{28A0092B-C50C-407E-A947-70E740481C1C}">
                                <a14:useLocalDpi xmlns:a14="http://schemas.microsoft.com/office/drawing/2010/main" val="0"/>
                              </a:ext>
                            </a:extLst>
                          </a:blip>
                          <a:stretch>
                            <a:fillRect/>
                          </a:stretch>
                        </pic:blipFill>
                        <pic:spPr>
                          <a:xfrm>
                            <a:off x="0" y="0"/>
                            <a:ext cx="1156970" cy="104267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B3D9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A9A1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05562BD1">
        <w:tblPrEx>
          <w:tblCellMar>
            <w:top w:w="0" w:type="dxa"/>
            <w:left w:w="108" w:type="dxa"/>
            <w:bottom w:w="0" w:type="dxa"/>
            <w:right w:w="108" w:type="dxa"/>
          </w:tblCellMar>
        </w:tblPrEx>
        <w:trPr>
          <w:trHeight w:val="9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ECA7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30</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2108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 xml:space="preserve">团员活动桌 </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1870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1500*600*745</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5BB2660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1.桌面尺寸：1500*600*25mm，挡板尺寸：1300*300*18mm优质环保E0级多层板表面贴优质三聚氰胺饰面板，表面具有耐磨、耐划痕、耐酸碱、耐烫、耐污染的特性;</w:t>
            </w:r>
          </w:p>
          <w:p w14:paraId="1EBA3D4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桌脚采用铝合金压铸成型，立柱采用≥φ58*2.3mm铝材，挤出成型工艺制作。左右桌架连接管采用铝合金压铸成型，伸缩横梁采用逼紧式结构连接左右两脚，无焊点外观简洁折装不损坏，材质为铝材挤出工艺制作，挡板连接件为上下四件，同步运动。翻转处采用了静音设计，采用了</w:t>
            </w:r>
            <w:bookmarkStart w:id="31" w:name="OLE_LINK1"/>
            <w:r>
              <w:rPr>
                <w:rFonts w:hint="eastAsia" w:asciiTheme="minorEastAsia" w:hAnsiTheme="minorEastAsia" w:eastAsiaTheme="minorEastAsia" w:cstheme="minorEastAsia"/>
                <w:color w:val="000000"/>
                <w:kern w:val="0"/>
                <w:szCs w:val="21"/>
                <w:lang w:bidi="ar"/>
              </w:rPr>
              <w:t>POM垫圈</w:t>
            </w:r>
            <w:bookmarkEnd w:id="31"/>
            <w:r>
              <w:rPr>
                <w:rFonts w:hint="eastAsia" w:asciiTheme="minorEastAsia" w:hAnsiTheme="minorEastAsia" w:eastAsiaTheme="minorEastAsia" w:cstheme="minorEastAsia"/>
                <w:color w:val="000000"/>
                <w:kern w:val="0"/>
                <w:szCs w:val="21"/>
                <w:lang w:bidi="ar"/>
              </w:rPr>
              <w:t>，桌脚下方4个万向PU静音轮，带刹车定位功能;</w:t>
            </w:r>
          </w:p>
          <w:p w14:paraId="758C0FF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3.桌板拼接连接件：锌合金材质;</w:t>
            </w:r>
          </w:p>
          <w:p w14:paraId="74181EC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4.桌面可翻转结构，收起后角度为85~88度，闲置时可减小占地面积，方便收纳;</w:t>
            </w:r>
          </w:p>
          <w:p w14:paraId="1D84B328">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F6A2A">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223645" cy="1523365"/>
                  <wp:effectExtent l="0" t="0" r="10795" b="635"/>
                  <wp:docPr id="70" name="图片_35"/>
                  <wp:cNvGraphicFramePr/>
                  <a:graphic xmlns:a="http://schemas.openxmlformats.org/drawingml/2006/main">
                    <a:graphicData uri="http://schemas.openxmlformats.org/drawingml/2006/picture">
                      <pic:pic xmlns:pic="http://schemas.openxmlformats.org/drawingml/2006/picture">
                        <pic:nvPicPr>
                          <pic:cNvPr id="70" name="图片_35"/>
                          <pic:cNvPicPr/>
                        </pic:nvPicPr>
                        <pic:blipFill>
                          <a:blip r:embed="rId51">
                            <a:extLst>
                              <a:ext uri="{28A0092B-C50C-407E-A947-70E740481C1C}">
                                <a14:useLocalDpi xmlns:a14="http://schemas.microsoft.com/office/drawing/2010/main" val="0"/>
                              </a:ext>
                            </a:extLst>
                          </a:blip>
                          <a:stretch>
                            <a:fillRect/>
                          </a:stretch>
                        </pic:blipFill>
                        <pic:spPr>
                          <a:xfrm>
                            <a:off x="0" y="0"/>
                            <a:ext cx="1223645" cy="152336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4D52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56D8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0946FCEA">
        <w:tblPrEx>
          <w:tblCellMar>
            <w:top w:w="0" w:type="dxa"/>
            <w:left w:w="108" w:type="dxa"/>
            <w:bottom w:w="0" w:type="dxa"/>
            <w:right w:w="108" w:type="dxa"/>
          </w:tblCellMar>
        </w:tblPrEx>
        <w:trPr>
          <w:trHeight w:val="295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5F4F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31</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725B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三人沙发（1）</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A74C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2200*840*910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6B28FA6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1.面料：采用牛皮饰面；</w:t>
            </w:r>
          </w:p>
          <w:p w14:paraId="2BE4BAC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2.海绵：采用高回弹定型海绵；</w:t>
            </w:r>
          </w:p>
          <w:p w14:paraId="5F29909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3.框架：内框架采用优质青松木框架，木材防虫防腐处理，六面抛光，光滑不粗糙；</w:t>
            </w:r>
          </w:p>
          <w:p w14:paraId="6F68F7E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4.实木脚；</w:t>
            </w:r>
          </w:p>
          <w:p w14:paraId="2A57DDF9">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7EDA3">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48385" cy="993140"/>
                  <wp:effectExtent l="0" t="0" r="3175" b="12700"/>
                  <wp:docPr id="71" name="图片_42"/>
                  <wp:cNvGraphicFramePr/>
                  <a:graphic xmlns:a="http://schemas.openxmlformats.org/drawingml/2006/main">
                    <a:graphicData uri="http://schemas.openxmlformats.org/drawingml/2006/picture">
                      <pic:pic xmlns:pic="http://schemas.openxmlformats.org/drawingml/2006/picture">
                        <pic:nvPicPr>
                          <pic:cNvPr id="71" name="图片_42"/>
                          <pic:cNvPicPr/>
                        </pic:nvPicPr>
                        <pic:blipFill>
                          <a:blip r:embed="rId52">
                            <a:extLst>
                              <a:ext uri="{28A0092B-C50C-407E-A947-70E740481C1C}">
                                <a14:useLocalDpi xmlns:a14="http://schemas.microsoft.com/office/drawing/2010/main" val="0"/>
                              </a:ext>
                            </a:extLst>
                          </a:blip>
                          <a:stretch>
                            <a:fillRect/>
                          </a:stretch>
                        </pic:blipFill>
                        <pic:spPr>
                          <a:xfrm>
                            <a:off x="0" y="0"/>
                            <a:ext cx="1051693" cy="996299"/>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380F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20</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39CF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23310D0F">
        <w:tblPrEx>
          <w:tblCellMar>
            <w:top w:w="0" w:type="dxa"/>
            <w:left w:w="108" w:type="dxa"/>
            <w:bottom w:w="0" w:type="dxa"/>
            <w:right w:w="108" w:type="dxa"/>
          </w:tblCellMar>
        </w:tblPrEx>
        <w:trPr>
          <w:trHeight w:val="295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319C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32</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4BE6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单人沙发（1）</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6812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1040*840*910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7486617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1.面料：采用牛皮饰面；</w:t>
            </w:r>
          </w:p>
          <w:p w14:paraId="0F6750D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2.海绵：采用高回弹定型海绵；</w:t>
            </w:r>
          </w:p>
          <w:p w14:paraId="3982B00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3.框架：内框架采用优质青松木框架，木材防虫防腐处理，六面抛光，光滑不粗糙；</w:t>
            </w:r>
          </w:p>
          <w:p w14:paraId="732D568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4.实木脚；</w:t>
            </w:r>
          </w:p>
          <w:p w14:paraId="3DA2CC76">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419CB">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266190" cy="1123950"/>
                  <wp:effectExtent l="0" t="0" r="13970" b="3810"/>
                  <wp:docPr id="74" name="图片_43"/>
                  <wp:cNvGraphicFramePr/>
                  <a:graphic xmlns:a="http://schemas.openxmlformats.org/drawingml/2006/main">
                    <a:graphicData uri="http://schemas.openxmlformats.org/drawingml/2006/picture">
                      <pic:pic xmlns:pic="http://schemas.openxmlformats.org/drawingml/2006/picture">
                        <pic:nvPicPr>
                          <pic:cNvPr id="74" name="图片_43"/>
                          <pic:cNvPicPr/>
                        </pic:nvPicPr>
                        <pic:blipFill>
                          <a:blip r:embed="rId53">
                            <a:extLst>
                              <a:ext uri="{28A0092B-C50C-407E-A947-70E740481C1C}">
                                <a14:useLocalDpi xmlns:a14="http://schemas.microsoft.com/office/drawing/2010/main" val="0"/>
                              </a:ext>
                            </a:extLst>
                          </a:blip>
                          <a:stretch>
                            <a:fillRect/>
                          </a:stretch>
                        </pic:blipFill>
                        <pic:spPr>
                          <a:xfrm>
                            <a:off x="0" y="0"/>
                            <a:ext cx="1267711" cy="1125859"/>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BF1F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6DB6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11CC279E">
        <w:tblPrEx>
          <w:tblCellMar>
            <w:top w:w="0" w:type="dxa"/>
            <w:left w:w="108" w:type="dxa"/>
            <w:bottom w:w="0" w:type="dxa"/>
            <w:right w:w="108" w:type="dxa"/>
          </w:tblCellMar>
        </w:tblPrEx>
        <w:trPr>
          <w:trHeight w:val="295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62AA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33</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422A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单人沙发（2）</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0E89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1070*930*900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0B233D6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1.框架：实木框架，所有木材都进行烘干及防蛀处理，木材含水率8-12%；无腐朽、无虫眼、无死结；</w:t>
            </w:r>
          </w:p>
          <w:p w14:paraId="29E8EA7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2.饰面：采用优质头层牛皮饰面，厚度≥1.0mm，经液态浸色及防潮、防污等工艺处理，皮面更加柔软舒适、光泽持久性好，纹理细腻，耐磨损；</w:t>
            </w:r>
          </w:p>
          <w:p w14:paraId="089BE71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3.油漆：采用水性漆；</w:t>
            </w:r>
          </w:p>
          <w:p w14:paraId="00B4D45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4.海绵：采用优质高弹阻燃海绵，软硬适中、不变形、回弹性好、抗疲劳能力强、坐感舒适.表面涂有防止老化变形的保护膜;</w:t>
            </w:r>
          </w:p>
          <w:p w14:paraId="4AC072E8">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4FAA5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296035" cy="986790"/>
                  <wp:effectExtent l="0" t="0" r="14605" b="3810"/>
                  <wp:docPr id="73" name="图片_10"/>
                  <wp:cNvGraphicFramePr/>
                  <a:graphic xmlns:a="http://schemas.openxmlformats.org/drawingml/2006/main">
                    <a:graphicData uri="http://schemas.openxmlformats.org/drawingml/2006/picture">
                      <pic:pic xmlns:pic="http://schemas.openxmlformats.org/drawingml/2006/picture">
                        <pic:nvPicPr>
                          <pic:cNvPr id="73" name="图片_10"/>
                          <pic:cNvPicPr/>
                        </pic:nvPicPr>
                        <pic:blipFill>
                          <a:blip r:embed="rId54">
                            <a:extLst>
                              <a:ext uri="{28A0092B-C50C-407E-A947-70E740481C1C}">
                                <a14:useLocalDpi xmlns:a14="http://schemas.microsoft.com/office/drawing/2010/main" val="0"/>
                              </a:ext>
                            </a:extLst>
                          </a:blip>
                          <a:stretch>
                            <a:fillRect/>
                          </a:stretch>
                        </pic:blipFill>
                        <pic:spPr>
                          <a:xfrm>
                            <a:off x="0" y="0"/>
                            <a:ext cx="1296035" cy="98679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3F60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24</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5331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2FC2CD54">
        <w:tblPrEx>
          <w:tblCellMar>
            <w:top w:w="0" w:type="dxa"/>
            <w:left w:w="108" w:type="dxa"/>
            <w:bottom w:w="0" w:type="dxa"/>
            <w:right w:w="108" w:type="dxa"/>
          </w:tblCellMar>
        </w:tblPrEx>
        <w:trPr>
          <w:trHeight w:val="295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CE9E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34</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7B06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定制茶几</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BD6B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600*600*550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2074DDA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1.面材：采用优质天然实木木皮贴面，木皮厚度≥0.6mm；</w:t>
            </w:r>
          </w:p>
          <w:p w14:paraId="3315516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2.基材：采用E0级中纤板，各项性能均优于国家标准；</w:t>
            </w:r>
          </w:p>
          <w:p w14:paraId="06C274A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3.油漆：油性木器涂料涂饰，采用五底三面涂饰工艺，符合国家标准；</w:t>
            </w:r>
          </w:p>
          <w:p w14:paraId="7D29925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4.胶水：采用环保白乳胶；</w:t>
            </w:r>
          </w:p>
          <w:p w14:paraId="559DFA47">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0E982">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9568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15</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886E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0410B9F6">
        <w:tblPrEx>
          <w:tblCellMar>
            <w:top w:w="0" w:type="dxa"/>
            <w:left w:w="108" w:type="dxa"/>
            <w:bottom w:w="0" w:type="dxa"/>
            <w:right w:w="108" w:type="dxa"/>
          </w:tblCellMar>
        </w:tblPrEx>
        <w:trPr>
          <w:trHeight w:val="295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ECED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35</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FF7D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单人长定制茶几（1）</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07D9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1200*600*420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31D2E7B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1.面材：采用优质天然实木木皮贴面，木皮厚度≥0.6mm；</w:t>
            </w:r>
          </w:p>
          <w:p w14:paraId="72554FE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2.基材：采用E0级多层板，各项性能均优于国家标准；</w:t>
            </w:r>
          </w:p>
          <w:p w14:paraId="41816127">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3.油漆：油性木器涂料涂饰，采用五底三面涂饰工艺，符合国家标准；</w:t>
            </w:r>
          </w:p>
          <w:p w14:paraId="3DE976A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4.胶水：采用环保白乳胶；</w:t>
            </w:r>
          </w:p>
          <w:p w14:paraId="1B09C9A0">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2132C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125220" cy="1330960"/>
                  <wp:effectExtent l="0" t="0" r="2540" b="10160"/>
                  <wp:docPr id="36" name="图片_9"/>
                  <wp:cNvGraphicFramePr/>
                  <a:graphic xmlns:a="http://schemas.openxmlformats.org/drawingml/2006/main">
                    <a:graphicData uri="http://schemas.openxmlformats.org/drawingml/2006/picture">
                      <pic:pic xmlns:pic="http://schemas.openxmlformats.org/drawingml/2006/picture">
                        <pic:nvPicPr>
                          <pic:cNvPr id="36" name="图片_9"/>
                          <pic:cNvPicPr/>
                        </pic:nvPicPr>
                        <pic:blipFill>
                          <a:blip r:embed="rId55">
                            <a:extLst>
                              <a:ext uri="{28A0092B-C50C-407E-A947-70E740481C1C}">
                                <a14:useLocalDpi xmlns:a14="http://schemas.microsoft.com/office/drawing/2010/main" val="0"/>
                              </a:ext>
                            </a:extLst>
                          </a:blip>
                          <a:stretch>
                            <a:fillRect/>
                          </a:stretch>
                        </pic:blipFill>
                        <pic:spPr>
                          <a:xfrm>
                            <a:off x="0" y="0"/>
                            <a:ext cx="1127290" cy="1333816"/>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F8F3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7664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74FA0B8F">
        <w:tblPrEx>
          <w:tblCellMar>
            <w:top w:w="0" w:type="dxa"/>
            <w:left w:w="108" w:type="dxa"/>
            <w:bottom w:w="0" w:type="dxa"/>
            <w:right w:w="108" w:type="dxa"/>
          </w:tblCellMar>
        </w:tblPrEx>
        <w:trPr>
          <w:trHeight w:val="295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CC82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36</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87D8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方定制茶几（1）</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2DF4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600*600*420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40AB1D5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1.面材：采用优质天然实木木皮贴面，木皮厚度≥0.6mm；</w:t>
            </w:r>
          </w:p>
          <w:p w14:paraId="6187063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2.基材：采用E0级多层板，各项性能均优于国家标准；</w:t>
            </w:r>
          </w:p>
          <w:p w14:paraId="709D0457">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3.油漆：油性木器涂料涂饰，采用三底五面涂饰工艺，符合国家标准；</w:t>
            </w:r>
          </w:p>
          <w:p w14:paraId="0284833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4.胶水：采用环保白乳胶；</w:t>
            </w:r>
          </w:p>
          <w:p w14:paraId="5514F234">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DB66E">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FE57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A7A9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2510BE10">
        <w:tblPrEx>
          <w:tblCellMar>
            <w:top w:w="0" w:type="dxa"/>
            <w:left w:w="108" w:type="dxa"/>
            <w:bottom w:w="0" w:type="dxa"/>
            <w:right w:w="108" w:type="dxa"/>
          </w:tblCellMar>
        </w:tblPrEx>
        <w:trPr>
          <w:trHeight w:val="126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8E37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37</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E959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接待三位沙发</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67B0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2310*950*800</w:t>
            </w:r>
          </w:p>
        </w:tc>
        <w:tc>
          <w:tcPr>
            <w:tcW w:w="2329" w:type="pct"/>
            <w:vMerge w:val="restart"/>
            <w:tcBorders>
              <w:top w:val="single" w:color="000000" w:sz="4" w:space="0"/>
              <w:left w:val="single" w:color="000000" w:sz="4" w:space="0"/>
              <w:bottom w:val="single" w:color="000000" w:sz="4" w:space="0"/>
              <w:right w:val="single" w:color="000000" w:sz="4" w:space="0"/>
            </w:tcBorders>
            <w:shd w:val="clear" w:color="auto" w:fill="auto"/>
          </w:tcPr>
          <w:p w14:paraId="4F727C5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1.框架：采用实木制作，所有木材都进行烘干及防蛀处理，木材含水率8-12%；无腐朽、无虫眼、无死结；</w:t>
            </w:r>
          </w:p>
          <w:p w14:paraId="33C07B6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2.饰面：采用优质头层牛皮饰面，厚度≥1.0mm，经液态浸色及防潮、防污等工艺处理，皮面更加柔软舒适、光泽持久性好，纹理细腻，耐磨损；</w:t>
            </w:r>
          </w:p>
          <w:p w14:paraId="2E3CCFF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3.油漆：采用水性漆；</w:t>
            </w:r>
          </w:p>
          <w:p w14:paraId="2D277F6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4.海绵：采用优质高弹阻燃海绵，软硬适中、不变形、回弹性好、抗疲劳能力强、坐感舒适.表面涂有防止老化变形的保护膜;</w:t>
            </w:r>
          </w:p>
          <w:p w14:paraId="66D016B1">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A904E">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113155" cy="1258570"/>
                  <wp:effectExtent l="0" t="0" r="14605" b="6350"/>
                  <wp:docPr id="31" name="图片_13"/>
                  <wp:cNvGraphicFramePr/>
                  <a:graphic xmlns:a="http://schemas.openxmlformats.org/drawingml/2006/main">
                    <a:graphicData uri="http://schemas.openxmlformats.org/drawingml/2006/picture">
                      <pic:pic xmlns:pic="http://schemas.openxmlformats.org/drawingml/2006/picture">
                        <pic:nvPicPr>
                          <pic:cNvPr id="31" name="图片_13"/>
                          <pic:cNvPicPr/>
                        </pic:nvPicPr>
                        <pic:blipFill>
                          <a:blip r:embed="rId56">
                            <a:extLst>
                              <a:ext uri="{28A0092B-C50C-407E-A947-70E740481C1C}">
                                <a14:useLocalDpi xmlns:a14="http://schemas.microsoft.com/office/drawing/2010/main" val="0"/>
                              </a:ext>
                            </a:extLst>
                          </a:blip>
                          <a:stretch>
                            <a:fillRect/>
                          </a:stretch>
                        </pic:blipFill>
                        <pic:spPr>
                          <a:xfrm>
                            <a:off x="0" y="0"/>
                            <a:ext cx="1114103" cy="1259794"/>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3700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A3E6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6D4439F0">
        <w:tblPrEx>
          <w:tblCellMar>
            <w:top w:w="0" w:type="dxa"/>
            <w:left w:w="108" w:type="dxa"/>
            <w:bottom w:w="0" w:type="dxa"/>
            <w:right w:w="108" w:type="dxa"/>
          </w:tblCellMar>
        </w:tblPrEx>
        <w:trPr>
          <w:trHeight w:val="126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E7C6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38</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F86D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接待单位沙发</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25AB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1070*950*800</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057EDF88">
            <w:pPr>
              <w:jc w:val="left"/>
              <w:rPr>
                <w:rFonts w:hint="eastAsia" w:asciiTheme="minorEastAsia" w:hAnsiTheme="minorEastAsia" w:eastAsiaTheme="minorEastAsia" w:cstheme="minorEastAsia"/>
                <w:color w:val="000000"/>
                <w:szCs w:val="21"/>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0F62D">
            <w:pP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341F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3A15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2B1740E4">
        <w:tblPrEx>
          <w:tblCellMar>
            <w:top w:w="0" w:type="dxa"/>
            <w:left w:w="108" w:type="dxa"/>
            <w:bottom w:w="0" w:type="dxa"/>
            <w:right w:w="108" w:type="dxa"/>
          </w:tblCellMar>
        </w:tblPrEx>
        <w:trPr>
          <w:trHeight w:val="130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D5A8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39</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5B5B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方定制茶几（2）</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B78B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1600*1600*450</w:t>
            </w:r>
          </w:p>
        </w:tc>
        <w:tc>
          <w:tcPr>
            <w:tcW w:w="2329" w:type="pct"/>
            <w:vMerge w:val="restart"/>
            <w:tcBorders>
              <w:top w:val="single" w:color="000000" w:sz="4" w:space="0"/>
              <w:left w:val="single" w:color="000000" w:sz="4" w:space="0"/>
              <w:bottom w:val="single" w:color="000000" w:sz="4" w:space="0"/>
              <w:right w:val="single" w:color="000000" w:sz="4" w:space="0"/>
            </w:tcBorders>
            <w:shd w:val="clear" w:color="auto" w:fill="auto"/>
          </w:tcPr>
          <w:p w14:paraId="29E5922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1.面材：采用优质天然实木木皮贴面，木皮厚度≥0.6mm；</w:t>
            </w:r>
          </w:p>
          <w:p w14:paraId="1788F1E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2.基材：采用E0级密度板，各项性能均优于国家标准；</w:t>
            </w:r>
          </w:p>
          <w:p w14:paraId="0E9C116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3.油漆：油性木器涂料涂饰，采用五底三面涂饰工艺，符合国家标准；</w:t>
            </w:r>
          </w:p>
          <w:p w14:paraId="3F5328A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4.胶水：采用环保白乳胶；</w:t>
            </w:r>
          </w:p>
          <w:p w14:paraId="55C5BB2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5.配件：优质五金配件；</w:t>
            </w:r>
          </w:p>
          <w:p w14:paraId="68A0A1EE">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6.颜色：颜色可定制；</w:t>
            </w:r>
          </w:p>
        </w:tc>
        <w:tc>
          <w:tcPr>
            <w:tcW w:w="8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505B0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38225" cy="1351915"/>
                  <wp:effectExtent l="0" t="0" r="13335" b="4445"/>
                  <wp:docPr id="39" name="图片_140"/>
                  <wp:cNvGraphicFramePr/>
                  <a:graphic xmlns:a="http://schemas.openxmlformats.org/drawingml/2006/main">
                    <a:graphicData uri="http://schemas.openxmlformats.org/drawingml/2006/picture">
                      <pic:pic xmlns:pic="http://schemas.openxmlformats.org/drawingml/2006/picture">
                        <pic:nvPicPr>
                          <pic:cNvPr id="39" name="图片_140"/>
                          <pic:cNvPicPr/>
                        </pic:nvPicPr>
                        <pic:blipFill>
                          <a:blip r:embed="rId57">
                            <a:extLst>
                              <a:ext uri="{28A0092B-C50C-407E-A947-70E740481C1C}">
                                <a14:useLocalDpi xmlns:a14="http://schemas.microsoft.com/office/drawing/2010/main" val="0"/>
                              </a:ext>
                            </a:extLst>
                          </a:blip>
                          <a:stretch>
                            <a:fillRect/>
                          </a:stretch>
                        </pic:blipFill>
                        <pic:spPr>
                          <a:xfrm>
                            <a:off x="0" y="0"/>
                            <a:ext cx="1038225" cy="135191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EB89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509D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087F752B">
        <w:tblPrEx>
          <w:tblCellMar>
            <w:top w:w="0" w:type="dxa"/>
            <w:left w:w="108" w:type="dxa"/>
            <w:bottom w:w="0" w:type="dxa"/>
            <w:right w:w="108" w:type="dxa"/>
          </w:tblCellMar>
        </w:tblPrEx>
        <w:trPr>
          <w:trHeight w:val="130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E18E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40</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290C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方定制茶几（3）</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054E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700*700*450</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7E73F534">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33987">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AD9B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3E34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4F44509A">
        <w:tblPrEx>
          <w:tblCellMar>
            <w:top w:w="0" w:type="dxa"/>
            <w:left w:w="108" w:type="dxa"/>
            <w:bottom w:w="0" w:type="dxa"/>
            <w:right w:w="108" w:type="dxa"/>
          </w:tblCellMar>
        </w:tblPrEx>
        <w:trPr>
          <w:trHeight w:val="145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9692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41</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D065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三人沙发（2）</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F075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2070*870*920</w:t>
            </w:r>
          </w:p>
        </w:tc>
        <w:tc>
          <w:tcPr>
            <w:tcW w:w="2329" w:type="pct"/>
            <w:vMerge w:val="restart"/>
            <w:tcBorders>
              <w:top w:val="single" w:color="000000" w:sz="4" w:space="0"/>
              <w:left w:val="single" w:color="000000" w:sz="4" w:space="0"/>
              <w:bottom w:val="single" w:color="000000" w:sz="4" w:space="0"/>
              <w:right w:val="single" w:color="000000" w:sz="4" w:space="0"/>
            </w:tcBorders>
            <w:shd w:val="clear" w:color="auto" w:fill="auto"/>
          </w:tcPr>
          <w:p w14:paraId="432C0C6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1.主体框架：进口白蜡木；</w:t>
            </w:r>
          </w:p>
          <w:p w14:paraId="68145187">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2.扶手与靠背：实木镶实木多层板贴胡桃木山纹木皮，扶手外侧贴板材雕花件喷金；</w:t>
            </w:r>
          </w:p>
          <w:p w14:paraId="345004A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3.座包与靠背软包：高密度海绵扪头层牛皮（抱枕布艺带刺绣）；</w:t>
            </w:r>
          </w:p>
          <w:p w14:paraId="449CC0F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4.靠头与前方：加装铜色五金套；</w:t>
            </w:r>
          </w:p>
          <w:p w14:paraId="0D38F08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5.靠背：无雕刻铜件；</w:t>
            </w:r>
          </w:p>
          <w:p w14:paraId="6A12A8C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6.抱枕、扶手圆枕：优质布艺；</w:t>
            </w:r>
          </w:p>
          <w:p w14:paraId="6700E7B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7.油漆：环保油漆封闭漆，五底三面工艺；</w:t>
            </w:r>
          </w:p>
          <w:p w14:paraId="7F3D12C7">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8.颜色：颜色可定制；</w:t>
            </w:r>
          </w:p>
        </w:tc>
        <w:tc>
          <w:tcPr>
            <w:tcW w:w="8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ECD11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199515" cy="771525"/>
                  <wp:effectExtent l="0" t="0" r="4445" b="5715"/>
                  <wp:docPr id="20" name="图片_11"/>
                  <wp:cNvGraphicFramePr/>
                  <a:graphic xmlns:a="http://schemas.openxmlformats.org/drawingml/2006/main">
                    <a:graphicData uri="http://schemas.openxmlformats.org/drawingml/2006/picture">
                      <pic:pic xmlns:pic="http://schemas.openxmlformats.org/drawingml/2006/picture">
                        <pic:nvPicPr>
                          <pic:cNvPr id="20" name="图片_11"/>
                          <pic:cNvPicPr/>
                        </pic:nvPicPr>
                        <pic:blipFill>
                          <a:blip r:embed="rId58">
                            <a:extLst>
                              <a:ext uri="{28A0092B-C50C-407E-A947-70E740481C1C}">
                                <a14:useLocalDpi xmlns:a14="http://schemas.microsoft.com/office/drawing/2010/main" val="0"/>
                              </a:ext>
                            </a:extLst>
                          </a:blip>
                          <a:stretch>
                            <a:fillRect/>
                          </a:stretch>
                        </pic:blipFill>
                        <pic:spPr>
                          <a:xfrm>
                            <a:off x="0" y="0"/>
                            <a:ext cx="1199515" cy="77152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4394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02E1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335DEF70">
        <w:tblPrEx>
          <w:tblCellMar>
            <w:top w:w="0" w:type="dxa"/>
            <w:left w:w="108" w:type="dxa"/>
            <w:bottom w:w="0" w:type="dxa"/>
            <w:right w:w="108" w:type="dxa"/>
          </w:tblCellMar>
        </w:tblPrEx>
        <w:trPr>
          <w:trHeight w:val="145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47A7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42</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D98D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单人沙发（3）</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AC69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860*870*920</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306981D1">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011279">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CB5C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7510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3D3EC69E">
        <w:tblPrEx>
          <w:tblCellMar>
            <w:top w:w="0" w:type="dxa"/>
            <w:left w:w="108" w:type="dxa"/>
            <w:bottom w:w="0" w:type="dxa"/>
            <w:right w:w="108" w:type="dxa"/>
          </w:tblCellMar>
        </w:tblPrEx>
        <w:trPr>
          <w:trHeight w:val="106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B767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43</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0300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单人长定制茶几（2）</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4E32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1360*700*500</w:t>
            </w:r>
          </w:p>
        </w:tc>
        <w:tc>
          <w:tcPr>
            <w:tcW w:w="2329" w:type="pct"/>
            <w:vMerge w:val="restart"/>
            <w:tcBorders>
              <w:top w:val="single" w:color="000000" w:sz="4" w:space="0"/>
              <w:left w:val="single" w:color="000000" w:sz="4" w:space="0"/>
              <w:bottom w:val="single" w:color="000000" w:sz="4" w:space="0"/>
              <w:right w:val="single" w:color="000000" w:sz="4" w:space="0"/>
            </w:tcBorders>
            <w:shd w:val="clear" w:color="auto" w:fill="auto"/>
          </w:tcPr>
          <w:p w14:paraId="6F3CB56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1.主体框架：进口白蜡木；</w:t>
            </w:r>
          </w:p>
          <w:p w14:paraId="242EC0B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2.面板：实木多层板贴胡桃木山纹木皮；</w:t>
            </w:r>
          </w:p>
          <w:p w14:paraId="7B866AE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3.圆柱：配铜色五金脚套；</w:t>
            </w:r>
          </w:p>
          <w:p w14:paraId="1A92C58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4.油漆：环保油漆封闭漆，五底三面工艺；</w:t>
            </w:r>
          </w:p>
          <w:p w14:paraId="3186967E">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01962">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A2B5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07D8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4AE90877">
        <w:tblPrEx>
          <w:tblCellMar>
            <w:top w:w="0" w:type="dxa"/>
            <w:left w:w="108" w:type="dxa"/>
            <w:bottom w:w="0" w:type="dxa"/>
            <w:right w:w="108" w:type="dxa"/>
          </w:tblCellMar>
        </w:tblPrEx>
        <w:trPr>
          <w:trHeight w:val="106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79D9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44</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8738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方定制茶几（4）</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157C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600*600*550</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49AC5ADB">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9F406">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B877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BE0E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76C80289">
        <w:tblPrEx>
          <w:tblCellMar>
            <w:top w:w="0" w:type="dxa"/>
            <w:left w:w="108" w:type="dxa"/>
            <w:bottom w:w="0" w:type="dxa"/>
            <w:right w:w="108" w:type="dxa"/>
          </w:tblCellMar>
        </w:tblPrEx>
        <w:trPr>
          <w:trHeight w:val="153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EB01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45</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3854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三人沙发（3）</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AD73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2440*940*860</w:t>
            </w:r>
          </w:p>
        </w:tc>
        <w:tc>
          <w:tcPr>
            <w:tcW w:w="2329" w:type="pct"/>
            <w:vMerge w:val="restart"/>
            <w:tcBorders>
              <w:top w:val="single" w:color="000000" w:sz="4" w:space="0"/>
              <w:left w:val="single" w:color="000000" w:sz="4" w:space="0"/>
              <w:bottom w:val="single" w:color="000000" w:sz="4" w:space="0"/>
              <w:right w:val="single" w:color="000000" w:sz="4" w:space="0"/>
            </w:tcBorders>
            <w:shd w:val="clear" w:color="auto" w:fill="auto"/>
          </w:tcPr>
          <w:p w14:paraId="1193507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1.框架：采用优质白蜡木实木制作，所有木材都进行烘干及防蛀处理，木材含水率8-12%；无腐朽、无虫眼、无死结；</w:t>
            </w:r>
          </w:p>
          <w:p w14:paraId="199DE72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2.饰面：采用优质头层牛皮饰面，厚度≥1.0mm，经液态浸色及防潮、防污等工艺处理，皮面更加柔软舒适、光泽持久性好，纹理细腻，耐磨损；</w:t>
            </w:r>
          </w:p>
          <w:p w14:paraId="42D7642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3.油漆：采用水性漆；</w:t>
            </w:r>
          </w:p>
          <w:p w14:paraId="192BAF8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4.海绵：采用优质高弹阻燃海绵，软硬适中、不变形、回弹性好、抗疲劳能力强、坐感舒适.表面涂有防止老化变形的保护膜;</w:t>
            </w:r>
          </w:p>
          <w:p w14:paraId="7F77CC75">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186A9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215390" cy="1800225"/>
                  <wp:effectExtent l="0" t="0" r="3810" b="13335"/>
                  <wp:docPr id="30" name="图片_14"/>
                  <wp:cNvGraphicFramePr/>
                  <a:graphic xmlns:a="http://schemas.openxmlformats.org/drawingml/2006/main">
                    <a:graphicData uri="http://schemas.openxmlformats.org/drawingml/2006/picture">
                      <pic:pic xmlns:pic="http://schemas.openxmlformats.org/drawingml/2006/picture">
                        <pic:nvPicPr>
                          <pic:cNvPr id="30" name="图片_14"/>
                          <pic:cNvPicPr/>
                        </pic:nvPicPr>
                        <pic:blipFill>
                          <a:blip r:embed="rId59">
                            <a:extLst>
                              <a:ext uri="{28A0092B-C50C-407E-A947-70E740481C1C}">
                                <a14:useLocalDpi xmlns:a14="http://schemas.microsoft.com/office/drawing/2010/main" val="0"/>
                              </a:ext>
                            </a:extLst>
                          </a:blip>
                          <a:stretch>
                            <a:fillRect/>
                          </a:stretch>
                        </pic:blipFill>
                        <pic:spPr>
                          <a:xfrm>
                            <a:off x="0" y="0"/>
                            <a:ext cx="1215390" cy="180022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8013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16</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1364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6CE87185">
        <w:tblPrEx>
          <w:tblCellMar>
            <w:top w:w="0" w:type="dxa"/>
            <w:left w:w="108" w:type="dxa"/>
            <w:bottom w:w="0" w:type="dxa"/>
            <w:right w:w="108" w:type="dxa"/>
          </w:tblCellMar>
        </w:tblPrEx>
        <w:trPr>
          <w:trHeight w:val="153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5A3B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46</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3123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单人沙发（4）</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161F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940*940*860</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20FBD45C">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AB1ECC">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D7BE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16</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EDFA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0255DC5C">
        <w:tblPrEx>
          <w:tblCellMar>
            <w:top w:w="0" w:type="dxa"/>
            <w:left w:w="108" w:type="dxa"/>
            <w:bottom w:w="0" w:type="dxa"/>
            <w:right w:w="108" w:type="dxa"/>
          </w:tblCellMar>
        </w:tblPrEx>
        <w:trPr>
          <w:trHeight w:val="141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8F10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47</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9E5F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单人长定制茶几（3）</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7563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1500*900*450</w:t>
            </w:r>
          </w:p>
        </w:tc>
        <w:tc>
          <w:tcPr>
            <w:tcW w:w="2329" w:type="pct"/>
            <w:vMerge w:val="restart"/>
            <w:tcBorders>
              <w:top w:val="single" w:color="000000" w:sz="4" w:space="0"/>
              <w:left w:val="single" w:color="000000" w:sz="4" w:space="0"/>
              <w:bottom w:val="single" w:color="000000" w:sz="4" w:space="0"/>
              <w:right w:val="single" w:color="000000" w:sz="4" w:space="0"/>
            </w:tcBorders>
            <w:shd w:val="clear" w:color="auto" w:fill="auto"/>
          </w:tcPr>
          <w:p w14:paraId="74FE96D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1.框架：采用优质白蜡木实木制作，所有木材都进行烘干及防蛀处理，木材含水率8-12%；无腐朽、无虫眼、无死结；</w:t>
            </w:r>
          </w:p>
          <w:p w14:paraId="5121554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2.面板：实木多层板贴胡桃木山纹木皮；</w:t>
            </w:r>
          </w:p>
          <w:p w14:paraId="2639E8A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3.油漆：采用水性漆；</w:t>
            </w:r>
          </w:p>
          <w:p w14:paraId="619735E4">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4.颜色：颜色可定制；</w:t>
            </w: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417D6">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8D44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25F7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个</w:t>
            </w:r>
          </w:p>
        </w:tc>
      </w:tr>
      <w:tr w14:paraId="2D2554F6">
        <w:tblPrEx>
          <w:tblCellMar>
            <w:top w:w="0" w:type="dxa"/>
            <w:left w:w="108" w:type="dxa"/>
            <w:bottom w:w="0" w:type="dxa"/>
            <w:right w:w="108" w:type="dxa"/>
          </w:tblCellMar>
        </w:tblPrEx>
        <w:trPr>
          <w:trHeight w:val="141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2561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48</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0D3E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单人长定边几</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751A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550*550*580</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2AD9AF1A">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D5023">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78EF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16</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CF40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个</w:t>
            </w:r>
          </w:p>
        </w:tc>
      </w:tr>
      <w:tr w14:paraId="3685CB0F">
        <w:tblPrEx>
          <w:tblCellMar>
            <w:top w:w="0" w:type="dxa"/>
            <w:left w:w="108" w:type="dxa"/>
            <w:bottom w:w="0" w:type="dxa"/>
            <w:right w:w="108" w:type="dxa"/>
          </w:tblCellMar>
        </w:tblPrEx>
        <w:trPr>
          <w:trHeight w:val="265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CF7D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49</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6073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弧形组合接待沙发</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C2AE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2300*1150*900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3938ECE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4.基材：采用E0级多层板，游离甲醛释放量均达国家标准，所有层板厚度≥25mm,每层定制书架内高度≥35mm；                                                           </w:t>
            </w:r>
          </w:p>
          <w:p w14:paraId="24DE4CC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2.贴面：采用优质耐磨三聚氰胺浸渍面纸，防火，并具阻燃、耐磨性强、清洁方便等特点；</w:t>
            </w:r>
          </w:p>
          <w:p w14:paraId="4762E64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3.五金：优质五金件；</w:t>
            </w:r>
          </w:p>
          <w:p w14:paraId="2F665B4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4.封边：同色PVC封边条； </w:t>
            </w:r>
          </w:p>
          <w:p w14:paraId="60E48AC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5.座面及靠背：采用优质牛皮面料，手感柔软、细腻、有韧性；富有弹性;（内部采用高弹海绵及箱体）</w:t>
            </w:r>
          </w:p>
          <w:p w14:paraId="21439297">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6.成品：要求且不得出现可能产生危害的、危险性的、可触及的边部或尖端等;</w:t>
            </w:r>
          </w:p>
          <w:p w14:paraId="450A682B">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6BA7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89660" cy="978535"/>
                  <wp:effectExtent l="0" t="0" r="7620" b="12065"/>
                  <wp:docPr id="40" name="图片_5"/>
                  <wp:cNvGraphicFramePr/>
                  <a:graphic xmlns:a="http://schemas.openxmlformats.org/drawingml/2006/main">
                    <a:graphicData uri="http://schemas.openxmlformats.org/drawingml/2006/picture">
                      <pic:pic xmlns:pic="http://schemas.openxmlformats.org/drawingml/2006/picture">
                        <pic:nvPicPr>
                          <pic:cNvPr id="40" name="图片_5"/>
                          <pic:cNvPicPr/>
                        </pic:nvPicPr>
                        <pic:blipFill>
                          <a:blip r:embed="rId60">
                            <a:extLst>
                              <a:ext uri="{28A0092B-C50C-407E-A947-70E740481C1C}">
                                <a14:useLocalDpi xmlns:a14="http://schemas.microsoft.com/office/drawing/2010/main" val="0"/>
                              </a:ext>
                            </a:extLst>
                          </a:blip>
                          <a:stretch>
                            <a:fillRect/>
                          </a:stretch>
                        </pic:blipFill>
                        <pic:spPr>
                          <a:xfrm>
                            <a:off x="0" y="0"/>
                            <a:ext cx="1089660" cy="97853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63F4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9AC8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7D65F918">
        <w:tblPrEx>
          <w:tblCellMar>
            <w:top w:w="0" w:type="dxa"/>
            <w:left w:w="108" w:type="dxa"/>
            <w:bottom w:w="0" w:type="dxa"/>
            <w:right w:w="108" w:type="dxa"/>
          </w:tblCellMar>
        </w:tblPrEx>
        <w:trPr>
          <w:trHeight w:val="199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1D39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50</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ECAF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组合接待沙发（1）</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5689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2680*2200*660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1DB8A98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1.表面材质：上部优质国产仿羊绒面料需经过三防处理，及棉麻面料下部优质西皮；</w:t>
            </w:r>
          </w:p>
          <w:p w14:paraId="0BD0C45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2.内部材质：进口新西兰松木及45密度高弹海绵；</w:t>
            </w:r>
          </w:p>
          <w:p w14:paraId="3836F47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3.工艺：使用无苯胶粘剂粘接海绵，内部不使用废旧衬垫物；</w:t>
            </w:r>
          </w:p>
          <w:p w14:paraId="31620F4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4.颜色：颜色可定制;</w:t>
            </w:r>
          </w:p>
          <w:p w14:paraId="7FD233CE">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 xml:space="preserve">  </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ECCE9">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47750" cy="1101725"/>
                  <wp:effectExtent l="0" t="0" r="3810" b="10795"/>
                  <wp:docPr id="41" name="图片_146"/>
                  <wp:cNvGraphicFramePr/>
                  <a:graphic xmlns:a="http://schemas.openxmlformats.org/drawingml/2006/main">
                    <a:graphicData uri="http://schemas.openxmlformats.org/drawingml/2006/picture">
                      <pic:pic xmlns:pic="http://schemas.openxmlformats.org/drawingml/2006/picture">
                        <pic:nvPicPr>
                          <pic:cNvPr id="41" name="图片_146"/>
                          <pic:cNvPicPr/>
                        </pic:nvPicPr>
                        <pic:blipFill>
                          <a:blip r:embed="rId61">
                            <a:extLst>
                              <a:ext uri="{28A0092B-C50C-407E-A947-70E740481C1C}">
                                <a14:useLocalDpi xmlns:a14="http://schemas.microsoft.com/office/drawing/2010/main" val="0"/>
                              </a:ext>
                            </a:extLst>
                          </a:blip>
                          <a:stretch>
                            <a:fillRect/>
                          </a:stretch>
                        </pic:blipFill>
                        <pic:spPr>
                          <a:xfrm>
                            <a:off x="0" y="0"/>
                            <a:ext cx="1047750" cy="110172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C30C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6BC9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7B3A618B">
        <w:tblPrEx>
          <w:tblCellMar>
            <w:top w:w="0" w:type="dxa"/>
            <w:left w:w="108" w:type="dxa"/>
            <w:bottom w:w="0" w:type="dxa"/>
            <w:right w:w="108" w:type="dxa"/>
          </w:tblCellMar>
        </w:tblPrEx>
        <w:trPr>
          <w:trHeight w:val="127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1EF0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51</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D9A9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组合接待沙发（2）</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1332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2300*1270*660</w:t>
            </w:r>
          </w:p>
        </w:tc>
        <w:tc>
          <w:tcPr>
            <w:tcW w:w="2329" w:type="pct"/>
            <w:vMerge w:val="restart"/>
            <w:tcBorders>
              <w:top w:val="single" w:color="000000" w:sz="4" w:space="0"/>
              <w:left w:val="single" w:color="000000" w:sz="4" w:space="0"/>
              <w:bottom w:val="single" w:color="000000" w:sz="4" w:space="0"/>
              <w:right w:val="single" w:color="000000" w:sz="4" w:space="0"/>
            </w:tcBorders>
            <w:shd w:val="clear" w:color="auto" w:fill="auto"/>
          </w:tcPr>
          <w:p w14:paraId="22F1934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1.表面材质：上部优质国产仿羊绒面料需经过三防处理，及棉麻面料下部优质西皮；</w:t>
            </w:r>
          </w:p>
          <w:p w14:paraId="60AA1A2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2.内部材质：进口新西兰松木及45密度高弹海绵；</w:t>
            </w:r>
          </w:p>
          <w:p w14:paraId="325D615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3.工艺：使用无苯胶粘剂粘接海绵，内部不使用废旧衬垫物；</w:t>
            </w:r>
          </w:p>
          <w:p w14:paraId="48E09D2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4.颜色：颜色可定制；</w:t>
            </w:r>
          </w:p>
          <w:p w14:paraId="38AA6091">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 xml:space="preserve">  </w:t>
            </w:r>
          </w:p>
        </w:tc>
        <w:tc>
          <w:tcPr>
            <w:tcW w:w="8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D22B5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122680" cy="1247775"/>
                  <wp:effectExtent l="0" t="0" r="5080" b="1905"/>
                  <wp:docPr id="17" name="图片_145"/>
                  <wp:cNvGraphicFramePr/>
                  <a:graphic xmlns:a="http://schemas.openxmlformats.org/drawingml/2006/main">
                    <a:graphicData uri="http://schemas.openxmlformats.org/drawingml/2006/picture">
                      <pic:pic xmlns:pic="http://schemas.openxmlformats.org/drawingml/2006/picture">
                        <pic:nvPicPr>
                          <pic:cNvPr id="17" name="图片_145"/>
                          <pic:cNvPicPr/>
                        </pic:nvPicPr>
                        <pic:blipFill>
                          <a:blip r:embed="rId62">
                            <a:extLst>
                              <a:ext uri="{28A0092B-C50C-407E-A947-70E740481C1C}">
                                <a14:useLocalDpi xmlns:a14="http://schemas.microsoft.com/office/drawing/2010/main" val="0"/>
                              </a:ext>
                            </a:extLst>
                          </a:blip>
                          <a:stretch>
                            <a:fillRect/>
                          </a:stretch>
                        </pic:blipFill>
                        <pic:spPr>
                          <a:xfrm>
                            <a:off x="0" y="0"/>
                            <a:ext cx="1122680" cy="124777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EBCB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F4C9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18EAC2E6">
        <w:tblPrEx>
          <w:tblCellMar>
            <w:top w:w="0" w:type="dxa"/>
            <w:left w:w="108" w:type="dxa"/>
            <w:bottom w:w="0" w:type="dxa"/>
            <w:right w:w="108" w:type="dxa"/>
          </w:tblCellMar>
        </w:tblPrEx>
        <w:trPr>
          <w:trHeight w:val="127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A064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52</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B99C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组合接待沙发（3）</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BC5D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4950*1700*660</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0A573C7C">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1E667">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7967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417C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3E69EC89">
        <w:tblPrEx>
          <w:tblCellMar>
            <w:top w:w="0" w:type="dxa"/>
            <w:left w:w="108" w:type="dxa"/>
            <w:bottom w:w="0" w:type="dxa"/>
            <w:right w:w="108" w:type="dxa"/>
          </w:tblCellMar>
        </w:tblPrEx>
        <w:trPr>
          <w:trHeight w:val="199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62EE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53</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9172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组合接待沙发（4）</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8827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2050*1960*710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504A827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1.表面材质：优质国产仿羊绒面料及棉麻面料；所有面料均需经过三防处理 ；</w:t>
            </w:r>
          </w:p>
          <w:p w14:paraId="432A4E6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2.内部材质：优质环保15mm多层板及进口新西兰松木，坐棉采用45密度高弹海绵；</w:t>
            </w:r>
          </w:p>
          <w:p w14:paraId="5C2E189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3.工艺：内部不使用废旧衬垫物，采用无苯胶粘剂粘接海绵和丝绵；</w:t>
            </w:r>
          </w:p>
          <w:p w14:paraId="30773BBB">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 xml:space="preserve">4.颜色：颜色可定制;                   </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33106">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156970" cy="927735"/>
                  <wp:effectExtent l="0" t="0" r="1270" b="1905"/>
                  <wp:docPr id="37" name="图片_18"/>
                  <wp:cNvGraphicFramePr/>
                  <a:graphic xmlns:a="http://schemas.openxmlformats.org/drawingml/2006/main">
                    <a:graphicData uri="http://schemas.openxmlformats.org/drawingml/2006/picture">
                      <pic:pic xmlns:pic="http://schemas.openxmlformats.org/drawingml/2006/picture">
                        <pic:nvPicPr>
                          <pic:cNvPr id="37" name="图片_18"/>
                          <pic:cNvPicPr/>
                        </pic:nvPicPr>
                        <pic:blipFill>
                          <a:blip r:embed="rId63">
                            <a:extLst>
                              <a:ext uri="{28A0092B-C50C-407E-A947-70E740481C1C}">
                                <a14:useLocalDpi xmlns:a14="http://schemas.microsoft.com/office/drawing/2010/main" val="0"/>
                              </a:ext>
                            </a:extLst>
                          </a:blip>
                          <a:stretch>
                            <a:fillRect/>
                          </a:stretch>
                        </pic:blipFill>
                        <pic:spPr>
                          <a:xfrm>
                            <a:off x="0" y="0"/>
                            <a:ext cx="1156970" cy="92773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DB04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1ED8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74EEBF76">
        <w:tblPrEx>
          <w:tblCellMar>
            <w:top w:w="0" w:type="dxa"/>
            <w:left w:w="108" w:type="dxa"/>
            <w:bottom w:w="0" w:type="dxa"/>
            <w:right w:w="108" w:type="dxa"/>
          </w:tblCellMar>
        </w:tblPrEx>
        <w:trPr>
          <w:trHeight w:val="111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A063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54</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EBFF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定制茶几（1）</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D772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800*800*265</w:t>
            </w:r>
          </w:p>
        </w:tc>
        <w:tc>
          <w:tcPr>
            <w:tcW w:w="2329" w:type="pct"/>
            <w:vMerge w:val="restart"/>
            <w:tcBorders>
              <w:top w:val="single" w:color="000000" w:sz="4" w:space="0"/>
              <w:left w:val="single" w:color="000000" w:sz="4" w:space="0"/>
              <w:bottom w:val="single" w:color="000000" w:sz="4" w:space="0"/>
              <w:right w:val="single" w:color="000000" w:sz="4" w:space="0"/>
            </w:tcBorders>
            <w:shd w:val="clear" w:color="auto" w:fill="auto"/>
          </w:tcPr>
          <w:p w14:paraId="36AA485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1.采用优质环保E0级25mm厚中密度板，采用喷粉工艺；</w:t>
            </w:r>
          </w:p>
          <w:p w14:paraId="341C9CC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2.中筒采用2mm厚钢板、模具成型，外包优质面料；</w:t>
            </w:r>
          </w:p>
          <w:p w14:paraId="2C6F018F">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3.颜色：颜色可定制；</w:t>
            </w:r>
          </w:p>
        </w:tc>
        <w:tc>
          <w:tcPr>
            <w:tcW w:w="81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FE7A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146810" cy="819150"/>
                  <wp:effectExtent l="0" t="0" r="11430" b="3810"/>
                  <wp:docPr id="9" name="图片_29"/>
                  <wp:cNvGraphicFramePr/>
                  <a:graphic xmlns:a="http://schemas.openxmlformats.org/drawingml/2006/main">
                    <a:graphicData uri="http://schemas.openxmlformats.org/drawingml/2006/picture">
                      <pic:pic xmlns:pic="http://schemas.openxmlformats.org/drawingml/2006/picture">
                        <pic:nvPicPr>
                          <pic:cNvPr id="9" name="图片_29"/>
                          <pic:cNvPicPr/>
                        </pic:nvPicPr>
                        <pic:blipFill>
                          <a:blip r:embed="rId64">
                            <a:extLst>
                              <a:ext uri="{28A0092B-C50C-407E-A947-70E740481C1C}">
                                <a14:useLocalDpi xmlns:a14="http://schemas.microsoft.com/office/drawing/2010/main" val="0"/>
                              </a:ext>
                            </a:extLst>
                          </a:blip>
                          <a:stretch>
                            <a:fillRect/>
                          </a:stretch>
                        </pic:blipFill>
                        <pic:spPr>
                          <a:xfrm>
                            <a:off x="0" y="0"/>
                            <a:ext cx="1147170" cy="819559"/>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428E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A567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个</w:t>
            </w:r>
          </w:p>
        </w:tc>
      </w:tr>
      <w:tr w14:paraId="263F3A95">
        <w:tblPrEx>
          <w:tblCellMar>
            <w:top w:w="0" w:type="dxa"/>
            <w:left w:w="108" w:type="dxa"/>
            <w:bottom w:w="0" w:type="dxa"/>
            <w:right w:w="108" w:type="dxa"/>
          </w:tblCellMar>
        </w:tblPrEx>
        <w:trPr>
          <w:trHeight w:val="111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E90D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55</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1939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定制茶几（2）</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3A48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450*450*425</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6A52279C">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5DFE3">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11E7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2408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个</w:t>
            </w:r>
          </w:p>
        </w:tc>
      </w:tr>
      <w:tr w14:paraId="4EDC193B">
        <w:tblPrEx>
          <w:tblCellMar>
            <w:top w:w="0" w:type="dxa"/>
            <w:left w:w="108" w:type="dxa"/>
            <w:bottom w:w="0" w:type="dxa"/>
            <w:right w:w="108" w:type="dxa"/>
          </w:tblCellMar>
        </w:tblPrEx>
        <w:trPr>
          <w:trHeight w:val="199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B4FD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56</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84E9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定制茶几（3）</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9EB2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700*700*380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098E063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1.整体采用优质环保E0级25mm厚中密度板，采用喷粉工艺；</w:t>
            </w:r>
          </w:p>
          <w:p w14:paraId="5F341103">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53932">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907415" cy="902970"/>
                  <wp:effectExtent l="0" t="0" r="6985" b="11430"/>
                  <wp:docPr id="33" name="图片_30"/>
                  <wp:cNvGraphicFramePr/>
                  <a:graphic xmlns:a="http://schemas.openxmlformats.org/drawingml/2006/main">
                    <a:graphicData uri="http://schemas.openxmlformats.org/drawingml/2006/picture">
                      <pic:pic xmlns:pic="http://schemas.openxmlformats.org/drawingml/2006/picture">
                        <pic:nvPicPr>
                          <pic:cNvPr id="33" name="图片_30"/>
                          <pic:cNvPicPr/>
                        </pic:nvPicPr>
                        <pic:blipFill>
                          <a:blip r:embed="rId65">
                            <a:extLst>
                              <a:ext uri="{28A0092B-C50C-407E-A947-70E740481C1C}">
                                <a14:useLocalDpi xmlns:a14="http://schemas.microsoft.com/office/drawing/2010/main" val="0"/>
                              </a:ext>
                            </a:extLst>
                          </a:blip>
                          <a:stretch>
                            <a:fillRect/>
                          </a:stretch>
                        </pic:blipFill>
                        <pic:spPr>
                          <a:xfrm>
                            <a:off x="0" y="0"/>
                            <a:ext cx="907415" cy="90297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17E5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F3BD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个</w:t>
            </w:r>
          </w:p>
        </w:tc>
      </w:tr>
      <w:tr w14:paraId="32D723A7">
        <w:tblPrEx>
          <w:tblCellMar>
            <w:top w:w="0" w:type="dxa"/>
            <w:left w:w="108" w:type="dxa"/>
            <w:bottom w:w="0" w:type="dxa"/>
            <w:right w:w="108" w:type="dxa"/>
          </w:tblCellMar>
        </w:tblPrEx>
        <w:trPr>
          <w:trHeight w:val="268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DDE7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57</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7A5B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组合沙发（1）</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9F36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2550*1400*705</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1109BCE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1.表面材质：优质国产仿羊绒面料，所有面料均需经过三防处理;                    </w:t>
            </w:r>
          </w:p>
          <w:p w14:paraId="0271539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2.内部材质：实木框架+定型切割海绵;</w:t>
            </w:r>
          </w:p>
          <w:p w14:paraId="5641A88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3.侧          板：榉木材料，原木色，开放性油漆;</w:t>
            </w:r>
          </w:p>
          <w:p w14:paraId="066021E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4.脚          架：金属脚黑色喷粉;</w:t>
            </w:r>
          </w:p>
          <w:p w14:paraId="7AE56EBD">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0B12F">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188720" cy="1066800"/>
                  <wp:effectExtent l="0" t="0" r="0" b="0"/>
                  <wp:docPr id="21" name="图片_32"/>
                  <wp:cNvGraphicFramePr/>
                  <a:graphic xmlns:a="http://schemas.openxmlformats.org/drawingml/2006/main">
                    <a:graphicData uri="http://schemas.openxmlformats.org/drawingml/2006/picture">
                      <pic:pic xmlns:pic="http://schemas.openxmlformats.org/drawingml/2006/picture">
                        <pic:nvPicPr>
                          <pic:cNvPr id="21" name="图片_32"/>
                          <pic:cNvPicPr/>
                        </pic:nvPicPr>
                        <pic:blipFill>
                          <a:blip r:embed="rId66">
                            <a:extLst>
                              <a:ext uri="{28A0092B-C50C-407E-A947-70E740481C1C}">
                                <a14:useLocalDpi xmlns:a14="http://schemas.microsoft.com/office/drawing/2010/main" val="0"/>
                              </a:ext>
                            </a:extLst>
                          </a:blip>
                          <a:stretch>
                            <a:fillRect/>
                          </a:stretch>
                        </pic:blipFill>
                        <pic:spPr>
                          <a:xfrm>
                            <a:off x="0" y="0"/>
                            <a:ext cx="1188720" cy="106680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9E1B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8B24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3373D53C">
        <w:tblPrEx>
          <w:tblCellMar>
            <w:top w:w="0" w:type="dxa"/>
            <w:left w:w="108" w:type="dxa"/>
            <w:bottom w:w="0" w:type="dxa"/>
            <w:right w:w="108" w:type="dxa"/>
          </w:tblCellMar>
        </w:tblPrEx>
        <w:trPr>
          <w:trHeight w:val="268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35EE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58</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4746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组合沙发（2）</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5D11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6080*2450*705</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39A8547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1.表面材质：优质国产仿羊绒面料，所有面料均需经过三防处理 ;                </w:t>
            </w:r>
          </w:p>
          <w:p w14:paraId="29B2669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2.内部材质：实木框架+定型切割海绵;</w:t>
            </w:r>
          </w:p>
          <w:p w14:paraId="51D10D4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3.侧          板：榉木材料，原木色，开放性油漆;</w:t>
            </w:r>
          </w:p>
          <w:p w14:paraId="0415217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4.脚          架：金属脚黑色喷粉;</w:t>
            </w:r>
          </w:p>
          <w:p w14:paraId="43BFA686">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B3EC7">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272540" cy="1051560"/>
                  <wp:effectExtent l="0" t="0" r="7620" b="0"/>
                  <wp:docPr id="28" name="图片_31"/>
                  <wp:cNvGraphicFramePr/>
                  <a:graphic xmlns:a="http://schemas.openxmlformats.org/drawingml/2006/main">
                    <a:graphicData uri="http://schemas.openxmlformats.org/drawingml/2006/picture">
                      <pic:pic xmlns:pic="http://schemas.openxmlformats.org/drawingml/2006/picture">
                        <pic:nvPicPr>
                          <pic:cNvPr id="28" name="图片_31"/>
                          <pic:cNvPicPr/>
                        </pic:nvPicPr>
                        <pic:blipFill>
                          <a:blip r:embed="rId67">
                            <a:extLst>
                              <a:ext uri="{28A0092B-C50C-407E-A947-70E740481C1C}">
                                <a14:useLocalDpi xmlns:a14="http://schemas.microsoft.com/office/drawing/2010/main" val="0"/>
                              </a:ext>
                            </a:extLst>
                          </a:blip>
                          <a:stretch>
                            <a:fillRect/>
                          </a:stretch>
                        </pic:blipFill>
                        <pic:spPr>
                          <a:xfrm>
                            <a:off x="0" y="0"/>
                            <a:ext cx="1275355" cy="1054092"/>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7EB7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A444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386E4FB8">
        <w:tblPrEx>
          <w:tblCellMar>
            <w:top w:w="0" w:type="dxa"/>
            <w:left w:w="108" w:type="dxa"/>
            <w:bottom w:w="0" w:type="dxa"/>
            <w:right w:w="108" w:type="dxa"/>
          </w:tblCellMar>
        </w:tblPrEx>
        <w:trPr>
          <w:trHeight w:val="340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8C17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59</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1F46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弧形组合接待沙发A</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F8AA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5500*1650*900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318D504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1.基材：采用E0级实木多层板;</w:t>
            </w:r>
          </w:p>
          <w:p w14:paraId="611D841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2.贴面：采用胡桃木木皮饰面，厚度≥ 0.6mm；</w:t>
            </w:r>
          </w:p>
          <w:p w14:paraId="09F8619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3.油漆：采用水性漆；</w:t>
            </w:r>
          </w:p>
          <w:p w14:paraId="14D6DED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4.胶水：采用水基型胶粘剂，粘接强度高，耐老化，环保对人体无害；</w:t>
            </w:r>
          </w:p>
          <w:p w14:paraId="7F46FFF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5.座面：采用优质牛皮面料，手感柔软、细腻、有韧性；富有弹性（内部采用高弹海绵）；</w:t>
            </w:r>
          </w:p>
          <w:p w14:paraId="5D6C140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6.成品：要求且不得出现可能产生危害的、危险性的、可触及的边部或尖端等.棱角及边缘部位经倒圆或倒角处理，顶板及层板厚度≥25mm，背板及其余板材厚度≥16mm;</w:t>
            </w:r>
          </w:p>
          <w:p w14:paraId="4BFA4A57">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7.造型说明：整体拼色弧形设计，底座部分为敞开书柜，一半矮书柜组合顶部带软包，另一半为高矮书柜组合，顶部均需带软包（阳角部分均需防撞处理）</w:t>
            </w:r>
          </w:p>
          <w:p w14:paraId="04D942F4">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AAF71">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141095" cy="714375"/>
                  <wp:effectExtent l="0" t="0" r="1905" b="1905"/>
                  <wp:docPr id="22" name="图片_33"/>
                  <wp:cNvGraphicFramePr/>
                  <a:graphic xmlns:a="http://schemas.openxmlformats.org/drawingml/2006/main">
                    <a:graphicData uri="http://schemas.openxmlformats.org/drawingml/2006/picture">
                      <pic:pic xmlns:pic="http://schemas.openxmlformats.org/drawingml/2006/picture">
                        <pic:nvPicPr>
                          <pic:cNvPr id="22" name="图片_33"/>
                          <pic:cNvPicPr/>
                        </pic:nvPicPr>
                        <pic:blipFill>
                          <a:blip r:embed="rId68">
                            <a:extLst>
                              <a:ext uri="{28A0092B-C50C-407E-A947-70E740481C1C}">
                                <a14:useLocalDpi xmlns:a14="http://schemas.microsoft.com/office/drawing/2010/main" val="0"/>
                              </a:ext>
                            </a:extLst>
                          </a:blip>
                          <a:stretch>
                            <a:fillRect/>
                          </a:stretch>
                        </pic:blipFill>
                        <pic:spPr>
                          <a:xfrm>
                            <a:off x="0" y="0"/>
                            <a:ext cx="1143401" cy="715949"/>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762D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839A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543A0AA5">
        <w:tblPrEx>
          <w:tblCellMar>
            <w:top w:w="0" w:type="dxa"/>
            <w:left w:w="108" w:type="dxa"/>
            <w:bottom w:w="0" w:type="dxa"/>
            <w:right w:w="108" w:type="dxa"/>
          </w:tblCellMar>
        </w:tblPrEx>
        <w:trPr>
          <w:trHeight w:val="340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D54F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60</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6118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弧形组合接待沙发B</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A69F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3650*1670*720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54223A4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1.基材：采用E0级实木多层板;</w:t>
            </w:r>
          </w:p>
          <w:p w14:paraId="7CC82D7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2.贴面：采用胡桃木木皮饰面，厚度≥ 0.6mm；</w:t>
            </w:r>
          </w:p>
          <w:p w14:paraId="2776EF1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3.油漆：采用水性漆；</w:t>
            </w:r>
          </w:p>
          <w:p w14:paraId="7FB70A2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4.胶水：采用水基型胶粘剂，粘接强度高，耐老化，环保对人体无害；</w:t>
            </w:r>
          </w:p>
          <w:p w14:paraId="2056251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5.座面及靠背：采用优质牛皮面料，手感柔软、细腻、有韧性；富有弹性（内部采用高弹海绵）；</w:t>
            </w:r>
          </w:p>
          <w:p w14:paraId="29302AC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6.成品：要求且不得出现可能产生危害的、危险性的、可触及的边部或尖端等.棱角及边缘部位经倒圆或倒角处理，顶板及层板厚度≥25mm，背板及其余板材厚度≥16mm;</w:t>
            </w:r>
          </w:p>
          <w:p w14:paraId="0C3615F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7.造型说明：整体拼色弧形设计，底座部分为敞开书柜，顶部带软包，落地靠背处全部软包（阳角部分均需防撞处理）；</w:t>
            </w:r>
          </w:p>
          <w:p w14:paraId="4B2B800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8.颜色：颜色可定制；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82E65">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191895" cy="791210"/>
                  <wp:effectExtent l="0" t="0" r="12065" b="1270"/>
                  <wp:docPr id="15" name="图片_34"/>
                  <wp:cNvGraphicFramePr/>
                  <a:graphic xmlns:a="http://schemas.openxmlformats.org/drawingml/2006/main">
                    <a:graphicData uri="http://schemas.openxmlformats.org/drawingml/2006/picture">
                      <pic:pic xmlns:pic="http://schemas.openxmlformats.org/drawingml/2006/picture">
                        <pic:nvPicPr>
                          <pic:cNvPr id="15" name="图片_34"/>
                          <pic:cNvPicPr/>
                        </pic:nvPicPr>
                        <pic:blipFill>
                          <a:blip r:embed="rId69">
                            <a:extLst>
                              <a:ext uri="{28A0092B-C50C-407E-A947-70E740481C1C}">
                                <a14:useLocalDpi xmlns:a14="http://schemas.microsoft.com/office/drawing/2010/main" val="0"/>
                              </a:ext>
                            </a:extLst>
                          </a:blip>
                          <a:stretch>
                            <a:fillRect/>
                          </a:stretch>
                        </pic:blipFill>
                        <pic:spPr>
                          <a:xfrm>
                            <a:off x="0" y="0"/>
                            <a:ext cx="1192861" cy="791531"/>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9220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1DD2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061FB7C6">
        <w:tblPrEx>
          <w:tblCellMar>
            <w:top w:w="0" w:type="dxa"/>
            <w:left w:w="108" w:type="dxa"/>
            <w:bottom w:w="0" w:type="dxa"/>
            <w:right w:w="108" w:type="dxa"/>
          </w:tblCellMar>
        </w:tblPrEx>
        <w:trPr>
          <w:trHeight w:val="340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85A7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61</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5EAC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弧形组合接待沙发C</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44DF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φ2030*450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7A26E99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1.基材：采用E0级实木多层板;</w:t>
            </w:r>
          </w:p>
          <w:p w14:paraId="5B5F63D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2.贴面：采用胡桃木木皮饰面，厚度≥ 0.6mm；</w:t>
            </w:r>
          </w:p>
          <w:p w14:paraId="7CC54E97">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3.油漆：采用水性漆；</w:t>
            </w:r>
          </w:p>
          <w:p w14:paraId="6272524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4.胶水：采用水基型胶粘剂，粘接强度高，耐老化，环保对人体无害；</w:t>
            </w:r>
          </w:p>
          <w:p w14:paraId="6043BFC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5.座面：采用优质牛皮面料，手感柔软、细腻、有韧性；富有弹性（内部采用箱体）；</w:t>
            </w:r>
          </w:p>
          <w:p w14:paraId="1BDF79C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6.成品：要求且不得出现可能产生危害的、危险性的、可触及的边部或尖端等.棱角及边缘部位经倒圆或倒角处理.，顶板及层板厚度≥25mm，背板及其余板材厚度≥16mm;</w:t>
            </w:r>
          </w:p>
          <w:p w14:paraId="4DC5CDA6">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BD165">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999490" cy="822325"/>
                  <wp:effectExtent l="0" t="0" r="6350" b="635"/>
                  <wp:docPr id="10" name="图片_37"/>
                  <wp:cNvGraphicFramePr/>
                  <a:graphic xmlns:a="http://schemas.openxmlformats.org/drawingml/2006/main">
                    <a:graphicData uri="http://schemas.openxmlformats.org/drawingml/2006/picture">
                      <pic:pic xmlns:pic="http://schemas.openxmlformats.org/drawingml/2006/picture">
                        <pic:nvPicPr>
                          <pic:cNvPr id="10" name="图片_37"/>
                          <pic:cNvPicPr/>
                        </pic:nvPicPr>
                        <pic:blipFill>
                          <a:blip r:embed="rId70">
                            <a:extLst>
                              <a:ext uri="{28A0092B-C50C-407E-A947-70E740481C1C}">
                                <a14:useLocalDpi xmlns:a14="http://schemas.microsoft.com/office/drawing/2010/main" val="0"/>
                              </a:ext>
                            </a:extLst>
                          </a:blip>
                          <a:stretch>
                            <a:fillRect/>
                          </a:stretch>
                        </pic:blipFill>
                        <pic:spPr>
                          <a:xfrm>
                            <a:off x="0" y="0"/>
                            <a:ext cx="999490" cy="82232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C092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A496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6B23CBC9">
        <w:tblPrEx>
          <w:tblCellMar>
            <w:top w:w="0" w:type="dxa"/>
            <w:left w:w="108" w:type="dxa"/>
            <w:bottom w:w="0" w:type="dxa"/>
            <w:right w:w="108" w:type="dxa"/>
          </w:tblCellMar>
        </w:tblPrEx>
        <w:trPr>
          <w:trHeight w:val="340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953B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62</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1063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圆墩</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FCF0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Ø500*420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26233D47">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1.框架：采用优质实木制作，所有木材都进行烘干及防蛀处理，木材含水率8-12%；无腐朽、无虫眼、无死结；</w:t>
            </w:r>
          </w:p>
          <w:p w14:paraId="2110E10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2.饰面：采用优质头层牛皮饰面，厚度≥1.0mm，经液态浸色及防潮、防污等工艺处理，皮面更加柔软舒适、光泽持久性好，纹理细腻，耐磨损；</w:t>
            </w:r>
          </w:p>
          <w:p w14:paraId="72EDABE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3.油漆：采用水性漆；</w:t>
            </w:r>
          </w:p>
          <w:p w14:paraId="3E310FA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4.海绵：采用优质高弹阻燃海绵，软硬适中、不变形、回弹性好、抗疲劳能力强、坐感舒适.表面涂有防止老化变形的保护膜;</w:t>
            </w:r>
          </w:p>
          <w:p w14:paraId="4F6C6A12">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3FA35">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08380" cy="804545"/>
                  <wp:effectExtent l="0" t="0" r="12700" b="0"/>
                  <wp:docPr id="29" name="图片_39"/>
                  <wp:cNvGraphicFramePr/>
                  <a:graphic xmlns:a="http://schemas.openxmlformats.org/drawingml/2006/main">
                    <a:graphicData uri="http://schemas.openxmlformats.org/drawingml/2006/picture">
                      <pic:pic xmlns:pic="http://schemas.openxmlformats.org/drawingml/2006/picture">
                        <pic:nvPicPr>
                          <pic:cNvPr id="29" name="图片_39"/>
                          <pic:cNvPicPr/>
                        </pic:nvPicPr>
                        <pic:blipFill>
                          <a:blip r:embed="rId71">
                            <a:extLst>
                              <a:ext uri="{28A0092B-C50C-407E-A947-70E740481C1C}">
                                <a14:useLocalDpi xmlns:a14="http://schemas.microsoft.com/office/drawing/2010/main" val="0"/>
                              </a:ext>
                            </a:extLst>
                          </a:blip>
                          <a:stretch>
                            <a:fillRect/>
                          </a:stretch>
                        </pic:blipFill>
                        <pic:spPr>
                          <a:xfrm>
                            <a:off x="0" y="0"/>
                            <a:ext cx="1012838" cy="80823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03A9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9923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个</w:t>
            </w:r>
          </w:p>
        </w:tc>
      </w:tr>
      <w:tr w14:paraId="4455A4B2">
        <w:tblPrEx>
          <w:tblCellMar>
            <w:top w:w="0" w:type="dxa"/>
            <w:left w:w="108" w:type="dxa"/>
            <w:bottom w:w="0" w:type="dxa"/>
            <w:right w:w="108" w:type="dxa"/>
          </w:tblCellMar>
        </w:tblPrEx>
        <w:trPr>
          <w:trHeight w:val="256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4CE5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63</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1242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组合沙发（3）</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9CF1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6130*1270*660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4C417D0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1.表面材质：上部优质国产仿羊绒面料，均需经过三防处理 ，及棉麻面料下部优质西皮；</w:t>
            </w:r>
          </w:p>
          <w:p w14:paraId="4A1C58A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2.内部材质：进口新西兰松木及45密度高弹海绵；</w:t>
            </w:r>
          </w:p>
          <w:p w14:paraId="5FD2FCE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3.工艺：使用无苯胶粘剂粘接海绵，内部不使用废旧衬垫物；</w:t>
            </w:r>
          </w:p>
          <w:p w14:paraId="57CD54D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4.颜色：颜色可定制；</w:t>
            </w:r>
          </w:p>
          <w:p w14:paraId="1ADA3993">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 xml:space="preserve">  </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A5B45">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62990" cy="1290320"/>
                  <wp:effectExtent l="0" t="0" r="3810" b="5080"/>
                  <wp:docPr id="23" name="图片_143"/>
                  <wp:cNvGraphicFramePr/>
                  <a:graphic xmlns:a="http://schemas.openxmlformats.org/drawingml/2006/main">
                    <a:graphicData uri="http://schemas.openxmlformats.org/drawingml/2006/picture">
                      <pic:pic xmlns:pic="http://schemas.openxmlformats.org/drawingml/2006/picture">
                        <pic:nvPicPr>
                          <pic:cNvPr id="23" name="图片_143"/>
                          <pic:cNvPicPr/>
                        </pic:nvPicPr>
                        <pic:blipFill>
                          <a:blip r:embed="rId72">
                            <a:extLst>
                              <a:ext uri="{28A0092B-C50C-407E-A947-70E740481C1C}">
                                <a14:useLocalDpi xmlns:a14="http://schemas.microsoft.com/office/drawing/2010/main" val="0"/>
                              </a:ext>
                            </a:extLst>
                          </a:blip>
                          <a:stretch>
                            <a:fillRect/>
                          </a:stretch>
                        </pic:blipFill>
                        <pic:spPr>
                          <a:xfrm>
                            <a:off x="0" y="0"/>
                            <a:ext cx="1062990" cy="129032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C139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151A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1B96B034">
        <w:tblPrEx>
          <w:tblCellMar>
            <w:top w:w="0" w:type="dxa"/>
            <w:left w:w="108" w:type="dxa"/>
            <w:bottom w:w="0" w:type="dxa"/>
            <w:right w:w="108" w:type="dxa"/>
          </w:tblCellMar>
        </w:tblPrEx>
        <w:trPr>
          <w:trHeight w:val="340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8C79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64</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2877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组合沙发（4）</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48E0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2750*1880*660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074F622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1.表面材质：上部优质国产仿羊绒面料，均需经过三防处理 ，及棉麻面料下部优质西皮；</w:t>
            </w:r>
          </w:p>
          <w:p w14:paraId="5FD81BF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2.内部材质：进口新西兰松木及45密度高弹海绵；</w:t>
            </w:r>
          </w:p>
          <w:p w14:paraId="2548CF3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3.工艺：使用无苯胶粘剂粘接海绵，内部不使用废旧衬垫物；</w:t>
            </w:r>
          </w:p>
          <w:p w14:paraId="12BC7AF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4.颜色：颜色可定制；</w:t>
            </w:r>
          </w:p>
          <w:p w14:paraId="4190FBCC">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 xml:space="preserve">  </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D667C">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259840" cy="1275080"/>
                  <wp:effectExtent l="0" t="0" r="5080" b="5080"/>
                  <wp:docPr id="25" name="图片_144"/>
                  <wp:cNvGraphicFramePr/>
                  <a:graphic xmlns:a="http://schemas.openxmlformats.org/drawingml/2006/main">
                    <a:graphicData uri="http://schemas.openxmlformats.org/drawingml/2006/picture">
                      <pic:pic xmlns:pic="http://schemas.openxmlformats.org/drawingml/2006/picture">
                        <pic:nvPicPr>
                          <pic:cNvPr id="25" name="图片_144"/>
                          <pic:cNvPicPr/>
                        </pic:nvPicPr>
                        <pic:blipFill>
                          <a:blip r:embed="rId73">
                            <a:extLst>
                              <a:ext uri="{28A0092B-C50C-407E-A947-70E740481C1C}">
                                <a14:useLocalDpi xmlns:a14="http://schemas.microsoft.com/office/drawing/2010/main" val="0"/>
                              </a:ext>
                            </a:extLst>
                          </a:blip>
                          <a:stretch>
                            <a:fillRect/>
                          </a:stretch>
                        </pic:blipFill>
                        <pic:spPr>
                          <a:xfrm>
                            <a:off x="0" y="0"/>
                            <a:ext cx="1259840" cy="127508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771D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B3B5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4ED931E0">
        <w:tblPrEx>
          <w:tblCellMar>
            <w:top w:w="0" w:type="dxa"/>
            <w:left w:w="108" w:type="dxa"/>
            <w:bottom w:w="0" w:type="dxa"/>
            <w:right w:w="108" w:type="dxa"/>
          </w:tblCellMar>
        </w:tblPrEx>
        <w:trPr>
          <w:trHeight w:val="195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1423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65</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5E31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方墩</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D2A2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620*620*430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46FD70F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1.表面材质：上部优质国产仿羊绒面料，均需经过三防处理 ，及棉麻面料下部优质西皮；</w:t>
            </w:r>
          </w:p>
          <w:p w14:paraId="6FBA1D8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2.内部材质：进口新西兰松木及45密度高弹海绵；</w:t>
            </w:r>
          </w:p>
          <w:p w14:paraId="77A2EC7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3.工艺：使用无苯胶粘剂粘接海绵，内部不使用废旧衬垫物；</w:t>
            </w:r>
          </w:p>
          <w:p w14:paraId="068B45A7">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4.颜色：颜色可定制；</w:t>
            </w:r>
          </w:p>
          <w:p w14:paraId="1AD949C7">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 xml:space="preserve">  </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9C76C">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224280" cy="922020"/>
                  <wp:effectExtent l="0" t="0" r="10160" b="7620"/>
                  <wp:docPr id="34" name="图片_47"/>
                  <wp:cNvGraphicFramePr/>
                  <a:graphic xmlns:a="http://schemas.openxmlformats.org/drawingml/2006/main">
                    <a:graphicData uri="http://schemas.openxmlformats.org/drawingml/2006/picture">
                      <pic:pic xmlns:pic="http://schemas.openxmlformats.org/drawingml/2006/picture">
                        <pic:nvPicPr>
                          <pic:cNvPr id="34" name="图片_47"/>
                          <pic:cNvPicPr/>
                        </pic:nvPicPr>
                        <pic:blipFill>
                          <a:blip r:embed="rId74">
                            <a:extLst>
                              <a:ext uri="{28A0092B-C50C-407E-A947-70E740481C1C}">
                                <a14:useLocalDpi xmlns:a14="http://schemas.microsoft.com/office/drawing/2010/main" val="0"/>
                              </a:ext>
                            </a:extLst>
                          </a:blip>
                          <a:stretch>
                            <a:fillRect/>
                          </a:stretch>
                        </pic:blipFill>
                        <pic:spPr>
                          <a:xfrm>
                            <a:off x="0" y="0"/>
                            <a:ext cx="1224280" cy="92202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B178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26</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4720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个</w:t>
            </w:r>
          </w:p>
        </w:tc>
      </w:tr>
      <w:tr w14:paraId="2E674DB2">
        <w:tblPrEx>
          <w:tblCellMar>
            <w:top w:w="0" w:type="dxa"/>
            <w:left w:w="108" w:type="dxa"/>
            <w:bottom w:w="0" w:type="dxa"/>
            <w:right w:w="108" w:type="dxa"/>
          </w:tblCellMar>
        </w:tblPrEx>
        <w:trPr>
          <w:trHeight w:val="283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25E4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66</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2FB1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定制柜（1）</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84F82">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3200*800*3000</w:t>
            </w:r>
          </w:p>
          <w:p w14:paraId="6EB1DFD3">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02E65A4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双面全空格柜</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4873596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1.基材：采用E0级多层板，游离甲醛释放量均达国家标准，所有层板及隔板厚度≥25mm,背板及其余板材厚度≥16mm，每层定制书架内高度≥35mm；                                                           </w:t>
            </w:r>
          </w:p>
          <w:p w14:paraId="6535E38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2.贴面：采用优质耐磨三聚氰胺浸渍面纸，防火，并具阻燃、耐磨性强、清洁方便等特点；</w:t>
            </w:r>
          </w:p>
          <w:p w14:paraId="3941C4A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3.五金：优质五金件；</w:t>
            </w:r>
          </w:p>
          <w:p w14:paraId="54F592D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4.封边：同色PVC封边条； </w:t>
            </w:r>
          </w:p>
          <w:p w14:paraId="2A9F8A5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5.定制需求：需结合展陈对柜体进行优化；</w:t>
            </w:r>
          </w:p>
          <w:p w14:paraId="6CC03C7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6.成品：要求且不得出现可能产生危害的、危险性的、可触及的边部或尖端等.</w:t>
            </w:r>
          </w:p>
          <w:p w14:paraId="1944698B">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1B90D">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36320" cy="1378585"/>
                  <wp:effectExtent l="0" t="0" r="0" b="8255"/>
                  <wp:docPr id="38" name="图片_142"/>
                  <wp:cNvGraphicFramePr/>
                  <a:graphic xmlns:a="http://schemas.openxmlformats.org/drawingml/2006/main">
                    <a:graphicData uri="http://schemas.openxmlformats.org/drawingml/2006/picture">
                      <pic:pic xmlns:pic="http://schemas.openxmlformats.org/drawingml/2006/picture">
                        <pic:nvPicPr>
                          <pic:cNvPr id="38" name="图片_142"/>
                          <pic:cNvPicPr/>
                        </pic:nvPicPr>
                        <pic:blipFill>
                          <a:blip r:embed="rId75">
                            <a:extLst>
                              <a:ext uri="{28A0092B-C50C-407E-A947-70E740481C1C}">
                                <a14:useLocalDpi xmlns:a14="http://schemas.microsoft.com/office/drawing/2010/main" val="0"/>
                              </a:ext>
                            </a:extLst>
                          </a:blip>
                          <a:stretch>
                            <a:fillRect/>
                          </a:stretch>
                        </pic:blipFill>
                        <pic:spPr>
                          <a:xfrm>
                            <a:off x="0" y="0"/>
                            <a:ext cx="1036320" cy="137858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51F2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2EFF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37E57137">
        <w:tblPrEx>
          <w:tblCellMar>
            <w:top w:w="0" w:type="dxa"/>
            <w:left w:w="108" w:type="dxa"/>
            <w:bottom w:w="0" w:type="dxa"/>
            <w:right w:w="108" w:type="dxa"/>
          </w:tblCellMar>
        </w:tblPrEx>
        <w:trPr>
          <w:trHeight w:val="283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1A84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67</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1921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定制柜（2）</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FE11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900*400*3000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7C67FF0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1.材料：门板柜身均采用上海宝钢一级冷轧钢板，裸板壁厚≥0.8mm；</w:t>
            </w:r>
          </w:p>
          <w:p w14:paraId="0BF2A48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2.外观：美背式设计，通体无焊点，表面颜色易于搭配，不易产生疲劳;                                                                                                            </w:t>
            </w:r>
          </w:p>
          <w:p w14:paraId="2369FC87">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3.防锈工艺：经酸洗、磷化、纯化等八道防锈工序前处理;</w:t>
            </w:r>
          </w:p>
          <w:p w14:paraId="766F33C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4.喷涂工艺：采用优质静电粉末涂装，色泽均匀，光滑平整;</w:t>
            </w:r>
          </w:p>
          <w:p w14:paraId="0650FB0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5.生产工艺：焊接采用电阻焊，平整度高，四周接口处采用铜焊，便于钢柜的长久使用和搬迁;</w:t>
            </w:r>
          </w:p>
          <w:p w14:paraId="020EB74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6.分体结构，分上下两柜体进行堆叠;</w:t>
            </w:r>
          </w:p>
          <w:p w14:paraId="3431EAA9">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5F346">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62355" cy="1412240"/>
                  <wp:effectExtent l="0" t="0" r="4445" b="5080"/>
                  <wp:docPr id="11" name="图片_53"/>
                  <wp:cNvGraphicFramePr/>
                  <a:graphic xmlns:a="http://schemas.openxmlformats.org/drawingml/2006/main">
                    <a:graphicData uri="http://schemas.openxmlformats.org/drawingml/2006/picture">
                      <pic:pic xmlns:pic="http://schemas.openxmlformats.org/drawingml/2006/picture">
                        <pic:nvPicPr>
                          <pic:cNvPr id="11" name="图片_53"/>
                          <pic:cNvPicPr/>
                        </pic:nvPicPr>
                        <pic:blipFill>
                          <a:blip r:embed="rId76">
                            <a:extLst>
                              <a:ext uri="{28A0092B-C50C-407E-A947-70E740481C1C}">
                                <a14:useLocalDpi xmlns:a14="http://schemas.microsoft.com/office/drawing/2010/main" val="0"/>
                              </a:ext>
                            </a:extLst>
                          </a:blip>
                          <a:stretch>
                            <a:fillRect/>
                          </a:stretch>
                        </pic:blipFill>
                        <pic:spPr>
                          <a:xfrm>
                            <a:off x="0" y="0"/>
                            <a:ext cx="1062355" cy="141224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B105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69</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5A83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41F7C911">
        <w:tblPrEx>
          <w:tblCellMar>
            <w:top w:w="0" w:type="dxa"/>
            <w:left w:w="108" w:type="dxa"/>
            <w:bottom w:w="0" w:type="dxa"/>
            <w:right w:w="108" w:type="dxa"/>
          </w:tblCellMar>
        </w:tblPrEx>
        <w:trPr>
          <w:trHeight w:val="339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C42F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68</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357B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定制柜（3）</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9FE5B">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13440*450*3000</w:t>
            </w:r>
          </w:p>
          <w:p w14:paraId="4B98CFB5">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6C2C657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书柜*5个，展柜*3个，门洞*1个</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5C38BC3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1.基材：采用E0级多层板，游离甲醛释放量均达国家标准，所有层板及隔板厚度≥25mm,背板及其余板材厚度≥16mm，每层定制书架内高度≥35mm；                                                           </w:t>
            </w:r>
          </w:p>
          <w:p w14:paraId="6B01B5D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2.贴面：采用优质耐磨三聚氰胺浸渍面纸，防火，并具阻燃、耐磨性强、清洁方便等特点；</w:t>
            </w:r>
          </w:p>
          <w:p w14:paraId="596B007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3.五金：优质五金件；（铰链）均具备静音缓冲阻尼功能；</w:t>
            </w:r>
          </w:p>
          <w:p w14:paraId="11B9811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4.封边：同色PVC封边条； </w:t>
            </w:r>
          </w:p>
          <w:p w14:paraId="7C3A515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5.定制需求：需结合展陈对柜体进行优化；</w:t>
            </w:r>
          </w:p>
          <w:p w14:paraId="6951DE5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6.成品：要求且不得出现可能产生危害的、危险性的、可触及的边部或尖端等；</w:t>
            </w:r>
          </w:p>
          <w:p w14:paraId="41FA6B3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7.要求：顶部封板处理；</w:t>
            </w:r>
          </w:p>
          <w:p w14:paraId="6541B1CA">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053F9">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167765" cy="756285"/>
                  <wp:effectExtent l="0" t="0" r="5715" b="5715"/>
                  <wp:docPr id="24" name="图片_56"/>
                  <wp:cNvGraphicFramePr/>
                  <a:graphic xmlns:a="http://schemas.openxmlformats.org/drawingml/2006/main">
                    <a:graphicData uri="http://schemas.openxmlformats.org/drawingml/2006/picture">
                      <pic:pic xmlns:pic="http://schemas.openxmlformats.org/drawingml/2006/picture">
                        <pic:nvPicPr>
                          <pic:cNvPr id="24" name="图片_56"/>
                          <pic:cNvPicPr/>
                        </pic:nvPicPr>
                        <pic:blipFill>
                          <a:blip r:embed="rId77">
                            <a:extLst>
                              <a:ext uri="{28A0092B-C50C-407E-A947-70E740481C1C}">
                                <a14:useLocalDpi xmlns:a14="http://schemas.microsoft.com/office/drawing/2010/main" val="0"/>
                              </a:ext>
                            </a:extLst>
                          </a:blip>
                          <a:stretch>
                            <a:fillRect/>
                          </a:stretch>
                        </pic:blipFill>
                        <pic:spPr>
                          <a:xfrm>
                            <a:off x="0" y="0"/>
                            <a:ext cx="1173597" cy="760266"/>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8D03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15</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8251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08FA5E08">
        <w:tblPrEx>
          <w:tblCellMar>
            <w:top w:w="0" w:type="dxa"/>
            <w:left w:w="108" w:type="dxa"/>
            <w:bottom w:w="0" w:type="dxa"/>
            <w:right w:w="108" w:type="dxa"/>
          </w:tblCellMar>
        </w:tblPrEx>
        <w:trPr>
          <w:trHeight w:val="121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FAE0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69</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B763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定制柜（4）</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BAD13">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1760*450*3000</w:t>
            </w:r>
          </w:p>
          <w:p w14:paraId="3D745FC6">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650A3E3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上空格下开门柜*2</w:t>
            </w:r>
          </w:p>
        </w:tc>
        <w:tc>
          <w:tcPr>
            <w:tcW w:w="2329" w:type="pct"/>
            <w:vMerge w:val="restart"/>
            <w:tcBorders>
              <w:top w:val="nil"/>
              <w:left w:val="single" w:color="000000" w:sz="4" w:space="0"/>
              <w:bottom w:val="single" w:color="000000" w:sz="4" w:space="0"/>
              <w:right w:val="single" w:color="000000" w:sz="4" w:space="0"/>
            </w:tcBorders>
            <w:shd w:val="clear" w:color="auto" w:fill="auto"/>
          </w:tcPr>
          <w:p w14:paraId="0B2B4C0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1.基材：采用E0级多层板，游离甲醛释放量均达国家标准，所有层板厚度≥25mm,背板及其余板材厚度≥16mm,每层2.定制书架内高度≥35mm；                                                           </w:t>
            </w:r>
          </w:p>
          <w:p w14:paraId="5BDB8F5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3.贴面：采用优质耐磨三聚氰胺浸渍面纸，防火，并具阻燃、耐磨性强、清洁方便等特点；</w:t>
            </w:r>
          </w:p>
          <w:p w14:paraId="49270E87">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4.五金：优质五金件；（铰链）均具备静音缓冲阻尼功能；</w:t>
            </w:r>
          </w:p>
          <w:p w14:paraId="1135811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5.封边：同色PVC封边条； </w:t>
            </w:r>
          </w:p>
          <w:p w14:paraId="6ED9903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6.开门方式：下为木质对开门，其余为空格柜；</w:t>
            </w:r>
          </w:p>
          <w:p w14:paraId="48352D6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7.定制需求：对现场有直饮机部分需预留相关位置，同时具备登高梯收纳空间，局部办公室后期可能改造为教室，柜体结构设计需可上下分体，以确保满足放置于其他区域；</w:t>
            </w:r>
          </w:p>
          <w:p w14:paraId="291AFC2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8.成品：要求且不得出现可能产生危害的、危险性的、可触及的边部或尖端等.</w:t>
            </w:r>
          </w:p>
          <w:p w14:paraId="3A5240B7">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9.要求：顶部封板处理；</w:t>
            </w:r>
          </w:p>
          <w:p w14:paraId="24C16D48">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10.颜色：颜色可定制；</w:t>
            </w:r>
          </w:p>
        </w:tc>
        <w:tc>
          <w:tcPr>
            <w:tcW w:w="81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5A2E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672465" cy="929005"/>
                  <wp:effectExtent l="0" t="0" r="13335" b="635"/>
                  <wp:docPr id="833469709" name="图片_73"/>
                  <wp:cNvGraphicFramePr/>
                  <a:graphic xmlns:a="http://schemas.openxmlformats.org/drawingml/2006/main">
                    <a:graphicData uri="http://schemas.openxmlformats.org/drawingml/2006/picture">
                      <pic:pic xmlns:pic="http://schemas.openxmlformats.org/drawingml/2006/picture">
                        <pic:nvPicPr>
                          <pic:cNvPr id="833469709" name="图片_73"/>
                          <pic:cNvPicPr/>
                        </pic:nvPicPr>
                        <pic:blipFill>
                          <a:blip r:embed="rId78">
                            <a:extLst>
                              <a:ext uri="{28A0092B-C50C-407E-A947-70E740481C1C}">
                                <a14:useLocalDpi xmlns:a14="http://schemas.microsoft.com/office/drawing/2010/main" val="0"/>
                              </a:ext>
                            </a:extLst>
                          </a:blip>
                          <a:stretch>
                            <a:fillRect/>
                          </a:stretch>
                        </pic:blipFill>
                        <pic:spPr>
                          <a:xfrm>
                            <a:off x="0" y="0"/>
                            <a:ext cx="677351" cy="935038"/>
                          </a:xfrm>
                          <a:prstGeom prst="rect">
                            <a:avLst/>
                          </a:prstGeom>
                          <a:noFill/>
                          <a:ln>
                            <a:noFill/>
                          </a:ln>
                        </pic:spPr>
                      </pic:pic>
                    </a:graphicData>
                  </a:graphic>
                </wp:inline>
              </w:drawing>
            </w:r>
            <w:r>
              <w:rPr>
                <w:rFonts w:hint="eastAsia" w:asciiTheme="minorEastAsia" w:hAnsiTheme="minorEastAsia" w:eastAsiaTheme="minorEastAsia" w:cstheme="minorEastAsia"/>
                <w:color w:val="000000"/>
                <w:kern w:val="0"/>
                <w:szCs w:val="21"/>
                <w:bdr w:val="single" w:color="000000" w:sz="4" w:space="0"/>
                <w:lang w:bidi="ar"/>
              </w:rPr>
              <w:drawing>
                <wp:anchor distT="0" distB="0" distL="114300" distR="114300" simplePos="0" relativeHeight="251662336" behindDoc="0" locked="0" layoutInCell="1" allowOverlap="1">
                  <wp:simplePos x="0" y="0"/>
                  <wp:positionH relativeFrom="column">
                    <wp:posOffset>181610</wp:posOffset>
                  </wp:positionH>
                  <wp:positionV relativeFrom="paragraph">
                    <wp:posOffset>7146925</wp:posOffset>
                  </wp:positionV>
                  <wp:extent cx="2327910" cy="2286000"/>
                  <wp:effectExtent l="0" t="0" r="3810" b="0"/>
                  <wp:wrapNone/>
                  <wp:docPr id="26" name="图片_58"/>
                  <wp:cNvGraphicFramePr/>
                  <a:graphic xmlns:a="http://schemas.openxmlformats.org/drawingml/2006/main">
                    <a:graphicData uri="http://schemas.openxmlformats.org/drawingml/2006/picture">
                      <pic:pic xmlns:pic="http://schemas.openxmlformats.org/drawingml/2006/picture">
                        <pic:nvPicPr>
                          <pic:cNvPr id="26" name="图片_58"/>
                          <pic:cNvPicPr/>
                        </pic:nvPicPr>
                        <pic:blipFill>
                          <a:blip r:embed="rId79"/>
                          <a:stretch>
                            <a:fillRect/>
                          </a:stretch>
                        </pic:blipFill>
                        <pic:spPr>
                          <a:xfrm>
                            <a:off x="0" y="0"/>
                            <a:ext cx="2327910" cy="2286000"/>
                          </a:xfrm>
                          <a:prstGeom prst="rect">
                            <a:avLst/>
                          </a:prstGeom>
                          <a:noFill/>
                          <a:ln>
                            <a:noFill/>
                          </a:ln>
                        </pic:spPr>
                      </pic:pic>
                    </a:graphicData>
                  </a:graphic>
                </wp:anchor>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3D44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9CCC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7E1A184F">
        <w:tblPrEx>
          <w:tblCellMar>
            <w:top w:w="0" w:type="dxa"/>
            <w:left w:w="108" w:type="dxa"/>
            <w:bottom w:w="0" w:type="dxa"/>
            <w:right w:w="108" w:type="dxa"/>
          </w:tblCellMar>
        </w:tblPrEx>
        <w:trPr>
          <w:trHeight w:val="121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1136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70</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1A86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定制柜（5）</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CCBF5">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2080*450*3000</w:t>
            </w:r>
          </w:p>
          <w:p w14:paraId="14E54FBF">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2E20DAA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上空格下开门柜*3</w:t>
            </w:r>
          </w:p>
        </w:tc>
        <w:tc>
          <w:tcPr>
            <w:tcW w:w="2329" w:type="pct"/>
            <w:vMerge w:val="continue"/>
            <w:tcBorders>
              <w:top w:val="nil"/>
              <w:left w:val="single" w:color="000000" w:sz="4" w:space="0"/>
              <w:bottom w:val="single" w:color="000000" w:sz="4" w:space="0"/>
              <w:right w:val="single" w:color="000000" w:sz="4" w:space="0"/>
            </w:tcBorders>
            <w:shd w:val="clear" w:color="auto" w:fill="auto"/>
          </w:tcPr>
          <w:p w14:paraId="7013611D">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D7642">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6340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E16F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2EAEDDC6">
        <w:tblPrEx>
          <w:tblCellMar>
            <w:top w:w="0" w:type="dxa"/>
            <w:left w:w="108" w:type="dxa"/>
            <w:bottom w:w="0" w:type="dxa"/>
            <w:right w:w="108" w:type="dxa"/>
          </w:tblCellMar>
        </w:tblPrEx>
        <w:trPr>
          <w:trHeight w:val="121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433A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71</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0244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定制柜（6）</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09595">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2330*450*3000</w:t>
            </w:r>
          </w:p>
          <w:p w14:paraId="24DE8A61">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0971C4B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上空格下开门柜*3</w:t>
            </w:r>
          </w:p>
        </w:tc>
        <w:tc>
          <w:tcPr>
            <w:tcW w:w="2329" w:type="pct"/>
            <w:vMerge w:val="continue"/>
            <w:tcBorders>
              <w:top w:val="nil"/>
              <w:left w:val="single" w:color="000000" w:sz="4" w:space="0"/>
              <w:bottom w:val="single" w:color="000000" w:sz="4" w:space="0"/>
              <w:right w:val="single" w:color="000000" w:sz="4" w:space="0"/>
            </w:tcBorders>
            <w:shd w:val="clear" w:color="auto" w:fill="auto"/>
          </w:tcPr>
          <w:p w14:paraId="0CEB7180">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48E2F">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C041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D6C5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6C7A1014">
        <w:tblPrEx>
          <w:tblCellMar>
            <w:top w:w="0" w:type="dxa"/>
            <w:left w:w="108" w:type="dxa"/>
            <w:bottom w:w="0" w:type="dxa"/>
            <w:right w:w="108" w:type="dxa"/>
          </w:tblCellMar>
        </w:tblPrEx>
        <w:trPr>
          <w:trHeight w:val="121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E873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72</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8BF5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定制柜（7）</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3FDD5">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2480*450*3000</w:t>
            </w:r>
          </w:p>
          <w:p w14:paraId="48CB1278">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6DA2FFC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上空格下开门柜*3</w:t>
            </w:r>
          </w:p>
        </w:tc>
        <w:tc>
          <w:tcPr>
            <w:tcW w:w="2329" w:type="pct"/>
            <w:vMerge w:val="continue"/>
            <w:tcBorders>
              <w:top w:val="nil"/>
              <w:left w:val="single" w:color="000000" w:sz="4" w:space="0"/>
              <w:bottom w:val="single" w:color="000000" w:sz="4" w:space="0"/>
              <w:right w:val="single" w:color="000000" w:sz="4" w:space="0"/>
            </w:tcBorders>
            <w:shd w:val="clear" w:color="auto" w:fill="auto"/>
          </w:tcPr>
          <w:p w14:paraId="48FEB4E7">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AAF5C">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37A6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49E9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1F5AC728">
        <w:tblPrEx>
          <w:tblCellMar>
            <w:top w:w="0" w:type="dxa"/>
            <w:left w:w="108" w:type="dxa"/>
            <w:bottom w:w="0" w:type="dxa"/>
            <w:right w:w="108" w:type="dxa"/>
          </w:tblCellMar>
        </w:tblPrEx>
        <w:trPr>
          <w:trHeight w:val="121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A169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73</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00B2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定制柜（8）</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3C633">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2600*450*3000</w:t>
            </w:r>
          </w:p>
          <w:p w14:paraId="17170B42">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67E36F1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上空格下开门柜*3</w:t>
            </w:r>
          </w:p>
        </w:tc>
        <w:tc>
          <w:tcPr>
            <w:tcW w:w="2329" w:type="pct"/>
            <w:vMerge w:val="continue"/>
            <w:tcBorders>
              <w:top w:val="nil"/>
              <w:left w:val="single" w:color="000000" w:sz="4" w:space="0"/>
              <w:bottom w:val="single" w:color="000000" w:sz="4" w:space="0"/>
              <w:right w:val="single" w:color="000000" w:sz="4" w:space="0"/>
            </w:tcBorders>
            <w:shd w:val="clear" w:color="auto" w:fill="auto"/>
          </w:tcPr>
          <w:p w14:paraId="46383743">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481BD">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DFF8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469D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3A5F25AC">
        <w:tblPrEx>
          <w:tblCellMar>
            <w:top w:w="0" w:type="dxa"/>
            <w:left w:w="108" w:type="dxa"/>
            <w:bottom w:w="0" w:type="dxa"/>
            <w:right w:w="108" w:type="dxa"/>
          </w:tblCellMar>
        </w:tblPrEx>
        <w:trPr>
          <w:trHeight w:val="121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BF4B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74</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109B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定制柜（9）</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A6C0F">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2700*450*3000</w:t>
            </w:r>
          </w:p>
          <w:p w14:paraId="3F814C84">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3539E47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上空格下开门柜*3</w:t>
            </w:r>
          </w:p>
        </w:tc>
        <w:tc>
          <w:tcPr>
            <w:tcW w:w="2329" w:type="pct"/>
            <w:vMerge w:val="continue"/>
            <w:tcBorders>
              <w:top w:val="nil"/>
              <w:left w:val="single" w:color="000000" w:sz="4" w:space="0"/>
              <w:bottom w:val="single" w:color="000000" w:sz="4" w:space="0"/>
              <w:right w:val="single" w:color="000000" w:sz="4" w:space="0"/>
            </w:tcBorders>
            <w:shd w:val="clear" w:color="auto" w:fill="auto"/>
          </w:tcPr>
          <w:p w14:paraId="138965AC">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1D7B3">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6DB5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C39E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245A3FD6">
        <w:tblPrEx>
          <w:tblCellMar>
            <w:top w:w="0" w:type="dxa"/>
            <w:left w:w="108" w:type="dxa"/>
            <w:bottom w:w="0" w:type="dxa"/>
            <w:right w:w="108" w:type="dxa"/>
          </w:tblCellMar>
        </w:tblPrEx>
        <w:trPr>
          <w:trHeight w:val="121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7A14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75</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018A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定制柜（10）</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2A585">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3160*450*3000</w:t>
            </w:r>
          </w:p>
          <w:p w14:paraId="4755466F">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018C8D8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上空格下开门柜*4</w:t>
            </w:r>
          </w:p>
        </w:tc>
        <w:tc>
          <w:tcPr>
            <w:tcW w:w="2329" w:type="pct"/>
            <w:vMerge w:val="continue"/>
            <w:tcBorders>
              <w:top w:val="nil"/>
              <w:left w:val="single" w:color="000000" w:sz="4" w:space="0"/>
              <w:bottom w:val="single" w:color="000000" w:sz="4" w:space="0"/>
              <w:right w:val="single" w:color="000000" w:sz="4" w:space="0"/>
            </w:tcBorders>
            <w:shd w:val="clear" w:color="auto" w:fill="auto"/>
          </w:tcPr>
          <w:p w14:paraId="2B30FFD5">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22C4E">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7BBE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6037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1FFDA5DC">
        <w:tblPrEx>
          <w:tblCellMar>
            <w:top w:w="0" w:type="dxa"/>
            <w:left w:w="108" w:type="dxa"/>
            <w:bottom w:w="0" w:type="dxa"/>
            <w:right w:w="108" w:type="dxa"/>
          </w:tblCellMar>
        </w:tblPrEx>
        <w:trPr>
          <w:trHeight w:val="121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972B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76</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19B6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定制柜（11）</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8E468">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3380*450*3000</w:t>
            </w:r>
          </w:p>
          <w:p w14:paraId="009C633C">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70B8F2E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上空格下开门柜*4</w:t>
            </w:r>
          </w:p>
        </w:tc>
        <w:tc>
          <w:tcPr>
            <w:tcW w:w="2329" w:type="pct"/>
            <w:vMerge w:val="continue"/>
            <w:tcBorders>
              <w:top w:val="nil"/>
              <w:left w:val="single" w:color="000000" w:sz="4" w:space="0"/>
              <w:bottom w:val="single" w:color="000000" w:sz="4" w:space="0"/>
              <w:right w:val="single" w:color="000000" w:sz="4" w:space="0"/>
            </w:tcBorders>
            <w:shd w:val="clear" w:color="auto" w:fill="auto"/>
          </w:tcPr>
          <w:p w14:paraId="1F08EEF7">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1D9F7">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00A0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0D46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6D2603F0">
        <w:tblPrEx>
          <w:tblCellMar>
            <w:top w:w="0" w:type="dxa"/>
            <w:left w:w="108" w:type="dxa"/>
            <w:bottom w:w="0" w:type="dxa"/>
            <w:right w:w="108" w:type="dxa"/>
          </w:tblCellMar>
        </w:tblPrEx>
        <w:trPr>
          <w:trHeight w:val="121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6460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77</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FE94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定制柜（12）</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A6B71">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3700*450*3000</w:t>
            </w:r>
          </w:p>
          <w:p w14:paraId="697E4177">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39CF119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上空格下开门柜*4</w:t>
            </w:r>
          </w:p>
        </w:tc>
        <w:tc>
          <w:tcPr>
            <w:tcW w:w="2329" w:type="pct"/>
            <w:vMerge w:val="continue"/>
            <w:tcBorders>
              <w:top w:val="nil"/>
              <w:left w:val="single" w:color="000000" w:sz="4" w:space="0"/>
              <w:bottom w:val="single" w:color="000000" w:sz="4" w:space="0"/>
              <w:right w:val="single" w:color="000000" w:sz="4" w:space="0"/>
            </w:tcBorders>
            <w:shd w:val="clear" w:color="auto" w:fill="auto"/>
          </w:tcPr>
          <w:p w14:paraId="5E03B458">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E3191">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8A46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61DD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1D8FBCDC">
        <w:tblPrEx>
          <w:tblCellMar>
            <w:top w:w="0" w:type="dxa"/>
            <w:left w:w="108" w:type="dxa"/>
            <w:bottom w:w="0" w:type="dxa"/>
            <w:right w:w="108" w:type="dxa"/>
          </w:tblCellMar>
        </w:tblPrEx>
        <w:trPr>
          <w:trHeight w:val="121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01DF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78</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21B0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定制柜（13）</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A7B42">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4560*450*3000</w:t>
            </w:r>
          </w:p>
          <w:p w14:paraId="65F7A58E">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6641681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上空格下开门柜*5</w:t>
            </w:r>
          </w:p>
        </w:tc>
        <w:tc>
          <w:tcPr>
            <w:tcW w:w="2329" w:type="pct"/>
            <w:vMerge w:val="continue"/>
            <w:tcBorders>
              <w:top w:val="nil"/>
              <w:left w:val="single" w:color="000000" w:sz="4" w:space="0"/>
              <w:bottom w:val="single" w:color="000000" w:sz="4" w:space="0"/>
              <w:right w:val="single" w:color="000000" w:sz="4" w:space="0"/>
            </w:tcBorders>
            <w:shd w:val="clear" w:color="auto" w:fill="auto"/>
          </w:tcPr>
          <w:p w14:paraId="51740D5A">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6A220">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9A1F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77FF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4BF3485B">
        <w:tblPrEx>
          <w:tblCellMar>
            <w:top w:w="0" w:type="dxa"/>
            <w:left w:w="108" w:type="dxa"/>
            <w:bottom w:w="0" w:type="dxa"/>
            <w:right w:w="108" w:type="dxa"/>
          </w:tblCellMar>
        </w:tblPrEx>
        <w:trPr>
          <w:trHeight w:val="121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9130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79</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BDF6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定制柜（14）</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B06BA">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4660*450*3000</w:t>
            </w:r>
          </w:p>
          <w:p w14:paraId="6A38853C">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0745E06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上空格下开门柜*5</w:t>
            </w:r>
          </w:p>
        </w:tc>
        <w:tc>
          <w:tcPr>
            <w:tcW w:w="2329" w:type="pct"/>
            <w:vMerge w:val="continue"/>
            <w:tcBorders>
              <w:top w:val="nil"/>
              <w:left w:val="single" w:color="000000" w:sz="4" w:space="0"/>
              <w:bottom w:val="single" w:color="000000" w:sz="4" w:space="0"/>
              <w:right w:val="single" w:color="000000" w:sz="4" w:space="0"/>
            </w:tcBorders>
            <w:shd w:val="clear" w:color="auto" w:fill="auto"/>
          </w:tcPr>
          <w:p w14:paraId="645C09B7">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EEEC1">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5FB5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088A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2441A9A0">
        <w:tblPrEx>
          <w:tblCellMar>
            <w:top w:w="0" w:type="dxa"/>
            <w:left w:w="108" w:type="dxa"/>
            <w:bottom w:w="0" w:type="dxa"/>
            <w:right w:w="108" w:type="dxa"/>
          </w:tblCellMar>
        </w:tblPrEx>
        <w:trPr>
          <w:trHeight w:val="121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1FA7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80</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68E8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定制柜（15）</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9DF60">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4780*450*3000</w:t>
            </w:r>
          </w:p>
          <w:p w14:paraId="4630C25C">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63E28B6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上空格下开门柜*5</w:t>
            </w:r>
          </w:p>
        </w:tc>
        <w:tc>
          <w:tcPr>
            <w:tcW w:w="2329" w:type="pct"/>
            <w:vMerge w:val="continue"/>
            <w:tcBorders>
              <w:top w:val="nil"/>
              <w:left w:val="single" w:color="000000" w:sz="4" w:space="0"/>
              <w:bottom w:val="single" w:color="000000" w:sz="4" w:space="0"/>
              <w:right w:val="single" w:color="000000" w:sz="4" w:space="0"/>
            </w:tcBorders>
            <w:shd w:val="clear" w:color="auto" w:fill="auto"/>
          </w:tcPr>
          <w:p w14:paraId="78428805">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F4DC8">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2F02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1E8C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36EB0E55">
        <w:tblPrEx>
          <w:tblCellMar>
            <w:top w:w="0" w:type="dxa"/>
            <w:left w:w="108" w:type="dxa"/>
            <w:bottom w:w="0" w:type="dxa"/>
            <w:right w:w="108" w:type="dxa"/>
          </w:tblCellMar>
        </w:tblPrEx>
        <w:trPr>
          <w:trHeight w:val="121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46E7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81</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E07F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定制柜（16）</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FF150">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4960*450*3000</w:t>
            </w:r>
          </w:p>
          <w:p w14:paraId="7FB2F9DE">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54E60E0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上空格下开门柜*5</w:t>
            </w:r>
          </w:p>
        </w:tc>
        <w:tc>
          <w:tcPr>
            <w:tcW w:w="2329" w:type="pct"/>
            <w:vMerge w:val="continue"/>
            <w:tcBorders>
              <w:top w:val="nil"/>
              <w:left w:val="single" w:color="000000" w:sz="4" w:space="0"/>
              <w:bottom w:val="single" w:color="000000" w:sz="4" w:space="0"/>
              <w:right w:val="single" w:color="000000" w:sz="4" w:space="0"/>
            </w:tcBorders>
            <w:shd w:val="clear" w:color="auto" w:fill="auto"/>
          </w:tcPr>
          <w:p w14:paraId="6CE4DB49">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DADB4">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CFBD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A88C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76ADC94D">
        <w:tblPrEx>
          <w:tblCellMar>
            <w:top w:w="0" w:type="dxa"/>
            <w:left w:w="108" w:type="dxa"/>
            <w:bottom w:w="0" w:type="dxa"/>
            <w:right w:w="108" w:type="dxa"/>
          </w:tblCellMar>
        </w:tblPrEx>
        <w:trPr>
          <w:trHeight w:val="121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7292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82</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E981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定制柜（17）</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08499">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5120*450*3000</w:t>
            </w:r>
          </w:p>
          <w:p w14:paraId="7E970614">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05A6501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上空格下开门柜*6</w:t>
            </w:r>
          </w:p>
        </w:tc>
        <w:tc>
          <w:tcPr>
            <w:tcW w:w="2329" w:type="pct"/>
            <w:vMerge w:val="continue"/>
            <w:tcBorders>
              <w:top w:val="nil"/>
              <w:left w:val="single" w:color="000000" w:sz="4" w:space="0"/>
              <w:bottom w:val="single" w:color="000000" w:sz="4" w:space="0"/>
              <w:right w:val="single" w:color="000000" w:sz="4" w:space="0"/>
            </w:tcBorders>
            <w:shd w:val="clear" w:color="auto" w:fill="auto"/>
          </w:tcPr>
          <w:p w14:paraId="6A4CAC33">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094C8">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AF98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02C7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60980B11">
        <w:tblPrEx>
          <w:tblCellMar>
            <w:top w:w="0" w:type="dxa"/>
            <w:left w:w="108" w:type="dxa"/>
            <w:bottom w:w="0" w:type="dxa"/>
            <w:right w:w="108" w:type="dxa"/>
          </w:tblCellMar>
        </w:tblPrEx>
        <w:trPr>
          <w:trHeight w:val="121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FCF2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83</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7467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定制柜（18）</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08FB4">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5400*450*3000</w:t>
            </w:r>
          </w:p>
          <w:p w14:paraId="43A29EAE">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08A9E03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上空格下开门柜*6</w:t>
            </w:r>
          </w:p>
        </w:tc>
        <w:tc>
          <w:tcPr>
            <w:tcW w:w="2329" w:type="pct"/>
            <w:vMerge w:val="continue"/>
            <w:tcBorders>
              <w:top w:val="nil"/>
              <w:left w:val="single" w:color="000000" w:sz="4" w:space="0"/>
              <w:bottom w:val="single" w:color="000000" w:sz="4" w:space="0"/>
              <w:right w:val="single" w:color="000000" w:sz="4" w:space="0"/>
            </w:tcBorders>
            <w:shd w:val="clear" w:color="auto" w:fill="auto"/>
          </w:tcPr>
          <w:p w14:paraId="5A28D3DD">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B05F9">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81E9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5816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1EEDD937">
        <w:tblPrEx>
          <w:tblCellMar>
            <w:top w:w="0" w:type="dxa"/>
            <w:left w:w="108" w:type="dxa"/>
            <w:bottom w:w="0" w:type="dxa"/>
            <w:right w:w="108" w:type="dxa"/>
          </w:tblCellMar>
        </w:tblPrEx>
        <w:trPr>
          <w:trHeight w:val="121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E1B1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84</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6A19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定制柜（19）</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37D9C">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6000*450*3000</w:t>
            </w:r>
          </w:p>
          <w:p w14:paraId="660B0DEA">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4F21C97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上空格下开门柜*6</w:t>
            </w:r>
          </w:p>
        </w:tc>
        <w:tc>
          <w:tcPr>
            <w:tcW w:w="2329" w:type="pct"/>
            <w:vMerge w:val="continue"/>
            <w:tcBorders>
              <w:top w:val="nil"/>
              <w:left w:val="single" w:color="000000" w:sz="4" w:space="0"/>
              <w:bottom w:val="single" w:color="000000" w:sz="4" w:space="0"/>
              <w:right w:val="single" w:color="000000" w:sz="4" w:space="0"/>
            </w:tcBorders>
            <w:shd w:val="clear" w:color="auto" w:fill="auto"/>
          </w:tcPr>
          <w:p w14:paraId="6A1061F8">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07751">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EB6D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5366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29B8FD20">
        <w:tblPrEx>
          <w:tblCellMar>
            <w:top w:w="0" w:type="dxa"/>
            <w:left w:w="108" w:type="dxa"/>
            <w:bottom w:w="0" w:type="dxa"/>
            <w:right w:w="108" w:type="dxa"/>
          </w:tblCellMar>
        </w:tblPrEx>
        <w:trPr>
          <w:trHeight w:val="121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2F6F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85</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40DA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定制柜（20）</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2C483">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6200*450*3000</w:t>
            </w:r>
          </w:p>
          <w:p w14:paraId="5D5DDC7E">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0C16B93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上空格下开门柜*7</w:t>
            </w:r>
          </w:p>
        </w:tc>
        <w:tc>
          <w:tcPr>
            <w:tcW w:w="2329" w:type="pct"/>
            <w:vMerge w:val="continue"/>
            <w:tcBorders>
              <w:top w:val="nil"/>
              <w:left w:val="single" w:color="000000" w:sz="4" w:space="0"/>
              <w:bottom w:val="single" w:color="000000" w:sz="4" w:space="0"/>
              <w:right w:val="single" w:color="000000" w:sz="4" w:space="0"/>
            </w:tcBorders>
            <w:shd w:val="clear" w:color="auto" w:fill="auto"/>
          </w:tcPr>
          <w:p w14:paraId="3C831B82">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0792F">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F9F1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716A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0E67584C">
        <w:tblPrEx>
          <w:tblCellMar>
            <w:top w:w="0" w:type="dxa"/>
            <w:left w:w="108" w:type="dxa"/>
            <w:bottom w:w="0" w:type="dxa"/>
            <w:right w:w="108" w:type="dxa"/>
          </w:tblCellMar>
        </w:tblPrEx>
        <w:trPr>
          <w:trHeight w:val="121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1911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86</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7965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定制柜（21）</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32EFB">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6260*450*3000</w:t>
            </w:r>
          </w:p>
          <w:p w14:paraId="51CD01A0">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30814AA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上空格下开门柜*7</w:t>
            </w:r>
          </w:p>
        </w:tc>
        <w:tc>
          <w:tcPr>
            <w:tcW w:w="2329" w:type="pct"/>
            <w:vMerge w:val="continue"/>
            <w:tcBorders>
              <w:top w:val="nil"/>
              <w:left w:val="single" w:color="000000" w:sz="4" w:space="0"/>
              <w:bottom w:val="single" w:color="000000" w:sz="4" w:space="0"/>
              <w:right w:val="single" w:color="000000" w:sz="4" w:space="0"/>
            </w:tcBorders>
            <w:shd w:val="clear" w:color="auto" w:fill="auto"/>
          </w:tcPr>
          <w:p w14:paraId="08DD4F53">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AFAC6">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9F4D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86C4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5BB26AEE">
        <w:tblPrEx>
          <w:tblCellMar>
            <w:top w:w="0" w:type="dxa"/>
            <w:left w:w="108" w:type="dxa"/>
            <w:bottom w:w="0" w:type="dxa"/>
            <w:right w:w="108" w:type="dxa"/>
          </w:tblCellMar>
        </w:tblPrEx>
        <w:trPr>
          <w:trHeight w:val="121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AF65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87</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7CB5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定制柜（22）</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430F4">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6730*450*3000</w:t>
            </w:r>
          </w:p>
          <w:p w14:paraId="03649555">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185CAA1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上空格下开门柜*7</w:t>
            </w:r>
          </w:p>
        </w:tc>
        <w:tc>
          <w:tcPr>
            <w:tcW w:w="2329" w:type="pct"/>
            <w:vMerge w:val="continue"/>
            <w:tcBorders>
              <w:top w:val="nil"/>
              <w:left w:val="single" w:color="000000" w:sz="4" w:space="0"/>
              <w:bottom w:val="single" w:color="000000" w:sz="4" w:space="0"/>
              <w:right w:val="single" w:color="000000" w:sz="4" w:space="0"/>
            </w:tcBorders>
            <w:shd w:val="clear" w:color="auto" w:fill="auto"/>
          </w:tcPr>
          <w:p w14:paraId="30B192BF">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EA69A">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6351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AD72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08AB0530">
        <w:tblPrEx>
          <w:tblCellMar>
            <w:top w:w="0" w:type="dxa"/>
            <w:left w:w="108" w:type="dxa"/>
            <w:bottom w:w="0" w:type="dxa"/>
            <w:right w:w="108" w:type="dxa"/>
          </w:tblCellMar>
        </w:tblPrEx>
        <w:trPr>
          <w:trHeight w:val="121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D463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88</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22CB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定制柜（23）</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28B75">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7060*450*3000</w:t>
            </w:r>
          </w:p>
          <w:p w14:paraId="154C042C">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63ED09C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上空格下开门柜*8</w:t>
            </w:r>
          </w:p>
        </w:tc>
        <w:tc>
          <w:tcPr>
            <w:tcW w:w="2329" w:type="pct"/>
            <w:vMerge w:val="continue"/>
            <w:tcBorders>
              <w:top w:val="nil"/>
              <w:left w:val="single" w:color="000000" w:sz="4" w:space="0"/>
              <w:bottom w:val="single" w:color="000000" w:sz="4" w:space="0"/>
              <w:right w:val="single" w:color="000000" w:sz="4" w:space="0"/>
            </w:tcBorders>
            <w:shd w:val="clear" w:color="auto" w:fill="auto"/>
          </w:tcPr>
          <w:p w14:paraId="42D06BE7">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B1CCA">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3CF2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659B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405A9A6E">
        <w:tblPrEx>
          <w:tblCellMar>
            <w:top w:w="0" w:type="dxa"/>
            <w:left w:w="108" w:type="dxa"/>
            <w:bottom w:w="0" w:type="dxa"/>
            <w:right w:w="108" w:type="dxa"/>
          </w:tblCellMar>
        </w:tblPrEx>
        <w:trPr>
          <w:trHeight w:val="121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4FDF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89</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2CFB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定制柜（24）</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F1DAD">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7160*450*3000</w:t>
            </w:r>
          </w:p>
          <w:p w14:paraId="4A25C68F">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1F85317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上空格下开门柜*8</w:t>
            </w:r>
          </w:p>
        </w:tc>
        <w:tc>
          <w:tcPr>
            <w:tcW w:w="2329" w:type="pct"/>
            <w:vMerge w:val="continue"/>
            <w:tcBorders>
              <w:top w:val="nil"/>
              <w:left w:val="single" w:color="000000" w:sz="4" w:space="0"/>
              <w:bottom w:val="single" w:color="000000" w:sz="4" w:space="0"/>
              <w:right w:val="single" w:color="000000" w:sz="4" w:space="0"/>
            </w:tcBorders>
            <w:shd w:val="clear" w:color="auto" w:fill="auto"/>
          </w:tcPr>
          <w:p w14:paraId="31962F3C">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88077">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ECB2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CFEB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48B29B0D">
        <w:tblPrEx>
          <w:tblCellMar>
            <w:top w:w="0" w:type="dxa"/>
            <w:left w:w="108" w:type="dxa"/>
            <w:bottom w:w="0" w:type="dxa"/>
            <w:right w:w="108" w:type="dxa"/>
          </w:tblCellMar>
        </w:tblPrEx>
        <w:trPr>
          <w:trHeight w:val="121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AACA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90</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61B6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定制柜（25）</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4B92D">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7260*450*3000</w:t>
            </w:r>
          </w:p>
          <w:p w14:paraId="108BFE33">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2AC8FDF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上空格下开门柜*8</w:t>
            </w:r>
          </w:p>
        </w:tc>
        <w:tc>
          <w:tcPr>
            <w:tcW w:w="2329" w:type="pct"/>
            <w:vMerge w:val="continue"/>
            <w:tcBorders>
              <w:top w:val="nil"/>
              <w:left w:val="single" w:color="000000" w:sz="4" w:space="0"/>
              <w:bottom w:val="single" w:color="000000" w:sz="4" w:space="0"/>
              <w:right w:val="single" w:color="000000" w:sz="4" w:space="0"/>
            </w:tcBorders>
            <w:shd w:val="clear" w:color="auto" w:fill="auto"/>
          </w:tcPr>
          <w:p w14:paraId="71201DB6">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1C825">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66A3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1FA4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029EBAF1">
        <w:tblPrEx>
          <w:tblCellMar>
            <w:top w:w="0" w:type="dxa"/>
            <w:left w:w="108" w:type="dxa"/>
            <w:bottom w:w="0" w:type="dxa"/>
            <w:right w:w="108" w:type="dxa"/>
          </w:tblCellMar>
        </w:tblPrEx>
        <w:trPr>
          <w:trHeight w:val="121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15D0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91</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2770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定制柜（26）</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B369B">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8060*450*3000</w:t>
            </w:r>
          </w:p>
          <w:p w14:paraId="3CE876E4">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19CA49D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上空格下开门柜*9</w:t>
            </w:r>
          </w:p>
        </w:tc>
        <w:tc>
          <w:tcPr>
            <w:tcW w:w="2329" w:type="pct"/>
            <w:vMerge w:val="continue"/>
            <w:tcBorders>
              <w:top w:val="nil"/>
              <w:left w:val="single" w:color="000000" w:sz="4" w:space="0"/>
              <w:bottom w:val="single" w:color="000000" w:sz="4" w:space="0"/>
              <w:right w:val="single" w:color="000000" w:sz="4" w:space="0"/>
            </w:tcBorders>
            <w:shd w:val="clear" w:color="auto" w:fill="auto"/>
          </w:tcPr>
          <w:p w14:paraId="73B54A61">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246CA">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9DB3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DEC0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49CF44A9">
        <w:tblPrEx>
          <w:tblCellMar>
            <w:top w:w="0" w:type="dxa"/>
            <w:left w:w="108" w:type="dxa"/>
            <w:bottom w:w="0" w:type="dxa"/>
            <w:right w:w="108" w:type="dxa"/>
          </w:tblCellMar>
        </w:tblPrEx>
        <w:trPr>
          <w:trHeight w:val="121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AF23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92</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D4C9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定制柜（27）</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223F9">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8100*450*3000</w:t>
            </w:r>
          </w:p>
          <w:p w14:paraId="1327F379">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5F35BD4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上空格下开门柜*9</w:t>
            </w:r>
          </w:p>
        </w:tc>
        <w:tc>
          <w:tcPr>
            <w:tcW w:w="2329" w:type="pct"/>
            <w:vMerge w:val="continue"/>
            <w:tcBorders>
              <w:top w:val="nil"/>
              <w:left w:val="single" w:color="000000" w:sz="4" w:space="0"/>
              <w:bottom w:val="single" w:color="000000" w:sz="4" w:space="0"/>
              <w:right w:val="single" w:color="000000" w:sz="4" w:space="0"/>
            </w:tcBorders>
            <w:shd w:val="clear" w:color="auto" w:fill="auto"/>
          </w:tcPr>
          <w:p w14:paraId="1B50B03B">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C9766">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B079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96E9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29F186BB">
        <w:tblPrEx>
          <w:tblCellMar>
            <w:top w:w="0" w:type="dxa"/>
            <w:left w:w="108" w:type="dxa"/>
            <w:bottom w:w="0" w:type="dxa"/>
            <w:right w:w="108" w:type="dxa"/>
          </w:tblCellMar>
        </w:tblPrEx>
        <w:trPr>
          <w:trHeight w:val="121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BDFE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93</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CFEC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定制柜（28）</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28567">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9900*450*3000</w:t>
            </w:r>
          </w:p>
          <w:p w14:paraId="255C03F8">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118E347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上空格下开门柜*10</w:t>
            </w:r>
          </w:p>
        </w:tc>
        <w:tc>
          <w:tcPr>
            <w:tcW w:w="2329" w:type="pct"/>
            <w:vMerge w:val="continue"/>
            <w:tcBorders>
              <w:top w:val="nil"/>
              <w:left w:val="single" w:color="000000" w:sz="4" w:space="0"/>
              <w:bottom w:val="single" w:color="000000" w:sz="4" w:space="0"/>
              <w:right w:val="single" w:color="000000" w:sz="4" w:space="0"/>
            </w:tcBorders>
            <w:shd w:val="clear" w:color="auto" w:fill="auto"/>
          </w:tcPr>
          <w:p w14:paraId="04E3E6C1">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FE631">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EF45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675A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145D57F2">
        <w:tblPrEx>
          <w:tblCellMar>
            <w:top w:w="0" w:type="dxa"/>
            <w:left w:w="108" w:type="dxa"/>
            <w:bottom w:w="0" w:type="dxa"/>
            <w:right w:w="108" w:type="dxa"/>
          </w:tblCellMar>
        </w:tblPrEx>
        <w:trPr>
          <w:trHeight w:val="181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271F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94</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8564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定制柜（29）</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D5316">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3600*450*3000</w:t>
            </w:r>
          </w:p>
          <w:p w14:paraId="3A4B89DC">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39DEEEA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上空格下开门柜*4</w:t>
            </w:r>
          </w:p>
        </w:tc>
        <w:tc>
          <w:tcPr>
            <w:tcW w:w="2329" w:type="pct"/>
            <w:vMerge w:val="restart"/>
            <w:tcBorders>
              <w:top w:val="single" w:color="000000" w:sz="4" w:space="0"/>
              <w:left w:val="single" w:color="000000" w:sz="4" w:space="0"/>
              <w:bottom w:val="single" w:color="000000" w:sz="4" w:space="0"/>
              <w:right w:val="single" w:color="000000" w:sz="4" w:space="0"/>
            </w:tcBorders>
            <w:shd w:val="clear" w:color="auto" w:fill="auto"/>
          </w:tcPr>
          <w:p w14:paraId="5BDA9CE7">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1.基材：采用E0级多层板，游离甲醛释放量均达国家标准，所有层板厚度≥25mm,背板及其余板材厚度≥16mm，每层定制书架内高度≥35mm；                                                           </w:t>
            </w:r>
          </w:p>
          <w:p w14:paraId="04BED8A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2.贴面：采用优质耐磨三聚氰胺浸渍面纸，防火，并具阻燃、耐磨性强、清洁方便等特点；</w:t>
            </w:r>
          </w:p>
          <w:p w14:paraId="02A00CB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3.五金：优质五金件；（铰链）均具备静音缓冲阻尼功能；</w:t>
            </w:r>
          </w:p>
          <w:p w14:paraId="0428ACD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封边：同色PVC封边条； </w:t>
            </w:r>
          </w:p>
          <w:p w14:paraId="2ED9F91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4.定制需求：对现场有直饮机部分需预留相关位置，同时具备登高梯收纳空间，局部办公室后期可能改造为教室，柜体结构设计需可上下分体，以确保满足放置于其他区域；</w:t>
            </w:r>
          </w:p>
          <w:p w14:paraId="187DBD5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5.成品：要求且不得出现可能产生危害的、危险性的、可触及的边部或尖端等.</w:t>
            </w:r>
          </w:p>
          <w:p w14:paraId="6C6FB1C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6.要求：顶部封板处理；</w:t>
            </w:r>
          </w:p>
          <w:p w14:paraId="1A0A3A12">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7.颜色：颜色可定制；</w:t>
            </w:r>
          </w:p>
        </w:tc>
        <w:tc>
          <w:tcPr>
            <w:tcW w:w="8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1C065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672465" cy="929005"/>
                  <wp:effectExtent l="0" t="0" r="13335" b="635"/>
                  <wp:docPr id="27" name="图片_73"/>
                  <wp:cNvGraphicFramePr/>
                  <a:graphic xmlns:a="http://schemas.openxmlformats.org/drawingml/2006/main">
                    <a:graphicData uri="http://schemas.openxmlformats.org/drawingml/2006/picture">
                      <pic:pic xmlns:pic="http://schemas.openxmlformats.org/drawingml/2006/picture">
                        <pic:nvPicPr>
                          <pic:cNvPr id="27" name="图片_73"/>
                          <pic:cNvPicPr/>
                        </pic:nvPicPr>
                        <pic:blipFill>
                          <a:blip r:embed="rId78">
                            <a:extLst>
                              <a:ext uri="{28A0092B-C50C-407E-A947-70E740481C1C}">
                                <a14:useLocalDpi xmlns:a14="http://schemas.microsoft.com/office/drawing/2010/main" val="0"/>
                              </a:ext>
                            </a:extLst>
                          </a:blip>
                          <a:stretch>
                            <a:fillRect/>
                          </a:stretch>
                        </pic:blipFill>
                        <pic:spPr>
                          <a:xfrm>
                            <a:off x="0" y="0"/>
                            <a:ext cx="677351" cy="935038"/>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3107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1211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2AEE302F">
        <w:tblPrEx>
          <w:tblCellMar>
            <w:top w:w="0" w:type="dxa"/>
            <w:left w:w="108" w:type="dxa"/>
            <w:bottom w:w="0" w:type="dxa"/>
            <w:right w:w="108" w:type="dxa"/>
          </w:tblCellMar>
        </w:tblPrEx>
        <w:trPr>
          <w:trHeight w:val="181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D035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95</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EF2C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定制柜（30）</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FB831">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2980*450*3000</w:t>
            </w:r>
          </w:p>
          <w:p w14:paraId="12577E8A">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041D06C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上空格下开门柜*3</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56464775">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DFE2D9">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4D1E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06DA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54BD3D96">
        <w:tblPrEx>
          <w:tblCellMar>
            <w:top w:w="0" w:type="dxa"/>
            <w:left w:w="108" w:type="dxa"/>
            <w:bottom w:w="0" w:type="dxa"/>
            <w:right w:w="108" w:type="dxa"/>
          </w:tblCellMar>
        </w:tblPrEx>
        <w:trPr>
          <w:trHeight w:val="3984"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1BF5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96</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A7FC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定制柜（31）</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B45CC">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2960*450*3000</w:t>
            </w:r>
          </w:p>
          <w:p w14:paraId="38C47977">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22B34E5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上空格下开门柜*3</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69B6AC3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1.基材：采用E0级多层板，游离甲醛释放量均达国家标准，所有层板厚度≥25mm,背板及其余板材厚度≥16mm，每层定制书架内高度≥35mm；                                                           </w:t>
            </w:r>
          </w:p>
          <w:p w14:paraId="02FC79D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2.贴面：采用优质耐磨三聚氰胺浸渍面纸，防火，并具阻燃、耐磨性强、清洁方便等特点；</w:t>
            </w:r>
          </w:p>
          <w:p w14:paraId="29BF16F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3.五金：优质五金件；（铰链）均具备静音缓冲阻尼功能；</w:t>
            </w:r>
          </w:p>
          <w:p w14:paraId="72E35D5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4.封边：同色PVC封边条； </w:t>
            </w:r>
          </w:p>
          <w:p w14:paraId="48BC56B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5.定制需求：对现场有直饮机部分需预留相关位置，同时具备登高梯收纳空间，局部办公室后期可能改造为教室，柜体结构设计需可上下分体，以确保满足放置于其他区域；</w:t>
            </w:r>
          </w:p>
          <w:p w14:paraId="41BF4C1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6.成品：要求且不得出现可能产生危害的、危险性的、可触及的边部或尖端等.</w:t>
            </w:r>
          </w:p>
          <w:p w14:paraId="0E9DB2A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7.要求：顶部封板处理；</w:t>
            </w:r>
          </w:p>
          <w:p w14:paraId="60EF512C">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2441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935355" cy="1383665"/>
                  <wp:effectExtent l="0" t="0" r="9525" b="3175"/>
                  <wp:docPr id="35" name="图片_112"/>
                  <wp:cNvGraphicFramePr/>
                  <a:graphic xmlns:a="http://schemas.openxmlformats.org/drawingml/2006/main">
                    <a:graphicData uri="http://schemas.openxmlformats.org/drawingml/2006/picture">
                      <pic:pic xmlns:pic="http://schemas.openxmlformats.org/drawingml/2006/picture">
                        <pic:nvPicPr>
                          <pic:cNvPr id="35" name="图片_112"/>
                          <pic:cNvPicPr/>
                        </pic:nvPicPr>
                        <pic:blipFill>
                          <a:blip r:embed="rId80">
                            <a:extLst>
                              <a:ext uri="{28A0092B-C50C-407E-A947-70E740481C1C}">
                                <a14:useLocalDpi xmlns:a14="http://schemas.microsoft.com/office/drawing/2010/main" val="0"/>
                              </a:ext>
                            </a:extLst>
                          </a:blip>
                          <a:stretch>
                            <a:fillRect/>
                          </a:stretch>
                        </pic:blipFill>
                        <pic:spPr>
                          <a:xfrm>
                            <a:off x="0" y="0"/>
                            <a:ext cx="935355" cy="138366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0EB7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F670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5D8E8A7C">
        <w:tblPrEx>
          <w:tblCellMar>
            <w:top w:w="0" w:type="dxa"/>
            <w:left w:w="108" w:type="dxa"/>
            <w:bottom w:w="0" w:type="dxa"/>
            <w:right w:w="108" w:type="dxa"/>
          </w:tblCellMar>
        </w:tblPrEx>
        <w:trPr>
          <w:trHeight w:val="397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1664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97</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4F7C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定制柜（32）</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E9FF8">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3600*450*3000</w:t>
            </w:r>
          </w:p>
          <w:p w14:paraId="34782576">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74D75422">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上中下开门柜*1</w:t>
            </w:r>
          </w:p>
          <w:p w14:paraId="5F52219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上空格下开门柜*3</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2F792EF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1.面材：采用优质天然实木木皮贴面，木皮厚度≥0.6mm；1.层板及隔板厚度≥25mm，背板及其余板材厚度≥16mm</w:t>
            </w:r>
          </w:p>
          <w:p w14:paraId="232A7F4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2.基材：采用E0级多层板，各项性能均优于国家标准；</w:t>
            </w:r>
          </w:p>
          <w:p w14:paraId="6382D4B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3.油漆：油性木器涂料涂饰，采用五底三面涂饰工艺，符合国家标准；</w:t>
            </w:r>
          </w:p>
          <w:p w14:paraId="79A52E9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4.胶水：采用环保白乳胶；</w:t>
            </w:r>
          </w:p>
          <w:p w14:paraId="6E2EAF5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5.配件：优质五金配件；（铰链）均具备静音缓冲阻尼功能；</w:t>
            </w:r>
          </w:p>
          <w:p w14:paraId="4B9EF0F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6.功能：含挂衣、开架柜结合，配锁；</w:t>
            </w:r>
          </w:p>
          <w:p w14:paraId="1319283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7.要求：顶部封板处理；</w:t>
            </w:r>
          </w:p>
          <w:p w14:paraId="5CBA8047">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178F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22985" cy="1017270"/>
                  <wp:effectExtent l="0" t="0" r="13335" b="3810"/>
                  <wp:docPr id="12" name="图片_113"/>
                  <wp:cNvGraphicFramePr/>
                  <a:graphic xmlns:a="http://schemas.openxmlformats.org/drawingml/2006/main">
                    <a:graphicData uri="http://schemas.openxmlformats.org/drawingml/2006/picture">
                      <pic:pic xmlns:pic="http://schemas.openxmlformats.org/drawingml/2006/picture">
                        <pic:nvPicPr>
                          <pic:cNvPr id="12" name="图片_113"/>
                          <pic:cNvPicPr/>
                        </pic:nvPicPr>
                        <pic:blipFill>
                          <a:blip r:embed="rId81">
                            <a:extLst>
                              <a:ext uri="{28A0092B-C50C-407E-A947-70E740481C1C}">
                                <a14:useLocalDpi xmlns:a14="http://schemas.microsoft.com/office/drawing/2010/main" val="0"/>
                              </a:ext>
                            </a:extLst>
                          </a:blip>
                          <a:stretch>
                            <a:fillRect/>
                          </a:stretch>
                        </pic:blipFill>
                        <pic:spPr>
                          <a:xfrm>
                            <a:off x="0" y="0"/>
                            <a:ext cx="1022985" cy="101727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3E74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5A1B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5E4D9985">
        <w:tblPrEx>
          <w:tblCellMar>
            <w:top w:w="0" w:type="dxa"/>
            <w:left w:w="108" w:type="dxa"/>
            <w:bottom w:w="0" w:type="dxa"/>
            <w:right w:w="108" w:type="dxa"/>
          </w:tblCellMar>
        </w:tblPrEx>
        <w:trPr>
          <w:trHeight w:val="204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3B69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98</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BDCC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定制柜（33）</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01BF6">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7160*450*3000</w:t>
            </w:r>
          </w:p>
          <w:p w14:paraId="2CCB09FB">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4EB2234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上空格下开门柜*8</w:t>
            </w:r>
          </w:p>
        </w:tc>
        <w:tc>
          <w:tcPr>
            <w:tcW w:w="2329" w:type="pct"/>
            <w:vMerge w:val="restart"/>
            <w:tcBorders>
              <w:top w:val="nil"/>
              <w:left w:val="single" w:color="000000" w:sz="4" w:space="0"/>
              <w:bottom w:val="single" w:color="000000" w:sz="4" w:space="0"/>
              <w:right w:val="single" w:color="000000" w:sz="4" w:space="0"/>
            </w:tcBorders>
            <w:shd w:val="clear" w:color="auto" w:fill="auto"/>
          </w:tcPr>
          <w:p w14:paraId="1877B55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1.基材：采用E0级多层板，游离甲醛释放量均达国家标准，所有层板厚度≥25mm,背板及其余板材厚度≥16mm,每层定制书架内高度≥35mm；                                                           </w:t>
            </w:r>
          </w:p>
          <w:p w14:paraId="6D358DC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2.贴面：采用优质耐磨三聚氰胺浸渍面纸，防火，并具阻燃、耐磨性强、清洁方便等特点；</w:t>
            </w:r>
          </w:p>
          <w:p w14:paraId="5CF10C8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3.五金：优质五金件；（铰链）均具备静音缓冲阻尼功能；</w:t>
            </w:r>
          </w:p>
          <w:p w14:paraId="06E46B7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4.封边：同色PVC封边条； </w:t>
            </w:r>
          </w:p>
          <w:p w14:paraId="2277627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5.开门方式：下为木质对开门，其余为空格柜。</w:t>
            </w:r>
          </w:p>
          <w:p w14:paraId="3518E1F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6.定制需求：对现场有直饮机部分需预留相关位置，同时具备登高梯收纳空间；</w:t>
            </w:r>
          </w:p>
          <w:p w14:paraId="7B55820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7.成品：要求且不得出现可能产生危害的、危险性的、可触及的边部或尖端等.所有三合一连接件部分均需近色美纹纸隐蔽处理</w:t>
            </w:r>
          </w:p>
          <w:p w14:paraId="5FC19CB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8.要求：顶部封板处理；</w:t>
            </w:r>
          </w:p>
          <w:p w14:paraId="40F32791">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9.颜色：颜色可定制；</w:t>
            </w:r>
          </w:p>
        </w:tc>
        <w:tc>
          <w:tcPr>
            <w:tcW w:w="81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B5C8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35685" cy="1179830"/>
                  <wp:effectExtent l="0" t="0" r="635" b="8890"/>
                  <wp:docPr id="13" name="图片_59"/>
                  <wp:cNvGraphicFramePr/>
                  <a:graphic xmlns:a="http://schemas.openxmlformats.org/drawingml/2006/main">
                    <a:graphicData uri="http://schemas.openxmlformats.org/drawingml/2006/picture">
                      <pic:pic xmlns:pic="http://schemas.openxmlformats.org/drawingml/2006/picture">
                        <pic:nvPicPr>
                          <pic:cNvPr id="13" name="图片_59"/>
                          <pic:cNvPicPr/>
                        </pic:nvPicPr>
                        <pic:blipFill>
                          <a:blip r:embed="rId82">
                            <a:extLst>
                              <a:ext uri="{28A0092B-C50C-407E-A947-70E740481C1C}">
                                <a14:useLocalDpi xmlns:a14="http://schemas.microsoft.com/office/drawing/2010/main" val="0"/>
                              </a:ext>
                            </a:extLst>
                          </a:blip>
                          <a:stretch>
                            <a:fillRect/>
                          </a:stretch>
                        </pic:blipFill>
                        <pic:spPr>
                          <a:xfrm>
                            <a:off x="0" y="0"/>
                            <a:ext cx="1037280" cy="1181732"/>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E9A5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78FB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626349CC">
        <w:tblPrEx>
          <w:tblCellMar>
            <w:top w:w="0" w:type="dxa"/>
            <w:left w:w="108" w:type="dxa"/>
            <w:bottom w:w="0" w:type="dxa"/>
            <w:right w:w="108" w:type="dxa"/>
          </w:tblCellMar>
        </w:tblPrEx>
        <w:trPr>
          <w:trHeight w:val="204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3AFB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99</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02B7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定制柜（34）</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FCED1">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8060*450*3000</w:t>
            </w:r>
          </w:p>
          <w:p w14:paraId="352C23EB">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1460299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上空格下开门柜*9</w:t>
            </w:r>
          </w:p>
        </w:tc>
        <w:tc>
          <w:tcPr>
            <w:tcW w:w="2329" w:type="pct"/>
            <w:vMerge w:val="continue"/>
            <w:tcBorders>
              <w:top w:val="nil"/>
              <w:left w:val="single" w:color="000000" w:sz="4" w:space="0"/>
              <w:bottom w:val="single" w:color="000000" w:sz="4" w:space="0"/>
              <w:right w:val="single" w:color="000000" w:sz="4" w:space="0"/>
            </w:tcBorders>
            <w:shd w:val="clear" w:color="auto" w:fill="auto"/>
          </w:tcPr>
          <w:p w14:paraId="0CC6EB50">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24BBD">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E3CB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3A16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7F8200C8">
        <w:tblPrEx>
          <w:tblCellMar>
            <w:top w:w="0" w:type="dxa"/>
            <w:left w:w="108" w:type="dxa"/>
            <w:bottom w:w="0" w:type="dxa"/>
            <w:right w:w="108" w:type="dxa"/>
          </w:tblCellMar>
        </w:tblPrEx>
        <w:trPr>
          <w:trHeight w:val="223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FC7B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100</w:t>
            </w:r>
          </w:p>
        </w:tc>
        <w:tc>
          <w:tcPr>
            <w:tcW w:w="4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160BE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定制文件柜</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60E24">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1600*450*3000</w:t>
            </w:r>
          </w:p>
          <w:p w14:paraId="39CFB14B">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26F0584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上空格下开门柜*2</w:t>
            </w:r>
          </w:p>
        </w:tc>
        <w:tc>
          <w:tcPr>
            <w:tcW w:w="2329" w:type="pct"/>
            <w:vMerge w:val="restart"/>
            <w:tcBorders>
              <w:top w:val="single" w:color="000000" w:sz="4" w:space="0"/>
              <w:left w:val="single" w:color="000000" w:sz="4" w:space="0"/>
              <w:bottom w:val="single" w:color="000000" w:sz="4" w:space="0"/>
              <w:right w:val="single" w:color="000000" w:sz="4" w:space="0"/>
            </w:tcBorders>
            <w:shd w:val="clear" w:color="auto" w:fill="auto"/>
          </w:tcPr>
          <w:p w14:paraId="5799AD2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1.基材：采用E0级多层板，游离甲醛释放量均达国家标准，所有层板厚度≥25MM,背板及其余板材厚度≥16mm每层书架内高度≥35MM；                                                           </w:t>
            </w:r>
          </w:p>
          <w:p w14:paraId="22CF563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2.贴面：采用优质耐磨三聚氰胺浸渍面纸，防火，并具阻燃、耐磨性强、清洁方便等特点；</w:t>
            </w:r>
          </w:p>
          <w:p w14:paraId="0CECA207">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3.五金：优质五金件；</w:t>
            </w:r>
          </w:p>
          <w:p w14:paraId="6C9E49F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4.封边：同色PVC封边条； </w:t>
            </w:r>
          </w:p>
          <w:p w14:paraId="45BD9C6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5.定制需求：对现场有直饮机部分需预留相关位置，同时具备登高梯收纳空间，局部办公室后期可能改造为教室，柜体结构设计需可上下分体，以确保满足放置于其他区域；</w:t>
            </w:r>
          </w:p>
          <w:p w14:paraId="54EE4BF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6.成品：要求且不得出现可能产生危害的、危险性的、可触及的边部或尖端等。</w:t>
            </w:r>
          </w:p>
          <w:p w14:paraId="600E14A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7.所有三合一连接件部分均需近色美纹纸隐蔽处理</w:t>
            </w:r>
          </w:p>
          <w:p w14:paraId="26AD589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8.五金件（铰链）均具备静音缓冲阻尼功能</w:t>
            </w:r>
          </w:p>
          <w:p w14:paraId="630F5BC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9.要求：顶部封板处理；</w:t>
            </w:r>
          </w:p>
          <w:p w14:paraId="5CE4FB64">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10.颜色：颜色可定制；</w:t>
            </w:r>
          </w:p>
        </w:tc>
        <w:tc>
          <w:tcPr>
            <w:tcW w:w="81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F83A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143000" cy="1146810"/>
                  <wp:effectExtent l="0" t="0" r="0" b="11430"/>
                  <wp:docPr id="14" name="图片_1"/>
                  <wp:cNvGraphicFramePr/>
                  <a:graphic xmlns:a="http://schemas.openxmlformats.org/drawingml/2006/main">
                    <a:graphicData uri="http://schemas.openxmlformats.org/drawingml/2006/picture">
                      <pic:pic xmlns:pic="http://schemas.openxmlformats.org/drawingml/2006/picture">
                        <pic:nvPicPr>
                          <pic:cNvPr id="14" name="图片_1"/>
                          <pic:cNvPicPr/>
                        </pic:nvPicPr>
                        <pic:blipFill>
                          <a:blip r:embed="rId83">
                            <a:extLst>
                              <a:ext uri="{28A0092B-C50C-407E-A947-70E740481C1C}">
                                <a14:useLocalDpi xmlns:a14="http://schemas.microsoft.com/office/drawing/2010/main" val="0"/>
                              </a:ext>
                            </a:extLst>
                          </a:blip>
                          <a:stretch>
                            <a:fillRect/>
                          </a:stretch>
                        </pic:blipFill>
                        <pic:spPr>
                          <a:xfrm>
                            <a:off x="0" y="0"/>
                            <a:ext cx="1143000" cy="114681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A293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9C2B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544FA644">
        <w:tblPrEx>
          <w:tblCellMar>
            <w:top w:w="0" w:type="dxa"/>
            <w:left w:w="108" w:type="dxa"/>
            <w:bottom w:w="0" w:type="dxa"/>
            <w:right w:w="108" w:type="dxa"/>
          </w:tblCellMar>
        </w:tblPrEx>
        <w:trPr>
          <w:trHeight w:val="252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E2CA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101</w:t>
            </w:r>
          </w:p>
        </w:tc>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24119">
            <w:pPr>
              <w:jc w:val="center"/>
              <w:rPr>
                <w:rFonts w:hint="eastAsia" w:asciiTheme="minorEastAsia" w:hAnsiTheme="minorEastAsia" w:eastAsiaTheme="minorEastAsia" w:cstheme="minorEastAsia"/>
                <w:color w:val="000000"/>
                <w:szCs w:val="21"/>
              </w:rPr>
            </w:pP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A3E36">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5400*450*3000</w:t>
            </w:r>
          </w:p>
          <w:p w14:paraId="6FCD051B">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4CDE8BB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上空格下开门柜*6</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3514C248">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3FDE7">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7FAB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164B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68D381CF">
        <w:tblPrEx>
          <w:tblCellMar>
            <w:top w:w="0" w:type="dxa"/>
            <w:left w:w="108" w:type="dxa"/>
            <w:bottom w:w="0" w:type="dxa"/>
            <w:right w:w="108" w:type="dxa"/>
          </w:tblCellMar>
        </w:tblPrEx>
        <w:trPr>
          <w:trHeight w:val="136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1AE5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102</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37AF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定制柜（35）</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4D04B">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4280*450*3000</w:t>
            </w:r>
          </w:p>
          <w:p w14:paraId="038061BA">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7086F2F5">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上展柜下开门柜*1</w:t>
            </w:r>
          </w:p>
          <w:p w14:paraId="29A3F4F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上空格下开门柜*2</w:t>
            </w:r>
          </w:p>
        </w:tc>
        <w:tc>
          <w:tcPr>
            <w:tcW w:w="2329" w:type="pct"/>
            <w:vMerge w:val="restart"/>
            <w:tcBorders>
              <w:top w:val="single" w:color="000000" w:sz="4" w:space="0"/>
              <w:left w:val="single" w:color="000000" w:sz="4" w:space="0"/>
              <w:bottom w:val="single" w:color="000000" w:sz="4" w:space="0"/>
              <w:right w:val="single" w:color="000000" w:sz="4" w:space="0"/>
            </w:tcBorders>
            <w:shd w:val="clear" w:color="auto" w:fill="auto"/>
          </w:tcPr>
          <w:p w14:paraId="33974B8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1.基材：采用E0级多层板，游离甲醛释放量均达国家标准，所有层板及隔板厚度≥25mm,背板及其余板材厚度≥16mm，每层定制书架内高度≥35mm；                                                           </w:t>
            </w:r>
          </w:p>
          <w:p w14:paraId="1B60993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2.面材：采用优质天然实木木皮贴面，木皮厚度≥0.6mm；</w:t>
            </w:r>
          </w:p>
          <w:p w14:paraId="410F7E3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3.油漆：油性木器涂料涂饰，采用五底三面涂饰工艺，符合国家标准；</w:t>
            </w:r>
          </w:p>
          <w:p w14:paraId="04D28AE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4.胶水：采用环保白乳胶；</w:t>
            </w:r>
          </w:p>
          <w:p w14:paraId="7FE014E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5.配件：优质五金配件；（铰链）均具备静音缓冲阻尼功能；</w:t>
            </w:r>
          </w:p>
          <w:p w14:paraId="4F286967">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6.定制需求：需结合展陈对柜体进行优化；</w:t>
            </w:r>
          </w:p>
          <w:p w14:paraId="7FF6130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7.成品：要求且不得出现可能产生危害的、危险性的、可触及的边部或尖端等.</w:t>
            </w:r>
          </w:p>
          <w:p w14:paraId="3E0FDF8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8.要求：顶部封板处理。</w:t>
            </w:r>
          </w:p>
          <w:p w14:paraId="1184A0E7">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9.颜色：颜色可定制；</w:t>
            </w:r>
          </w:p>
        </w:tc>
        <w:tc>
          <w:tcPr>
            <w:tcW w:w="81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3D6C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231265" cy="1367790"/>
                  <wp:effectExtent l="0" t="0" r="3175" b="3810"/>
                  <wp:docPr id="16" name="图片_60"/>
                  <wp:cNvGraphicFramePr/>
                  <a:graphic xmlns:a="http://schemas.openxmlformats.org/drawingml/2006/main">
                    <a:graphicData uri="http://schemas.openxmlformats.org/drawingml/2006/picture">
                      <pic:pic xmlns:pic="http://schemas.openxmlformats.org/drawingml/2006/picture">
                        <pic:nvPicPr>
                          <pic:cNvPr id="16" name="图片_60"/>
                          <pic:cNvPicPr/>
                        </pic:nvPicPr>
                        <pic:blipFill>
                          <a:blip r:embed="rId84">
                            <a:extLst>
                              <a:ext uri="{28A0092B-C50C-407E-A947-70E740481C1C}">
                                <a14:useLocalDpi xmlns:a14="http://schemas.microsoft.com/office/drawing/2010/main" val="0"/>
                              </a:ext>
                            </a:extLst>
                          </a:blip>
                          <a:stretch>
                            <a:fillRect/>
                          </a:stretch>
                        </pic:blipFill>
                        <pic:spPr>
                          <a:xfrm>
                            <a:off x="0" y="0"/>
                            <a:ext cx="1231265" cy="136779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E852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00C5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33115C15">
        <w:tblPrEx>
          <w:tblCellMar>
            <w:top w:w="0" w:type="dxa"/>
            <w:left w:w="108" w:type="dxa"/>
            <w:bottom w:w="0" w:type="dxa"/>
            <w:right w:w="108" w:type="dxa"/>
          </w:tblCellMar>
        </w:tblPrEx>
        <w:trPr>
          <w:trHeight w:val="136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E043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103</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7E21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定制柜（36）</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29B37">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5400*450*3000</w:t>
            </w:r>
          </w:p>
          <w:p w14:paraId="702167BC">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40015627">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上展柜下开门柜*2</w:t>
            </w:r>
          </w:p>
          <w:p w14:paraId="5A9C2DE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上空格下开门柜*3</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0E9E77A6">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E6A17">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3E5A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FA42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3F9C5460">
        <w:tblPrEx>
          <w:tblCellMar>
            <w:top w:w="0" w:type="dxa"/>
            <w:left w:w="108" w:type="dxa"/>
            <w:bottom w:w="0" w:type="dxa"/>
            <w:right w:w="108" w:type="dxa"/>
          </w:tblCellMar>
        </w:tblPrEx>
        <w:trPr>
          <w:trHeight w:val="136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D7DB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104</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12A9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定制柜（37）</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7FF35">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6400*450*3000</w:t>
            </w:r>
          </w:p>
          <w:p w14:paraId="03927201">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38C2767E">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上展柜下开门柜*2</w:t>
            </w:r>
          </w:p>
          <w:p w14:paraId="15A178F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上空格下开门柜*4</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2109E43E">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3529D">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B736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6531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67C18709">
        <w:tblPrEx>
          <w:tblCellMar>
            <w:top w:w="0" w:type="dxa"/>
            <w:left w:w="108" w:type="dxa"/>
            <w:bottom w:w="0" w:type="dxa"/>
            <w:right w:w="108" w:type="dxa"/>
          </w:tblCellMar>
        </w:tblPrEx>
        <w:trPr>
          <w:trHeight w:val="136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BC14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105</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31E6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定制书柜（1）</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91BC9">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7080*450*3000</w:t>
            </w:r>
          </w:p>
          <w:p w14:paraId="62D613B0">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48311D1F">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上展柜下开门柜*2</w:t>
            </w:r>
          </w:p>
          <w:p w14:paraId="4655F8F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上空格下开门柜*4</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0F977D92">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9D762">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0615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C37B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16B1C79C">
        <w:tblPrEx>
          <w:tblCellMar>
            <w:top w:w="0" w:type="dxa"/>
            <w:left w:w="108" w:type="dxa"/>
            <w:bottom w:w="0" w:type="dxa"/>
            <w:right w:w="108" w:type="dxa"/>
          </w:tblCellMar>
        </w:tblPrEx>
        <w:trPr>
          <w:trHeight w:val="136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C1FE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106</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071A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定制书柜（2）</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D40C8">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7480*450*3000</w:t>
            </w:r>
          </w:p>
          <w:p w14:paraId="0945A98B">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1AC40DC7">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上展柜下开门柜*3</w:t>
            </w:r>
          </w:p>
          <w:p w14:paraId="0B3F604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上空格下开门柜*4</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1A9C8252">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CA16D">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AEAD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CA52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43FAEB9B">
        <w:tblPrEx>
          <w:tblCellMar>
            <w:top w:w="0" w:type="dxa"/>
            <w:left w:w="108" w:type="dxa"/>
            <w:bottom w:w="0" w:type="dxa"/>
            <w:right w:w="108" w:type="dxa"/>
          </w:tblCellMar>
        </w:tblPrEx>
        <w:trPr>
          <w:trHeight w:val="136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5337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107</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83D1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定制书柜（3）</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C30BC">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7430*450*3000</w:t>
            </w:r>
          </w:p>
          <w:p w14:paraId="5B3A93E7">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54BE9EE4">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上展柜下开门柜*3</w:t>
            </w:r>
          </w:p>
          <w:p w14:paraId="7AD8C58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上空格下开门柜*4</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73709149">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4808B">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8B13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D149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56D60A0D">
        <w:tblPrEx>
          <w:tblCellMar>
            <w:top w:w="0" w:type="dxa"/>
            <w:left w:w="108" w:type="dxa"/>
            <w:bottom w:w="0" w:type="dxa"/>
            <w:right w:w="108" w:type="dxa"/>
          </w:tblCellMar>
        </w:tblPrEx>
        <w:trPr>
          <w:trHeight w:val="136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CE7B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108</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172E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定制书柜（4）</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A67E0">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7760*450*3000</w:t>
            </w:r>
          </w:p>
          <w:p w14:paraId="49AEB2D2">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59314778">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上展柜下开门柜*3</w:t>
            </w:r>
          </w:p>
          <w:p w14:paraId="1F2E060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上空格下开门柜*4</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1F21B364">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3196C">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29CC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F9A0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56B3322F">
        <w:tblPrEx>
          <w:tblCellMar>
            <w:top w:w="0" w:type="dxa"/>
            <w:left w:w="108" w:type="dxa"/>
            <w:bottom w:w="0" w:type="dxa"/>
            <w:right w:w="108" w:type="dxa"/>
          </w:tblCellMar>
        </w:tblPrEx>
        <w:trPr>
          <w:trHeight w:val="136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4659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109</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6F80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定制书柜（5）</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9DD34">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8060*450*3000</w:t>
            </w:r>
          </w:p>
          <w:p w14:paraId="64C54DDD">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45AA1C9A">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上展柜下开门柜*3</w:t>
            </w:r>
          </w:p>
          <w:p w14:paraId="3A17C1D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上空格下开门柜*4</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2DFFBDED">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9CB76">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6B16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6C57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03E307CD">
        <w:tblPrEx>
          <w:tblCellMar>
            <w:top w:w="0" w:type="dxa"/>
            <w:left w:w="108" w:type="dxa"/>
            <w:bottom w:w="0" w:type="dxa"/>
            <w:right w:w="108" w:type="dxa"/>
          </w:tblCellMar>
        </w:tblPrEx>
        <w:trPr>
          <w:trHeight w:val="136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3C13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110</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F808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定制柜（38）</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03C82">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9560*450*3000</w:t>
            </w:r>
          </w:p>
          <w:p w14:paraId="1232B05C">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68936C15">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上展柜下开门柜*3</w:t>
            </w:r>
          </w:p>
          <w:p w14:paraId="3A7F8B4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上空格下开门柜*4</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0D218FA3">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B6C83">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D249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8E9B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5578FFC6">
        <w:tblPrEx>
          <w:tblCellMar>
            <w:top w:w="0" w:type="dxa"/>
            <w:left w:w="108" w:type="dxa"/>
            <w:bottom w:w="0" w:type="dxa"/>
            <w:right w:w="108" w:type="dxa"/>
          </w:tblCellMar>
        </w:tblPrEx>
        <w:trPr>
          <w:trHeight w:val="156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81A3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111</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78B5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定制柜（39）</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960BC">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3580*450*3000</w:t>
            </w:r>
          </w:p>
          <w:p w14:paraId="343F692E">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31C03793">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上中下开门柜*1</w:t>
            </w:r>
          </w:p>
          <w:p w14:paraId="5371D17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上空格下开门柜*3</w:t>
            </w:r>
          </w:p>
        </w:tc>
        <w:tc>
          <w:tcPr>
            <w:tcW w:w="2329" w:type="pct"/>
            <w:vMerge w:val="restart"/>
            <w:tcBorders>
              <w:top w:val="single" w:color="000000" w:sz="4" w:space="0"/>
              <w:left w:val="single" w:color="000000" w:sz="4" w:space="0"/>
              <w:bottom w:val="single" w:color="000000" w:sz="4" w:space="0"/>
              <w:right w:val="single" w:color="000000" w:sz="4" w:space="0"/>
            </w:tcBorders>
            <w:shd w:val="clear" w:color="auto" w:fill="auto"/>
          </w:tcPr>
          <w:p w14:paraId="1135500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1.面材：采用优质天然实木木皮贴面，木皮厚度≥0.6mm；层板及隔板厚度≥25mm，背板及其余板材厚度≥16mm</w:t>
            </w:r>
          </w:p>
          <w:p w14:paraId="3FEC12F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2.基材：采用E0级多层板，各项性能均优于国家标准；</w:t>
            </w:r>
          </w:p>
          <w:p w14:paraId="676A617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3.油漆：油性木器涂料涂饰，采用五底三面涂饰工艺，符合国家标准；</w:t>
            </w:r>
          </w:p>
          <w:p w14:paraId="1167027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4.胶水：采用环保白乳胶；</w:t>
            </w:r>
          </w:p>
          <w:p w14:paraId="1BF76DA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5.配件：优质五金配件；（铰链）均具备静音缓冲阻尼功能；</w:t>
            </w:r>
          </w:p>
          <w:p w14:paraId="0B65B7F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6.功能：含挂衣、开架柜结合，配锁；</w:t>
            </w:r>
          </w:p>
          <w:p w14:paraId="5ED3562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7.要求：顶部封板处理；</w:t>
            </w:r>
          </w:p>
          <w:p w14:paraId="75C9D75C">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8.颜色：颜色可定制；</w:t>
            </w:r>
          </w:p>
        </w:tc>
        <w:tc>
          <w:tcPr>
            <w:tcW w:w="8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16A22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946785" cy="947420"/>
                  <wp:effectExtent l="0" t="0" r="13335" b="12700"/>
                  <wp:docPr id="19" name="图片_61"/>
                  <wp:cNvGraphicFramePr/>
                  <a:graphic xmlns:a="http://schemas.openxmlformats.org/drawingml/2006/main">
                    <a:graphicData uri="http://schemas.openxmlformats.org/drawingml/2006/picture">
                      <pic:pic xmlns:pic="http://schemas.openxmlformats.org/drawingml/2006/picture">
                        <pic:nvPicPr>
                          <pic:cNvPr id="19" name="图片_61"/>
                          <pic:cNvPicPr/>
                        </pic:nvPicPr>
                        <pic:blipFill>
                          <a:blip r:embed="rId85">
                            <a:extLst>
                              <a:ext uri="{28A0092B-C50C-407E-A947-70E740481C1C}">
                                <a14:useLocalDpi xmlns:a14="http://schemas.microsoft.com/office/drawing/2010/main" val="0"/>
                              </a:ext>
                            </a:extLst>
                          </a:blip>
                          <a:stretch>
                            <a:fillRect/>
                          </a:stretch>
                        </pic:blipFill>
                        <pic:spPr>
                          <a:xfrm>
                            <a:off x="0" y="0"/>
                            <a:ext cx="946785" cy="947420"/>
                          </a:xfrm>
                          <a:prstGeom prst="rect">
                            <a:avLst/>
                          </a:prstGeom>
                          <a:noFill/>
                          <a:ln>
                            <a:noFill/>
                          </a:ln>
                        </pic:spPr>
                      </pic:pic>
                    </a:graphicData>
                  </a:graphic>
                </wp:inline>
              </w:drawing>
            </w:r>
            <w:r>
              <w:rPr>
                <w:rFonts w:hint="eastAsia" w:asciiTheme="minorEastAsia" w:hAnsiTheme="minorEastAsia" w:eastAsiaTheme="minorEastAsia" w:cstheme="minorEastAsia"/>
                <w:color w:val="000000"/>
                <w:kern w:val="0"/>
                <w:szCs w:val="21"/>
                <w:bdr w:val="single" w:color="000000" w:sz="4" w:space="0"/>
                <w:lang w:bidi="ar"/>
              </w:rPr>
              <w:drawing>
                <wp:anchor distT="0" distB="0" distL="114300" distR="114300" simplePos="0" relativeHeight="251661312" behindDoc="0" locked="0" layoutInCell="1" allowOverlap="1">
                  <wp:simplePos x="0" y="0"/>
                  <wp:positionH relativeFrom="column">
                    <wp:posOffset>224790</wp:posOffset>
                  </wp:positionH>
                  <wp:positionV relativeFrom="paragraph">
                    <wp:posOffset>990600</wp:posOffset>
                  </wp:positionV>
                  <wp:extent cx="1772285" cy="1270"/>
                  <wp:effectExtent l="0" t="0" r="0" b="0"/>
                  <wp:wrapNone/>
                  <wp:docPr id="18" name="组合_48"/>
                  <wp:cNvGraphicFramePr/>
                  <a:graphic xmlns:a="http://schemas.openxmlformats.org/drawingml/2006/main">
                    <a:graphicData uri="http://schemas.openxmlformats.org/drawingml/2006/picture">
                      <pic:pic xmlns:pic="http://schemas.openxmlformats.org/drawingml/2006/picture">
                        <pic:nvPicPr>
                          <pic:cNvPr id="18" name="组合_48"/>
                          <pic:cNvPicPr/>
                        </pic:nvPicPr>
                        <pic:blipFill>
                          <a:blip r:embed="rId86"/>
                          <a:stretch>
                            <a:fillRect/>
                          </a:stretch>
                        </pic:blipFill>
                        <pic:spPr>
                          <a:xfrm>
                            <a:off x="0" y="0"/>
                            <a:ext cx="1772285" cy="1270"/>
                          </a:xfrm>
                          <a:prstGeom prst="rect">
                            <a:avLst/>
                          </a:prstGeom>
                          <a:noFill/>
                          <a:ln>
                            <a:noFill/>
                          </a:ln>
                        </pic:spPr>
                      </pic:pic>
                    </a:graphicData>
                  </a:graphic>
                </wp:anchor>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1BFF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242B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40923EB6">
        <w:tblPrEx>
          <w:tblCellMar>
            <w:top w:w="0" w:type="dxa"/>
            <w:left w:w="108" w:type="dxa"/>
            <w:bottom w:w="0" w:type="dxa"/>
            <w:right w:w="108" w:type="dxa"/>
          </w:tblCellMar>
        </w:tblPrEx>
        <w:trPr>
          <w:trHeight w:val="156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9C48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112</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7B8D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定制柜（40）</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9ED2F">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4280*450*3000</w:t>
            </w:r>
          </w:p>
          <w:p w14:paraId="1A38312D">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589051FB">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上中下开门柜*1</w:t>
            </w:r>
          </w:p>
          <w:p w14:paraId="0A71272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上空格下开门柜*4</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59CDFD34">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70448">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3E59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2FBD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6877B448">
        <w:tblPrEx>
          <w:tblCellMar>
            <w:top w:w="0" w:type="dxa"/>
            <w:left w:w="108" w:type="dxa"/>
            <w:bottom w:w="0" w:type="dxa"/>
            <w:right w:w="108" w:type="dxa"/>
          </w:tblCellMar>
        </w:tblPrEx>
        <w:trPr>
          <w:trHeight w:val="156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3C57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113</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61C4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定制柜（41）</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2D107">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4500*450*3000</w:t>
            </w:r>
          </w:p>
          <w:p w14:paraId="7BCAFB0C">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28FB4752">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上中下柜双开门*1</w:t>
            </w:r>
          </w:p>
          <w:p w14:paraId="0ABA496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上空格下双开门*4</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006DB2D1">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931C9">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15C4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D94B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5160AE1F">
        <w:tblPrEx>
          <w:tblCellMar>
            <w:top w:w="0" w:type="dxa"/>
            <w:left w:w="108" w:type="dxa"/>
            <w:bottom w:w="0" w:type="dxa"/>
            <w:right w:w="108" w:type="dxa"/>
          </w:tblCellMar>
        </w:tblPrEx>
        <w:trPr>
          <w:trHeight w:val="156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89FC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114</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D8F6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定制柜（42）</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5E74A">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4580*450*3000</w:t>
            </w:r>
          </w:p>
          <w:p w14:paraId="01B8A9D0">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28F89731">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上中下开门柜*1</w:t>
            </w:r>
          </w:p>
          <w:p w14:paraId="4B7A150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上空格下开门柜*4</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6CF55125">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1302F">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A660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715D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55246F7C">
        <w:tblPrEx>
          <w:tblCellMar>
            <w:top w:w="0" w:type="dxa"/>
            <w:left w:w="108" w:type="dxa"/>
            <w:bottom w:w="0" w:type="dxa"/>
            <w:right w:w="108" w:type="dxa"/>
          </w:tblCellMar>
        </w:tblPrEx>
        <w:trPr>
          <w:trHeight w:val="156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B527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115</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BF60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定制柜（43）</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FA428">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4540*450*3000</w:t>
            </w:r>
          </w:p>
          <w:p w14:paraId="35D47E83">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323A8C20">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上中下开门柜*1</w:t>
            </w:r>
          </w:p>
          <w:p w14:paraId="3D736D6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上空格下开门柜*4</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092A3A2B">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8FC54">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56DF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D15B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203E3100">
        <w:tblPrEx>
          <w:tblCellMar>
            <w:top w:w="0" w:type="dxa"/>
            <w:left w:w="108" w:type="dxa"/>
            <w:bottom w:w="0" w:type="dxa"/>
            <w:right w:w="108" w:type="dxa"/>
          </w:tblCellMar>
        </w:tblPrEx>
        <w:trPr>
          <w:trHeight w:val="156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2A43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116</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33E7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定制柜（44）</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48E82">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4360*450*3000</w:t>
            </w:r>
          </w:p>
          <w:p w14:paraId="01BF819D">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4CFB475E">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上中下开门柜*1</w:t>
            </w:r>
          </w:p>
          <w:p w14:paraId="26ECA10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上空格下开门柜*4</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08DC45DC">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E3D5C">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7B09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9FAB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7D65A150">
        <w:tblPrEx>
          <w:tblCellMar>
            <w:top w:w="0" w:type="dxa"/>
            <w:left w:w="108" w:type="dxa"/>
            <w:bottom w:w="0" w:type="dxa"/>
            <w:right w:w="108" w:type="dxa"/>
          </w:tblCellMar>
        </w:tblPrEx>
        <w:trPr>
          <w:trHeight w:val="156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A7E2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117</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A102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定制柜（45）</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A4218">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4960*450*3000</w:t>
            </w:r>
          </w:p>
          <w:p w14:paraId="30C65F09">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4E3E0F70">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上中下开门柜*1</w:t>
            </w:r>
          </w:p>
          <w:p w14:paraId="5669823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上空格下开门柜*4</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0AB9915B">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F287AD">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8CD5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1B57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21585A56">
        <w:tblPrEx>
          <w:tblCellMar>
            <w:top w:w="0" w:type="dxa"/>
            <w:left w:w="108" w:type="dxa"/>
            <w:bottom w:w="0" w:type="dxa"/>
            <w:right w:w="108" w:type="dxa"/>
          </w:tblCellMar>
        </w:tblPrEx>
        <w:trPr>
          <w:trHeight w:val="156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FD47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118</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78C8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定制柜（46）</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AB6B2">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4160*450*3000</w:t>
            </w:r>
          </w:p>
          <w:p w14:paraId="411C71BF">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5FE67129">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上中下开门柜*1</w:t>
            </w:r>
          </w:p>
          <w:p w14:paraId="4EC7F74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上空格下开门柜*4</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430F59CB">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74F4D">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A5F1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E1B0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67C6EFFF">
        <w:tblPrEx>
          <w:tblCellMar>
            <w:top w:w="0" w:type="dxa"/>
            <w:left w:w="108" w:type="dxa"/>
            <w:bottom w:w="0" w:type="dxa"/>
            <w:right w:w="108" w:type="dxa"/>
          </w:tblCellMar>
        </w:tblPrEx>
        <w:trPr>
          <w:trHeight w:val="156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F152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119</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FBFB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定制柜（47）</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9BEBD">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4060*450*3000</w:t>
            </w:r>
          </w:p>
          <w:p w14:paraId="1AD241BF">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228C2F5F">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上中下开门柜*1</w:t>
            </w:r>
          </w:p>
          <w:p w14:paraId="447BD35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上空格下开门柜*4</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5897931C">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87AC9">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3B2A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3BA8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00DFE816">
        <w:tblPrEx>
          <w:tblCellMar>
            <w:top w:w="0" w:type="dxa"/>
            <w:left w:w="108" w:type="dxa"/>
            <w:bottom w:w="0" w:type="dxa"/>
            <w:right w:w="108" w:type="dxa"/>
          </w:tblCellMar>
        </w:tblPrEx>
        <w:trPr>
          <w:trHeight w:val="156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298F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120</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19EF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定制柜（48）</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A3AB3">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3680*450*3000</w:t>
            </w:r>
          </w:p>
          <w:p w14:paraId="5909F9ED">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4DDC0440">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上中下开门柜*1</w:t>
            </w:r>
          </w:p>
          <w:p w14:paraId="45A8997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上空格下开门柜*3</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0C73BD5C">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3D441">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680B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AB03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0C0A2C69">
        <w:tblPrEx>
          <w:tblCellMar>
            <w:top w:w="0" w:type="dxa"/>
            <w:left w:w="108" w:type="dxa"/>
            <w:bottom w:w="0" w:type="dxa"/>
            <w:right w:w="108" w:type="dxa"/>
          </w:tblCellMar>
        </w:tblPrEx>
        <w:trPr>
          <w:trHeight w:val="156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387B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121</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D5E3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定制柜（49）</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49878">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3780*450*3000</w:t>
            </w:r>
          </w:p>
          <w:p w14:paraId="43766CD6">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7505AE33">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上中下开门柜*1</w:t>
            </w:r>
          </w:p>
          <w:p w14:paraId="1FC4521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上空格下开门柜*3</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1C2D7772">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6062D">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9865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E938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291D1016">
        <w:tblPrEx>
          <w:tblCellMar>
            <w:top w:w="0" w:type="dxa"/>
            <w:left w:w="108" w:type="dxa"/>
            <w:bottom w:w="0" w:type="dxa"/>
            <w:right w:w="108" w:type="dxa"/>
          </w:tblCellMar>
        </w:tblPrEx>
        <w:trPr>
          <w:trHeight w:val="342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6247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122</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28F7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定制柜（50）</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78C4A">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2460*450*3000</w:t>
            </w:r>
          </w:p>
          <w:p w14:paraId="7D552A9F">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0834FE2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上中下柜开门柜*3</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3939AFC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1.面材：采用优质天然实木木皮贴面，木皮厚度≥0.6mm；层板及隔板厚度≥25mm，其余板材厚度≥16mm；</w:t>
            </w:r>
          </w:p>
          <w:p w14:paraId="48B717B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2.基材：采用E0级多层板，各项性能均优于国家标准；</w:t>
            </w:r>
          </w:p>
          <w:p w14:paraId="7745267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3.油漆：油性木器涂料涂饰，采用五底三面涂饰工艺，符合国家标准；</w:t>
            </w:r>
          </w:p>
          <w:p w14:paraId="3CE0F38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4.胶水：采用环保白乳胶；</w:t>
            </w:r>
          </w:p>
          <w:p w14:paraId="2A863C7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5.配件：优质五金配件，含锁，（铰链）均具备静音缓冲阻尼功能；</w:t>
            </w:r>
          </w:p>
          <w:p w14:paraId="5ED7697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6.要求：顶部封板处理；</w:t>
            </w:r>
          </w:p>
          <w:p w14:paraId="3C066A7E">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C7C7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anchor distT="0" distB="0" distL="114300" distR="114300" simplePos="0" relativeHeight="251663360" behindDoc="0" locked="0" layoutInCell="1" allowOverlap="1">
                  <wp:simplePos x="0" y="0"/>
                  <wp:positionH relativeFrom="column">
                    <wp:posOffset>151765</wp:posOffset>
                  </wp:positionH>
                  <wp:positionV relativeFrom="paragraph">
                    <wp:posOffset>665480</wp:posOffset>
                  </wp:positionV>
                  <wp:extent cx="855980" cy="1203325"/>
                  <wp:effectExtent l="0" t="0" r="12700" b="635"/>
                  <wp:wrapNone/>
                  <wp:docPr id="85" name="图片_81"/>
                  <wp:cNvGraphicFramePr/>
                  <a:graphic xmlns:a="http://schemas.openxmlformats.org/drawingml/2006/main">
                    <a:graphicData uri="http://schemas.openxmlformats.org/drawingml/2006/picture">
                      <pic:pic xmlns:pic="http://schemas.openxmlformats.org/drawingml/2006/picture">
                        <pic:nvPicPr>
                          <pic:cNvPr id="85" name="图片_81"/>
                          <pic:cNvPicPr/>
                        </pic:nvPicPr>
                        <pic:blipFill>
                          <a:blip r:embed="rId87"/>
                          <a:stretch>
                            <a:fillRect/>
                          </a:stretch>
                        </pic:blipFill>
                        <pic:spPr>
                          <a:xfrm>
                            <a:off x="0" y="0"/>
                            <a:ext cx="855980" cy="1203325"/>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lang w:bidi="ar"/>
              </w:rPr>
              <w:drawing>
                <wp:anchor distT="0" distB="0" distL="114300" distR="114300" simplePos="0" relativeHeight="251664384" behindDoc="0" locked="0" layoutInCell="1" allowOverlap="1">
                  <wp:simplePos x="0" y="0"/>
                  <wp:positionH relativeFrom="column">
                    <wp:posOffset>224790</wp:posOffset>
                  </wp:positionH>
                  <wp:positionV relativeFrom="paragraph">
                    <wp:posOffset>0</wp:posOffset>
                  </wp:positionV>
                  <wp:extent cx="1772285" cy="1270"/>
                  <wp:effectExtent l="0" t="0" r="0" b="0"/>
                  <wp:wrapNone/>
                  <wp:docPr id="99" name="组合_63"/>
                  <wp:cNvGraphicFramePr/>
                  <a:graphic xmlns:a="http://schemas.openxmlformats.org/drawingml/2006/main">
                    <a:graphicData uri="http://schemas.openxmlformats.org/drawingml/2006/picture">
                      <pic:pic xmlns:pic="http://schemas.openxmlformats.org/drawingml/2006/picture">
                        <pic:nvPicPr>
                          <pic:cNvPr id="99" name="组合_63"/>
                          <pic:cNvPicPr/>
                        </pic:nvPicPr>
                        <pic:blipFill>
                          <a:blip r:embed="rId86"/>
                          <a:stretch>
                            <a:fillRect/>
                          </a:stretch>
                        </pic:blipFill>
                        <pic:spPr>
                          <a:xfrm>
                            <a:off x="0" y="0"/>
                            <a:ext cx="1772285" cy="1270"/>
                          </a:xfrm>
                          <a:prstGeom prst="rect">
                            <a:avLst/>
                          </a:prstGeom>
                          <a:noFill/>
                          <a:ln>
                            <a:noFill/>
                          </a:ln>
                        </pic:spPr>
                      </pic:pic>
                    </a:graphicData>
                  </a:graphic>
                </wp:anchor>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0D2A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7FD3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17E8F928">
        <w:tblPrEx>
          <w:tblCellMar>
            <w:top w:w="0" w:type="dxa"/>
            <w:left w:w="108" w:type="dxa"/>
            <w:bottom w:w="0" w:type="dxa"/>
            <w:right w:w="108" w:type="dxa"/>
          </w:tblCellMar>
        </w:tblPrEx>
        <w:trPr>
          <w:trHeight w:val="148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0482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123</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EEC1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定制柜（51）</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19B1C">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8060*450*3000</w:t>
            </w:r>
          </w:p>
          <w:p w14:paraId="78D54411">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4DC196E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上中下柜开门柜*9</w:t>
            </w:r>
          </w:p>
        </w:tc>
        <w:tc>
          <w:tcPr>
            <w:tcW w:w="2329" w:type="pct"/>
            <w:vMerge w:val="restart"/>
            <w:tcBorders>
              <w:top w:val="single" w:color="000000" w:sz="4" w:space="0"/>
              <w:left w:val="single" w:color="000000" w:sz="4" w:space="0"/>
              <w:bottom w:val="single" w:color="000000" w:sz="4" w:space="0"/>
              <w:right w:val="single" w:color="000000" w:sz="4" w:space="0"/>
            </w:tcBorders>
            <w:shd w:val="clear" w:color="auto" w:fill="auto"/>
          </w:tcPr>
          <w:p w14:paraId="5046285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1.基材：采用E0级多层板，游离甲醛释放量均达国家标准，所有层板厚度≥25mm,背板及其余板材厚度≥16mm，每层定制书架内高度≥35mm；                                                           </w:t>
            </w:r>
          </w:p>
          <w:p w14:paraId="5AE3B16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2.贴面：采用优质耐磨三聚氰胺浸渍面纸，防火，并具阻燃、耐磨性强、清洁方便等特点；</w:t>
            </w:r>
          </w:p>
          <w:p w14:paraId="3493F43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3.五金：优质五金件，含锁；（铰链）均具备静音缓冲阻尼功能；</w:t>
            </w:r>
          </w:p>
          <w:p w14:paraId="0D9355B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4.封边：同色PVC封边条； </w:t>
            </w:r>
          </w:p>
          <w:p w14:paraId="79FC0DD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5.成品：要求且不得出现可能产生危害的、危险性的、可触及的边部或尖端等.</w:t>
            </w:r>
          </w:p>
          <w:p w14:paraId="59BC963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6.要求：顶部封板处理；</w:t>
            </w:r>
          </w:p>
          <w:p w14:paraId="214F911C">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7.颜色：颜色可定制；</w:t>
            </w:r>
          </w:p>
        </w:tc>
        <w:tc>
          <w:tcPr>
            <w:tcW w:w="8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5FCD6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180465" cy="1323340"/>
                  <wp:effectExtent l="0" t="0" r="8255" b="2540"/>
                  <wp:docPr id="76" name="图片_68"/>
                  <wp:cNvGraphicFramePr/>
                  <a:graphic xmlns:a="http://schemas.openxmlformats.org/drawingml/2006/main">
                    <a:graphicData uri="http://schemas.openxmlformats.org/drawingml/2006/picture">
                      <pic:pic xmlns:pic="http://schemas.openxmlformats.org/drawingml/2006/picture">
                        <pic:nvPicPr>
                          <pic:cNvPr id="76" name="图片_68"/>
                          <pic:cNvPicPr/>
                        </pic:nvPicPr>
                        <pic:blipFill>
                          <a:blip r:embed="rId88">
                            <a:extLst>
                              <a:ext uri="{28A0092B-C50C-407E-A947-70E740481C1C}">
                                <a14:useLocalDpi xmlns:a14="http://schemas.microsoft.com/office/drawing/2010/main" val="0"/>
                              </a:ext>
                            </a:extLst>
                          </a:blip>
                          <a:stretch>
                            <a:fillRect/>
                          </a:stretch>
                        </pic:blipFill>
                        <pic:spPr>
                          <a:xfrm>
                            <a:off x="0" y="0"/>
                            <a:ext cx="1185108" cy="132896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0E10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4845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19D7D5CA">
        <w:tblPrEx>
          <w:tblCellMar>
            <w:top w:w="0" w:type="dxa"/>
            <w:left w:w="108" w:type="dxa"/>
            <w:bottom w:w="0" w:type="dxa"/>
            <w:right w:w="108" w:type="dxa"/>
          </w:tblCellMar>
        </w:tblPrEx>
        <w:trPr>
          <w:trHeight w:val="148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1C56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124</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7C78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定制柜（52）</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BB349">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6300*450*3000</w:t>
            </w:r>
          </w:p>
          <w:p w14:paraId="05EBE4B4">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704CC86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上中下柜开门柜*7</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6696C588">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0E739">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3C80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66A2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154C1174">
        <w:tblPrEx>
          <w:tblCellMar>
            <w:top w:w="0" w:type="dxa"/>
            <w:left w:w="108" w:type="dxa"/>
            <w:bottom w:w="0" w:type="dxa"/>
            <w:right w:w="108" w:type="dxa"/>
          </w:tblCellMar>
        </w:tblPrEx>
        <w:trPr>
          <w:trHeight w:val="343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3EC1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125</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82B9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定制柜（53）</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A359D">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6300*600*3000</w:t>
            </w:r>
          </w:p>
          <w:p w14:paraId="1E22CEFF">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6061098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上中下柜开门柜*7</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5C5EACE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1.基材：采用E0级多层板，游离甲醛释放量均达国家标准，所有层板厚度≥25mm,背板及其余板材厚度≥16mm，每层定制书架内高度≥35mm；                                                           </w:t>
            </w:r>
          </w:p>
          <w:p w14:paraId="4DC4476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2.贴面：采用优质耐磨三聚氰胺浸渍面纸，防火，并具阻燃、耐磨性强、清洁方便等特点；</w:t>
            </w:r>
          </w:p>
          <w:p w14:paraId="69E1A72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3.五金：优质五金件；（铰链）均具备静音缓冲阻尼功能；</w:t>
            </w:r>
          </w:p>
          <w:p w14:paraId="0DA4255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4.封边：同色PVC封边条； </w:t>
            </w:r>
          </w:p>
          <w:p w14:paraId="2908C22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5.成品：要求且不得出现可能产生危害的、危险性的、可触及的边部或尖端等；</w:t>
            </w:r>
          </w:p>
          <w:p w14:paraId="7723C0D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6.要求：顶部封板处理；</w:t>
            </w:r>
          </w:p>
          <w:p w14:paraId="732E5D5F">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BA099">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235075" cy="1527175"/>
                  <wp:effectExtent l="0" t="0" r="14605" b="12065"/>
                  <wp:docPr id="78" name="图片_80"/>
                  <wp:cNvGraphicFramePr/>
                  <a:graphic xmlns:a="http://schemas.openxmlformats.org/drawingml/2006/main">
                    <a:graphicData uri="http://schemas.openxmlformats.org/drawingml/2006/picture">
                      <pic:pic xmlns:pic="http://schemas.openxmlformats.org/drawingml/2006/picture">
                        <pic:nvPicPr>
                          <pic:cNvPr id="78" name="图片_80"/>
                          <pic:cNvPicPr/>
                        </pic:nvPicPr>
                        <pic:blipFill>
                          <a:blip r:embed="rId87">
                            <a:extLst>
                              <a:ext uri="{28A0092B-C50C-407E-A947-70E740481C1C}">
                                <a14:useLocalDpi xmlns:a14="http://schemas.microsoft.com/office/drawing/2010/main" val="0"/>
                              </a:ext>
                            </a:extLst>
                          </a:blip>
                          <a:stretch>
                            <a:fillRect/>
                          </a:stretch>
                        </pic:blipFill>
                        <pic:spPr>
                          <a:xfrm>
                            <a:off x="0" y="0"/>
                            <a:ext cx="1235075" cy="152717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C847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29BC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2A38ED61">
        <w:tblPrEx>
          <w:tblCellMar>
            <w:top w:w="0" w:type="dxa"/>
            <w:left w:w="108" w:type="dxa"/>
            <w:bottom w:w="0" w:type="dxa"/>
            <w:right w:w="108" w:type="dxa"/>
          </w:tblCellMar>
        </w:tblPrEx>
        <w:trPr>
          <w:trHeight w:val="343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1160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126</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AFCA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定制柜（54）</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9E2C3">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8600*450*3000</w:t>
            </w:r>
          </w:p>
          <w:p w14:paraId="36AF1749">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35BE36F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上中下柜开门柜*9</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16A5289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1.基材：采用E0级多层板，游离甲醛释放量均达国家标准，所有层板厚度≥25mm,背板及其余板材厚度≥16mm，每层定制书架内高度≥35mm；                                                           </w:t>
            </w:r>
          </w:p>
          <w:p w14:paraId="266EF34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2.贴面：采用优质耐磨三聚氰胺浸渍面纸，防火，并具阻燃、耐磨性强、清洁方便等特点；</w:t>
            </w:r>
          </w:p>
          <w:p w14:paraId="66D6E3F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3.五金：优质五金配件，含锁，（铰链）均具备静音缓冲阻尼功能；</w:t>
            </w:r>
          </w:p>
          <w:p w14:paraId="3D1A567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4.封边：同色PVC封边条； </w:t>
            </w:r>
          </w:p>
          <w:p w14:paraId="6D38FDB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5.成品：要求且不得出现可能产生危害的、危险性的、可触及的边部或尖端等；</w:t>
            </w:r>
          </w:p>
          <w:p w14:paraId="042AC08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6.要求：顶部封板处理。</w:t>
            </w:r>
          </w:p>
          <w:p w14:paraId="3E2042BF">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833BD">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282700" cy="1365250"/>
                  <wp:effectExtent l="0" t="0" r="12700" b="6350"/>
                  <wp:docPr id="82" name="图片_85"/>
                  <wp:cNvGraphicFramePr/>
                  <a:graphic xmlns:a="http://schemas.openxmlformats.org/drawingml/2006/main">
                    <a:graphicData uri="http://schemas.openxmlformats.org/drawingml/2006/picture">
                      <pic:pic xmlns:pic="http://schemas.openxmlformats.org/drawingml/2006/picture">
                        <pic:nvPicPr>
                          <pic:cNvPr id="82" name="图片_85"/>
                          <pic:cNvPicPr/>
                        </pic:nvPicPr>
                        <pic:blipFill>
                          <a:blip r:embed="rId87">
                            <a:extLst>
                              <a:ext uri="{28A0092B-C50C-407E-A947-70E740481C1C}">
                                <a14:useLocalDpi xmlns:a14="http://schemas.microsoft.com/office/drawing/2010/main" val="0"/>
                              </a:ext>
                            </a:extLst>
                          </a:blip>
                          <a:stretch>
                            <a:fillRect/>
                          </a:stretch>
                        </pic:blipFill>
                        <pic:spPr>
                          <a:xfrm>
                            <a:off x="0" y="0"/>
                            <a:ext cx="1282700" cy="136525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CEC3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F8AA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3359F792">
        <w:tblPrEx>
          <w:tblCellMar>
            <w:top w:w="0" w:type="dxa"/>
            <w:left w:w="108" w:type="dxa"/>
            <w:bottom w:w="0" w:type="dxa"/>
            <w:right w:w="108" w:type="dxa"/>
          </w:tblCellMar>
        </w:tblPrEx>
        <w:trPr>
          <w:trHeight w:val="258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9317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127</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E587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定制柜（55）</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F18CA">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7160*450*900</w:t>
            </w:r>
          </w:p>
          <w:p w14:paraId="7AE82680">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668F14D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空格柜*5，开门柜*9</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33619D1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1.基材：采用E0级多层板，游离甲醛释放量均达国家标准，所有层板及顶板厚度≥25mm,背板及其余板材厚度≥16mm，每层定制书架内高度≥35mm；                                                           </w:t>
            </w:r>
          </w:p>
          <w:p w14:paraId="41BF4E1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2.贴面：采用优质耐磨三聚氰胺浸渍面纸，防火，并具阻燃、耐磨性强、清洁方便等特点；</w:t>
            </w:r>
          </w:p>
          <w:p w14:paraId="3C1F961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3.五金：优质五金件；（铰链）均具备静音缓冲阻尼功能；</w:t>
            </w:r>
          </w:p>
          <w:p w14:paraId="197DF79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4.封边：同色PVC封边条； </w:t>
            </w:r>
          </w:p>
          <w:p w14:paraId="63162EF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5.成品：要求且不得出现可能产生危害的、危险性的、可触及的边部或尖端等；</w:t>
            </w:r>
          </w:p>
          <w:p w14:paraId="5B57FF2C">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8AD6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282700" cy="1047115"/>
                  <wp:effectExtent l="0" t="0" r="12700" b="4445"/>
                  <wp:docPr id="92" name="图片_69"/>
                  <wp:cNvGraphicFramePr/>
                  <a:graphic xmlns:a="http://schemas.openxmlformats.org/drawingml/2006/main">
                    <a:graphicData uri="http://schemas.openxmlformats.org/drawingml/2006/picture">
                      <pic:pic xmlns:pic="http://schemas.openxmlformats.org/drawingml/2006/picture">
                        <pic:nvPicPr>
                          <pic:cNvPr id="92" name="图片_69"/>
                          <pic:cNvPicPr/>
                        </pic:nvPicPr>
                        <pic:blipFill>
                          <a:blip r:embed="rId89">
                            <a:extLst>
                              <a:ext uri="{28A0092B-C50C-407E-A947-70E740481C1C}">
                                <a14:useLocalDpi xmlns:a14="http://schemas.microsoft.com/office/drawing/2010/main" val="0"/>
                              </a:ext>
                            </a:extLst>
                          </a:blip>
                          <a:stretch>
                            <a:fillRect/>
                          </a:stretch>
                        </pic:blipFill>
                        <pic:spPr>
                          <a:xfrm>
                            <a:off x="0" y="0"/>
                            <a:ext cx="1282700" cy="104711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47B1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B351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6840A063">
        <w:tblPrEx>
          <w:tblCellMar>
            <w:top w:w="0" w:type="dxa"/>
            <w:left w:w="108" w:type="dxa"/>
            <w:bottom w:w="0" w:type="dxa"/>
            <w:right w:w="108" w:type="dxa"/>
          </w:tblCellMar>
        </w:tblPrEx>
        <w:trPr>
          <w:trHeight w:val="352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D92C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128</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71C6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定制柜（56）</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B8DB1">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7160*450*3000</w:t>
            </w:r>
          </w:p>
          <w:p w14:paraId="0BBF35A3">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54830A78">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空格矮柜*4，开门矮柜*7</w:t>
            </w:r>
          </w:p>
          <w:p w14:paraId="6BB336D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上玻璃开门下木开门柜*2</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69C0715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1.基材：采用E0级多层板，游离甲醛释放量均达国家标准，所有层板厚度≥25mm背板及其余板材厚度≥16mm，,每层定制书架内高度≥35mm；                                                           </w:t>
            </w:r>
          </w:p>
          <w:p w14:paraId="393F109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2.贴面：采用优质耐磨三聚氰胺浸渍面纸，防火，并具阻燃、耐磨性强、清洁方便等特点；</w:t>
            </w:r>
          </w:p>
          <w:p w14:paraId="590354B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3.五金：优质五金件；（铰链）均具备静音缓冲阻尼功能；</w:t>
            </w:r>
          </w:p>
          <w:p w14:paraId="6597595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4.封边：同色PVC封边条； </w:t>
            </w:r>
          </w:p>
          <w:p w14:paraId="3383B9E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5.功能：含铝框玻璃门展示柜；</w:t>
            </w:r>
          </w:p>
          <w:p w14:paraId="7FC2D6D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6.成品：要求且不得出现可能产生危害的、危险性的、可触及的边部或尖端等；</w:t>
            </w:r>
          </w:p>
          <w:p w14:paraId="27B63D2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7.要求：顶部封板处理；</w:t>
            </w:r>
          </w:p>
          <w:p w14:paraId="509B69C3">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DADE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285240" cy="1141730"/>
                  <wp:effectExtent l="0" t="0" r="10160" b="1270"/>
                  <wp:docPr id="90" name="图片_70"/>
                  <wp:cNvGraphicFramePr/>
                  <a:graphic xmlns:a="http://schemas.openxmlformats.org/drawingml/2006/main">
                    <a:graphicData uri="http://schemas.openxmlformats.org/drawingml/2006/picture">
                      <pic:pic xmlns:pic="http://schemas.openxmlformats.org/drawingml/2006/picture">
                        <pic:nvPicPr>
                          <pic:cNvPr id="90" name="图片_70"/>
                          <pic:cNvPicPr/>
                        </pic:nvPicPr>
                        <pic:blipFill>
                          <a:blip r:embed="rId90">
                            <a:extLst>
                              <a:ext uri="{28A0092B-C50C-407E-A947-70E740481C1C}">
                                <a14:useLocalDpi xmlns:a14="http://schemas.microsoft.com/office/drawing/2010/main" val="0"/>
                              </a:ext>
                            </a:extLst>
                          </a:blip>
                          <a:stretch>
                            <a:fillRect/>
                          </a:stretch>
                        </pic:blipFill>
                        <pic:spPr>
                          <a:xfrm>
                            <a:off x="0" y="0"/>
                            <a:ext cx="1288185" cy="1144478"/>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E71C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DA27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40A9C457">
        <w:tblPrEx>
          <w:tblCellMar>
            <w:top w:w="0" w:type="dxa"/>
            <w:left w:w="108" w:type="dxa"/>
            <w:bottom w:w="0" w:type="dxa"/>
            <w:right w:w="108" w:type="dxa"/>
          </w:tblCellMar>
        </w:tblPrEx>
        <w:trPr>
          <w:trHeight w:val="1002" w:hRule="atLeast"/>
        </w:trPr>
        <w:tc>
          <w:tcPr>
            <w:tcW w:w="220"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57DA290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129</w:t>
            </w:r>
          </w:p>
        </w:tc>
        <w:tc>
          <w:tcPr>
            <w:tcW w:w="475" w:type="pct"/>
            <w:tcBorders>
              <w:top w:val="single" w:color="000000" w:sz="4" w:space="0"/>
              <w:left w:val="single" w:color="000000" w:sz="4" w:space="0"/>
              <w:bottom w:val="single" w:color="auto" w:sz="4" w:space="0"/>
              <w:right w:val="single" w:color="000000" w:sz="4" w:space="0"/>
            </w:tcBorders>
            <w:shd w:val="clear" w:color="auto" w:fill="auto"/>
            <w:vAlign w:val="center"/>
          </w:tcPr>
          <w:p w14:paraId="6A449D3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定制柜（57）</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636ED">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4960*450*3000</w:t>
            </w:r>
          </w:p>
          <w:p w14:paraId="6BE1657C">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34001EE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上下开门中间空格柜*5</w:t>
            </w:r>
          </w:p>
        </w:tc>
        <w:tc>
          <w:tcPr>
            <w:tcW w:w="2329" w:type="pct"/>
            <w:vMerge w:val="restart"/>
            <w:tcBorders>
              <w:top w:val="single" w:color="000000" w:sz="4" w:space="0"/>
              <w:left w:val="single" w:color="000000" w:sz="4" w:space="0"/>
              <w:bottom w:val="single" w:color="000000" w:sz="4" w:space="0"/>
              <w:right w:val="single" w:color="000000" w:sz="4" w:space="0"/>
            </w:tcBorders>
            <w:shd w:val="clear" w:color="auto" w:fill="auto"/>
          </w:tcPr>
          <w:p w14:paraId="0A264A57">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基材：采用E0级多层板，游离甲醛释放量均达国家标准，所有层板厚度≥25mm,背板及其余板材厚度≥16mm，每层定制书架内高度≥35mm；                                                           </w:t>
            </w:r>
          </w:p>
          <w:p w14:paraId="09559F6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贴面：采用优质耐磨三聚氰胺浸渍面纸，防火，并具阻燃、耐磨性强、清洁方便等特点；</w:t>
            </w:r>
          </w:p>
          <w:p w14:paraId="1F0AC6F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五金：优质五金件；（铰链）均具备静音缓冲阻尼功能；</w:t>
            </w:r>
          </w:p>
          <w:p w14:paraId="50E78EE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封边：同色PVC封边条； </w:t>
            </w:r>
          </w:p>
          <w:p w14:paraId="0748384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成品：要求且不得出现可能产生危害的、危险性的、可触及的边部或尖端等.</w:t>
            </w:r>
          </w:p>
          <w:p w14:paraId="788F1B0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要求：顶部封板处理。</w:t>
            </w:r>
          </w:p>
          <w:p w14:paraId="725177CF">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颜色：颜色可定制；</w:t>
            </w:r>
          </w:p>
        </w:tc>
        <w:tc>
          <w:tcPr>
            <w:tcW w:w="8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71FFB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982980" cy="1102995"/>
                  <wp:effectExtent l="0" t="0" r="7620" b="9525"/>
                  <wp:docPr id="86" name="图片_71"/>
                  <wp:cNvGraphicFramePr/>
                  <a:graphic xmlns:a="http://schemas.openxmlformats.org/drawingml/2006/main">
                    <a:graphicData uri="http://schemas.openxmlformats.org/drawingml/2006/picture">
                      <pic:pic xmlns:pic="http://schemas.openxmlformats.org/drawingml/2006/picture">
                        <pic:nvPicPr>
                          <pic:cNvPr id="86" name="图片_71"/>
                          <pic:cNvPicPr/>
                        </pic:nvPicPr>
                        <pic:blipFill>
                          <a:blip r:embed="rId91">
                            <a:extLst>
                              <a:ext uri="{28A0092B-C50C-407E-A947-70E740481C1C}">
                                <a14:useLocalDpi xmlns:a14="http://schemas.microsoft.com/office/drawing/2010/main" val="0"/>
                              </a:ext>
                            </a:extLst>
                          </a:blip>
                          <a:stretch>
                            <a:fillRect/>
                          </a:stretch>
                        </pic:blipFill>
                        <pic:spPr>
                          <a:xfrm>
                            <a:off x="0" y="0"/>
                            <a:ext cx="982980" cy="110299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B592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D7CD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68BD356F">
        <w:tblPrEx>
          <w:tblCellMar>
            <w:top w:w="0" w:type="dxa"/>
            <w:left w:w="108" w:type="dxa"/>
            <w:bottom w:w="0" w:type="dxa"/>
            <w:right w:w="108" w:type="dxa"/>
          </w:tblCellMar>
        </w:tblPrEx>
        <w:trPr>
          <w:trHeight w:val="1002" w:hRule="atLeast"/>
        </w:trPr>
        <w:tc>
          <w:tcPr>
            <w:tcW w:w="220"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57D719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130</w:t>
            </w:r>
          </w:p>
        </w:tc>
        <w:tc>
          <w:tcPr>
            <w:tcW w:w="475" w:type="pct"/>
            <w:tcBorders>
              <w:top w:val="single" w:color="auto" w:sz="4" w:space="0"/>
              <w:left w:val="single" w:color="000000" w:sz="4" w:space="0"/>
              <w:bottom w:val="single" w:color="auto" w:sz="4" w:space="0"/>
              <w:right w:val="single" w:color="000000" w:sz="4" w:space="0"/>
            </w:tcBorders>
            <w:shd w:val="clear" w:color="auto" w:fill="auto"/>
            <w:vAlign w:val="center"/>
          </w:tcPr>
          <w:p w14:paraId="3F7E7E04">
            <w:pPr>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定制柜（58）</w:t>
            </w:r>
          </w:p>
        </w:tc>
        <w:tc>
          <w:tcPr>
            <w:tcW w:w="826" w:type="pct"/>
            <w:tcBorders>
              <w:top w:val="single" w:color="000000" w:sz="4" w:space="0"/>
              <w:left w:val="single" w:color="000000" w:sz="4" w:space="0"/>
              <w:bottom w:val="single" w:color="auto" w:sz="4" w:space="0"/>
              <w:right w:val="single" w:color="000000" w:sz="4" w:space="0"/>
            </w:tcBorders>
            <w:shd w:val="clear" w:color="auto" w:fill="auto"/>
            <w:vAlign w:val="center"/>
          </w:tcPr>
          <w:p w14:paraId="2109851B">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4160*450*3000</w:t>
            </w:r>
          </w:p>
          <w:p w14:paraId="16C1207F">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4D2966C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上下开门中间空格柜*5</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194AF7C6">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7AA124">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5964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FF65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1A2D6B6A">
        <w:tblPrEx>
          <w:tblCellMar>
            <w:top w:w="0" w:type="dxa"/>
            <w:left w:w="108" w:type="dxa"/>
            <w:bottom w:w="0" w:type="dxa"/>
            <w:right w:w="108" w:type="dxa"/>
          </w:tblCellMar>
        </w:tblPrEx>
        <w:trPr>
          <w:trHeight w:val="2100" w:hRule="atLeast"/>
        </w:trPr>
        <w:tc>
          <w:tcPr>
            <w:tcW w:w="220"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7958D3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131</w:t>
            </w:r>
          </w:p>
        </w:tc>
        <w:tc>
          <w:tcPr>
            <w:tcW w:w="475" w:type="pct"/>
            <w:tcBorders>
              <w:top w:val="single" w:color="auto" w:sz="4" w:space="0"/>
              <w:left w:val="single" w:color="000000" w:sz="4" w:space="0"/>
              <w:bottom w:val="single" w:color="auto" w:sz="4" w:space="0"/>
              <w:right w:val="single" w:color="000000" w:sz="4" w:space="0"/>
            </w:tcBorders>
            <w:shd w:val="clear" w:color="auto" w:fill="auto"/>
            <w:vAlign w:val="center"/>
          </w:tcPr>
          <w:p w14:paraId="46B5D61A">
            <w:pPr>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定制柜（59）</w:t>
            </w:r>
          </w:p>
        </w:tc>
        <w:tc>
          <w:tcPr>
            <w:tcW w:w="826" w:type="pct"/>
            <w:tcBorders>
              <w:top w:val="single" w:color="auto" w:sz="4" w:space="0"/>
              <w:left w:val="single" w:color="000000" w:sz="4" w:space="0"/>
              <w:bottom w:val="single" w:color="auto" w:sz="4" w:space="0"/>
              <w:right w:val="single" w:color="000000" w:sz="4" w:space="0"/>
            </w:tcBorders>
            <w:shd w:val="clear" w:color="auto" w:fill="auto"/>
            <w:vAlign w:val="center"/>
          </w:tcPr>
          <w:p w14:paraId="46728FA3">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4060*450*3000</w:t>
            </w:r>
          </w:p>
          <w:p w14:paraId="5A1E8C20">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78CCE15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上下开门中间空格柜*5</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25CFABA9">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DCB66">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6B4D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9817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1F68160E">
        <w:tblPrEx>
          <w:tblCellMar>
            <w:top w:w="0" w:type="dxa"/>
            <w:left w:w="108" w:type="dxa"/>
            <w:bottom w:w="0" w:type="dxa"/>
            <w:right w:w="108" w:type="dxa"/>
          </w:tblCellMar>
        </w:tblPrEx>
        <w:trPr>
          <w:trHeight w:val="1002" w:hRule="atLeast"/>
        </w:trPr>
        <w:tc>
          <w:tcPr>
            <w:tcW w:w="220"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BB2F07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132</w:t>
            </w:r>
          </w:p>
        </w:tc>
        <w:tc>
          <w:tcPr>
            <w:tcW w:w="475" w:type="pct"/>
            <w:tcBorders>
              <w:top w:val="single" w:color="auto" w:sz="4" w:space="0"/>
              <w:left w:val="single" w:color="000000" w:sz="4" w:space="0"/>
              <w:bottom w:val="single" w:color="auto" w:sz="4" w:space="0"/>
              <w:right w:val="single" w:color="000000" w:sz="4" w:space="0"/>
            </w:tcBorders>
            <w:shd w:val="clear" w:color="auto" w:fill="auto"/>
            <w:vAlign w:val="center"/>
          </w:tcPr>
          <w:p w14:paraId="7D18B7D1">
            <w:pPr>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定制柜（60）</w:t>
            </w:r>
          </w:p>
        </w:tc>
        <w:tc>
          <w:tcPr>
            <w:tcW w:w="826" w:type="pct"/>
            <w:tcBorders>
              <w:top w:val="single" w:color="auto" w:sz="4" w:space="0"/>
              <w:left w:val="single" w:color="000000" w:sz="4" w:space="0"/>
              <w:bottom w:val="single" w:color="auto" w:sz="4" w:space="0"/>
              <w:right w:val="single" w:color="000000" w:sz="4" w:space="0"/>
            </w:tcBorders>
            <w:shd w:val="clear" w:color="auto" w:fill="auto"/>
            <w:vAlign w:val="center"/>
          </w:tcPr>
          <w:p w14:paraId="6D0C0A60">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4360*450*3000</w:t>
            </w:r>
          </w:p>
          <w:p w14:paraId="25A34DB9">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7C15B62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上下开门中间空格柜*5</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115A2FAC">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3D3AA">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F8A6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64D2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2EC00BE3">
        <w:tblPrEx>
          <w:tblCellMar>
            <w:top w:w="0" w:type="dxa"/>
            <w:left w:w="108" w:type="dxa"/>
            <w:bottom w:w="0" w:type="dxa"/>
            <w:right w:w="108" w:type="dxa"/>
          </w:tblCellMar>
        </w:tblPrEx>
        <w:trPr>
          <w:trHeight w:val="1002" w:hRule="atLeast"/>
        </w:trPr>
        <w:tc>
          <w:tcPr>
            <w:tcW w:w="220"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B78A46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133</w:t>
            </w:r>
          </w:p>
        </w:tc>
        <w:tc>
          <w:tcPr>
            <w:tcW w:w="475" w:type="pct"/>
            <w:tcBorders>
              <w:top w:val="single" w:color="auto" w:sz="4" w:space="0"/>
              <w:left w:val="single" w:color="000000" w:sz="4" w:space="0"/>
              <w:bottom w:val="single" w:color="auto" w:sz="4" w:space="0"/>
              <w:right w:val="single" w:color="000000" w:sz="4" w:space="0"/>
            </w:tcBorders>
            <w:shd w:val="clear" w:color="auto" w:fill="auto"/>
            <w:vAlign w:val="center"/>
          </w:tcPr>
          <w:p w14:paraId="62682DE1">
            <w:pPr>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定制柜（61）</w:t>
            </w:r>
          </w:p>
        </w:tc>
        <w:tc>
          <w:tcPr>
            <w:tcW w:w="826" w:type="pct"/>
            <w:tcBorders>
              <w:top w:val="single" w:color="auto" w:sz="4" w:space="0"/>
              <w:left w:val="single" w:color="000000" w:sz="4" w:space="0"/>
              <w:bottom w:val="single" w:color="auto" w:sz="4" w:space="0"/>
              <w:right w:val="single" w:color="000000" w:sz="4" w:space="0"/>
            </w:tcBorders>
            <w:shd w:val="clear" w:color="auto" w:fill="auto"/>
            <w:vAlign w:val="center"/>
          </w:tcPr>
          <w:p w14:paraId="5B321D42">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7200*450*3000</w:t>
            </w:r>
          </w:p>
          <w:p w14:paraId="23A27B43">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09CC1A8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上下开门中间空格柜*8</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42FB36EF">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40106">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85FE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9C16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4D788ECC">
        <w:tblPrEx>
          <w:tblCellMar>
            <w:top w:w="0" w:type="dxa"/>
            <w:left w:w="108" w:type="dxa"/>
            <w:bottom w:w="0" w:type="dxa"/>
            <w:right w:w="108" w:type="dxa"/>
          </w:tblCellMar>
        </w:tblPrEx>
        <w:trPr>
          <w:trHeight w:val="1002" w:hRule="atLeast"/>
        </w:trPr>
        <w:tc>
          <w:tcPr>
            <w:tcW w:w="220"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551547D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134</w:t>
            </w:r>
          </w:p>
        </w:tc>
        <w:tc>
          <w:tcPr>
            <w:tcW w:w="475" w:type="pct"/>
            <w:tcBorders>
              <w:top w:val="single" w:color="auto" w:sz="4" w:space="0"/>
              <w:left w:val="single" w:color="000000" w:sz="4" w:space="0"/>
              <w:bottom w:val="single" w:color="000000" w:sz="4" w:space="0"/>
              <w:right w:val="single" w:color="000000" w:sz="4" w:space="0"/>
            </w:tcBorders>
            <w:shd w:val="clear" w:color="auto" w:fill="auto"/>
            <w:vAlign w:val="center"/>
          </w:tcPr>
          <w:p w14:paraId="36423AC2">
            <w:pPr>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定制柜（62）</w:t>
            </w:r>
          </w:p>
        </w:tc>
        <w:tc>
          <w:tcPr>
            <w:tcW w:w="826" w:type="pct"/>
            <w:tcBorders>
              <w:top w:val="single" w:color="auto" w:sz="4" w:space="0"/>
              <w:left w:val="single" w:color="000000" w:sz="4" w:space="0"/>
              <w:bottom w:val="single" w:color="000000" w:sz="4" w:space="0"/>
              <w:right w:val="single" w:color="000000" w:sz="4" w:space="0"/>
            </w:tcBorders>
            <w:shd w:val="clear" w:color="auto" w:fill="auto"/>
            <w:vAlign w:val="center"/>
          </w:tcPr>
          <w:p w14:paraId="3B8BEC30">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3600*450*3000</w:t>
            </w:r>
          </w:p>
          <w:p w14:paraId="6DCD184F">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228C17A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上下开门中间空格柜*4</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7F85B5B6">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671DC3">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161E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8C10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67489809">
        <w:tblPrEx>
          <w:tblCellMar>
            <w:top w:w="0" w:type="dxa"/>
            <w:left w:w="108" w:type="dxa"/>
            <w:bottom w:w="0" w:type="dxa"/>
            <w:right w:w="108" w:type="dxa"/>
          </w:tblCellMar>
        </w:tblPrEx>
        <w:trPr>
          <w:trHeight w:val="373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BB16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135</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4F20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定制组合柜（1）</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41FDE">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7020*450*3000</w:t>
            </w:r>
          </w:p>
          <w:p w14:paraId="54ADC89E">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3812C50E">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双开通门柜*1</w:t>
            </w:r>
          </w:p>
          <w:p w14:paraId="78D1031F">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中间空格上下开门柜*1</w:t>
            </w:r>
          </w:p>
          <w:p w14:paraId="684DD67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其余为组合书柜</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28A4F26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1.基材：采用E0级多层板，游离甲醛释放量均达国家标准，所有层板厚度≥25mm,每层定制书架内高度≥35mm；                                                           </w:t>
            </w:r>
          </w:p>
          <w:p w14:paraId="699D396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2.面材：采用优质天然实木木皮贴面，木皮厚度≥0.6mm；</w:t>
            </w:r>
          </w:p>
          <w:p w14:paraId="4B640B6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3.油漆：油性木器涂料涂饰，采用五底三面涂饰工艺，符合国家标准；</w:t>
            </w:r>
          </w:p>
          <w:p w14:paraId="7687A5D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4.胶水：采用环保白乳胶；</w:t>
            </w:r>
          </w:p>
          <w:p w14:paraId="6431096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5.配件：优质五金配件；（铰链）均具备静音缓冲阻尼功能；</w:t>
            </w:r>
          </w:p>
          <w:p w14:paraId="3C2DC38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6.定制需求：需结合展陈对柜体进行优化；</w:t>
            </w:r>
          </w:p>
          <w:p w14:paraId="6F9DD25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7.工艺要求：1.空格柜四周围板厚度≥25mm，板材45°拼接；装饰板厚度≥5mm；支撑脚厚度≥36mm；背板及其余厚度均≥16mm.，所有三合一连接件部分均需近色美纹纸隐蔽处理，中间空格需安装射灯；</w:t>
            </w:r>
          </w:p>
          <w:p w14:paraId="4BE9DC0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8.成品：要求且不得出现可能产生危害的、危险性的、可触及的边部或尖端等.</w:t>
            </w:r>
          </w:p>
          <w:p w14:paraId="1DD9373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9.要求：顶部封板处理；</w:t>
            </w:r>
          </w:p>
          <w:p w14:paraId="4C6635FC">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AD10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189990" cy="1085215"/>
                  <wp:effectExtent l="0" t="0" r="13970" b="12065"/>
                  <wp:docPr id="87" name="图片_138"/>
                  <wp:cNvGraphicFramePr/>
                  <a:graphic xmlns:a="http://schemas.openxmlformats.org/drawingml/2006/main">
                    <a:graphicData uri="http://schemas.openxmlformats.org/drawingml/2006/picture">
                      <pic:pic xmlns:pic="http://schemas.openxmlformats.org/drawingml/2006/picture">
                        <pic:nvPicPr>
                          <pic:cNvPr id="87" name="图片_138"/>
                          <pic:cNvPicPr/>
                        </pic:nvPicPr>
                        <pic:blipFill>
                          <a:blip r:embed="rId92">
                            <a:extLst>
                              <a:ext uri="{28A0092B-C50C-407E-A947-70E740481C1C}">
                                <a14:useLocalDpi xmlns:a14="http://schemas.microsoft.com/office/drawing/2010/main" val="0"/>
                              </a:ext>
                            </a:extLst>
                          </a:blip>
                          <a:stretch>
                            <a:fillRect/>
                          </a:stretch>
                        </pic:blipFill>
                        <pic:spPr>
                          <a:xfrm>
                            <a:off x="0" y="0"/>
                            <a:ext cx="1191413" cy="1086402"/>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A6BC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31C4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5DF00337">
        <w:tblPrEx>
          <w:tblCellMar>
            <w:top w:w="0" w:type="dxa"/>
            <w:left w:w="108" w:type="dxa"/>
            <w:bottom w:w="0" w:type="dxa"/>
            <w:right w:w="108" w:type="dxa"/>
          </w:tblCellMar>
        </w:tblPrEx>
        <w:trPr>
          <w:trHeight w:val="384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0E6F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136</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209F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定制组合柜（2）</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4EBAF">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1800*450*3000</w:t>
            </w:r>
          </w:p>
          <w:p w14:paraId="0E056868">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33DC74A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双面空格柜</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3407D7F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1.基材：采用E0级多层板，游离甲醛释放量均达国家标准，所有层板厚度≥25mm,每层定制书架内高度≥35mm；                                                           </w:t>
            </w:r>
          </w:p>
          <w:p w14:paraId="28CF37C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2.面材：采用优质天然实木木皮贴面，木皮厚度≥0.6mm；</w:t>
            </w:r>
          </w:p>
          <w:p w14:paraId="404C765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3.油漆：油性木器涂料涂饰，采用五底三面涂饰工艺，符合国家标准；</w:t>
            </w:r>
          </w:p>
          <w:p w14:paraId="0F49EB7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4.胶水：采用环保白乳胶；</w:t>
            </w:r>
          </w:p>
          <w:p w14:paraId="65D3160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5.配件：优质五金配件；（铰链）均具备静音缓冲阻尼功能；</w:t>
            </w:r>
          </w:p>
          <w:p w14:paraId="7A3097D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6.定制需求：需结合展陈对柜体进行优化；</w:t>
            </w:r>
          </w:p>
          <w:p w14:paraId="735A2F0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7.工艺要求：1.空格柜四周围板厚度≥25mm，板材45°拼接；.装饰板厚度≥5mm；支撑脚厚度≥36mm；移门厚度≥8mm；其余厚度均≥16mm.，所有三合一连接件部分均需近色美纹纸隐蔽处理；</w:t>
            </w:r>
          </w:p>
          <w:p w14:paraId="6AB0756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8.成品：要求且不得出现可能产生危害的、危险性的、可触及的边部或尖端等；</w:t>
            </w:r>
          </w:p>
          <w:p w14:paraId="5D8B652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9.要求：顶部封板处理；</w:t>
            </w:r>
          </w:p>
          <w:p w14:paraId="06B33629">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A548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948055" cy="1502410"/>
                  <wp:effectExtent l="0" t="0" r="12065" b="6350"/>
                  <wp:docPr id="88" name="图片_136"/>
                  <wp:cNvGraphicFramePr/>
                  <a:graphic xmlns:a="http://schemas.openxmlformats.org/drawingml/2006/main">
                    <a:graphicData uri="http://schemas.openxmlformats.org/drawingml/2006/picture">
                      <pic:pic xmlns:pic="http://schemas.openxmlformats.org/drawingml/2006/picture">
                        <pic:nvPicPr>
                          <pic:cNvPr id="88" name="图片_136"/>
                          <pic:cNvPicPr/>
                        </pic:nvPicPr>
                        <pic:blipFill>
                          <a:blip r:embed="rId93">
                            <a:extLst>
                              <a:ext uri="{28A0092B-C50C-407E-A947-70E740481C1C}">
                                <a14:useLocalDpi xmlns:a14="http://schemas.microsoft.com/office/drawing/2010/main" val="0"/>
                              </a:ext>
                            </a:extLst>
                          </a:blip>
                          <a:stretch>
                            <a:fillRect/>
                          </a:stretch>
                        </pic:blipFill>
                        <pic:spPr>
                          <a:xfrm>
                            <a:off x="0" y="0"/>
                            <a:ext cx="948055" cy="150241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379D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F9D7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114E3886">
        <w:tblPrEx>
          <w:tblCellMar>
            <w:top w:w="0" w:type="dxa"/>
            <w:left w:w="108" w:type="dxa"/>
            <w:bottom w:w="0" w:type="dxa"/>
            <w:right w:w="108" w:type="dxa"/>
          </w:tblCellMar>
        </w:tblPrEx>
        <w:trPr>
          <w:trHeight w:val="234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6057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137</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9D5F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定制组合柜（3）</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A19E7">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2690*450*3000</w:t>
            </w:r>
          </w:p>
          <w:p w14:paraId="14D34721">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514AD27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上空格下开门*3</w:t>
            </w:r>
          </w:p>
        </w:tc>
        <w:tc>
          <w:tcPr>
            <w:tcW w:w="2329" w:type="pct"/>
            <w:vMerge w:val="restart"/>
            <w:tcBorders>
              <w:top w:val="single" w:color="000000" w:sz="4" w:space="0"/>
              <w:left w:val="single" w:color="000000" w:sz="4" w:space="0"/>
              <w:bottom w:val="single" w:color="000000" w:sz="4" w:space="0"/>
              <w:right w:val="single" w:color="000000" w:sz="4" w:space="0"/>
            </w:tcBorders>
            <w:shd w:val="clear" w:color="auto" w:fill="auto"/>
          </w:tcPr>
          <w:p w14:paraId="5F1C14C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1.基材：采用E0级多层板，游离甲醛释放量均达国家标准，所有层板厚度≥25mm,每层定制书架内高度≥35mm；                                                           </w:t>
            </w:r>
          </w:p>
          <w:p w14:paraId="28C0A81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2.面材：采用优质天然实木木皮贴面，木皮厚度≥0.6mm；</w:t>
            </w:r>
          </w:p>
          <w:p w14:paraId="6A58473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3.油漆：油性木器涂料涂饰，采用五底三面涂饰工艺，符合国家标准；</w:t>
            </w:r>
          </w:p>
          <w:p w14:paraId="494E164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4.胶水：采用环保白乳胶；</w:t>
            </w:r>
          </w:p>
          <w:p w14:paraId="73162AD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5.配件：优质五金配件；（铰链）均具备静音缓冲阻尼功能；</w:t>
            </w:r>
          </w:p>
          <w:p w14:paraId="25D2EBB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6.定制需求：需结合展陈对柜体进行优化；</w:t>
            </w:r>
          </w:p>
          <w:p w14:paraId="40B6FA6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7.工艺要求：1.空格柜四周围板厚度≥25mm，板材45°拼接；.装饰板厚度≥5mm；支撑脚厚度≥36mm；背板及其余厚度均≥16mm.，所有三合一连接件部分均需近色美纹纸隐蔽处理；</w:t>
            </w:r>
          </w:p>
          <w:p w14:paraId="24E3BFB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8.成品：要求且不得出现可能产生危害的、危险性的、可触及的边部或尖端等；</w:t>
            </w:r>
          </w:p>
          <w:p w14:paraId="34065E5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9.要求：顶部封板处理；</w:t>
            </w:r>
          </w:p>
          <w:p w14:paraId="1EEE6250">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10.颜色：颜色可定制；</w:t>
            </w:r>
          </w:p>
        </w:tc>
        <w:tc>
          <w:tcPr>
            <w:tcW w:w="8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7C092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968375" cy="962025"/>
                  <wp:effectExtent l="0" t="0" r="6985" b="13335"/>
                  <wp:docPr id="79" name="图片_139"/>
                  <wp:cNvGraphicFramePr/>
                  <a:graphic xmlns:a="http://schemas.openxmlformats.org/drawingml/2006/main">
                    <a:graphicData uri="http://schemas.openxmlformats.org/drawingml/2006/picture">
                      <pic:pic xmlns:pic="http://schemas.openxmlformats.org/drawingml/2006/picture">
                        <pic:nvPicPr>
                          <pic:cNvPr id="79" name="图片_139"/>
                          <pic:cNvPicPr/>
                        </pic:nvPicPr>
                        <pic:blipFill>
                          <a:blip r:embed="rId94">
                            <a:extLst>
                              <a:ext uri="{28A0092B-C50C-407E-A947-70E740481C1C}">
                                <a14:useLocalDpi xmlns:a14="http://schemas.microsoft.com/office/drawing/2010/main" val="0"/>
                              </a:ext>
                            </a:extLst>
                          </a:blip>
                          <a:stretch>
                            <a:fillRect/>
                          </a:stretch>
                        </pic:blipFill>
                        <pic:spPr>
                          <a:xfrm>
                            <a:off x="0" y="0"/>
                            <a:ext cx="968375" cy="96202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F7C4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5258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03685FFA">
        <w:tblPrEx>
          <w:tblCellMar>
            <w:top w:w="0" w:type="dxa"/>
            <w:left w:w="108" w:type="dxa"/>
            <w:bottom w:w="0" w:type="dxa"/>
            <w:right w:w="108" w:type="dxa"/>
          </w:tblCellMar>
        </w:tblPrEx>
        <w:trPr>
          <w:trHeight w:val="196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3481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138</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5731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定制组合柜（4）</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1556B">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2410*450*3000</w:t>
            </w:r>
          </w:p>
          <w:p w14:paraId="73A43DEF">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5205598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上空格下开门*3</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6D40B961">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3199B">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7003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C272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27CF8493">
        <w:tblPrEx>
          <w:tblCellMar>
            <w:top w:w="0" w:type="dxa"/>
            <w:left w:w="108" w:type="dxa"/>
            <w:bottom w:w="0" w:type="dxa"/>
            <w:right w:w="108" w:type="dxa"/>
          </w:tblCellMar>
        </w:tblPrEx>
        <w:trPr>
          <w:trHeight w:val="480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C143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139</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3C81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定制组合柜（5）</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13747">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6510*450*3000</w:t>
            </w:r>
          </w:p>
          <w:p w14:paraId="42DD4F38">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35AAD43C">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上下开门中间空格*4</w:t>
            </w:r>
          </w:p>
          <w:p w14:paraId="272E5DB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上下开门中间大空格*1</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741C879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1.基材：采用E0级多层板，游离甲醛释放量均达国家标准，所有层板厚度≥25mm,每层定制书架内高度≥35mm；                                                           </w:t>
            </w:r>
          </w:p>
          <w:p w14:paraId="1F03C67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2.面材：采用优质天然实木木皮贴面，木皮厚度≥0.6mm；</w:t>
            </w:r>
          </w:p>
          <w:p w14:paraId="7718B4D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3.油漆：油性木器涂料涂饰，采用五底三面涂饰工艺，符合国家标准；</w:t>
            </w:r>
          </w:p>
          <w:p w14:paraId="1AB15A0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4.胶水：采用环保白乳胶；</w:t>
            </w:r>
          </w:p>
          <w:p w14:paraId="057EFEE7">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5.配件：优质五金配件；（铰链）均具备静音缓冲阻尼功能；</w:t>
            </w:r>
          </w:p>
          <w:p w14:paraId="7E8CAF5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6.定制需求：需结合展陈对柜体进行优化；</w:t>
            </w:r>
          </w:p>
          <w:p w14:paraId="6487DFB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7.工艺要求：1.空格柜四周围板厚度≥25mm，板材45°拼接；.装饰板厚度≥5mm；支撑脚厚度≥36mm；.其余厚度均≥16mm.，所有三合一连接件部分均需近色美纹纸隐蔽处理，中间空格需安装射灯；</w:t>
            </w:r>
          </w:p>
          <w:p w14:paraId="1089766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8.成品：要求且不得出现可能产生危害的、危险性的、可触及的边部或尖端等；</w:t>
            </w:r>
          </w:p>
          <w:p w14:paraId="0159F97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9.要求：顶部封板处理；</w:t>
            </w:r>
          </w:p>
          <w:p w14:paraId="1DF03C5E">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86B4B">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241425" cy="783590"/>
                  <wp:effectExtent l="0" t="0" r="8255" b="8890"/>
                  <wp:docPr id="98" name="图片_137"/>
                  <wp:cNvGraphicFramePr/>
                  <a:graphic xmlns:a="http://schemas.openxmlformats.org/drawingml/2006/main">
                    <a:graphicData uri="http://schemas.openxmlformats.org/drawingml/2006/picture">
                      <pic:pic xmlns:pic="http://schemas.openxmlformats.org/drawingml/2006/picture">
                        <pic:nvPicPr>
                          <pic:cNvPr id="98" name="图片_137"/>
                          <pic:cNvPicPr/>
                        </pic:nvPicPr>
                        <pic:blipFill>
                          <a:blip r:embed="rId95">
                            <a:extLst>
                              <a:ext uri="{28A0092B-C50C-407E-A947-70E740481C1C}">
                                <a14:useLocalDpi xmlns:a14="http://schemas.microsoft.com/office/drawing/2010/main" val="0"/>
                              </a:ext>
                            </a:extLst>
                          </a:blip>
                          <a:stretch>
                            <a:fillRect/>
                          </a:stretch>
                        </pic:blipFill>
                        <pic:spPr>
                          <a:xfrm>
                            <a:off x="0" y="0"/>
                            <a:ext cx="1251002" cy="790227"/>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F3C6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32A9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4D028AEF">
        <w:tblPrEx>
          <w:tblCellMar>
            <w:top w:w="0" w:type="dxa"/>
            <w:left w:w="108" w:type="dxa"/>
            <w:bottom w:w="0" w:type="dxa"/>
            <w:right w:w="108" w:type="dxa"/>
          </w:tblCellMar>
        </w:tblPrEx>
        <w:trPr>
          <w:trHeight w:val="354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FD26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140</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621F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客厅背景柜</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08F6F">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4030*450*3000</w:t>
            </w:r>
          </w:p>
          <w:p w14:paraId="2AC6F5EF">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（以现场实际测量为准）</w:t>
            </w:r>
          </w:p>
          <w:p w14:paraId="16001783">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上空格下开门*1</w:t>
            </w:r>
          </w:p>
          <w:p w14:paraId="34F9054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全空格柜*2</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0B7BE19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1.基材：采用E0级多层板，游离甲醛释放量均达国家标准，所有层板及隔板厚度≥25mm,背板及其余板材厚度≥16mm，每层定制书架内高度≥35mm；                                                           </w:t>
            </w:r>
          </w:p>
          <w:p w14:paraId="027526C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2.面材：采用优质天然实木木皮贴面，木皮厚度≥0.6mm；</w:t>
            </w:r>
          </w:p>
          <w:p w14:paraId="39F4785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3.油漆：油性木器涂料涂饰，采用五底三面涂饰工艺，符合国家标准；</w:t>
            </w:r>
          </w:p>
          <w:p w14:paraId="31D29F3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4.胶水：采用环保白乳胶；</w:t>
            </w:r>
          </w:p>
          <w:p w14:paraId="138E3DD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5.配件：优质五金配件；（铰链）均具备静音缓冲阻尼功能；</w:t>
            </w:r>
          </w:p>
          <w:p w14:paraId="18CE689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6.定制需求：需结合现场电视对柜体进行优化；</w:t>
            </w:r>
          </w:p>
          <w:p w14:paraId="2F02701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7.成品：要求且不得出现可能产生危害的、危险性的、可触及的边部或尖端等；</w:t>
            </w:r>
          </w:p>
          <w:p w14:paraId="3518C168">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2B2AB">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159510" cy="1338580"/>
                  <wp:effectExtent l="0" t="0" r="13970" b="2540"/>
                  <wp:docPr id="96" name="图片_74"/>
                  <wp:cNvGraphicFramePr/>
                  <a:graphic xmlns:a="http://schemas.openxmlformats.org/drawingml/2006/main">
                    <a:graphicData uri="http://schemas.openxmlformats.org/drawingml/2006/picture">
                      <pic:pic xmlns:pic="http://schemas.openxmlformats.org/drawingml/2006/picture">
                        <pic:nvPicPr>
                          <pic:cNvPr id="96" name="图片_74"/>
                          <pic:cNvPicPr/>
                        </pic:nvPicPr>
                        <pic:blipFill>
                          <a:blip r:embed="rId96">
                            <a:extLst>
                              <a:ext uri="{28A0092B-C50C-407E-A947-70E740481C1C}">
                                <a14:useLocalDpi xmlns:a14="http://schemas.microsoft.com/office/drawing/2010/main" val="0"/>
                              </a:ext>
                            </a:extLst>
                          </a:blip>
                          <a:stretch>
                            <a:fillRect/>
                          </a:stretch>
                        </pic:blipFill>
                        <pic:spPr>
                          <a:xfrm>
                            <a:off x="0" y="0"/>
                            <a:ext cx="1163198" cy="1342201"/>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CE87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17</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0289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6ED4FFC1">
        <w:tblPrEx>
          <w:tblCellMar>
            <w:top w:w="0" w:type="dxa"/>
            <w:left w:w="108" w:type="dxa"/>
            <w:bottom w:w="0" w:type="dxa"/>
            <w:right w:w="108" w:type="dxa"/>
          </w:tblCellMar>
        </w:tblPrEx>
        <w:trPr>
          <w:trHeight w:val="271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031A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141</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9437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书椅</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836D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650*580*900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2BA86F4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1.框架：采用优质白蜡木实木制作，所有木材都进行烘干及防蛀处理，木材含水率8-12%；无腐朽、无虫眼、无死结；</w:t>
            </w:r>
          </w:p>
          <w:p w14:paraId="31744E2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2油漆：采用水性漆；</w:t>
            </w:r>
          </w:p>
          <w:p w14:paraId="540EFF22">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26808">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927735" cy="1301115"/>
                  <wp:effectExtent l="0" t="0" r="1905" b="9525"/>
                  <wp:docPr id="80" name="图片_84"/>
                  <wp:cNvGraphicFramePr/>
                  <a:graphic xmlns:a="http://schemas.openxmlformats.org/drawingml/2006/main">
                    <a:graphicData uri="http://schemas.openxmlformats.org/drawingml/2006/picture">
                      <pic:pic xmlns:pic="http://schemas.openxmlformats.org/drawingml/2006/picture">
                        <pic:nvPicPr>
                          <pic:cNvPr id="80" name="图片_84"/>
                          <pic:cNvPicPr/>
                        </pic:nvPicPr>
                        <pic:blipFill>
                          <a:blip r:embed="rId97">
                            <a:extLst>
                              <a:ext uri="{28A0092B-C50C-407E-A947-70E740481C1C}">
                                <a14:useLocalDpi xmlns:a14="http://schemas.microsoft.com/office/drawing/2010/main" val="0"/>
                              </a:ext>
                            </a:extLst>
                          </a:blip>
                          <a:stretch>
                            <a:fillRect/>
                          </a:stretch>
                        </pic:blipFill>
                        <pic:spPr>
                          <a:xfrm>
                            <a:off x="0" y="0"/>
                            <a:ext cx="927735" cy="130111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ADD2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17</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8E58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5D266981">
        <w:tblPrEx>
          <w:tblCellMar>
            <w:top w:w="0" w:type="dxa"/>
            <w:left w:w="108" w:type="dxa"/>
            <w:bottom w:w="0" w:type="dxa"/>
            <w:right w:w="108" w:type="dxa"/>
          </w:tblCellMar>
        </w:tblPrEx>
        <w:trPr>
          <w:trHeight w:val="319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4772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142</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2EB1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展台</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ABCC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3000*1200*760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34886FA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1.基材：原木部件均采用白蜡木原木.表面采用环保水性清漆处理，三底两面，漆膜均匀、饱满.桌面板厚度≥60mm</w:t>
            </w:r>
          </w:p>
          <w:p w14:paraId="413F7DF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2.封边：采用环保水性漆处理，木质纹理清晰可见，无明显黑色结疤或残缺；</w:t>
            </w:r>
          </w:p>
          <w:p w14:paraId="764DEEB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3.成品：要求且不得出现可能产生危害的、危险性的、可触及的边部或尖端等.棱角及边缘部位经倒圆或倒角处理；                    </w:t>
            </w:r>
          </w:p>
          <w:p w14:paraId="338EA36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4工艺要求：桌面厚度≥60mm;支撑脚厚度≥40mm;挡板厚度≥16mm；</w:t>
            </w:r>
          </w:p>
          <w:p w14:paraId="4CB80FB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5.根据图纸需进行组合结构设计，整体设计需植入“天元”相关元素.</w:t>
            </w:r>
          </w:p>
          <w:p w14:paraId="77E6A215">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6.颜色：颜色可定制；</w:t>
            </w:r>
          </w:p>
        </w:tc>
        <w:tc>
          <w:tcPr>
            <w:tcW w:w="8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5D4ED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83945" cy="1353820"/>
                  <wp:effectExtent l="0" t="0" r="13335" b="2540"/>
                  <wp:docPr id="101" name="图片_82"/>
                  <wp:cNvGraphicFramePr/>
                  <a:graphic xmlns:a="http://schemas.openxmlformats.org/drawingml/2006/main">
                    <a:graphicData uri="http://schemas.openxmlformats.org/drawingml/2006/picture">
                      <pic:pic xmlns:pic="http://schemas.openxmlformats.org/drawingml/2006/picture">
                        <pic:nvPicPr>
                          <pic:cNvPr id="101" name="图片_82"/>
                          <pic:cNvPicPr/>
                        </pic:nvPicPr>
                        <pic:blipFill>
                          <a:blip r:embed="rId98">
                            <a:extLst>
                              <a:ext uri="{28A0092B-C50C-407E-A947-70E740481C1C}">
                                <a14:useLocalDpi xmlns:a14="http://schemas.microsoft.com/office/drawing/2010/main" val="0"/>
                              </a:ext>
                            </a:extLst>
                          </a:blip>
                          <a:stretch>
                            <a:fillRect/>
                          </a:stretch>
                        </pic:blipFill>
                        <pic:spPr>
                          <a:xfrm>
                            <a:off x="0" y="0"/>
                            <a:ext cx="1083945" cy="135382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9770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0966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4C1B4A10">
        <w:tblPrEx>
          <w:tblCellMar>
            <w:top w:w="0" w:type="dxa"/>
            <w:left w:w="108" w:type="dxa"/>
            <w:bottom w:w="0" w:type="dxa"/>
            <w:right w:w="108" w:type="dxa"/>
          </w:tblCellMar>
        </w:tblPrEx>
        <w:trPr>
          <w:trHeight w:val="319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EB81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143</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06EB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座椅</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EFAE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575*570*790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787446B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1.框架：采用优质白蜡木实木制作，所有木材都进行烘干及防蛀处理，木材含水率8-12%；无腐朽、无虫眼、无死结；</w:t>
            </w:r>
          </w:p>
          <w:p w14:paraId="24771E9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2.饰面：采用优质牛皮饰面，厚度≥1.0mm，经液态浸色及防潮、防污等工艺处理，皮面更加柔软舒适、光泽持久性好，纹理细腻，耐磨损；</w:t>
            </w:r>
          </w:p>
          <w:p w14:paraId="1833BE9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3.油漆：采用水性漆；</w:t>
            </w:r>
          </w:p>
          <w:p w14:paraId="23EB4FF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4.海绵：采用优质高弹阻燃海绵，软硬适中、不变形、回弹性好、抗疲劳能力强、坐感舒适.表面涂有防止老化变形的保护膜；</w:t>
            </w:r>
          </w:p>
          <w:p w14:paraId="108D0551">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28182">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CC2A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3E97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030D05B6">
        <w:tblPrEx>
          <w:tblCellMar>
            <w:top w:w="0" w:type="dxa"/>
            <w:left w:w="108" w:type="dxa"/>
            <w:bottom w:w="0" w:type="dxa"/>
            <w:right w:w="108" w:type="dxa"/>
          </w:tblCellMar>
        </w:tblPrEx>
        <w:trPr>
          <w:trHeight w:val="150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7790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144</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8902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阅览桌（1）</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1606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2400*1200*760</w:t>
            </w:r>
          </w:p>
        </w:tc>
        <w:tc>
          <w:tcPr>
            <w:tcW w:w="2329" w:type="pct"/>
            <w:vMerge w:val="restart"/>
            <w:tcBorders>
              <w:top w:val="single" w:color="000000" w:sz="4" w:space="0"/>
              <w:left w:val="single" w:color="000000" w:sz="4" w:space="0"/>
              <w:bottom w:val="single" w:color="000000" w:sz="4" w:space="0"/>
              <w:right w:val="single" w:color="000000" w:sz="4" w:space="0"/>
            </w:tcBorders>
            <w:shd w:val="clear" w:color="auto" w:fill="auto"/>
          </w:tcPr>
          <w:p w14:paraId="798DF6D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1.基材：原木部件均采用白蜡木原木.表面采用环保水性清漆处理，三底两面，漆膜均匀、饱满.桌面板厚度≥60mm</w:t>
            </w:r>
          </w:p>
          <w:p w14:paraId="28FE25C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2.封边：采用环保水性漆处理，木质纹理清晰可见，无明显黑色结疤或残缺；</w:t>
            </w:r>
          </w:p>
          <w:p w14:paraId="745AF3F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3.成品：要求且不得出现可能产生危害的、危险性的、可触及的边部或尖端等.棱角及边缘部位经倒圆或倒角处理，桌面厚度≥60mm;支撑脚厚度≥40mm;</w:t>
            </w:r>
          </w:p>
          <w:p w14:paraId="471AAC13">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4.颜色：颜色可定制；</w:t>
            </w:r>
          </w:p>
        </w:tc>
        <w:tc>
          <w:tcPr>
            <w:tcW w:w="8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55CC1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923290" cy="743585"/>
                  <wp:effectExtent l="0" t="0" r="6350" b="3175"/>
                  <wp:docPr id="102" name="图片_83"/>
                  <wp:cNvGraphicFramePr/>
                  <a:graphic xmlns:a="http://schemas.openxmlformats.org/drawingml/2006/main">
                    <a:graphicData uri="http://schemas.openxmlformats.org/drawingml/2006/picture">
                      <pic:pic xmlns:pic="http://schemas.openxmlformats.org/drawingml/2006/picture">
                        <pic:nvPicPr>
                          <pic:cNvPr id="102" name="图片_83"/>
                          <pic:cNvPicPr/>
                        </pic:nvPicPr>
                        <pic:blipFill>
                          <a:blip r:embed="rId99">
                            <a:extLst>
                              <a:ext uri="{28A0092B-C50C-407E-A947-70E740481C1C}">
                                <a14:useLocalDpi xmlns:a14="http://schemas.microsoft.com/office/drawing/2010/main" val="0"/>
                              </a:ext>
                            </a:extLst>
                          </a:blip>
                          <a:stretch>
                            <a:fillRect/>
                          </a:stretch>
                        </pic:blipFill>
                        <pic:spPr>
                          <a:xfrm>
                            <a:off x="0" y="0"/>
                            <a:ext cx="926804" cy="746634"/>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B98F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24</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4749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3A1DF468">
        <w:tblPrEx>
          <w:tblCellMar>
            <w:top w:w="0" w:type="dxa"/>
            <w:left w:w="108" w:type="dxa"/>
            <w:bottom w:w="0" w:type="dxa"/>
            <w:right w:w="108" w:type="dxa"/>
          </w:tblCellMar>
        </w:tblPrEx>
        <w:trPr>
          <w:trHeight w:val="139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9D93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145</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7807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阅览桌（2）</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8D6F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3900*1200*760</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0CF55F77">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7BD95">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69D6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7729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4FF76E5E">
        <w:tblPrEx>
          <w:tblCellMar>
            <w:top w:w="0" w:type="dxa"/>
            <w:left w:w="108" w:type="dxa"/>
            <w:bottom w:w="0" w:type="dxa"/>
            <w:right w:w="108" w:type="dxa"/>
          </w:tblCellMar>
        </w:tblPrEx>
        <w:trPr>
          <w:trHeight w:val="256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003F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146</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623E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阅览椅</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3F82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450*450*810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4E3249E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1.框架：采用优质白蜡木原木制作，所有木材都进行烘干及防蛀处理，木材含水率8-12%；无腐朽、无虫眼、无死结；</w:t>
            </w:r>
          </w:p>
          <w:p w14:paraId="16A97CE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2.饰面：采用优质牛皮饰面，厚度≥1.0mm，经液态浸色及防潮、防污等工艺处理，皮面更加柔软舒适、光泽持久性好，纹理细腻，耐磨损；</w:t>
            </w:r>
          </w:p>
          <w:p w14:paraId="16BCB44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3.油漆：采用水性漆；</w:t>
            </w:r>
          </w:p>
          <w:p w14:paraId="06106FE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4.海绵：采用优质高弹阻燃海绵，软硬适中、不变形、回弹性好、抗疲劳能力强、坐感舒适.表面涂有防止老化变形的保护膜；</w:t>
            </w:r>
          </w:p>
          <w:p w14:paraId="1A139775">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EB1EB">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A06E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116</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BA3C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个</w:t>
            </w:r>
          </w:p>
        </w:tc>
      </w:tr>
      <w:tr w14:paraId="17287069">
        <w:tblPrEx>
          <w:tblCellMar>
            <w:top w:w="0" w:type="dxa"/>
            <w:left w:w="108" w:type="dxa"/>
            <w:bottom w:w="0" w:type="dxa"/>
            <w:right w:w="108" w:type="dxa"/>
          </w:tblCellMar>
        </w:tblPrEx>
        <w:trPr>
          <w:trHeight w:val="295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4634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147</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5914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阅读桌（3）</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22F1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2400*1200*750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258CED2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1.基材：原木部件均采用白蜡木原木.表面采用环保水性清漆处理，三底两面，漆膜均匀、饱满.桌面板厚度≥60mm</w:t>
            </w:r>
          </w:p>
          <w:p w14:paraId="60989FF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2.封边：采用环保水性漆处理，木质纹理清晰可见，无明显黑色结疤或残缺；</w:t>
            </w:r>
          </w:p>
          <w:p w14:paraId="49A3E77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3.成品：要求且不得出现可能产生危害的、危险性的、可触及的边部或尖端等.棱角及边缘部位经倒圆或倒角处理，桌面厚度≥60mm;支撑脚厚度≥40mm;</w:t>
            </w:r>
          </w:p>
          <w:p w14:paraId="486686D6">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271AC">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87120" cy="979170"/>
                  <wp:effectExtent l="0" t="0" r="10160" b="11430"/>
                  <wp:docPr id="89" name="图片_99"/>
                  <wp:cNvGraphicFramePr/>
                  <a:graphic xmlns:a="http://schemas.openxmlformats.org/drawingml/2006/main">
                    <a:graphicData uri="http://schemas.openxmlformats.org/drawingml/2006/picture">
                      <pic:pic xmlns:pic="http://schemas.openxmlformats.org/drawingml/2006/picture">
                        <pic:nvPicPr>
                          <pic:cNvPr id="89" name="图片_99"/>
                          <pic:cNvPicPr/>
                        </pic:nvPicPr>
                        <pic:blipFill>
                          <a:blip r:embed="rId100">
                            <a:extLst>
                              <a:ext uri="{28A0092B-C50C-407E-A947-70E740481C1C}">
                                <a14:useLocalDpi xmlns:a14="http://schemas.microsoft.com/office/drawing/2010/main" val="0"/>
                              </a:ext>
                            </a:extLst>
                          </a:blip>
                          <a:stretch>
                            <a:fillRect/>
                          </a:stretch>
                        </pic:blipFill>
                        <pic:spPr>
                          <a:xfrm>
                            <a:off x="0" y="0"/>
                            <a:ext cx="1087120" cy="97917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C901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44FC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27C7DB3B">
        <w:tblPrEx>
          <w:tblCellMar>
            <w:top w:w="0" w:type="dxa"/>
            <w:left w:w="108" w:type="dxa"/>
            <w:bottom w:w="0" w:type="dxa"/>
            <w:right w:w="108" w:type="dxa"/>
          </w:tblCellMar>
        </w:tblPrEx>
        <w:trPr>
          <w:trHeight w:val="142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256A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148</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BF1E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定制餐桌（1）</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DD95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1500*750*760</w:t>
            </w:r>
          </w:p>
        </w:tc>
        <w:tc>
          <w:tcPr>
            <w:tcW w:w="2329" w:type="pct"/>
            <w:vMerge w:val="restart"/>
            <w:tcBorders>
              <w:top w:val="single" w:color="000000" w:sz="4" w:space="0"/>
              <w:left w:val="single" w:color="000000" w:sz="4" w:space="0"/>
              <w:bottom w:val="single" w:color="000000" w:sz="4" w:space="0"/>
              <w:right w:val="single" w:color="000000" w:sz="4" w:space="0"/>
            </w:tcBorders>
            <w:shd w:val="clear" w:color="auto" w:fill="auto"/>
          </w:tcPr>
          <w:p w14:paraId="5CF6F06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1.面材：采用优质天然实木木皮贴面，木皮厚度≥0.6mm；</w:t>
            </w:r>
          </w:p>
          <w:p w14:paraId="3366C6B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2.基材：采用E0级多层板，桌面厚度≥36mm，各项性能均优于国家标准；</w:t>
            </w:r>
          </w:p>
          <w:p w14:paraId="780045B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3.油漆：油性木器涂料涂饰，采用五底三面涂饰工艺，符合国家标准；</w:t>
            </w:r>
          </w:p>
          <w:p w14:paraId="7B02A8C7">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4.胶水：采用环保白乳胶；</w:t>
            </w:r>
          </w:p>
          <w:p w14:paraId="438889D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5.底部：台架、台脚,壁厚1.5mm以上的金属脚架，可调节水平；</w:t>
            </w:r>
          </w:p>
          <w:p w14:paraId="6A8283D7">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6.颜色：颜色可定制；</w:t>
            </w:r>
          </w:p>
        </w:tc>
        <w:tc>
          <w:tcPr>
            <w:tcW w:w="8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0EB6B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985520" cy="464185"/>
                  <wp:effectExtent l="0" t="0" r="5080" b="8255"/>
                  <wp:docPr id="93" name="图片_94"/>
                  <wp:cNvGraphicFramePr/>
                  <a:graphic xmlns:a="http://schemas.openxmlformats.org/drawingml/2006/main">
                    <a:graphicData uri="http://schemas.openxmlformats.org/drawingml/2006/picture">
                      <pic:pic xmlns:pic="http://schemas.openxmlformats.org/drawingml/2006/picture">
                        <pic:nvPicPr>
                          <pic:cNvPr id="93" name="图片_94"/>
                          <pic:cNvPicPr/>
                        </pic:nvPicPr>
                        <pic:blipFill>
                          <a:blip r:embed="rId101">
                            <a:extLst>
                              <a:ext uri="{28A0092B-C50C-407E-A947-70E740481C1C}">
                                <a14:useLocalDpi xmlns:a14="http://schemas.microsoft.com/office/drawing/2010/main" val="0"/>
                              </a:ext>
                            </a:extLst>
                          </a:blip>
                          <a:stretch>
                            <a:fillRect/>
                          </a:stretch>
                        </pic:blipFill>
                        <pic:spPr>
                          <a:xfrm>
                            <a:off x="0" y="0"/>
                            <a:ext cx="985520" cy="46418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6EB9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16</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561E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11F46B60">
        <w:tblPrEx>
          <w:tblCellMar>
            <w:top w:w="0" w:type="dxa"/>
            <w:left w:w="108" w:type="dxa"/>
            <w:bottom w:w="0" w:type="dxa"/>
            <w:right w:w="108" w:type="dxa"/>
          </w:tblCellMar>
        </w:tblPrEx>
        <w:trPr>
          <w:trHeight w:val="142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0DBF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149</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BD3C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定制餐桌（2）</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C68A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750*750*760</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296FE3ED">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3D848F">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CA13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1CFE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07C70DDE">
        <w:tblPrEx>
          <w:tblCellMar>
            <w:top w:w="0" w:type="dxa"/>
            <w:left w:w="108" w:type="dxa"/>
            <w:bottom w:w="0" w:type="dxa"/>
            <w:right w:w="108" w:type="dxa"/>
          </w:tblCellMar>
        </w:tblPrEx>
        <w:trPr>
          <w:trHeight w:val="346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6CDE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150</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0D8B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大定制大会议桌（1）</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2BC0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8000*2200*760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5DB56B7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1.面材：采用优质天然实木木皮贴面，木皮厚度≥0.6mm；</w:t>
            </w:r>
          </w:p>
          <w:p w14:paraId="12B20C6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2.基材：采用E0级中纤板，各项性能均优于国家标准；</w:t>
            </w:r>
          </w:p>
          <w:p w14:paraId="5F29D9B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3.油漆：油性木器涂料涂饰，采用五底三面涂饰工艺，符合国家标准；</w:t>
            </w:r>
          </w:p>
          <w:p w14:paraId="46FF106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4.胶水：采用环保白乳胶；</w:t>
            </w:r>
          </w:p>
          <w:p w14:paraId="7B2F8D2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5.桌面边缘具备手机充电功能；</w:t>
            </w:r>
          </w:p>
          <w:p w14:paraId="6940B55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6.按照桌面分块合理配置多功能集成线盒，至少两个线盒内包含高清口，其余线盒均全部强电；</w:t>
            </w:r>
          </w:p>
          <w:p w14:paraId="5EAC609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7.工艺要求：台面板分层式设计，整体厚度≥140mm，边缘配置手机充电功能；支撑箱体多边形结构，内置隐藏上线即检修功能；桌面单面/双面木质毛刷翻盖，静音缓冲结构.</w:t>
            </w:r>
          </w:p>
          <w:p w14:paraId="01F6C151">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6FED9">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282700" cy="1068705"/>
                  <wp:effectExtent l="0" t="0" r="12700" b="13335"/>
                  <wp:docPr id="77" name="图片_90"/>
                  <wp:cNvGraphicFramePr/>
                  <a:graphic xmlns:a="http://schemas.openxmlformats.org/drawingml/2006/main">
                    <a:graphicData uri="http://schemas.openxmlformats.org/drawingml/2006/picture">
                      <pic:pic xmlns:pic="http://schemas.openxmlformats.org/drawingml/2006/picture">
                        <pic:nvPicPr>
                          <pic:cNvPr id="77" name="图片_90"/>
                          <pic:cNvPicPr/>
                        </pic:nvPicPr>
                        <pic:blipFill>
                          <a:blip r:embed="rId102">
                            <a:extLst>
                              <a:ext uri="{28A0092B-C50C-407E-A947-70E740481C1C}">
                                <a14:useLocalDpi xmlns:a14="http://schemas.microsoft.com/office/drawing/2010/main" val="0"/>
                              </a:ext>
                            </a:extLst>
                          </a:blip>
                          <a:stretch>
                            <a:fillRect/>
                          </a:stretch>
                        </pic:blipFill>
                        <pic:spPr>
                          <a:xfrm>
                            <a:off x="0" y="0"/>
                            <a:ext cx="1287847" cy="107309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D025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F621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05FC5424">
        <w:tblPrEx>
          <w:tblCellMar>
            <w:top w:w="0" w:type="dxa"/>
            <w:left w:w="108" w:type="dxa"/>
            <w:bottom w:w="0" w:type="dxa"/>
            <w:right w:w="108" w:type="dxa"/>
          </w:tblCellMar>
        </w:tblPrEx>
        <w:trPr>
          <w:trHeight w:val="346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4C24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151</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7A80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大定制会议桌（2）</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727E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12000*2200*760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6124C63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1.面材：采用优质天然实木木皮贴面，木皮厚度≥0.6mm；</w:t>
            </w:r>
          </w:p>
          <w:p w14:paraId="4F1B8C1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2.基材：采用E0级中纤板，各项性能均优于国家标准；</w:t>
            </w:r>
          </w:p>
          <w:p w14:paraId="5A9F4AB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3.油漆：油性木器涂料涂饰，采用五底三面涂饰工艺，符合国家标准；</w:t>
            </w:r>
          </w:p>
          <w:p w14:paraId="1C2FF56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4.胶水：采用环保白乳胶；</w:t>
            </w:r>
          </w:p>
          <w:p w14:paraId="3CD1FBA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5.按照桌面分块合理配置多功能集成线盒，至少两个线盒内包含高清口，其余线盒均全部强电；</w:t>
            </w:r>
          </w:p>
          <w:p w14:paraId="22004EF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6.工艺要求：桌面厚度≥90mm，桌面四周倒圆及边缘倒边；支撑脚板厚≥36mm，其余板材部分均≥16mm；支撑箱体多边形结构，内置隐藏上线即检修功能；桌面单面/双面木质或金属毛刷翻盖，静音缓冲结构；</w:t>
            </w:r>
          </w:p>
          <w:p w14:paraId="607D6904">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E1F07">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61085" cy="817245"/>
                  <wp:effectExtent l="0" t="0" r="5715" b="5715"/>
                  <wp:docPr id="105" name="图片_89"/>
                  <wp:cNvGraphicFramePr/>
                  <a:graphic xmlns:a="http://schemas.openxmlformats.org/drawingml/2006/main">
                    <a:graphicData uri="http://schemas.openxmlformats.org/drawingml/2006/picture">
                      <pic:pic xmlns:pic="http://schemas.openxmlformats.org/drawingml/2006/picture">
                        <pic:nvPicPr>
                          <pic:cNvPr id="105" name="图片_89"/>
                          <pic:cNvPicPr/>
                        </pic:nvPicPr>
                        <pic:blipFill>
                          <a:blip r:embed="rId103">
                            <a:extLst>
                              <a:ext uri="{28A0092B-C50C-407E-A947-70E740481C1C}">
                                <a14:useLocalDpi xmlns:a14="http://schemas.microsoft.com/office/drawing/2010/main" val="0"/>
                              </a:ext>
                            </a:extLst>
                          </a:blip>
                          <a:stretch>
                            <a:fillRect/>
                          </a:stretch>
                        </pic:blipFill>
                        <pic:spPr>
                          <a:xfrm>
                            <a:off x="0" y="0"/>
                            <a:ext cx="1061085" cy="81724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9177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C5F1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3410CC30">
        <w:tblPrEx>
          <w:tblCellMar>
            <w:top w:w="0" w:type="dxa"/>
            <w:left w:w="108" w:type="dxa"/>
            <w:bottom w:w="0" w:type="dxa"/>
            <w:right w:w="108" w:type="dxa"/>
          </w:tblCellMar>
        </w:tblPrEx>
        <w:trPr>
          <w:trHeight w:val="346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58E8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152</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93F3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大定制会议桌（3）</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853D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9600*2000*760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678809F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1.面材：采用优质天然实木木皮贴面，木皮厚度≥0.6mm；</w:t>
            </w:r>
          </w:p>
          <w:p w14:paraId="72F4822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2.基材：采用E0级中纤板，各项性能均优于国家标准；</w:t>
            </w:r>
          </w:p>
          <w:p w14:paraId="4100D70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3.油漆：油性木器涂料涂饰，采用五底三面涂饰工艺，符合国家标准；</w:t>
            </w:r>
          </w:p>
          <w:p w14:paraId="4188DFC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4.胶水：采用环保白乳胶；</w:t>
            </w:r>
          </w:p>
          <w:p w14:paraId="772EE68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5.按照桌面分块合理配置多功能集成线盒，至少两个线盒内包含高清口，其余线盒均全部强电；</w:t>
            </w:r>
          </w:p>
          <w:p w14:paraId="5F58EEA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6.工艺要求：桌面厚度≥90mm，桌面四周倒圆及边缘倒边；支撑脚板厚≥36mm，其余板材部分均≥16mm；支撑箱体多边形结构，内置隐藏上线即检修功能；桌面单面/双面木质或金属毛刷翻盖，静音缓冲结构；</w:t>
            </w:r>
          </w:p>
          <w:p w14:paraId="49F5952E">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B9668">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125855" cy="875030"/>
                  <wp:effectExtent l="0" t="0" r="1905" b="8890"/>
                  <wp:docPr id="81" name="图片_88"/>
                  <wp:cNvGraphicFramePr/>
                  <a:graphic xmlns:a="http://schemas.openxmlformats.org/drawingml/2006/main">
                    <a:graphicData uri="http://schemas.openxmlformats.org/drawingml/2006/picture">
                      <pic:pic xmlns:pic="http://schemas.openxmlformats.org/drawingml/2006/picture">
                        <pic:nvPicPr>
                          <pic:cNvPr id="81" name="图片_88"/>
                          <pic:cNvPicPr/>
                        </pic:nvPicPr>
                        <pic:blipFill>
                          <a:blip r:embed="rId104">
                            <a:extLst>
                              <a:ext uri="{28A0092B-C50C-407E-A947-70E740481C1C}">
                                <a14:useLocalDpi xmlns:a14="http://schemas.microsoft.com/office/drawing/2010/main" val="0"/>
                              </a:ext>
                            </a:extLst>
                          </a:blip>
                          <a:stretch>
                            <a:fillRect/>
                          </a:stretch>
                        </pic:blipFill>
                        <pic:spPr>
                          <a:xfrm>
                            <a:off x="0" y="0"/>
                            <a:ext cx="1125855" cy="87503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98A9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AA8D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7FF45EF7">
        <w:tblPrEx>
          <w:tblCellMar>
            <w:top w:w="0" w:type="dxa"/>
            <w:left w:w="108" w:type="dxa"/>
            <w:bottom w:w="0" w:type="dxa"/>
            <w:right w:w="108" w:type="dxa"/>
          </w:tblCellMar>
        </w:tblPrEx>
        <w:trPr>
          <w:trHeight w:val="346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7379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153</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B5F8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大定制会议桌（4）</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084D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4500*1800*760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449F46B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1.面材：采用优质天然实木木皮贴面，木皮厚度≥0.6mm；</w:t>
            </w:r>
          </w:p>
          <w:p w14:paraId="53979E1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2.基材：采用E0级中纤板，各项性能均优于国家标准；</w:t>
            </w:r>
          </w:p>
          <w:p w14:paraId="0B5DBF7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3.油漆：油性木器涂料涂饰，采用五底三面涂饰工艺，符合国家标准；</w:t>
            </w:r>
          </w:p>
          <w:p w14:paraId="646BFC6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4.胶水：采用环保白乳胶；</w:t>
            </w:r>
          </w:p>
          <w:p w14:paraId="2D0A17C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5.按照桌面分块合理配置多功能集成线盒，至少两个线盒内包含高清口，其余线盒均全部强电；</w:t>
            </w:r>
          </w:p>
          <w:p w14:paraId="3D99ED8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6.工艺要求：桌面厚度≥90mm，桌面四周倒圆及边缘倒边；支撑脚板厚≥36mm，其余板材部分均≥16mm；支撑箱体多边形结构，内置隐藏上线即检修功能；桌面单面/双面木质或金属毛刷翻盖，静音缓冲结构；</w:t>
            </w:r>
          </w:p>
          <w:p w14:paraId="5DC8DCF3">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0F76C">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73150" cy="866775"/>
                  <wp:effectExtent l="0" t="0" r="8890" b="1905"/>
                  <wp:docPr id="83" name="图片_87"/>
                  <wp:cNvGraphicFramePr/>
                  <a:graphic xmlns:a="http://schemas.openxmlformats.org/drawingml/2006/main">
                    <a:graphicData uri="http://schemas.openxmlformats.org/drawingml/2006/picture">
                      <pic:pic xmlns:pic="http://schemas.openxmlformats.org/drawingml/2006/picture">
                        <pic:nvPicPr>
                          <pic:cNvPr id="83" name="图片_87"/>
                          <pic:cNvPicPr/>
                        </pic:nvPicPr>
                        <pic:blipFill>
                          <a:blip r:embed="rId105">
                            <a:extLst>
                              <a:ext uri="{28A0092B-C50C-407E-A947-70E740481C1C}">
                                <a14:useLocalDpi xmlns:a14="http://schemas.microsoft.com/office/drawing/2010/main" val="0"/>
                              </a:ext>
                            </a:extLst>
                          </a:blip>
                          <a:stretch>
                            <a:fillRect/>
                          </a:stretch>
                        </pic:blipFill>
                        <pic:spPr>
                          <a:xfrm>
                            <a:off x="0" y="0"/>
                            <a:ext cx="1073150" cy="86677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9447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F98B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5A0777F9">
        <w:tblPrEx>
          <w:tblCellMar>
            <w:top w:w="0" w:type="dxa"/>
            <w:left w:w="108" w:type="dxa"/>
            <w:bottom w:w="0" w:type="dxa"/>
            <w:right w:w="108" w:type="dxa"/>
          </w:tblCellMar>
        </w:tblPrEx>
        <w:trPr>
          <w:trHeight w:val="331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C27E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154</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74C8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定制会议桌（1）</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A1F8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5400*1500*760</w:t>
            </w:r>
          </w:p>
        </w:tc>
        <w:tc>
          <w:tcPr>
            <w:tcW w:w="2329" w:type="pct"/>
            <w:tcBorders>
              <w:top w:val="nil"/>
              <w:left w:val="single" w:color="000000" w:sz="4" w:space="0"/>
              <w:bottom w:val="single" w:color="000000" w:sz="4" w:space="0"/>
              <w:right w:val="single" w:color="000000" w:sz="4" w:space="0"/>
            </w:tcBorders>
            <w:shd w:val="clear" w:color="auto" w:fill="auto"/>
          </w:tcPr>
          <w:p w14:paraId="101D94D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1.面材：采用优质天然实木木皮贴面，木皮厚度≥0.6mm；</w:t>
            </w:r>
          </w:p>
          <w:p w14:paraId="7F7D6C8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2.基材：采用E0级中纤板，各项性能均优于国家标准；</w:t>
            </w:r>
          </w:p>
          <w:p w14:paraId="510CF37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3.油漆：油性木器涂料涂饰，采用三底五面涂饰工艺，符合国家标准；</w:t>
            </w:r>
          </w:p>
          <w:p w14:paraId="476464F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4.胶水：采用环保白乳胶；</w:t>
            </w:r>
          </w:p>
          <w:p w14:paraId="67EAF24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5.桌面边缘具备手机充电功能；</w:t>
            </w:r>
          </w:p>
          <w:p w14:paraId="15EB102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6.可根据需求在桌面或线槽内开设强弱电设备空位（根据需求可定制）；</w:t>
            </w:r>
          </w:p>
          <w:p w14:paraId="3822318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7.工艺要求：台面板分层式设计，整体厚度≥140mm，边缘配置手机充电功能；.支撑脚多边形结构，内置隐藏上线即检修功能；桌面单面/双面木质毛刷翻盖，静音缓冲结构；</w:t>
            </w:r>
          </w:p>
          <w:p w14:paraId="70932C43">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8.颜色：颜色可定制；</w:t>
            </w:r>
          </w:p>
        </w:tc>
        <w:tc>
          <w:tcPr>
            <w:tcW w:w="819" w:type="pct"/>
            <w:tcBorders>
              <w:top w:val="nil"/>
              <w:left w:val="single" w:color="000000" w:sz="4" w:space="0"/>
              <w:bottom w:val="single" w:color="000000" w:sz="4" w:space="0"/>
              <w:right w:val="single" w:color="000000" w:sz="4" w:space="0"/>
            </w:tcBorders>
            <w:shd w:val="clear" w:color="auto" w:fill="auto"/>
            <w:noWrap/>
            <w:vAlign w:val="center"/>
          </w:tcPr>
          <w:p w14:paraId="5C10C51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159510" cy="692785"/>
                  <wp:effectExtent l="0" t="0" r="13970" b="8255"/>
                  <wp:docPr id="84" name="图片_86"/>
                  <wp:cNvGraphicFramePr/>
                  <a:graphic xmlns:a="http://schemas.openxmlformats.org/drawingml/2006/main">
                    <a:graphicData uri="http://schemas.openxmlformats.org/drawingml/2006/picture">
                      <pic:pic xmlns:pic="http://schemas.openxmlformats.org/drawingml/2006/picture">
                        <pic:nvPicPr>
                          <pic:cNvPr id="84" name="图片_86"/>
                          <pic:cNvPicPr/>
                        </pic:nvPicPr>
                        <pic:blipFill>
                          <a:blip r:embed="rId106">
                            <a:extLst>
                              <a:ext uri="{28A0092B-C50C-407E-A947-70E740481C1C}">
                                <a14:useLocalDpi xmlns:a14="http://schemas.microsoft.com/office/drawing/2010/main" val="0"/>
                              </a:ext>
                            </a:extLst>
                          </a:blip>
                          <a:stretch>
                            <a:fillRect/>
                          </a:stretch>
                        </pic:blipFill>
                        <pic:spPr>
                          <a:xfrm>
                            <a:off x="0" y="0"/>
                            <a:ext cx="1173281" cy="701103"/>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9324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7624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58DC0998">
        <w:tblPrEx>
          <w:tblCellMar>
            <w:top w:w="0" w:type="dxa"/>
            <w:left w:w="108" w:type="dxa"/>
            <w:bottom w:w="0" w:type="dxa"/>
            <w:right w:w="108" w:type="dxa"/>
          </w:tblCellMar>
        </w:tblPrEx>
        <w:trPr>
          <w:trHeight w:val="342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096D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155</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EFDB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定制会议桌（2）</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3A39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5400*1800*760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43E58DA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1.面材：采用优质天然实木木皮贴面，木皮厚度≥0.6mm；</w:t>
            </w:r>
          </w:p>
          <w:p w14:paraId="3D97168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2.基材：采用E0级中纤板，各项性能均优于国家标准；</w:t>
            </w:r>
          </w:p>
          <w:p w14:paraId="44470A4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3.油漆：油性木器涂料涂饰，采用三底五面涂饰工艺，符合国家标准；</w:t>
            </w:r>
          </w:p>
          <w:p w14:paraId="0815AB0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4.胶水：采用环保白乳胶；</w:t>
            </w:r>
          </w:p>
          <w:p w14:paraId="0625D86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5.桌面边缘具备手机充电功能；</w:t>
            </w:r>
          </w:p>
          <w:p w14:paraId="4921AE6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6.按照桌面分块合理配置多功能集成线盒，至少两个线盒内包含高清口，其余线盒均全部强电；</w:t>
            </w:r>
          </w:p>
          <w:p w14:paraId="74239857">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7.工艺要求：1.台面板分层式设计，整体厚度≥140mm，边缘配置手机充电功能；</w:t>
            </w:r>
          </w:p>
          <w:p w14:paraId="170395F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8.支撑脚多边形结构，内置隐藏上线即检修功能；</w:t>
            </w:r>
          </w:p>
          <w:p w14:paraId="454FE90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9.桌面单面/双面木质毛刷翻盖，静音缓冲结构.</w:t>
            </w:r>
          </w:p>
          <w:p w14:paraId="40500FE4">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1EA08">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23620" cy="738505"/>
                  <wp:effectExtent l="0" t="0" r="12700" b="8255"/>
                  <wp:docPr id="91" name="图片_115"/>
                  <wp:cNvGraphicFramePr/>
                  <a:graphic xmlns:a="http://schemas.openxmlformats.org/drawingml/2006/main">
                    <a:graphicData uri="http://schemas.openxmlformats.org/drawingml/2006/picture">
                      <pic:pic xmlns:pic="http://schemas.openxmlformats.org/drawingml/2006/picture">
                        <pic:nvPicPr>
                          <pic:cNvPr id="91" name="图片_115"/>
                          <pic:cNvPicPr/>
                        </pic:nvPicPr>
                        <pic:blipFill>
                          <a:blip r:embed="rId107">
                            <a:extLst>
                              <a:ext uri="{28A0092B-C50C-407E-A947-70E740481C1C}">
                                <a14:useLocalDpi xmlns:a14="http://schemas.microsoft.com/office/drawing/2010/main" val="0"/>
                              </a:ext>
                            </a:extLst>
                          </a:blip>
                          <a:stretch>
                            <a:fillRect/>
                          </a:stretch>
                        </pic:blipFill>
                        <pic:spPr>
                          <a:xfrm>
                            <a:off x="0" y="0"/>
                            <a:ext cx="1023620" cy="73850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8FC5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4E8B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0F146E31">
        <w:tblPrEx>
          <w:tblCellMar>
            <w:top w:w="0" w:type="dxa"/>
            <w:left w:w="108" w:type="dxa"/>
            <w:bottom w:w="0" w:type="dxa"/>
            <w:right w:w="108" w:type="dxa"/>
          </w:tblCellMar>
        </w:tblPrEx>
        <w:trPr>
          <w:trHeight w:val="168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4CC6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156</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1EA6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定制会议桌（3）</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623A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1600*900*760</w:t>
            </w:r>
          </w:p>
        </w:tc>
        <w:tc>
          <w:tcPr>
            <w:tcW w:w="2329" w:type="pct"/>
            <w:vMerge w:val="restart"/>
            <w:tcBorders>
              <w:top w:val="single" w:color="000000" w:sz="4" w:space="0"/>
              <w:left w:val="single" w:color="000000" w:sz="4" w:space="0"/>
              <w:bottom w:val="single" w:color="000000" w:sz="4" w:space="0"/>
              <w:right w:val="single" w:color="000000" w:sz="4" w:space="0"/>
            </w:tcBorders>
            <w:shd w:val="clear" w:color="auto" w:fill="auto"/>
          </w:tcPr>
          <w:p w14:paraId="2599D6F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1.面材：采用优质天然实木木皮贴面，木皮厚度≥0.6mm；</w:t>
            </w:r>
          </w:p>
          <w:p w14:paraId="2BC8BBA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2.基材：采用E0级中纤板，各项性能均优于国家标准；；</w:t>
            </w:r>
          </w:p>
          <w:p w14:paraId="6F62068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3.油漆：油性木器涂料涂饰，采用三底五面涂饰工艺，符合国家标准；</w:t>
            </w:r>
          </w:p>
          <w:p w14:paraId="5A11D2E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4.胶水：采用环保白乳胶；</w:t>
            </w:r>
          </w:p>
          <w:p w14:paraId="521051C7">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5.可根据需求在桌面或线槽内开设强弱电设备空位（根据需求可定制）；</w:t>
            </w:r>
          </w:p>
          <w:p w14:paraId="60DD254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6.工艺要求：台面厚度≥75mm，支撑板厚度≥50mm，其余板材厚度≥16mm；支撑脚箱体结构，内置隐藏上线即检修功能；</w:t>
            </w:r>
          </w:p>
          <w:p w14:paraId="57D30FD5">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7.颜色：颜色可定制；</w:t>
            </w:r>
          </w:p>
        </w:tc>
        <w:tc>
          <w:tcPr>
            <w:tcW w:w="81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4E8A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90295" cy="825500"/>
                  <wp:effectExtent l="0" t="0" r="6985" b="12700"/>
                  <wp:docPr id="94" name="图片_93"/>
                  <wp:cNvGraphicFramePr/>
                  <a:graphic xmlns:a="http://schemas.openxmlformats.org/drawingml/2006/main">
                    <a:graphicData uri="http://schemas.openxmlformats.org/drawingml/2006/picture">
                      <pic:pic xmlns:pic="http://schemas.openxmlformats.org/drawingml/2006/picture">
                        <pic:nvPicPr>
                          <pic:cNvPr id="94" name="图片_93"/>
                          <pic:cNvPicPr/>
                        </pic:nvPicPr>
                        <pic:blipFill>
                          <a:blip r:embed="rId108">
                            <a:extLst>
                              <a:ext uri="{28A0092B-C50C-407E-A947-70E740481C1C}">
                                <a14:useLocalDpi xmlns:a14="http://schemas.microsoft.com/office/drawing/2010/main" val="0"/>
                              </a:ext>
                            </a:extLst>
                          </a:blip>
                          <a:stretch>
                            <a:fillRect/>
                          </a:stretch>
                        </pic:blipFill>
                        <pic:spPr>
                          <a:xfrm>
                            <a:off x="0" y="0"/>
                            <a:ext cx="1093905" cy="828756"/>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0133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CE14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5AE6DA58">
        <w:tblPrEx>
          <w:tblCellMar>
            <w:top w:w="0" w:type="dxa"/>
            <w:left w:w="108" w:type="dxa"/>
            <w:bottom w:w="0" w:type="dxa"/>
            <w:right w:w="108" w:type="dxa"/>
          </w:tblCellMar>
        </w:tblPrEx>
        <w:trPr>
          <w:trHeight w:val="154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9895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157</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931F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定制会议桌（4）</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2B38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2100*900*760</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507B54A0">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B09C9">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105F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509B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0819B4E5">
        <w:tblPrEx>
          <w:tblCellMar>
            <w:top w:w="0" w:type="dxa"/>
            <w:left w:w="108" w:type="dxa"/>
            <w:bottom w:w="0" w:type="dxa"/>
            <w:right w:w="108" w:type="dxa"/>
          </w:tblCellMar>
        </w:tblPrEx>
        <w:trPr>
          <w:trHeight w:val="88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995E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158</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993B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定制会议桌（5）</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1DF1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2100*550*770</w:t>
            </w:r>
          </w:p>
        </w:tc>
        <w:tc>
          <w:tcPr>
            <w:tcW w:w="2329" w:type="pct"/>
            <w:vMerge w:val="restart"/>
            <w:tcBorders>
              <w:top w:val="single" w:color="000000" w:sz="4" w:space="0"/>
              <w:left w:val="single" w:color="000000" w:sz="4" w:space="0"/>
              <w:bottom w:val="single" w:color="000000" w:sz="4" w:space="0"/>
              <w:right w:val="single" w:color="000000" w:sz="4" w:space="0"/>
            </w:tcBorders>
            <w:shd w:val="clear" w:color="auto" w:fill="auto"/>
          </w:tcPr>
          <w:p w14:paraId="0AA4BB3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1.面材：采用优质天然实木木皮贴面，木皮厚度≥0.6mm；</w:t>
            </w:r>
          </w:p>
          <w:p w14:paraId="66A8237B">
            <w:pPr>
              <w:widowControl/>
              <w:jc w:val="left"/>
              <w:textAlignment w:val="top"/>
              <w:rPr>
                <w:rFonts w:hint="eastAsia" w:asciiTheme="minorEastAsia" w:hAnsiTheme="minorEastAsia" w:eastAsiaTheme="minorEastAsia" w:cstheme="minorEastAsia"/>
                <w:color w:val="000000"/>
                <w:kern w:val="0"/>
                <w:szCs w:val="21"/>
                <w:bdr w:val="single" w:color="000000" w:sz="4" w:space="0"/>
                <w:lang w:bidi="ar"/>
              </w:rPr>
            </w:pPr>
            <w:r>
              <w:rPr>
                <w:rFonts w:hint="eastAsia" w:asciiTheme="minorEastAsia" w:hAnsiTheme="minorEastAsia" w:eastAsiaTheme="minorEastAsia" w:cstheme="minorEastAsia"/>
                <w:color w:val="000000"/>
                <w:kern w:val="0"/>
                <w:szCs w:val="21"/>
                <w:lang w:bidi="ar"/>
              </w:rPr>
              <w:t>2.基材：采用E0级中纤板，各项性能均优于国家标准；</w:t>
            </w:r>
          </w:p>
          <w:p w14:paraId="2456048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3.油漆：油性木器涂料涂饰，采用三底五面涂饰工艺，符合国家标准；</w:t>
            </w:r>
          </w:p>
          <w:p w14:paraId="6E32BCE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4.胶水：采用环保白乳胶；</w:t>
            </w:r>
          </w:p>
          <w:p w14:paraId="7082354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5.可根据需求在桌面或线槽内开设强弱电设备空位（根据需求可定制）；</w:t>
            </w:r>
          </w:p>
          <w:p w14:paraId="7B4E9317">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6.颜色：颜色可定制；</w:t>
            </w:r>
          </w:p>
        </w:tc>
        <w:tc>
          <w:tcPr>
            <w:tcW w:w="8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868D6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89660" cy="843280"/>
                  <wp:effectExtent l="0" t="0" r="7620" b="10160"/>
                  <wp:docPr id="104" name="图片_92"/>
                  <wp:cNvGraphicFramePr/>
                  <a:graphic xmlns:a="http://schemas.openxmlformats.org/drawingml/2006/main">
                    <a:graphicData uri="http://schemas.openxmlformats.org/drawingml/2006/picture">
                      <pic:pic xmlns:pic="http://schemas.openxmlformats.org/drawingml/2006/picture">
                        <pic:nvPicPr>
                          <pic:cNvPr id="104" name="图片_92"/>
                          <pic:cNvPicPr/>
                        </pic:nvPicPr>
                        <pic:blipFill>
                          <a:blip r:embed="rId109">
                            <a:extLst>
                              <a:ext uri="{28A0092B-C50C-407E-A947-70E740481C1C}">
                                <a14:useLocalDpi xmlns:a14="http://schemas.microsoft.com/office/drawing/2010/main" val="0"/>
                              </a:ext>
                            </a:extLst>
                          </a:blip>
                          <a:stretch>
                            <a:fillRect/>
                          </a:stretch>
                        </pic:blipFill>
                        <pic:spPr>
                          <a:xfrm>
                            <a:off x="0" y="0"/>
                            <a:ext cx="1095168" cy="847357"/>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BC76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B95B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313ADF1E">
        <w:tblPrEx>
          <w:tblCellMar>
            <w:top w:w="0" w:type="dxa"/>
            <w:left w:w="108" w:type="dxa"/>
            <w:bottom w:w="0" w:type="dxa"/>
            <w:right w:w="108" w:type="dxa"/>
          </w:tblCellMar>
        </w:tblPrEx>
        <w:trPr>
          <w:trHeight w:val="88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4633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159</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7BE2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交流后排桌（1）</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1288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1800*550*770</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312C1D93">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A73D3A">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DB10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96BC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6ED5353E">
        <w:tblPrEx>
          <w:tblCellMar>
            <w:top w:w="0" w:type="dxa"/>
            <w:left w:w="108" w:type="dxa"/>
            <w:bottom w:w="0" w:type="dxa"/>
            <w:right w:w="108" w:type="dxa"/>
          </w:tblCellMar>
        </w:tblPrEx>
        <w:trPr>
          <w:trHeight w:val="88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C4C6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160</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5163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定制会议桌（6）</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F077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1400*550*770</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54754FEC">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A997A">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9FC6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2D7C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197DF139">
        <w:tblPrEx>
          <w:tblCellMar>
            <w:top w:w="0" w:type="dxa"/>
            <w:left w:w="108" w:type="dxa"/>
            <w:bottom w:w="0" w:type="dxa"/>
            <w:right w:w="108" w:type="dxa"/>
          </w:tblCellMar>
        </w:tblPrEx>
        <w:trPr>
          <w:trHeight w:val="88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03C1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161</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8B07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交流后排桌（2）</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525B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1350*550*770</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17013A24">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669A6">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3BB5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20</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8D02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4681D4D0">
        <w:tblPrEx>
          <w:tblCellMar>
            <w:top w:w="0" w:type="dxa"/>
            <w:left w:w="108" w:type="dxa"/>
            <w:bottom w:w="0" w:type="dxa"/>
            <w:right w:w="108" w:type="dxa"/>
          </w:tblCellMar>
        </w:tblPrEx>
        <w:trPr>
          <w:trHeight w:val="112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D338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162</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5DBB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交流后排桌（3）</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0A54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1480*500*780</w:t>
            </w:r>
          </w:p>
        </w:tc>
        <w:tc>
          <w:tcPr>
            <w:tcW w:w="2329" w:type="pct"/>
            <w:vMerge w:val="restart"/>
            <w:tcBorders>
              <w:top w:val="single" w:color="000000" w:sz="4" w:space="0"/>
              <w:left w:val="single" w:color="000000" w:sz="4" w:space="0"/>
              <w:bottom w:val="single" w:color="000000" w:sz="4" w:space="0"/>
              <w:right w:val="single" w:color="000000" w:sz="4" w:space="0"/>
            </w:tcBorders>
            <w:shd w:val="clear" w:color="auto" w:fill="auto"/>
          </w:tcPr>
          <w:p w14:paraId="1FA18D1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1.面材：采用优质天然实木木皮贴面，木皮厚度≥0.6mm；</w:t>
            </w:r>
          </w:p>
          <w:p w14:paraId="2468C1B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2.基材：采用E0级中纤板，各项性能均优于国家标准；</w:t>
            </w:r>
          </w:p>
          <w:p w14:paraId="327F56F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3.油漆：油性木器涂料涂饰，采用三底五面涂饰工艺，符合国家标准；</w:t>
            </w:r>
          </w:p>
          <w:p w14:paraId="40E58D5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4.胶水：采用环保白乳胶；</w:t>
            </w:r>
          </w:p>
          <w:p w14:paraId="0E53B37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5.可根据需求在桌面或线槽内开设强弱电设备空位（根据需求可定制）；</w:t>
            </w:r>
          </w:p>
          <w:p w14:paraId="69D95448">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6.颜色：颜色可定制；</w:t>
            </w:r>
          </w:p>
        </w:tc>
        <w:tc>
          <w:tcPr>
            <w:tcW w:w="8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F623C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350010" cy="1448435"/>
                  <wp:effectExtent l="0" t="0" r="6350" b="14605"/>
                  <wp:docPr id="106" name="图片_91"/>
                  <wp:cNvGraphicFramePr/>
                  <a:graphic xmlns:a="http://schemas.openxmlformats.org/drawingml/2006/main">
                    <a:graphicData uri="http://schemas.openxmlformats.org/drawingml/2006/picture">
                      <pic:pic xmlns:pic="http://schemas.openxmlformats.org/drawingml/2006/picture">
                        <pic:nvPicPr>
                          <pic:cNvPr id="106" name="图片_91"/>
                          <pic:cNvPicPr/>
                        </pic:nvPicPr>
                        <pic:blipFill>
                          <a:blip r:embed="rId110">
                            <a:extLst>
                              <a:ext uri="{28A0092B-C50C-407E-A947-70E740481C1C}">
                                <a14:useLocalDpi xmlns:a14="http://schemas.microsoft.com/office/drawing/2010/main" val="0"/>
                              </a:ext>
                            </a:extLst>
                          </a:blip>
                          <a:stretch>
                            <a:fillRect/>
                          </a:stretch>
                        </pic:blipFill>
                        <pic:spPr>
                          <a:xfrm>
                            <a:off x="0" y="0"/>
                            <a:ext cx="1350010" cy="144843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7B5F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46E2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5C8ABF0B">
        <w:tblPrEx>
          <w:tblCellMar>
            <w:top w:w="0" w:type="dxa"/>
            <w:left w:w="108" w:type="dxa"/>
            <w:bottom w:w="0" w:type="dxa"/>
            <w:right w:w="108" w:type="dxa"/>
          </w:tblCellMar>
        </w:tblPrEx>
        <w:trPr>
          <w:trHeight w:val="112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1D9A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163</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1FE2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交流后排桌（4）</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1857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1600*600*780</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49D09B41">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6480D">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7023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3694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56A99D4A">
        <w:tblPrEx>
          <w:tblCellMar>
            <w:top w:w="0" w:type="dxa"/>
            <w:left w:w="108" w:type="dxa"/>
            <w:bottom w:w="0" w:type="dxa"/>
            <w:right w:w="108" w:type="dxa"/>
          </w:tblCellMar>
        </w:tblPrEx>
        <w:trPr>
          <w:trHeight w:val="112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DE04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164</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CF54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交流后排桌（5）</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28A3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2220*500*780</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1D6D6B90">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7C25A">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DF4C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16E0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0BA3CEAC">
        <w:tblPrEx>
          <w:tblCellMar>
            <w:top w:w="0" w:type="dxa"/>
            <w:left w:w="108" w:type="dxa"/>
            <w:bottom w:w="0" w:type="dxa"/>
            <w:right w:w="108" w:type="dxa"/>
          </w:tblCellMar>
        </w:tblPrEx>
        <w:trPr>
          <w:trHeight w:val="112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2395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165</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49D4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交流后排桌（6）</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A360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2000*600*780</w:t>
            </w:r>
          </w:p>
        </w:tc>
        <w:tc>
          <w:tcPr>
            <w:tcW w:w="2329" w:type="pct"/>
            <w:vMerge w:val="continue"/>
            <w:tcBorders>
              <w:top w:val="single" w:color="000000" w:sz="4" w:space="0"/>
              <w:left w:val="single" w:color="000000" w:sz="4" w:space="0"/>
              <w:bottom w:val="single" w:color="000000" w:sz="4" w:space="0"/>
              <w:right w:val="single" w:color="000000" w:sz="4" w:space="0"/>
            </w:tcBorders>
            <w:shd w:val="clear" w:color="auto" w:fill="auto"/>
          </w:tcPr>
          <w:p w14:paraId="796910EC">
            <w:pPr>
              <w:jc w:val="left"/>
              <w:rPr>
                <w:rFonts w:hint="eastAsia" w:asciiTheme="minorEastAsia" w:hAnsiTheme="minorEastAsia" w:eastAsiaTheme="minorEastAsia" w:cstheme="minorEastAsia"/>
                <w:color w:val="000000"/>
                <w:szCs w:val="21"/>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15B11D">
            <w:pPr>
              <w:jc w:val="center"/>
              <w:rPr>
                <w:rFonts w:hint="eastAsia" w:asciiTheme="minorEastAsia" w:hAnsiTheme="minorEastAsia" w:eastAsiaTheme="minorEastAsia" w:cstheme="minorEastAsia"/>
                <w:color w:val="000000"/>
                <w:szCs w:val="21"/>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C231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12</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5358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16BF3D11">
        <w:tblPrEx>
          <w:tblCellMar>
            <w:top w:w="0" w:type="dxa"/>
            <w:left w:w="108" w:type="dxa"/>
            <w:bottom w:w="0" w:type="dxa"/>
            <w:right w:w="108" w:type="dxa"/>
          </w:tblCellMar>
        </w:tblPrEx>
        <w:trPr>
          <w:trHeight w:val="280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9297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166</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4951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highlight w:val="none"/>
                <w:lang w:bidi="ar"/>
              </w:rPr>
              <w:t>大师</w:t>
            </w:r>
            <w:r>
              <w:rPr>
                <w:rFonts w:hint="eastAsia" w:asciiTheme="minorEastAsia" w:hAnsiTheme="minorEastAsia" w:eastAsiaTheme="minorEastAsia" w:cstheme="minorEastAsia"/>
                <w:color w:val="000000"/>
                <w:kern w:val="0"/>
                <w:szCs w:val="21"/>
                <w:lang w:bidi="ar"/>
              </w:rPr>
              <w:t>会议桌</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4929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φ3800*760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0387FE5B">
            <w:pPr>
              <w:widowControl/>
              <w:jc w:val="left"/>
              <w:textAlignment w:val="top"/>
              <w:rPr>
                <w:rFonts w:hint="eastAsia" w:asciiTheme="minorEastAsia" w:hAnsiTheme="minorEastAsia" w:eastAsiaTheme="minorEastAsia" w:cstheme="minorEastAsia"/>
                <w:color w:val="000000"/>
                <w:kern w:val="0"/>
                <w:szCs w:val="21"/>
                <w:lang w:bidi="ar"/>
              </w:rPr>
            </w:pPr>
          </w:p>
          <w:p w14:paraId="63ECDDC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1.主体框架：刺猬紫檀国标红木；</w:t>
            </w:r>
          </w:p>
          <w:p w14:paraId="5A7967C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2.台面、刺猬紫檀木实木；</w:t>
            </w:r>
          </w:p>
          <w:p w14:paraId="0A2E13C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3.转盘：电动转盘；</w:t>
            </w:r>
          </w:p>
          <w:p w14:paraId="4C4CF08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4.围板、立脚：刺猬紫檀木实木</w:t>
            </w:r>
          </w:p>
          <w:p w14:paraId="31EB171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5.油漆：环保水性封闭漆，五底三面工艺；</w:t>
            </w:r>
          </w:p>
          <w:p w14:paraId="69B96514">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9C271">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977900" cy="1212850"/>
                  <wp:effectExtent l="0" t="0" r="12700" b="6350"/>
                  <wp:docPr id="95" name="图片_131"/>
                  <wp:cNvGraphicFramePr/>
                  <a:graphic xmlns:a="http://schemas.openxmlformats.org/drawingml/2006/main">
                    <a:graphicData uri="http://schemas.openxmlformats.org/drawingml/2006/picture">
                      <pic:pic xmlns:pic="http://schemas.openxmlformats.org/drawingml/2006/picture">
                        <pic:nvPicPr>
                          <pic:cNvPr id="95" name="图片_131"/>
                          <pic:cNvPicPr/>
                        </pic:nvPicPr>
                        <pic:blipFill>
                          <a:blip r:embed="rId111">
                            <a:extLst>
                              <a:ext uri="{28A0092B-C50C-407E-A947-70E740481C1C}">
                                <a14:useLocalDpi xmlns:a14="http://schemas.microsoft.com/office/drawing/2010/main" val="0"/>
                              </a:ext>
                            </a:extLst>
                          </a:blip>
                          <a:stretch>
                            <a:fillRect/>
                          </a:stretch>
                        </pic:blipFill>
                        <pic:spPr>
                          <a:xfrm>
                            <a:off x="0" y="0"/>
                            <a:ext cx="977900" cy="121285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01A4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A7A0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6F440C0B">
        <w:tblPrEx>
          <w:tblCellMar>
            <w:top w:w="0" w:type="dxa"/>
            <w:left w:w="108" w:type="dxa"/>
            <w:bottom w:w="0" w:type="dxa"/>
            <w:right w:w="108" w:type="dxa"/>
          </w:tblCellMar>
        </w:tblPrEx>
        <w:trPr>
          <w:trHeight w:val="280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ADD8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167</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AC0B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大师会议椅</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703A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420*400*1020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1487CCB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1.主体框架：刺猬紫檀国标红木；</w:t>
            </w:r>
          </w:p>
          <w:p w14:paraId="1422FB9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2.软包；高密度海绵扪优质头层牛皮加刺绣工艺（座包无刺绣)；</w:t>
            </w:r>
          </w:p>
          <w:p w14:paraId="431FE59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3.油漆：环保水性漆封闭漆，五底三面工艺；</w:t>
            </w:r>
          </w:p>
          <w:p w14:paraId="1E7370D9">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9C323">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977265" cy="1472565"/>
                  <wp:effectExtent l="0" t="0" r="13335" b="5715"/>
                  <wp:docPr id="100" name="图片_133"/>
                  <wp:cNvGraphicFramePr/>
                  <a:graphic xmlns:a="http://schemas.openxmlformats.org/drawingml/2006/main">
                    <a:graphicData uri="http://schemas.openxmlformats.org/drawingml/2006/picture">
                      <pic:pic xmlns:pic="http://schemas.openxmlformats.org/drawingml/2006/picture">
                        <pic:nvPicPr>
                          <pic:cNvPr id="100" name="图片_133"/>
                          <pic:cNvPicPr/>
                        </pic:nvPicPr>
                        <pic:blipFill>
                          <a:blip r:embed="rId112">
                            <a:extLst>
                              <a:ext uri="{28A0092B-C50C-407E-A947-70E740481C1C}">
                                <a14:useLocalDpi xmlns:a14="http://schemas.microsoft.com/office/drawing/2010/main" val="0"/>
                              </a:ext>
                            </a:extLst>
                          </a:blip>
                          <a:stretch>
                            <a:fillRect/>
                          </a:stretch>
                        </pic:blipFill>
                        <pic:spPr>
                          <a:xfrm>
                            <a:off x="0" y="0"/>
                            <a:ext cx="977265" cy="147256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0CC2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18</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3F94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6384B367">
        <w:tblPrEx>
          <w:tblCellMar>
            <w:top w:w="0" w:type="dxa"/>
            <w:left w:w="108" w:type="dxa"/>
            <w:bottom w:w="0" w:type="dxa"/>
            <w:right w:w="108" w:type="dxa"/>
          </w:tblCellMar>
        </w:tblPrEx>
        <w:trPr>
          <w:trHeight w:val="280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9605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168</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9A71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大师办公桌</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1826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2400*800*720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515E77D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1.主体框架：刺猬紫檀国标红木；</w:t>
            </w:r>
          </w:p>
          <w:p w14:paraId="3458127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2.台面、刺猬紫檀木实木；含茶盘及烧水壶；</w:t>
            </w:r>
          </w:p>
          <w:p w14:paraId="54430CD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3.围板、立脚：刺猬紫檀木实木；</w:t>
            </w:r>
          </w:p>
          <w:p w14:paraId="5B6006D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4.油漆：环保水性封闭漆，五底三面工艺；</w:t>
            </w:r>
          </w:p>
          <w:p w14:paraId="7A1B6346">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BDA75">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135380" cy="1269365"/>
                  <wp:effectExtent l="0" t="0" r="7620" b="10795"/>
                  <wp:docPr id="97" name="图片_134"/>
                  <wp:cNvGraphicFramePr/>
                  <a:graphic xmlns:a="http://schemas.openxmlformats.org/drawingml/2006/main">
                    <a:graphicData uri="http://schemas.openxmlformats.org/drawingml/2006/picture">
                      <pic:pic xmlns:pic="http://schemas.openxmlformats.org/drawingml/2006/picture">
                        <pic:nvPicPr>
                          <pic:cNvPr id="97" name="图片_134"/>
                          <pic:cNvPicPr/>
                        </pic:nvPicPr>
                        <pic:blipFill>
                          <a:blip r:embed="rId113">
                            <a:extLst>
                              <a:ext uri="{28A0092B-C50C-407E-A947-70E740481C1C}">
                                <a14:useLocalDpi xmlns:a14="http://schemas.microsoft.com/office/drawing/2010/main" val="0"/>
                              </a:ext>
                            </a:extLst>
                          </a:blip>
                          <a:stretch>
                            <a:fillRect/>
                          </a:stretch>
                        </pic:blipFill>
                        <pic:spPr>
                          <a:xfrm>
                            <a:off x="0" y="0"/>
                            <a:ext cx="1135380" cy="126936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F5CF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7811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4D39BDA0">
        <w:tblPrEx>
          <w:tblCellMar>
            <w:top w:w="0" w:type="dxa"/>
            <w:left w:w="108" w:type="dxa"/>
            <w:bottom w:w="0" w:type="dxa"/>
            <w:right w:w="108" w:type="dxa"/>
          </w:tblCellMar>
        </w:tblPrEx>
        <w:trPr>
          <w:trHeight w:val="280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5C4F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169</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9B61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大师办公椅</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333C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650*540*960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2B629D1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1.主体框架：刺猬紫檀国标红木；</w:t>
            </w:r>
          </w:p>
          <w:p w14:paraId="1748F54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2.软包；高密度海绵扪优质头层牛皮加刺绣工艺（座包无刺绣)；</w:t>
            </w:r>
          </w:p>
          <w:p w14:paraId="6873FBF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3.油漆：环保水性漆封闭漆，五底三面工艺；</w:t>
            </w:r>
          </w:p>
          <w:p w14:paraId="35983D52">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E206E">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143000" cy="1567180"/>
                  <wp:effectExtent l="0" t="0" r="0" b="2540"/>
                  <wp:docPr id="103" name="图片_132"/>
                  <wp:cNvGraphicFramePr/>
                  <a:graphic xmlns:a="http://schemas.openxmlformats.org/drawingml/2006/main">
                    <a:graphicData uri="http://schemas.openxmlformats.org/drawingml/2006/picture">
                      <pic:pic xmlns:pic="http://schemas.openxmlformats.org/drawingml/2006/picture">
                        <pic:nvPicPr>
                          <pic:cNvPr id="103" name="图片_132"/>
                          <pic:cNvPicPr/>
                        </pic:nvPicPr>
                        <pic:blipFill>
                          <a:blip r:embed="rId114">
                            <a:extLst>
                              <a:ext uri="{28A0092B-C50C-407E-A947-70E740481C1C}">
                                <a14:useLocalDpi xmlns:a14="http://schemas.microsoft.com/office/drawing/2010/main" val="0"/>
                              </a:ext>
                            </a:extLst>
                          </a:blip>
                          <a:stretch>
                            <a:fillRect/>
                          </a:stretch>
                        </pic:blipFill>
                        <pic:spPr>
                          <a:xfrm>
                            <a:off x="0" y="0"/>
                            <a:ext cx="1143000" cy="156718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A133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26B9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59CB8737">
        <w:tblPrEx>
          <w:tblCellMar>
            <w:top w:w="0" w:type="dxa"/>
            <w:left w:w="108" w:type="dxa"/>
            <w:bottom w:w="0" w:type="dxa"/>
            <w:right w:w="108" w:type="dxa"/>
          </w:tblCellMar>
        </w:tblPrEx>
        <w:trPr>
          <w:trHeight w:val="415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C7A3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170</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FACB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三人沙发</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7052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2100*770*980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6029E4E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1.框架：采用优质白蜡木实木制作，框架截面尺寸40*55mm（锣槽装饰），所有木材都进行烘干及防蛀处理，木材含水率8-12%；无腐朽、无虫眼、无死结；</w:t>
            </w:r>
          </w:p>
          <w:p w14:paraId="03512DB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2.饰面：采用优质头层牛皮饰面，厚度≥1.0mm，经液态浸色及防潮、防污等工艺处理，皮面更加柔软舒适、光泽持久性好，纹理细腻，耐磨损；</w:t>
            </w:r>
          </w:p>
          <w:p w14:paraId="404C17C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3.油漆：采用水性漆；</w:t>
            </w:r>
          </w:p>
          <w:p w14:paraId="2F2CF0A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4.海绵：采用优质高弹阻燃海绵，软硬适中、不变形、回弹性好、抗疲劳能力强、坐感舒适.表面涂有防止老化变形的保护膜；</w:t>
            </w:r>
          </w:p>
          <w:p w14:paraId="36FF69E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5.脚架底部带金属脚套；</w:t>
            </w:r>
          </w:p>
          <w:p w14:paraId="22CEEC0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6.含4个抱枕及2个圆枕头；</w:t>
            </w:r>
          </w:p>
          <w:p w14:paraId="4634DDD5">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B2CBA">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shd w:val="clear" w:color="auto" w:fill="FFFF00"/>
                <w:lang w:bidi="ar"/>
              </w:rPr>
              <w:drawing>
                <wp:inline distT="0" distB="0" distL="0" distR="0">
                  <wp:extent cx="1193800" cy="994410"/>
                  <wp:effectExtent l="0" t="0" r="10160" b="11430"/>
                  <wp:docPr id="107" name="图片_100"/>
                  <wp:cNvGraphicFramePr/>
                  <a:graphic xmlns:a="http://schemas.openxmlformats.org/drawingml/2006/main">
                    <a:graphicData uri="http://schemas.openxmlformats.org/drawingml/2006/picture">
                      <pic:pic xmlns:pic="http://schemas.openxmlformats.org/drawingml/2006/picture">
                        <pic:nvPicPr>
                          <pic:cNvPr id="107" name="图片_100"/>
                          <pic:cNvPicPr/>
                        </pic:nvPicPr>
                        <pic:blipFill>
                          <a:blip r:embed="rId115">
                            <a:extLst>
                              <a:ext uri="{28A0092B-C50C-407E-A947-70E740481C1C}">
                                <a14:useLocalDpi xmlns:a14="http://schemas.microsoft.com/office/drawing/2010/main" val="0"/>
                              </a:ext>
                            </a:extLst>
                          </a:blip>
                          <a:stretch>
                            <a:fillRect/>
                          </a:stretch>
                        </pic:blipFill>
                        <pic:spPr>
                          <a:xfrm>
                            <a:off x="0" y="0"/>
                            <a:ext cx="1198757" cy="99867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633C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17</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736C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47CF0AA7">
        <w:tblPrEx>
          <w:tblCellMar>
            <w:top w:w="0" w:type="dxa"/>
            <w:left w:w="108" w:type="dxa"/>
            <w:bottom w:w="0" w:type="dxa"/>
            <w:right w:w="108" w:type="dxa"/>
          </w:tblCellMar>
        </w:tblPrEx>
        <w:trPr>
          <w:trHeight w:val="306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D96E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171</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46F2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单人沙发</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888F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750*770*1014</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67FB047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1.框架：采用优质白蜡木实木制作，所有木材都进行烘干及防蛀处理，木材含水率8-12%；无腐朽、无虫眼、无死结；</w:t>
            </w:r>
          </w:p>
          <w:p w14:paraId="482C7E3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2.饰面：采用优质头层牛皮饰面，厚度≥1.0mm，经液态浸色及防潮、防污等工艺处理，皮面更加柔软舒适、光泽持久性好，纹理细腻，耐磨损；</w:t>
            </w:r>
          </w:p>
          <w:p w14:paraId="0B3361C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3.油漆：采用水性漆；</w:t>
            </w:r>
          </w:p>
          <w:p w14:paraId="3316980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4.海绵：采用优质高弹阻燃海绵，软硬适中、不变形、回弹性好、抗疲劳能力强、坐感舒适.表面涂有防止老化变形的保护膜；</w:t>
            </w:r>
          </w:p>
          <w:p w14:paraId="765FA81F">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504BB">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241425" cy="1233170"/>
                  <wp:effectExtent l="0" t="0" r="8255" b="1270"/>
                  <wp:docPr id="109" name="图片_107"/>
                  <wp:cNvGraphicFramePr/>
                  <a:graphic xmlns:a="http://schemas.openxmlformats.org/drawingml/2006/main">
                    <a:graphicData uri="http://schemas.openxmlformats.org/drawingml/2006/picture">
                      <pic:pic xmlns:pic="http://schemas.openxmlformats.org/drawingml/2006/picture">
                        <pic:nvPicPr>
                          <pic:cNvPr id="109" name="图片_107"/>
                          <pic:cNvPicPr/>
                        </pic:nvPicPr>
                        <pic:blipFill>
                          <a:blip r:embed="rId116">
                            <a:extLst>
                              <a:ext uri="{28A0092B-C50C-407E-A947-70E740481C1C}">
                                <a14:useLocalDpi xmlns:a14="http://schemas.microsoft.com/office/drawing/2010/main" val="0"/>
                              </a:ext>
                            </a:extLst>
                          </a:blip>
                          <a:stretch>
                            <a:fillRect/>
                          </a:stretch>
                        </pic:blipFill>
                        <pic:spPr>
                          <a:xfrm>
                            <a:off x="0" y="0"/>
                            <a:ext cx="1246871" cy="123899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77B8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17</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5886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48D1B9FC">
        <w:tblPrEx>
          <w:tblCellMar>
            <w:top w:w="0" w:type="dxa"/>
            <w:left w:w="108" w:type="dxa"/>
            <w:bottom w:w="0" w:type="dxa"/>
            <w:right w:w="108" w:type="dxa"/>
          </w:tblCellMar>
        </w:tblPrEx>
        <w:trPr>
          <w:trHeight w:val="252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CCB0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172</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5844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边柜</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6C63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485*440*600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134C6BC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1.框架：采用优质白蜡木实木制作，所有木材都进行烘干及防蛀处理，木材含水率8-12%；无腐朽、无虫眼、无死结；</w:t>
            </w:r>
          </w:p>
          <w:p w14:paraId="7950217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2.油漆：采用水性漆；</w:t>
            </w:r>
          </w:p>
          <w:p w14:paraId="2860EAA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3.面板：实木多层板贴胡桃木山纹木皮；</w:t>
            </w:r>
          </w:p>
          <w:p w14:paraId="7A3B6AB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4.配件：优质五金配件；</w:t>
            </w:r>
          </w:p>
          <w:p w14:paraId="0D13E74B">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13775">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763905" cy="829310"/>
                  <wp:effectExtent l="0" t="0" r="0" b="8890"/>
                  <wp:docPr id="119" name="图片_105"/>
                  <wp:cNvGraphicFramePr/>
                  <a:graphic xmlns:a="http://schemas.openxmlformats.org/drawingml/2006/main">
                    <a:graphicData uri="http://schemas.openxmlformats.org/drawingml/2006/picture">
                      <pic:pic xmlns:pic="http://schemas.openxmlformats.org/drawingml/2006/picture">
                        <pic:nvPicPr>
                          <pic:cNvPr id="119" name="图片_105"/>
                          <pic:cNvPicPr/>
                        </pic:nvPicPr>
                        <pic:blipFill>
                          <a:blip r:embed="rId117">
                            <a:extLst>
                              <a:ext uri="{28A0092B-C50C-407E-A947-70E740481C1C}">
                                <a14:useLocalDpi xmlns:a14="http://schemas.microsoft.com/office/drawing/2010/main" val="0"/>
                              </a:ext>
                            </a:extLst>
                          </a:blip>
                          <a:stretch>
                            <a:fillRect/>
                          </a:stretch>
                        </pic:blipFill>
                        <pic:spPr>
                          <a:xfrm>
                            <a:off x="0" y="0"/>
                            <a:ext cx="763905" cy="82931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ECA6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34</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66AF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个</w:t>
            </w:r>
          </w:p>
        </w:tc>
      </w:tr>
      <w:tr w14:paraId="6E5E5085">
        <w:tblPrEx>
          <w:tblCellMar>
            <w:top w:w="0" w:type="dxa"/>
            <w:left w:w="108" w:type="dxa"/>
            <w:bottom w:w="0" w:type="dxa"/>
            <w:right w:w="108" w:type="dxa"/>
          </w:tblCellMar>
        </w:tblPrEx>
        <w:trPr>
          <w:trHeight w:val="316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3ADF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173</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20ED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单人长定制茶几</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DE42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1300*800*480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71DD96F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1.框架：采用优质白蜡木实木制作，所有木材都进行烘干及防蛀处理，木材含水率8-12%；无腐朽、无虫眼、无死结；</w:t>
            </w:r>
          </w:p>
          <w:p w14:paraId="1A08A33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2.油漆：采用水性漆，五底三面工艺；</w:t>
            </w:r>
          </w:p>
          <w:p w14:paraId="13899E9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3.面板：实木多层板贴胡桃木山纹木皮，木皮厚度≥0.6mm；</w:t>
            </w:r>
          </w:p>
          <w:p w14:paraId="0D5D0CE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4.配件：优质五金配件；</w:t>
            </w:r>
          </w:p>
          <w:p w14:paraId="0543099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5.功能：含四个抽屉；</w:t>
            </w:r>
          </w:p>
          <w:p w14:paraId="4DAC7141">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DB43B">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shd w:val="clear" w:color="auto" w:fill="FFFF00"/>
                <w:lang w:bidi="ar"/>
              </w:rPr>
              <w:drawing>
                <wp:inline distT="0" distB="0" distL="0" distR="0">
                  <wp:extent cx="914400" cy="743585"/>
                  <wp:effectExtent l="0" t="0" r="0" b="3175"/>
                  <wp:docPr id="129" name="图片_106"/>
                  <wp:cNvGraphicFramePr/>
                  <a:graphic xmlns:a="http://schemas.openxmlformats.org/drawingml/2006/main">
                    <a:graphicData uri="http://schemas.openxmlformats.org/drawingml/2006/picture">
                      <pic:pic xmlns:pic="http://schemas.openxmlformats.org/drawingml/2006/picture">
                        <pic:nvPicPr>
                          <pic:cNvPr id="129" name="图片_106"/>
                          <pic:cNvPicPr/>
                        </pic:nvPicPr>
                        <pic:blipFill>
                          <a:blip r:embed="rId118">
                            <a:extLst>
                              <a:ext uri="{28A0092B-C50C-407E-A947-70E740481C1C}">
                                <a14:useLocalDpi xmlns:a14="http://schemas.microsoft.com/office/drawing/2010/main" val="0"/>
                              </a:ext>
                            </a:extLst>
                          </a:blip>
                          <a:stretch>
                            <a:fillRect/>
                          </a:stretch>
                        </pic:blipFill>
                        <pic:spPr>
                          <a:xfrm>
                            <a:off x="0" y="0"/>
                            <a:ext cx="914400" cy="74358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CC8A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17</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13BE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05C9B499">
        <w:tblPrEx>
          <w:tblCellMar>
            <w:top w:w="0" w:type="dxa"/>
            <w:left w:w="108" w:type="dxa"/>
            <w:bottom w:w="0" w:type="dxa"/>
            <w:right w:w="108" w:type="dxa"/>
          </w:tblCellMar>
        </w:tblPrEx>
        <w:trPr>
          <w:trHeight w:val="306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B08E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174</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7EC9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方定制茶几</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307A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550*550*550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3413323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1.框架：采用优质白蜡木实木制作，所有木材都进行烘干及防蛀处理，木材含水率8-12%；无腐朽、无虫眼、无死结；</w:t>
            </w:r>
          </w:p>
          <w:p w14:paraId="3211300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2.油漆：采用水性漆；</w:t>
            </w:r>
          </w:p>
          <w:p w14:paraId="38B760E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3.面板：实木多层板贴胡桃木山纹木皮；</w:t>
            </w:r>
          </w:p>
          <w:p w14:paraId="50A315E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4.配件：优质五金配件；</w:t>
            </w:r>
          </w:p>
          <w:p w14:paraId="5007249E">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CF643">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85215" cy="827405"/>
                  <wp:effectExtent l="0" t="0" r="12065" b="10795"/>
                  <wp:docPr id="127" name="图片_103"/>
                  <wp:cNvGraphicFramePr/>
                  <a:graphic xmlns:a="http://schemas.openxmlformats.org/drawingml/2006/main">
                    <a:graphicData uri="http://schemas.openxmlformats.org/drawingml/2006/picture">
                      <pic:pic xmlns:pic="http://schemas.openxmlformats.org/drawingml/2006/picture">
                        <pic:nvPicPr>
                          <pic:cNvPr id="127" name="图片_103"/>
                          <pic:cNvPicPr/>
                        </pic:nvPicPr>
                        <pic:blipFill>
                          <a:blip r:embed="rId119">
                            <a:extLst>
                              <a:ext uri="{28A0092B-C50C-407E-A947-70E740481C1C}">
                                <a14:useLocalDpi xmlns:a14="http://schemas.microsoft.com/office/drawing/2010/main" val="0"/>
                              </a:ext>
                            </a:extLst>
                          </a:blip>
                          <a:stretch>
                            <a:fillRect/>
                          </a:stretch>
                        </pic:blipFill>
                        <pic:spPr>
                          <a:xfrm>
                            <a:off x="0" y="0"/>
                            <a:ext cx="1090522" cy="83186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0C4C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17</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7A63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29994A1B">
        <w:tblPrEx>
          <w:tblCellMar>
            <w:top w:w="0" w:type="dxa"/>
            <w:left w:w="108" w:type="dxa"/>
            <w:bottom w:w="0" w:type="dxa"/>
            <w:right w:w="108" w:type="dxa"/>
          </w:tblCellMar>
        </w:tblPrEx>
        <w:trPr>
          <w:trHeight w:val="241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D320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175</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2C62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圆定制茶几</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F28C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550*550*580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2FD3EFB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1.框架：采用优质白蜡木实木制作，所有木材都进行烘干及防蛀处理，木材含水率8-12%；无腐朽、无虫眼、无死结；</w:t>
            </w:r>
          </w:p>
          <w:p w14:paraId="0D4ECEF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2.油漆：采用水性漆；</w:t>
            </w:r>
          </w:p>
          <w:p w14:paraId="20FE438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3.面板：实木多层板贴胡桃木山纹木皮；</w:t>
            </w:r>
          </w:p>
          <w:p w14:paraId="1CED3E3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4.配件：优质五金配件；</w:t>
            </w:r>
          </w:p>
          <w:p w14:paraId="0CDB100D">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DDF8D">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809625" cy="785495"/>
                  <wp:effectExtent l="0" t="0" r="13335" b="6985"/>
                  <wp:docPr id="110" name="图片_102"/>
                  <wp:cNvGraphicFramePr/>
                  <a:graphic xmlns:a="http://schemas.openxmlformats.org/drawingml/2006/main">
                    <a:graphicData uri="http://schemas.openxmlformats.org/drawingml/2006/picture">
                      <pic:pic xmlns:pic="http://schemas.openxmlformats.org/drawingml/2006/picture">
                        <pic:nvPicPr>
                          <pic:cNvPr id="110" name="图片_102"/>
                          <pic:cNvPicPr/>
                        </pic:nvPicPr>
                        <pic:blipFill>
                          <a:blip r:embed="rId120">
                            <a:extLst>
                              <a:ext uri="{28A0092B-C50C-407E-A947-70E740481C1C}">
                                <a14:useLocalDpi xmlns:a14="http://schemas.microsoft.com/office/drawing/2010/main" val="0"/>
                              </a:ext>
                            </a:extLst>
                          </a:blip>
                          <a:stretch>
                            <a:fillRect/>
                          </a:stretch>
                        </pic:blipFill>
                        <pic:spPr>
                          <a:xfrm>
                            <a:off x="0" y="0"/>
                            <a:ext cx="810115" cy="78607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72D1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17</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90B6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34C03EB0">
        <w:tblPrEx>
          <w:tblCellMar>
            <w:top w:w="0" w:type="dxa"/>
            <w:left w:w="108" w:type="dxa"/>
            <w:bottom w:w="0" w:type="dxa"/>
            <w:right w:w="108" w:type="dxa"/>
          </w:tblCellMar>
        </w:tblPrEx>
        <w:trPr>
          <w:trHeight w:val="244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230F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176</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9FBE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玄关花架</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26E3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400*400*1000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1C60C5D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1.框架：采用优质白蜡木实木制作，所有木材都进行烘干及防蛀处理，木材含水率8-12%；无腐朽、无虫眼、无死结；</w:t>
            </w:r>
          </w:p>
          <w:p w14:paraId="4C402CA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2.油漆：采用水性漆；</w:t>
            </w:r>
          </w:p>
          <w:p w14:paraId="6529BFB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3.面板：实木多层板贴胡桃木山纹木皮；</w:t>
            </w:r>
          </w:p>
          <w:p w14:paraId="687F9C4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4.配件：优质五金配件；</w:t>
            </w:r>
          </w:p>
          <w:p w14:paraId="2AFF78FF">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A4150">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659765" cy="1295400"/>
                  <wp:effectExtent l="0" t="0" r="10795" b="0"/>
                  <wp:docPr id="111" name="图片_101"/>
                  <wp:cNvGraphicFramePr/>
                  <a:graphic xmlns:a="http://schemas.openxmlformats.org/drawingml/2006/main">
                    <a:graphicData uri="http://schemas.openxmlformats.org/drawingml/2006/picture">
                      <pic:pic xmlns:pic="http://schemas.openxmlformats.org/drawingml/2006/picture">
                        <pic:nvPicPr>
                          <pic:cNvPr id="111" name="图片_101"/>
                          <pic:cNvPicPr/>
                        </pic:nvPicPr>
                        <pic:blipFill>
                          <a:blip r:embed="rId121">
                            <a:extLst>
                              <a:ext uri="{28A0092B-C50C-407E-A947-70E740481C1C}">
                                <a14:useLocalDpi xmlns:a14="http://schemas.microsoft.com/office/drawing/2010/main" val="0"/>
                              </a:ext>
                            </a:extLst>
                          </a:blip>
                          <a:stretch>
                            <a:fillRect/>
                          </a:stretch>
                        </pic:blipFill>
                        <pic:spPr>
                          <a:xfrm>
                            <a:off x="0" y="0"/>
                            <a:ext cx="659765" cy="129540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B7C6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8B7F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4E52E537">
        <w:tblPrEx>
          <w:tblCellMar>
            <w:top w:w="0" w:type="dxa"/>
            <w:left w:w="108" w:type="dxa"/>
            <w:bottom w:w="0" w:type="dxa"/>
            <w:right w:w="108" w:type="dxa"/>
          </w:tblCellMar>
        </w:tblPrEx>
        <w:trPr>
          <w:trHeight w:val="241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5067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177</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8721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玄关桌</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3319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2200*450*950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391CAF0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1.框架：采用优质白蜡木实木制作，所有木材都进行烘干及防蛀处理，木材含水率8-12%；无腐朽、无虫眼、无死结；</w:t>
            </w:r>
          </w:p>
          <w:p w14:paraId="4F10CE3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2.油漆：采用水性漆；</w:t>
            </w:r>
          </w:p>
          <w:p w14:paraId="67DDC2C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3.面板：实木多层板贴胡桃木山纹木皮；</w:t>
            </w:r>
          </w:p>
          <w:p w14:paraId="79099A7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4.配件：优质五金配件；</w:t>
            </w:r>
          </w:p>
          <w:p w14:paraId="747F57CF">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66D81">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04570" cy="567690"/>
                  <wp:effectExtent l="0" t="0" r="1270" b="11430"/>
                  <wp:docPr id="117" name="图片_104"/>
                  <wp:cNvGraphicFramePr/>
                  <a:graphic xmlns:a="http://schemas.openxmlformats.org/drawingml/2006/main">
                    <a:graphicData uri="http://schemas.openxmlformats.org/drawingml/2006/picture">
                      <pic:pic xmlns:pic="http://schemas.openxmlformats.org/drawingml/2006/picture">
                        <pic:nvPicPr>
                          <pic:cNvPr id="117" name="图片_104"/>
                          <pic:cNvPicPr/>
                        </pic:nvPicPr>
                        <pic:blipFill>
                          <a:blip r:embed="rId122">
                            <a:extLst>
                              <a:ext uri="{28A0092B-C50C-407E-A947-70E740481C1C}">
                                <a14:useLocalDpi xmlns:a14="http://schemas.microsoft.com/office/drawing/2010/main" val="0"/>
                              </a:ext>
                            </a:extLst>
                          </a:blip>
                          <a:stretch>
                            <a:fillRect/>
                          </a:stretch>
                        </pic:blipFill>
                        <pic:spPr>
                          <a:xfrm>
                            <a:off x="0" y="0"/>
                            <a:ext cx="1004570" cy="56769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D2AA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C018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08FF2FCE">
        <w:tblPrEx>
          <w:tblCellMar>
            <w:top w:w="0" w:type="dxa"/>
            <w:left w:w="108" w:type="dxa"/>
            <w:bottom w:w="0" w:type="dxa"/>
            <w:right w:w="108" w:type="dxa"/>
          </w:tblCellMar>
        </w:tblPrEx>
        <w:trPr>
          <w:trHeight w:val="238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594C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178</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165B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储物柜</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9101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1800*450*500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63F347C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1.框架：采用优质白蜡木实木制作，所有木材都进行烘干及防蛀处理，木材含水率8-12%；无腐朽、无虫眼、无死结；</w:t>
            </w:r>
          </w:p>
          <w:p w14:paraId="4269FB4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2.面板：实木多层板贴胡桃木山纹木皮；</w:t>
            </w:r>
          </w:p>
          <w:p w14:paraId="7A55523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3.油漆：采用水性漆；</w:t>
            </w:r>
          </w:p>
          <w:p w14:paraId="72ADABC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4.配件：优质五金配件；</w:t>
            </w:r>
          </w:p>
          <w:p w14:paraId="7BD3E611">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D51A6">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960755" cy="898525"/>
                  <wp:effectExtent l="0" t="0" r="14605" b="635"/>
                  <wp:docPr id="108" name="图片_109"/>
                  <wp:cNvGraphicFramePr/>
                  <a:graphic xmlns:a="http://schemas.openxmlformats.org/drawingml/2006/main">
                    <a:graphicData uri="http://schemas.openxmlformats.org/drawingml/2006/picture">
                      <pic:pic xmlns:pic="http://schemas.openxmlformats.org/drawingml/2006/picture">
                        <pic:nvPicPr>
                          <pic:cNvPr id="108" name="图片_109"/>
                          <pic:cNvPicPr/>
                        </pic:nvPicPr>
                        <pic:blipFill>
                          <a:blip r:embed="rId123">
                            <a:extLst>
                              <a:ext uri="{28A0092B-C50C-407E-A947-70E740481C1C}">
                                <a14:useLocalDpi xmlns:a14="http://schemas.microsoft.com/office/drawing/2010/main" val="0"/>
                              </a:ext>
                            </a:extLst>
                          </a:blip>
                          <a:stretch>
                            <a:fillRect/>
                          </a:stretch>
                        </pic:blipFill>
                        <pic:spPr>
                          <a:xfrm>
                            <a:off x="0" y="0"/>
                            <a:ext cx="960755" cy="89852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C3C7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17</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EA05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个</w:t>
            </w:r>
          </w:p>
        </w:tc>
      </w:tr>
      <w:tr w14:paraId="16FFFB38">
        <w:tblPrEx>
          <w:tblCellMar>
            <w:top w:w="0" w:type="dxa"/>
            <w:left w:w="108" w:type="dxa"/>
            <w:bottom w:w="0" w:type="dxa"/>
            <w:right w:w="108" w:type="dxa"/>
          </w:tblCellMar>
        </w:tblPrEx>
        <w:trPr>
          <w:trHeight w:val="199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EB6C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179</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7370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书桌</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EFA6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1600*700*760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3E0D7A1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1.框架：采用优质白蜡木实木制作，所有木材都进行烘干及防蛀处理，木材含水率8-12%；无腐朽、无虫眼、无死结；</w:t>
            </w:r>
          </w:p>
          <w:p w14:paraId="0479D5D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2.面板：实木多层板贴胡桃木山纹木皮；</w:t>
            </w:r>
          </w:p>
          <w:p w14:paraId="6296C29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3.油漆：采用水性漆；</w:t>
            </w:r>
          </w:p>
          <w:p w14:paraId="07AB7381">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4.配件：优质五金配件；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E3D16">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214120" cy="686435"/>
                  <wp:effectExtent l="0" t="0" r="5080" b="14605"/>
                  <wp:docPr id="123" name="图片_108"/>
                  <wp:cNvGraphicFramePr/>
                  <a:graphic xmlns:a="http://schemas.openxmlformats.org/drawingml/2006/main">
                    <a:graphicData uri="http://schemas.openxmlformats.org/drawingml/2006/picture">
                      <pic:pic xmlns:pic="http://schemas.openxmlformats.org/drawingml/2006/picture">
                        <pic:nvPicPr>
                          <pic:cNvPr id="123" name="图片_108"/>
                          <pic:cNvPicPr/>
                        </pic:nvPicPr>
                        <pic:blipFill>
                          <a:blip r:embed="rId124">
                            <a:extLst>
                              <a:ext uri="{28A0092B-C50C-407E-A947-70E740481C1C}">
                                <a14:useLocalDpi xmlns:a14="http://schemas.microsoft.com/office/drawing/2010/main" val="0"/>
                              </a:ext>
                            </a:extLst>
                          </a:blip>
                          <a:stretch>
                            <a:fillRect/>
                          </a:stretch>
                        </pic:blipFill>
                        <pic:spPr>
                          <a:xfrm>
                            <a:off x="0" y="0"/>
                            <a:ext cx="1222781" cy="691306"/>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AAA3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17</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DA09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7BE886A8">
        <w:tblPrEx>
          <w:tblCellMar>
            <w:top w:w="0" w:type="dxa"/>
            <w:left w:w="108" w:type="dxa"/>
            <w:bottom w:w="0" w:type="dxa"/>
            <w:right w:w="108" w:type="dxa"/>
          </w:tblCellMar>
        </w:tblPrEx>
        <w:trPr>
          <w:trHeight w:val="292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C2F7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180</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13CC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鞋柜</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8C14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800*350*950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4614384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1.基材：采用E0级多层板，游离甲醛释放量均达国家标准，所有板材厚度≥16mm；                                                           </w:t>
            </w:r>
          </w:p>
          <w:p w14:paraId="7928703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2.面材：采用优质天然实木木皮贴面，木皮厚度≥0.6mm；</w:t>
            </w:r>
          </w:p>
          <w:p w14:paraId="31750CD7">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3.油漆：油性木器涂料涂饰，采用五底三面涂饰工艺，符合国家标准；</w:t>
            </w:r>
          </w:p>
          <w:p w14:paraId="358F620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4.胶水：采用环保白乳胶；</w:t>
            </w:r>
          </w:p>
          <w:p w14:paraId="0C964687">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5.配件：优质五金配件；（铰链）均具备静音缓冲阻尼功能；</w:t>
            </w:r>
          </w:p>
          <w:p w14:paraId="0A769310">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98330">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278255" cy="1401445"/>
                  <wp:effectExtent l="0" t="0" r="1905" b="635"/>
                  <wp:docPr id="134" name="图片_110"/>
                  <wp:cNvGraphicFramePr/>
                  <a:graphic xmlns:a="http://schemas.openxmlformats.org/drawingml/2006/main">
                    <a:graphicData uri="http://schemas.openxmlformats.org/drawingml/2006/picture">
                      <pic:pic xmlns:pic="http://schemas.openxmlformats.org/drawingml/2006/picture">
                        <pic:nvPicPr>
                          <pic:cNvPr id="134" name="图片_110"/>
                          <pic:cNvPicPr/>
                        </pic:nvPicPr>
                        <pic:blipFill>
                          <a:blip r:embed="rId125">
                            <a:extLst>
                              <a:ext uri="{28A0092B-C50C-407E-A947-70E740481C1C}">
                                <a14:useLocalDpi xmlns:a14="http://schemas.microsoft.com/office/drawing/2010/main" val="0"/>
                              </a:ext>
                            </a:extLst>
                          </a:blip>
                          <a:stretch>
                            <a:fillRect/>
                          </a:stretch>
                        </pic:blipFill>
                        <pic:spPr>
                          <a:xfrm>
                            <a:off x="0" y="0"/>
                            <a:ext cx="1278255" cy="140144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3B82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17</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AC47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7CE5C098">
        <w:tblPrEx>
          <w:tblCellMar>
            <w:top w:w="0" w:type="dxa"/>
            <w:left w:w="108" w:type="dxa"/>
            <w:bottom w:w="0" w:type="dxa"/>
            <w:right w:w="108" w:type="dxa"/>
          </w:tblCellMar>
        </w:tblPrEx>
        <w:trPr>
          <w:trHeight w:val="292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89F2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181</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0D30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床头柜</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21C0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550*450*500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42B9DEA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1.基材：采用E0级多层板，游离甲醛释放量均达国家标准，所有板材厚度≥16mm；                                                           </w:t>
            </w:r>
          </w:p>
          <w:p w14:paraId="5800FA2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2.贴面：采用优质耐磨三聚氰胺浸渍面纸，防火，并具阻燃、耐磨性强、清洁方便等特点；</w:t>
            </w:r>
          </w:p>
          <w:p w14:paraId="53F83B5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3.五金：优质五金件；（导轨）均具备静音缓冲阻尼功能；</w:t>
            </w:r>
          </w:p>
          <w:p w14:paraId="21FAA8C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4.封边：同色PVC封边条； </w:t>
            </w:r>
          </w:p>
          <w:p w14:paraId="3758802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5.脚架：采用20*20方管钢制脚架支撑；</w:t>
            </w:r>
          </w:p>
          <w:p w14:paraId="0A809C8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6.成品：要求且不得出现可能产生危害的、危险性的、可触及的边部或尖端等.</w:t>
            </w:r>
          </w:p>
          <w:p w14:paraId="33900128">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7773A">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131570" cy="1324610"/>
                  <wp:effectExtent l="0" t="0" r="11430" b="1270"/>
                  <wp:docPr id="112" name="图片_111"/>
                  <wp:cNvGraphicFramePr/>
                  <a:graphic xmlns:a="http://schemas.openxmlformats.org/drawingml/2006/main">
                    <a:graphicData uri="http://schemas.openxmlformats.org/drawingml/2006/picture">
                      <pic:pic xmlns:pic="http://schemas.openxmlformats.org/drawingml/2006/picture">
                        <pic:nvPicPr>
                          <pic:cNvPr id="112" name="图片_111"/>
                          <pic:cNvPicPr/>
                        </pic:nvPicPr>
                        <pic:blipFill>
                          <a:blip r:embed="rId126">
                            <a:extLst>
                              <a:ext uri="{28A0092B-C50C-407E-A947-70E740481C1C}">
                                <a14:useLocalDpi xmlns:a14="http://schemas.microsoft.com/office/drawing/2010/main" val="0"/>
                              </a:ext>
                            </a:extLst>
                          </a:blip>
                          <a:stretch>
                            <a:fillRect/>
                          </a:stretch>
                        </pic:blipFill>
                        <pic:spPr>
                          <a:xfrm>
                            <a:off x="0" y="0"/>
                            <a:ext cx="1131570" cy="132461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E167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601C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46353323">
        <w:tblPrEx>
          <w:tblCellMar>
            <w:top w:w="0" w:type="dxa"/>
            <w:left w:w="108" w:type="dxa"/>
            <w:bottom w:w="0" w:type="dxa"/>
            <w:right w:w="108" w:type="dxa"/>
          </w:tblCellMar>
        </w:tblPrEx>
        <w:trPr>
          <w:trHeight w:val="3585"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34F0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182</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6D25E">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监控台</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77E3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2000*700*750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54EEB81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1.基材：采用E0级多层板，游离甲醛释放量均达国家标准，台面厚度≥25mm,背板及其余板材厚度≥16mm；</w:t>
            </w:r>
          </w:p>
          <w:p w14:paraId="3F212E5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2.贴面：采用优质耐磨三聚氰胺浸渍面纸，防火，并具阻燃、耐磨性强、清洁方便等特点；</w:t>
            </w:r>
          </w:p>
          <w:p w14:paraId="0CF52F8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3.五金：优质五金件；</w:t>
            </w:r>
          </w:p>
          <w:p w14:paraId="0A79D61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4.封边：同色PVC封边条； </w:t>
            </w:r>
          </w:p>
          <w:p w14:paraId="3B9DF48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5.功能：含支撑柜及主机柜，配锁及键盘抽；</w:t>
            </w:r>
          </w:p>
          <w:p w14:paraId="29A597E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6.走线：线路隐蔽处理，桌面含过线孔；</w:t>
            </w:r>
          </w:p>
          <w:p w14:paraId="7794525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7.成品：要求且不得出现可能产生危害的、危险性的、可触及的边部或尖端等；</w:t>
            </w:r>
          </w:p>
          <w:p w14:paraId="2759BB60">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0966A">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942975" cy="835025"/>
                  <wp:effectExtent l="0" t="0" r="1905" b="3175"/>
                  <wp:docPr id="133" name="图片_76"/>
                  <wp:cNvGraphicFramePr/>
                  <a:graphic xmlns:a="http://schemas.openxmlformats.org/drawingml/2006/main">
                    <a:graphicData uri="http://schemas.openxmlformats.org/drawingml/2006/picture">
                      <pic:pic xmlns:pic="http://schemas.openxmlformats.org/drawingml/2006/picture">
                        <pic:nvPicPr>
                          <pic:cNvPr id="133" name="图片_76"/>
                          <pic:cNvPicPr/>
                        </pic:nvPicPr>
                        <pic:blipFill>
                          <a:blip r:embed="rId127">
                            <a:extLst>
                              <a:ext uri="{28A0092B-C50C-407E-A947-70E740481C1C}">
                                <a14:useLocalDpi xmlns:a14="http://schemas.microsoft.com/office/drawing/2010/main" val="0"/>
                              </a:ext>
                            </a:extLst>
                          </a:blip>
                          <a:stretch>
                            <a:fillRect/>
                          </a:stretch>
                        </pic:blipFill>
                        <pic:spPr>
                          <a:xfrm>
                            <a:off x="0" y="0"/>
                            <a:ext cx="946574" cy="83835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FC9F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1506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76CE217E">
        <w:tblPrEx>
          <w:tblCellMar>
            <w:top w:w="0" w:type="dxa"/>
            <w:left w:w="108" w:type="dxa"/>
            <w:bottom w:w="0" w:type="dxa"/>
            <w:right w:w="108" w:type="dxa"/>
          </w:tblCellMar>
        </w:tblPrEx>
        <w:trPr>
          <w:trHeight w:val="342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17B2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183</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12978">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讨论接待桌</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09DC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1200*800*760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5A63E4F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1.框架：采用优质橡木实木制作，桌面厚度≥36mm，所有木材都进行烘干及防蛀处理，木材含水率8-12%；无腐朽、无虫眼、无死结；</w:t>
            </w:r>
          </w:p>
          <w:p w14:paraId="6EE8EF3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2油漆：采用水性漆；</w:t>
            </w:r>
          </w:p>
          <w:p w14:paraId="12B024F4">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504B3">
            <w:pPr>
              <w:widowControl/>
              <w:jc w:val="left"/>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904875" cy="767080"/>
                  <wp:effectExtent l="0" t="0" r="9525" b="10160"/>
                  <wp:docPr id="118" name="图片_116"/>
                  <wp:cNvGraphicFramePr/>
                  <a:graphic xmlns:a="http://schemas.openxmlformats.org/drawingml/2006/main">
                    <a:graphicData uri="http://schemas.openxmlformats.org/drawingml/2006/picture">
                      <pic:pic xmlns:pic="http://schemas.openxmlformats.org/drawingml/2006/picture">
                        <pic:nvPicPr>
                          <pic:cNvPr id="118" name="图片_116"/>
                          <pic:cNvPicPr/>
                        </pic:nvPicPr>
                        <pic:blipFill>
                          <a:blip r:embed="rId128">
                            <a:extLst>
                              <a:ext uri="{28A0092B-C50C-407E-A947-70E740481C1C}">
                                <a14:useLocalDpi xmlns:a14="http://schemas.microsoft.com/office/drawing/2010/main" val="0"/>
                              </a:ext>
                            </a:extLst>
                          </a:blip>
                          <a:stretch>
                            <a:fillRect/>
                          </a:stretch>
                        </pic:blipFill>
                        <pic:spPr>
                          <a:xfrm>
                            <a:off x="0" y="0"/>
                            <a:ext cx="904875" cy="76708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2C58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w:t>
            </w:r>
          </w:p>
        </w:tc>
        <w:tc>
          <w:tcPr>
            <w:tcW w:w="1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A78F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286D4A1B">
        <w:tblPrEx>
          <w:tblCellMar>
            <w:top w:w="0" w:type="dxa"/>
            <w:left w:w="108" w:type="dxa"/>
            <w:bottom w:w="0" w:type="dxa"/>
            <w:right w:w="108" w:type="dxa"/>
          </w:tblCellMar>
        </w:tblPrEx>
        <w:trPr>
          <w:trHeight w:val="342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A4E9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184</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292F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桌子（1）</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966E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1200*600*760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35D1DFF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1.基材：采用E0级多层板，游离甲醛释放量均达国家标准，台面厚度≥25mm,背板及其余板材厚度≥16mm；</w:t>
            </w:r>
          </w:p>
          <w:p w14:paraId="05D3105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2.贴面：采用优质耐磨三聚氰胺浸渍面纸，防火，并具阻燃、耐磨性强、清洁方便等特点；</w:t>
            </w:r>
          </w:p>
          <w:p w14:paraId="5613EC0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3.五金：优质五金件；</w:t>
            </w:r>
          </w:p>
          <w:p w14:paraId="5DBBB4D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4.封边：同色PVC封边条； </w:t>
            </w:r>
          </w:p>
          <w:p w14:paraId="3F4E655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5.成品：要求且不得出现可能产生危害的、危险性的、可触及的边部或尖端等；</w:t>
            </w:r>
          </w:p>
          <w:p w14:paraId="0CF989D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6.功能：配置三抽柜，抽屉配锁，桌面开过线孔，背板高度400mm；</w:t>
            </w:r>
          </w:p>
          <w:p w14:paraId="50CFB403">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8F64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133475" cy="1172210"/>
                  <wp:effectExtent l="0" t="0" r="9525" b="1270"/>
                  <wp:docPr id="125" name="图片_122"/>
                  <wp:cNvGraphicFramePr/>
                  <a:graphic xmlns:a="http://schemas.openxmlformats.org/drawingml/2006/main">
                    <a:graphicData uri="http://schemas.openxmlformats.org/drawingml/2006/picture">
                      <pic:pic xmlns:pic="http://schemas.openxmlformats.org/drawingml/2006/picture">
                        <pic:nvPicPr>
                          <pic:cNvPr id="125" name="图片_122"/>
                          <pic:cNvPicPr/>
                        </pic:nvPicPr>
                        <pic:blipFill>
                          <a:blip r:embed="rId129">
                            <a:extLst>
                              <a:ext uri="{28A0092B-C50C-407E-A947-70E740481C1C}">
                                <a14:useLocalDpi xmlns:a14="http://schemas.microsoft.com/office/drawing/2010/main" val="0"/>
                              </a:ext>
                            </a:extLst>
                          </a:blip>
                          <a:stretch>
                            <a:fillRect/>
                          </a:stretch>
                        </pic:blipFill>
                        <pic:spPr>
                          <a:xfrm>
                            <a:off x="0" y="0"/>
                            <a:ext cx="1133475" cy="117221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B24B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5B1A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6F84CB8A">
        <w:tblPrEx>
          <w:tblCellMar>
            <w:top w:w="0" w:type="dxa"/>
            <w:left w:w="108" w:type="dxa"/>
            <w:bottom w:w="0" w:type="dxa"/>
            <w:right w:w="108" w:type="dxa"/>
          </w:tblCellMar>
        </w:tblPrEx>
        <w:trPr>
          <w:trHeight w:val="342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C022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185</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BC69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桌子（2）</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26C1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2400*600*760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3E3EE33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1.基材：采用E0级多层板，游离甲醛释放量均达国家标准，台面厚度≥25mm,背板及其余板材厚度≥16mm；</w:t>
            </w:r>
          </w:p>
          <w:p w14:paraId="6A8E713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2.贴面：采用优质耐磨三聚氰胺浸渍面纸，防火，并具阻燃、耐磨性强、清洁方便等特点；</w:t>
            </w:r>
          </w:p>
          <w:p w14:paraId="6679351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3.五金：优质五金件；</w:t>
            </w:r>
          </w:p>
          <w:p w14:paraId="05ACAA1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4.封边：同色PVC封边条； </w:t>
            </w:r>
          </w:p>
          <w:p w14:paraId="1251E5E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5.成品：要求且不得出现可能产生危害的、危险性的、可触及的边部或尖端等；</w:t>
            </w:r>
          </w:p>
          <w:p w14:paraId="4817799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6.功能：配置三抽柜，抽屉配锁，桌面开过线孔，背板高度400mm；</w:t>
            </w:r>
          </w:p>
          <w:p w14:paraId="6CAD6DDE">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DE19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206500" cy="1149985"/>
                  <wp:effectExtent l="0" t="0" r="12700" b="8255"/>
                  <wp:docPr id="128" name="图片_121"/>
                  <wp:cNvGraphicFramePr/>
                  <a:graphic xmlns:a="http://schemas.openxmlformats.org/drawingml/2006/main">
                    <a:graphicData uri="http://schemas.openxmlformats.org/drawingml/2006/picture">
                      <pic:pic xmlns:pic="http://schemas.openxmlformats.org/drawingml/2006/picture">
                        <pic:nvPicPr>
                          <pic:cNvPr id="128" name="图片_121"/>
                          <pic:cNvPicPr/>
                        </pic:nvPicPr>
                        <pic:blipFill>
                          <a:blip r:embed="rId130">
                            <a:extLst>
                              <a:ext uri="{28A0092B-C50C-407E-A947-70E740481C1C}">
                                <a14:useLocalDpi xmlns:a14="http://schemas.microsoft.com/office/drawing/2010/main" val="0"/>
                              </a:ext>
                            </a:extLst>
                          </a:blip>
                          <a:stretch>
                            <a:fillRect/>
                          </a:stretch>
                        </pic:blipFill>
                        <pic:spPr>
                          <a:xfrm>
                            <a:off x="0" y="0"/>
                            <a:ext cx="1206500" cy="114998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B2A8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2BFE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0FD70732">
        <w:tblPrEx>
          <w:tblCellMar>
            <w:top w:w="0" w:type="dxa"/>
            <w:left w:w="108" w:type="dxa"/>
            <w:bottom w:w="0" w:type="dxa"/>
            <w:right w:w="108" w:type="dxa"/>
          </w:tblCellMar>
        </w:tblPrEx>
        <w:trPr>
          <w:trHeight w:val="342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4676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186</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DAA6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桌子（3）</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F0CD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2400*600*760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304C606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1.基材：采用E0级多层板，游离甲醛释放量均达国家标准，台面厚度≥25mm,背板及其余板材厚度≥16mm；</w:t>
            </w:r>
          </w:p>
          <w:p w14:paraId="54B9A0A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2.贴面：采用优质耐磨三聚氰胺浸渍面纸，防火，并具阻燃、耐磨性强、清洁方便等特点；</w:t>
            </w:r>
          </w:p>
          <w:p w14:paraId="48EB34A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3.五金：优质五金件；</w:t>
            </w:r>
          </w:p>
          <w:p w14:paraId="53254EC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4.封边：同色PVC封边条； </w:t>
            </w:r>
          </w:p>
          <w:p w14:paraId="4C27C9F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5.成品：要求且不得出现可能产生危害的、危险性的、可触及的边部或尖端等.</w:t>
            </w:r>
          </w:p>
          <w:p w14:paraId="47129C5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6.功能：配置三抽柜，抽屉配锁，桌面开过线孔，背板高度400mm；</w:t>
            </w:r>
          </w:p>
          <w:p w14:paraId="70747933">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A085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40130" cy="1229360"/>
                  <wp:effectExtent l="0" t="0" r="11430" b="5080"/>
                  <wp:docPr id="124" name="图片_124"/>
                  <wp:cNvGraphicFramePr/>
                  <a:graphic xmlns:a="http://schemas.openxmlformats.org/drawingml/2006/main">
                    <a:graphicData uri="http://schemas.openxmlformats.org/drawingml/2006/picture">
                      <pic:pic xmlns:pic="http://schemas.openxmlformats.org/drawingml/2006/picture">
                        <pic:nvPicPr>
                          <pic:cNvPr id="124" name="图片_124"/>
                          <pic:cNvPicPr/>
                        </pic:nvPicPr>
                        <pic:blipFill>
                          <a:blip r:embed="rId130">
                            <a:extLst>
                              <a:ext uri="{28A0092B-C50C-407E-A947-70E740481C1C}">
                                <a14:useLocalDpi xmlns:a14="http://schemas.microsoft.com/office/drawing/2010/main" val="0"/>
                              </a:ext>
                            </a:extLst>
                          </a:blip>
                          <a:stretch>
                            <a:fillRect/>
                          </a:stretch>
                        </pic:blipFill>
                        <pic:spPr>
                          <a:xfrm>
                            <a:off x="0" y="0"/>
                            <a:ext cx="1040130" cy="122936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A95F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4F0D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15587C0F">
        <w:tblPrEx>
          <w:tblCellMar>
            <w:top w:w="0" w:type="dxa"/>
            <w:left w:w="108" w:type="dxa"/>
            <w:bottom w:w="0" w:type="dxa"/>
            <w:right w:w="108" w:type="dxa"/>
          </w:tblCellMar>
        </w:tblPrEx>
        <w:trPr>
          <w:trHeight w:val="342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99CA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187</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D247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音控桌（1）</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5CEF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2600*800*760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7F03B28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1.基材：采用E0级多层板，游离甲醛释放量均达国家标准，台面厚度≥25mm,背板及其余板材厚度≥16mm；</w:t>
            </w:r>
          </w:p>
          <w:p w14:paraId="2B3AA3F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2.贴面：采用优质耐磨三聚氰胺浸渍面纸，防火，并具阻燃、耐磨性强、清洁方便等特点；</w:t>
            </w:r>
          </w:p>
          <w:p w14:paraId="2C22C0F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3.五金：优质五金件；</w:t>
            </w:r>
          </w:p>
          <w:p w14:paraId="47BF324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4.封边：同色PVC封边条； </w:t>
            </w:r>
          </w:p>
          <w:p w14:paraId="1981B42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5.成品：要求且不得出现可能产生危害的、危险性的、可触及的边部或尖端等；</w:t>
            </w:r>
          </w:p>
          <w:p w14:paraId="784C9DA8">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6.功能：配置一排抽屉及空格主机柜，柜子后方设计走线，桌面开过线孔，背板高度400mm；</w:t>
            </w:r>
          </w:p>
          <w:p w14:paraId="6EA1F139">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3C32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66165" cy="1216660"/>
                  <wp:effectExtent l="0" t="0" r="635" b="2540"/>
                  <wp:docPr id="113" name="图片_126"/>
                  <wp:cNvGraphicFramePr/>
                  <a:graphic xmlns:a="http://schemas.openxmlformats.org/drawingml/2006/main">
                    <a:graphicData uri="http://schemas.openxmlformats.org/drawingml/2006/picture">
                      <pic:pic xmlns:pic="http://schemas.openxmlformats.org/drawingml/2006/picture">
                        <pic:nvPicPr>
                          <pic:cNvPr id="113" name="图片_126"/>
                          <pic:cNvPicPr/>
                        </pic:nvPicPr>
                        <pic:blipFill>
                          <a:blip r:embed="rId131">
                            <a:extLst>
                              <a:ext uri="{28A0092B-C50C-407E-A947-70E740481C1C}">
                                <a14:useLocalDpi xmlns:a14="http://schemas.microsoft.com/office/drawing/2010/main" val="0"/>
                              </a:ext>
                            </a:extLst>
                          </a:blip>
                          <a:stretch>
                            <a:fillRect/>
                          </a:stretch>
                        </pic:blipFill>
                        <pic:spPr>
                          <a:xfrm>
                            <a:off x="0" y="0"/>
                            <a:ext cx="1066165" cy="121666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4665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A6FF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2836C613">
        <w:tblPrEx>
          <w:tblCellMar>
            <w:top w:w="0" w:type="dxa"/>
            <w:left w:w="108" w:type="dxa"/>
            <w:bottom w:w="0" w:type="dxa"/>
            <w:right w:w="108" w:type="dxa"/>
          </w:tblCellMar>
        </w:tblPrEx>
        <w:trPr>
          <w:trHeight w:val="342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FB32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188</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DCCB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音控桌（2）</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C604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1800*800*760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1F3AF68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1.基材：采用E0级多层板，游离甲醛释放量均达国家标准，台面厚度≥25mm,背板及其余板材厚度≥16mm；</w:t>
            </w:r>
          </w:p>
          <w:p w14:paraId="3A2A991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2.贴面：采用优质耐磨三聚氰胺浸渍面纸，防火，并具阻燃、耐磨性强、清洁方便等特点；</w:t>
            </w:r>
          </w:p>
          <w:p w14:paraId="0DC8BC3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3.五金：优质五金件；</w:t>
            </w:r>
          </w:p>
          <w:p w14:paraId="0B0DD23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4.封边：同色PVC封边条； </w:t>
            </w:r>
          </w:p>
          <w:p w14:paraId="0FAF463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5.成品：要求且不得出现可能产生危害的、危险性的、可触及的边部或尖端等；</w:t>
            </w:r>
          </w:p>
          <w:p w14:paraId="0865A87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6.功能：配置支撑四抽柜及抽屉主机柜，抽屉配锁，柜子后方设计走线，桌面开过线孔，背板高度400mm；</w:t>
            </w:r>
          </w:p>
          <w:p w14:paraId="1FE8E5B5">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3B8D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59180" cy="1514475"/>
                  <wp:effectExtent l="0" t="0" r="7620" b="9525"/>
                  <wp:docPr id="114" name="图片_127"/>
                  <wp:cNvGraphicFramePr/>
                  <a:graphic xmlns:a="http://schemas.openxmlformats.org/drawingml/2006/main">
                    <a:graphicData uri="http://schemas.openxmlformats.org/drawingml/2006/picture">
                      <pic:pic xmlns:pic="http://schemas.openxmlformats.org/drawingml/2006/picture">
                        <pic:nvPicPr>
                          <pic:cNvPr id="114" name="图片_127"/>
                          <pic:cNvPicPr/>
                        </pic:nvPicPr>
                        <pic:blipFill>
                          <a:blip r:embed="rId132">
                            <a:extLst>
                              <a:ext uri="{28A0092B-C50C-407E-A947-70E740481C1C}">
                                <a14:useLocalDpi xmlns:a14="http://schemas.microsoft.com/office/drawing/2010/main" val="0"/>
                              </a:ext>
                            </a:extLst>
                          </a:blip>
                          <a:stretch>
                            <a:fillRect/>
                          </a:stretch>
                        </pic:blipFill>
                        <pic:spPr>
                          <a:xfrm>
                            <a:off x="0" y="0"/>
                            <a:ext cx="1059180" cy="151447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7941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27DD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6A4E56B0">
        <w:tblPrEx>
          <w:tblCellMar>
            <w:top w:w="0" w:type="dxa"/>
            <w:left w:w="108" w:type="dxa"/>
            <w:bottom w:w="0" w:type="dxa"/>
            <w:right w:w="108" w:type="dxa"/>
          </w:tblCellMar>
        </w:tblPrEx>
        <w:trPr>
          <w:trHeight w:val="342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74EF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189</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53A4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文件柜（1）</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7971A">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2400*400*1370</w:t>
            </w:r>
          </w:p>
          <w:p w14:paraId="7F6D7EA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双开门柜*3</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7D5CD04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1.基材：采用E0级多层板，游离甲醛释放量均达国家标准，所有板材厚度≥16mm；</w:t>
            </w:r>
          </w:p>
          <w:p w14:paraId="2D91F76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2.贴面：采用优质耐磨三聚氰胺浸渍面纸，防火，并具阻燃、耐磨性强、清洁方便等特点；</w:t>
            </w:r>
          </w:p>
          <w:p w14:paraId="2DAD9A8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3.五金：优质五金件；</w:t>
            </w:r>
          </w:p>
          <w:p w14:paraId="5BC496F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4.封边：同色PVC封边条； </w:t>
            </w:r>
          </w:p>
          <w:p w14:paraId="2F6112D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5.成品：要求且不得出现可能产生危害的、危险性的、可触及的边部或尖端等；</w:t>
            </w:r>
          </w:p>
          <w:p w14:paraId="638590B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6.功能：顶板后飞出20mm,柜子靠墙，柜子后方有一个电源需引到柜子右侧板上，86线盒离地大于300mm；柜门内置二层层板，柜门不加锁；</w:t>
            </w:r>
          </w:p>
          <w:p w14:paraId="27C87021">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A31B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152525" cy="1181100"/>
                  <wp:effectExtent l="0" t="0" r="5715" b="7620"/>
                  <wp:docPr id="130" name="图片_114"/>
                  <wp:cNvGraphicFramePr/>
                  <a:graphic xmlns:a="http://schemas.openxmlformats.org/drawingml/2006/main">
                    <a:graphicData uri="http://schemas.openxmlformats.org/drawingml/2006/picture">
                      <pic:pic xmlns:pic="http://schemas.openxmlformats.org/drawingml/2006/picture">
                        <pic:nvPicPr>
                          <pic:cNvPr id="130" name="图片_114"/>
                          <pic:cNvPicPr/>
                        </pic:nvPicPr>
                        <pic:blipFill>
                          <a:blip r:embed="rId133">
                            <a:extLst>
                              <a:ext uri="{28A0092B-C50C-407E-A947-70E740481C1C}">
                                <a14:useLocalDpi xmlns:a14="http://schemas.microsoft.com/office/drawing/2010/main" val="0"/>
                              </a:ext>
                            </a:extLst>
                          </a:blip>
                          <a:stretch>
                            <a:fillRect/>
                          </a:stretch>
                        </pic:blipFill>
                        <pic:spPr>
                          <a:xfrm>
                            <a:off x="0" y="0"/>
                            <a:ext cx="1152525" cy="118110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F5261">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97B7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7D129D33">
        <w:tblPrEx>
          <w:tblCellMar>
            <w:top w:w="0" w:type="dxa"/>
            <w:left w:w="108" w:type="dxa"/>
            <w:bottom w:w="0" w:type="dxa"/>
            <w:right w:w="108" w:type="dxa"/>
          </w:tblCellMar>
        </w:tblPrEx>
        <w:trPr>
          <w:trHeight w:val="342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5C3A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190</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775F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文件柜（2）</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44765">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2400*400*1395</w:t>
            </w:r>
          </w:p>
          <w:p w14:paraId="7D73D8A7">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双开门柜*3</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55E9250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1.基材：采用E0级多层板，游离甲醛释放量均达国家标准，所有板材厚度≥16mm；</w:t>
            </w:r>
          </w:p>
          <w:p w14:paraId="1FC04E8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2.贴面：采用优质耐磨三聚氰胺浸渍面纸，防火，并具阻燃、耐磨性强、清洁方便等特点；</w:t>
            </w:r>
          </w:p>
          <w:p w14:paraId="29469867">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3.五金：优质五金件；</w:t>
            </w:r>
          </w:p>
          <w:p w14:paraId="228DDEC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4.封边：同色PVC封边条； </w:t>
            </w:r>
          </w:p>
          <w:p w14:paraId="0DCA82F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5.成品：要求且不得出现可能产生危害的、危险性的、可触及的边部或尖端等；</w:t>
            </w:r>
          </w:p>
          <w:p w14:paraId="26DF682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6.功能：顶板后飞出20mm,柜子靠墙，柜子后方有一个电源需引到柜子右侧板上，86线盒离地大于300mm；柜门内置二层层板，柜门不加锁；</w:t>
            </w:r>
          </w:p>
          <w:p w14:paraId="1FB1D02A">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1E32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238885" cy="1270000"/>
                  <wp:effectExtent l="0" t="0" r="10795" b="10160"/>
                  <wp:docPr id="131" name="图片_117"/>
                  <wp:cNvGraphicFramePr/>
                  <a:graphic xmlns:a="http://schemas.openxmlformats.org/drawingml/2006/main">
                    <a:graphicData uri="http://schemas.openxmlformats.org/drawingml/2006/picture">
                      <pic:pic xmlns:pic="http://schemas.openxmlformats.org/drawingml/2006/picture">
                        <pic:nvPicPr>
                          <pic:cNvPr id="131" name="图片_117"/>
                          <pic:cNvPicPr/>
                        </pic:nvPicPr>
                        <pic:blipFill>
                          <a:blip r:embed="rId134">
                            <a:extLst>
                              <a:ext uri="{28A0092B-C50C-407E-A947-70E740481C1C}">
                                <a14:useLocalDpi xmlns:a14="http://schemas.microsoft.com/office/drawing/2010/main" val="0"/>
                              </a:ext>
                            </a:extLst>
                          </a:blip>
                          <a:stretch>
                            <a:fillRect/>
                          </a:stretch>
                        </pic:blipFill>
                        <pic:spPr>
                          <a:xfrm>
                            <a:off x="0" y="0"/>
                            <a:ext cx="1238885" cy="127000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F518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9487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526918DD">
        <w:tblPrEx>
          <w:tblCellMar>
            <w:top w:w="0" w:type="dxa"/>
            <w:left w:w="108" w:type="dxa"/>
            <w:bottom w:w="0" w:type="dxa"/>
            <w:right w:w="108" w:type="dxa"/>
          </w:tblCellMar>
        </w:tblPrEx>
        <w:trPr>
          <w:trHeight w:val="342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A2BD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191</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1CCA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文件柜（3）</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95066">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2800*400*1165</w:t>
            </w:r>
          </w:p>
          <w:p w14:paraId="35939312">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空格柜*1，双开门柜*3</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4773EB2B">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1.基材：采用E0级多层板，游离甲醛释放量均达国家标准，所有板材厚度≥16mm；</w:t>
            </w:r>
          </w:p>
          <w:p w14:paraId="639BCB8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2.贴面：采用优质耐磨三聚氰胺浸渍面纸，防火，并具阻燃、耐磨性强、清洁方便等特点；</w:t>
            </w:r>
          </w:p>
          <w:p w14:paraId="5628EC3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3.五金：优质五金件；</w:t>
            </w:r>
          </w:p>
          <w:p w14:paraId="000E3BA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4.封边：同色PVC封边条； </w:t>
            </w:r>
          </w:p>
          <w:p w14:paraId="7E7E64D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5.成品：要求且不得出现可能产生危害的、危险性的、可触及的边部或尖端等.</w:t>
            </w:r>
          </w:p>
          <w:p w14:paraId="0C157B5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6.功能：顶板后飞出20mm,柜子靠墙，柜子后方有一个电源需引到柜子右侧板上，86线盒离地大于300mm；柜门内置二层层板，柜门不加锁；</w:t>
            </w:r>
          </w:p>
          <w:p w14:paraId="12EBD859">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09AB0">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anchor distT="0" distB="0" distL="114300" distR="114300" simplePos="0" relativeHeight="251665408" behindDoc="0" locked="0" layoutInCell="1" allowOverlap="1">
                  <wp:simplePos x="0" y="0"/>
                  <wp:positionH relativeFrom="column">
                    <wp:posOffset>290195</wp:posOffset>
                  </wp:positionH>
                  <wp:positionV relativeFrom="paragraph">
                    <wp:posOffset>1024255</wp:posOffset>
                  </wp:positionV>
                  <wp:extent cx="958215" cy="517525"/>
                  <wp:effectExtent l="0" t="0" r="1905" b="635"/>
                  <wp:wrapNone/>
                  <wp:docPr id="126" name="图片_120"/>
                  <wp:cNvGraphicFramePr/>
                  <a:graphic xmlns:a="http://schemas.openxmlformats.org/drawingml/2006/main">
                    <a:graphicData uri="http://schemas.openxmlformats.org/drawingml/2006/picture">
                      <pic:pic xmlns:pic="http://schemas.openxmlformats.org/drawingml/2006/picture">
                        <pic:nvPicPr>
                          <pic:cNvPr id="126" name="图片_120"/>
                          <pic:cNvPicPr/>
                        </pic:nvPicPr>
                        <pic:blipFill>
                          <a:blip r:embed="rId135"/>
                          <a:stretch>
                            <a:fillRect/>
                          </a:stretch>
                        </pic:blipFill>
                        <pic:spPr>
                          <a:xfrm>
                            <a:off x="0" y="0"/>
                            <a:ext cx="958215" cy="517525"/>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793115" cy="826135"/>
                  <wp:effectExtent l="0" t="0" r="14605" b="12065"/>
                  <wp:docPr id="122" name="图片_119"/>
                  <wp:cNvGraphicFramePr/>
                  <a:graphic xmlns:a="http://schemas.openxmlformats.org/drawingml/2006/main">
                    <a:graphicData uri="http://schemas.openxmlformats.org/drawingml/2006/picture">
                      <pic:pic xmlns:pic="http://schemas.openxmlformats.org/drawingml/2006/picture">
                        <pic:nvPicPr>
                          <pic:cNvPr id="122" name="图片_119"/>
                          <pic:cNvPicPr/>
                        </pic:nvPicPr>
                        <pic:blipFill>
                          <a:blip r:embed="rId136">
                            <a:extLst>
                              <a:ext uri="{28A0092B-C50C-407E-A947-70E740481C1C}">
                                <a14:useLocalDpi xmlns:a14="http://schemas.microsoft.com/office/drawing/2010/main" val="0"/>
                              </a:ext>
                            </a:extLst>
                          </a:blip>
                          <a:stretch>
                            <a:fillRect/>
                          </a:stretch>
                        </pic:blipFill>
                        <pic:spPr>
                          <a:xfrm>
                            <a:off x="0" y="0"/>
                            <a:ext cx="793115" cy="82613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44BC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21C3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31C06379">
        <w:tblPrEx>
          <w:tblCellMar>
            <w:top w:w="0" w:type="dxa"/>
            <w:left w:w="108" w:type="dxa"/>
            <w:bottom w:w="0" w:type="dxa"/>
            <w:right w:w="108" w:type="dxa"/>
          </w:tblCellMar>
        </w:tblPrEx>
        <w:trPr>
          <w:trHeight w:val="342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E917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192</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0C68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文件柜（4）</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56678">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2400*400*1090</w:t>
            </w:r>
          </w:p>
          <w:p w14:paraId="2E2B8A3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双开门柜*3</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1FEBBC6D">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1.基材：采用E0级多层板，游离甲醛释放量均达国家标准，所有板材厚度≥16mm；</w:t>
            </w:r>
          </w:p>
          <w:p w14:paraId="757D4E0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2.贴面：采用优质耐磨三聚氰胺浸渍面纸，防火，并具阻燃、耐磨性强、清洁方便等特点；</w:t>
            </w:r>
          </w:p>
          <w:p w14:paraId="404A6CD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3.五金：优质五金件；</w:t>
            </w:r>
          </w:p>
          <w:p w14:paraId="36A2108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4.封边：同色PVC封边条； </w:t>
            </w:r>
          </w:p>
          <w:p w14:paraId="7F003F0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5.成品：要求且不得出现可能产生危害的、危险性的、可触及的边部或尖端等.</w:t>
            </w:r>
          </w:p>
          <w:p w14:paraId="7299FE8F">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6.功能：顶板后飞出20mm,柜子靠墙，柜子后方有一个电源需引到柜子右侧板上，86线盒离地大于300mm；柜门内置二层层板，柜门不加锁；</w:t>
            </w:r>
          </w:p>
          <w:p w14:paraId="1CF25C1C">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DA863">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99820" cy="1135380"/>
                  <wp:effectExtent l="0" t="0" r="12700" b="7620"/>
                  <wp:docPr id="115" name="图片_118"/>
                  <wp:cNvGraphicFramePr/>
                  <a:graphic xmlns:a="http://schemas.openxmlformats.org/drawingml/2006/main">
                    <a:graphicData uri="http://schemas.openxmlformats.org/drawingml/2006/picture">
                      <pic:pic xmlns:pic="http://schemas.openxmlformats.org/drawingml/2006/picture">
                        <pic:nvPicPr>
                          <pic:cNvPr id="115" name="图片_118"/>
                          <pic:cNvPicPr/>
                        </pic:nvPicPr>
                        <pic:blipFill>
                          <a:blip r:embed="rId137">
                            <a:extLst>
                              <a:ext uri="{28A0092B-C50C-407E-A947-70E740481C1C}">
                                <a14:useLocalDpi xmlns:a14="http://schemas.microsoft.com/office/drawing/2010/main" val="0"/>
                              </a:ext>
                            </a:extLst>
                          </a:blip>
                          <a:stretch>
                            <a:fillRect/>
                          </a:stretch>
                        </pic:blipFill>
                        <pic:spPr>
                          <a:xfrm>
                            <a:off x="0" y="0"/>
                            <a:ext cx="1099820" cy="113538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29509">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D1EC5">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w:t>
            </w:r>
          </w:p>
        </w:tc>
      </w:tr>
      <w:tr w14:paraId="2E09CE33">
        <w:tblPrEx>
          <w:tblCellMar>
            <w:top w:w="0" w:type="dxa"/>
            <w:left w:w="108" w:type="dxa"/>
            <w:bottom w:w="0" w:type="dxa"/>
            <w:right w:w="108" w:type="dxa"/>
          </w:tblCellMar>
        </w:tblPrEx>
        <w:trPr>
          <w:trHeight w:val="342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01F74">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193</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EFC7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椅子（1）</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1F51D">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630*690*1070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29A35DEE">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1.框架：采用优质白蜡木实木制作，所有木材都进行烘干及防蛀处理，木材含水率8-12%；无腐朽、无虫眼、无死结；</w:t>
            </w:r>
          </w:p>
          <w:p w14:paraId="5B7B4C36">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2.饰面：采用优质西皮饰面，经液态浸色及防潮、防污等工艺处理，皮面更加柔软舒适、光泽持久性好，纹理细腻，耐磨损；</w:t>
            </w:r>
          </w:p>
          <w:p w14:paraId="3C0E952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3.油漆：采用水性漆；</w:t>
            </w:r>
          </w:p>
          <w:p w14:paraId="0B84ABE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4.海绵：采用优质高弹阻燃海绵，软硬适中、不变形、回弹性好、抗疲劳能力强、坐感舒适.表面涂有防止老化变形的保护膜.</w:t>
            </w:r>
          </w:p>
          <w:p w14:paraId="251CAD47">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FF3B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197610" cy="1532255"/>
                  <wp:effectExtent l="0" t="0" r="6350" b="6985"/>
                  <wp:docPr id="116" name="图片_129"/>
                  <wp:cNvGraphicFramePr/>
                  <a:graphic xmlns:a="http://schemas.openxmlformats.org/drawingml/2006/main">
                    <a:graphicData uri="http://schemas.openxmlformats.org/drawingml/2006/picture">
                      <pic:pic xmlns:pic="http://schemas.openxmlformats.org/drawingml/2006/picture">
                        <pic:nvPicPr>
                          <pic:cNvPr id="116" name="图片_129"/>
                          <pic:cNvPicPr/>
                        </pic:nvPicPr>
                        <pic:blipFill>
                          <a:blip r:embed="rId138">
                            <a:extLst>
                              <a:ext uri="{28A0092B-C50C-407E-A947-70E740481C1C}">
                                <a14:useLocalDpi xmlns:a14="http://schemas.microsoft.com/office/drawing/2010/main" val="0"/>
                              </a:ext>
                            </a:extLst>
                          </a:blip>
                          <a:stretch>
                            <a:fillRect/>
                          </a:stretch>
                        </pic:blipFill>
                        <pic:spPr>
                          <a:xfrm>
                            <a:off x="0" y="0"/>
                            <a:ext cx="1197610" cy="1532255"/>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DC48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18</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8A38C">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2742108F">
        <w:tblPrEx>
          <w:tblCellMar>
            <w:top w:w="0" w:type="dxa"/>
            <w:left w:w="108" w:type="dxa"/>
            <w:bottom w:w="0" w:type="dxa"/>
            <w:right w:w="108" w:type="dxa"/>
          </w:tblCellMar>
        </w:tblPrEx>
        <w:trPr>
          <w:trHeight w:val="342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C498B">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194</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8F706">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椅子（2）</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765EF">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700*605*</w:t>
            </w:r>
            <w:r>
              <w:rPr>
                <w:rFonts w:hint="eastAsia" w:asciiTheme="minorEastAsia" w:hAnsiTheme="minorEastAsia" w:eastAsiaTheme="minorEastAsia" w:cstheme="minorEastAsia"/>
                <w:color w:val="000000"/>
                <w:kern w:val="0"/>
                <w:szCs w:val="21"/>
                <w:lang w:eastAsia="zh-CN" w:bidi="ar"/>
              </w:rPr>
              <w:t>（</w:t>
            </w:r>
            <w:r>
              <w:rPr>
                <w:rFonts w:hint="eastAsia" w:asciiTheme="minorEastAsia" w:hAnsiTheme="minorEastAsia" w:eastAsiaTheme="minorEastAsia" w:cstheme="minorEastAsia"/>
                <w:color w:val="000000"/>
                <w:kern w:val="0"/>
                <w:szCs w:val="21"/>
                <w:lang w:bidi="ar"/>
              </w:rPr>
              <w:t>1140-1240</w:t>
            </w:r>
            <w:r>
              <w:rPr>
                <w:rFonts w:hint="eastAsia" w:asciiTheme="minorEastAsia" w:hAnsiTheme="minorEastAsia" w:eastAsiaTheme="minorEastAsia" w:cstheme="minorEastAsia"/>
                <w:color w:val="000000"/>
                <w:kern w:val="0"/>
                <w:szCs w:val="21"/>
                <w:lang w:eastAsia="zh-CN" w:bidi="ar"/>
              </w:rPr>
              <w:t>）</w:t>
            </w:r>
          </w:p>
          <w:p w14:paraId="49B2DC82">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高度尺寸为气杆降到最低或升到最高到头枕（降到最低）的距离）</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5F8D272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1.面料：优质西皮或巴西进口优质黄牛皮饰面</w:t>
            </w:r>
          </w:p>
          <w:p w14:paraId="4A2286E5">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2.头枕：固定头枕，带ABS电镀装饰盖+定型棉</w:t>
            </w:r>
          </w:p>
          <w:p w14:paraId="7F33A20A">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3.椅背：PA内外板背架</w:t>
            </w:r>
          </w:p>
          <w:p w14:paraId="37B0B799">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4.椅座：定型绵</w:t>
            </w:r>
          </w:p>
          <w:p w14:paraId="24D09EDC">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5.扶手：黑色PP连体扶手</w:t>
            </w:r>
          </w:p>
          <w:p w14:paraId="346DCF4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6.底盘：原位锁定功能底盘</w:t>
            </w:r>
          </w:p>
          <w:p w14:paraId="2EA87032">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7.气杆：行程100mm沉口40mm气杆</w:t>
            </w:r>
          </w:p>
          <w:p w14:paraId="3AA03251">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8.椅脚：340mmPA五星脚</w:t>
            </w:r>
          </w:p>
          <w:p w14:paraId="58804820">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9.椅轮：60/25黑色PU轮</w:t>
            </w:r>
          </w:p>
          <w:p w14:paraId="44B6DA77">
            <w:pPr>
              <w:widowControl/>
              <w:jc w:val="left"/>
              <w:textAlignment w:val="top"/>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10.颜色：颜色可定制；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E5B6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751205" cy="1144270"/>
                  <wp:effectExtent l="0" t="0" r="10795" b="13970"/>
                  <wp:docPr id="132" name="图片_128"/>
                  <wp:cNvGraphicFramePr/>
                  <a:graphic xmlns:a="http://schemas.openxmlformats.org/drawingml/2006/main">
                    <a:graphicData uri="http://schemas.openxmlformats.org/drawingml/2006/picture">
                      <pic:pic xmlns:pic="http://schemas.openxmlformats.org/drawingml/2006/picture">
                        <pic:nvPicPr>
                          <pic:cNvPr id="132" name="图片_128"/>
                          <pic:cNvPicPr/>
                        </pic:nvPicPr>
                        <pic:blipFill>
                          <a:blip r:embed="rId139">
                            <a:extLst>
                              <a:ext uri="{28A0092B-C50C-407E-A947-70E740481C1C}">
                                <a14:useLocalDpi xmlns:a14="http://schemas.microsoft.com/office/drawing/2010/main" val="0"/>
                              </a:ext>
                            </a:extLst>
                          </a:blip>
                          <a:stretch>
                            <a:fillRect/>
                          </a:stretch>
                        </pic:blipFill>
                        <pic:spPr>
                          <a:xfrm>
                            <a:off x="0" y="0"/>
                            <a:ext cx="752364" cy="1146178"/>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3A7DA">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3AC2F">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张</w:t>
            </w:r>
          </w:p>
        </w:tc>
      </w:tr>
      <w:tr w14:paraId="75241AFF">
        <w:tblPrEx>
          <w:tblCellMar>
            <w:top w:w="0" w:type="dxa"/>
            <w:left w:w="108" w:type="dxa"/>
            <w:bottom w:w="0" w:type="dxa"/>
            <w:right w:w="108" w:type="dxa"/>
          </w:tblCellMar>
        </w:tblPrEx>
        <w:trPr>
          <w:trHeight w:val="964"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085AB">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195</w:t>
            </w:r>
          </w:p>
        </w:tc>
        <w:tc>
          <w:tcPr>
            <w:tcW w:w="475" w:type="pct"/>
            <w:vMerge w:val="restart"/>
            <w:tcBorders>
              <w:top w:val="single" w:color="000000" w:sz="4" w:space="0"/>
              <w:left w:val="single" w:color="000000" w:sz="4" w:space="0"/>
              <w:right w:val="single" w:color="000000" w:sz="4" w:space="0"/>
            </w:tcBorders>
            <w:shd w:val="clear" w:color="auto" w:fill="auto"/>
            <w:noWrap/>
            <w:vAlign w:val="center"/>
          </w:tcPr>
          <w:p w14:paraId="2F64DCA6">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cstheme="minorEastAsia"/>
                <w:color w:val="000000"/>
                <w:kern w:val="0"/>
                <w:szCs w:val="21"/>
                <w:lang w:bidi="ar"/>
              </w:rPr>
              <w:t>定制桌组</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18985">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cstheme="minorEastAsia"/>
                <w:color w:val="000000"/>
                <w:kern w:val="0"/>
                <w:szCs w:val="21"/>
                <w:lang w:bidi="ar"/>
              </w:rPr>
              <w:t>1800*1800*760</w:t>
            </w:r>
          </w:p>
        </w:tc>
        <w:tc>
          <w:tcPr>
            <w:tcW w:w="2329" w:type="pct"/>
            <w:vMerge w:val="restart"/>
            <w:tcBorders>
              <w:top w:val="single" w:color="000000" w:sz="4" w:space="0"/>
              <w:left w:val="single" w:color="000000" w:sz="4" w:space="0"/>
              <w:right w:val="single" w:color="000000" w:sz="4" w:space="0"/>
            </w:tcBorders>
            <w:shd w:val="clear" w:color="auto" w:fill="auto"/>
          </w:tcPr>
          <w:p w14:paraId="4A6E1F49">
            <w:pPr>
              <w:widowControl/>
              <w:jc w:val="left"/>
              <w:textAlignment w:val="top"/>
              <w:rPr>
                <w:rFonts w:hint="eastAsia" w:asciiTheme="minorEastAsia" w:hAnsiTheme="minorEastAsia" w:cstheme="minorEastAsia"/>
                <w:color w:val="000000"/>
                <w:kern w:val="0"/>
                <w:szCs w:val="21"/>
                <w:highlight w:val="none"/>
                <w:lang w:bidi="ar"/>
              </w:rPr>
            </w:pPr>
            <w:r>
              <w:rPr>
                <w:rFonts w:hint="eastAsia" w:asciiTheme="minorEastAsia" w:hAnsiTheme="minorEastAsia" w:cstheme="minorEastAsia"/>
                <w:color w:val="000000"/>
                <w:kern w:val="0"/>
                <w:szCs w:val="21"/>
                <w:lang w:bidi="ar"/>
              </w:rPr>
              <w:t>1.面材：采用优质天然实木木皮贴面，木皮厚度≥0.6mm；</w:t>
            </w:r>
            <w:r>
              <w:rPr>
                <w:rFonts w:hint="eastAsia" w:asciiTheme="minorEastAsia" w:hAnsiTheme="minorEastAsia" w:cstheme="minorEastAsia"/>
                <w:color w:val="000000"/>
                <w:kern w:val="0"/>
                <w:szCs w:val="21"/>
                <w:lang w:bidi="ar"/>
              </w:rPr>
              <w:br w:type="textWrapping"/>
            </w:r>
            <w:r>
              <w:rPr>
                <w:rFonts w:hint="eastAsia" w:asciiTheme="minorEastAsia" w:hAnsiTheme="minorEastAsia" w:cstheme="minorEastAsia"/>
                <w:color w:val="000000"/>
                <w:kern w:val="0"/>
                <w:szCs w:val="21"/>
                <w:lang w:bidi="ar"/>
              </w:rPr>
              <w:t>2.基材：采用E0级密度板，各项性能均优于国家标准；</w:t>
            </w:r>
            <w:r>
              <w:rPr>
                <w:rFonts w:hint="eastAsia" w:asciiTheme="minorEastAsia" w:hAnsiTheme="minorEastAsia" w:cstheme="minorEastAsia"/>
                <w:color w:val="000000"/>
                <w:kern w:val="0"/>
                <w:szCs w:val="21"/>
                <w:lang w:bidi="ar"/>
              </w:rPr>
              <w:br w:type="textWrapping"/>
            </w:r>
            <w:r>
              <w:rPr>
                <w:rFonts w:hint="eastAsia" w:asciiTheme="minorEastAsia" w:hAnsiTheme="minorEastAsia" w:cstheme="minorEastAsia"/>
                <w:color w:val="000000"/>
                <w:kern w:val="0"/>
                <w:szCs w:val="21"/>
                <w:lang w:bidi="ar"/>
              </w:rPr>
              <w:t>3.油漆：油性木器涂料涂饰，采用五底三面涂饰工艺，符合国家标准；</w:t>
            </w:r>
            <w:r>
              <w:rPr>
                <w:rFonts w:hint="eastAsia" w:asciiTheme="minorEastAsia" w:hAnsiTheme="minorEastAsia" w:cstheme="minorEastAsia"/>
                <w:color w:val="000000"/>
                <w:kern w:val="0"/>
                <w:szCs w:val="21"/>
                <w:lang w:bidi="ar"/>
              </w:rPr>
              <w:br w:type="textWrapping"/>
            </w:r>
            <w:r>
              <w:rPr>
                <w:rFonts w:hint="eastAsia" w:asciiTheme="minorEastAsia" w:hAnsiTheme="minorEastAsia" w:cstheme="minorEastAsia"/>
                <w:color w:val="000000"/>
                <w:kern w:val="0"/>
                <w:szCs w:val="21"/>
                <w:lang w:bidi="ar"/>
              </w:rPr>
              <w:t>4.胶水：采用环保白乳胶；</w:t>
            </w:r>
            <w:r>
              <w:rPr>
                <w:rFonts w:hint="eastAsia" w:asciiTheme="minorEastAsia" w:hAnsiTheme="minorEastAsia" w:cstheme="minorEastAsia"/>
                <w:color w:val="000000"/>
                <w:kern w:val="0"/>
                <w:szCs w:val="21"/>
                <w:lang w:bidi="ar"/>
              </w:rPr>
              <w:br w:type="textWrapping"/>
            </w:r>
            <w:r>
              <w:rPr>
                <w:rFonts w:hint="eastAsia" w:asciiTheme="minorEastAsia" w:hAnsiTheme="minorEastAsia" w:cstheme="minorEastAsia"/>
                <w:color w:val="000000"/>
                <w:kern w:val="0"/>
                <w:szCs w:val="21"/>
                <w:lang w:bidi="ar"/>
              </w:rPr>
              <w:t>5.配件：优质五金配件；</w:t>
            </w:r>
            <w:r>
              <w:rPr>
                <w:rFonts w:hint="eastAsia" w:asciiTheme="minorEastAsia" w:hAnsiTheme="minorEastAsia" w:cstheme="minorEastAsia"/>
                <w:color w:val="000000"/>
                <w:kern w:val="0"/>
                <w:szCs w:val="21"/>
                <w:lang w:bidi="ar"/>
              </w:rPr>
              <w:br w:type="textWrapping"/>
            </w:r>
            <w:r>
              <w:rPr>
                <w:rFonts w:hint="eastAsia" w:asciiTheme="minorEastAsia" w:hAnsiTheme="minorEastAsia" w:cstheme="minorEastAsia"/>
                <w:color w:val="000000"/>
                <w:kern w:val="0"/>
                <w:szCs w:val="21"/>
                <w:lang w:bidi="ar"/>
              </w:rPr>
              <w:t>6.走线：线路隐蔽处理，桌面含黑色铝合金或木制翻盖，内置底盒及预留4个</w:t>
            </w:r>
            <w:r>
              <w:rPr>
                <w:rFonts w:hint="eastAsia" w:asciiTheme="minorEastAsia" w:hAnsiTheme="minorEastAsia" w:cstheme="minorEastAsia"/>
                <w:color w:val="000000"/>
                <w:kern w:val="0"/>
                <w:szCs w:val="21"/>
                <w:highlight w:val="none"/>
                <w:lang w:bidi="ar"/>
              </w:rPr>
              <w:t>86型面板孔；</w:t>
            </w:r>
            <w:r>
              <w:rPr>
                <w:rFonts w:hint="eastAsia" w:asciiTheme="minorEastAsia" w:hAnsiTheme="minorEastAsia" w:cstheme="minorEastAsia"/>
                <w:color w:val="000000"/>
                <w:kern w:val="0"/>
                <w:szCs w:val="21"/>
                <w:highlight w:val="none"/>
                <w:lang w:bidi="ar"/>
              </w:rPr>
              <w:br w:type="textWrapping"/>
            </w:r>
            <w:r>
              <w:rPr>
                <w:rFonts w:hint="eastAsia" w:asciiTheme="minorEastAsia" w:hAnsiTheme="minorEastAsia" w:cstheme="minorEastAsia"/>
                <w:color w:val="000000"/>
                <w:kern w:val="0"/>
                <w:szCs w:val="21"/>
                <w:highlight w:val="none"/>
                <w:lang w:bidi="ar"/>
              </w:rPr>
              <w:t>7.功能：含支撑柜及副柜，配锁；</w:t>
            </w:r>
            <w:r>
              <w:rPr>
                <w:rFonts w:hint="eastAsia" w:asciiTheme="minorEastAsia" w:hAnsiTheme="minorEastAsia" w:cstheme="minorEastAsia"/>
                <w:color w:val="000000"/>
                <w:kern w:val="0"/>
                <w:szCs w:val="21"/>
                <w:highlight w:val="none"/>
                <w:lang w:bidi="ar"/>
              </w:rPr>
              <w:br w:type="textWrapping"/>
            </w:r>
            <w:r>
              <w:rPr>
                <w:rFonts w:hint="eastAsia" w:asciiTheme="minorEastAsia" w:hAnsiTheme="minorEastAsia" w:cstheme="minorEastAsia"/>
                <w:color w:val="000000"/>
                <w:kern w:val="0"/>
                <w:szCs w:val="21"/>
                <w:highlight w:val="none"/>
                <w:lang w:val="en-US" w:eastAsia="zh-CN" w:bidi="ar"/>
              </w:rPr>
              <w:t>8.</w:t>
            </w:r>
            <w:r>
              <w:rPr>
                <w:rFonts w:hint="eastAsia" w:asciiTheme="minorEastAsia" w:hAnsiTheme="minorEastAsia" w:cstheme="minorEastAsia"/>
                <w:color w:val="000000"/>
                <w:kern w:val="0"/>
                <w:szCs w:val="21"/>
                <w:highlight w:val="none"/>
                <w:lang w:bidi="ar"/>
              </w:rPr>
              <w:t xml:space="preserve">工艺要求：桌面厚度≥70mm，桌面四周及边缘倒边；台面及支撑柜下支撑部分板材厚度≥25mm,其余部分均≥16mm；柜体四周倒边. </w:t>
            </w:r>
          </w:p>
          <w:p w14:paraId="5DB59C84">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cstheme="minorEastAsia"/>
                <w:color w:val="000000"/>
                <w:kern w:val="0"/>
                <w:szCs w:val="21"/>
                <w:highlight w:val="none"/>
                <w:lang w:val="en-US" w:eastAsia="zh-CN" w:bidi="ar"/>
              </w:rPr>
              <w:t>9.</w:t>
            </w:r>
            <w:r>
              <w:rPr>
                <w:rFonts w:hint="eastAsia" w:asciiTheme="minorEastAsia" w:hAnsiTheme="minorEastAsia" w:cstheme="minorEastAsia"/>
                <w:color w:val="000000"/>
                <w:kern w:val="0"/>
                <w:szCs w:val="21"/>
                <w:highlight w:val="none"/>
                <w:lang w:bidi="ar"/>
              </w:rPr>
              <w:t>颜色可定制；</w:t>
            </w:r>
          </w:p>
        </w:tc>
        <w:tc>
          <w:tcPr>
            <w:tcW w:w="819" w:type="pct"/>
            <w:vMerge w:val="restart"/>
            <w:tcBorders>
              <w:top w:val="single" w:color="000000" w:sz="4" w:space="0"/>
              <w:left w:val="single" w:color="000000" w:sz="4" w:space="0"/>
              <w:right w:val="single" w:color="000000" w:sz="4" w:space="0"/>
            </w:tcBorders>
            <w:shd w:val="clear" w:color="auto" w:fill="auto"/>
            <w:noWrap/>
            <w:vAlign w:val="center"/>
          </w:tcPr>
          <w:p w14:paraId="1B424EB2">
            <w:pPr>
              <w:widowControl/>
              <w:jc w:val="center"/>
              <w:textAlignment w:val="center"/>
              <w:rPr>
                <w:rFonts w:hint="eastAsia" w:asciiTheme="minorEastAsia" w:hAnsiTheme="minorEastAsia" w:eastAsiaTheme="minorEastAsia" w:cstheme="minorEastAsia"/>
                <w:color w:val="000000"/>
                <w:kern w:val="0"/>
                <w:szCs w:val="21"/>
                <w:bdr w:val="single" w:color="000000" w:sz="4" w:space="0"/>
                <w:lang w:bidi="ar"/>
              </w:rPr>
            </w:pPr>
            <w:r>
              <w:rPr>
                <w:rFonts w:hint="eastAsia" w:asciiTheme="minorEastAsia" w:hAnsiTheme="minorEastAsia" w:cstheme="minorEastAsia"/>
                <w:color w:val="000000"/>
                <w:kern w:val="0"/>
                <w:szCs w:val="21"/>
                <w:bdr w:val="single" w:color="000000" w:sz="4" w:space="0"/>
                <w:lang w:bidi="ar"/>
              </w:rPr>
              <w:drawing>
                <wp:inline distT="0" distB="0" distL="0" distR="0">
                  <wp:extent cx="1343025" cy="802640"/>
                  <wp:effectExtent l="0" t="0" r="13335" b="4445"/>
                  <wp:docPr id="1105603910" name="图片_5"/>
                  <wp:cNvGraphicFramePr/>
                  <a:graphic xmlns:a="http://schemas.openxmlformats.org/drawingml/2006/main">
                    <a:graphicData uri="http://schemas.openxmlformats.org/drawingml/2006/picture">
                      <pic:pic xmlns:pic="http://schemas.openxmlformats.org/drawingml/2006/picture">
                        <pic:nvPicPr>
                          <pic:cNvPr id="1105603910" name="图片_5"/>
                          <pic:cNvPicPr/>
                        </pic:nvPicPr>
                        <pic:blipFill>
                          <a:blip r:embed="rId140">
                            <a:extLst>
                              <a:ext uri="{28A0092B-C50C-407E-A947-70E740481C1C}">
                                <a14:useLocalDpi xmlns:a14="http://schemas.microsoft.com/office/drawing/2010/main" val="0"/>
                              </a:ext>
                            </a:extLst>
                          </a:blip>
                          <a:stretch>
                            <a:fillRect/>
                          </a:stretch>
                        </pic:blipFill>
                        <pic:spPr>
                          <a:xfrm>
                            <a:off x="0" y="0"/>
                            <a:ext cx="1343025" cy="802640"/>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1B4DD">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cstheme="minorEastAsia"/>
                <w:color w:val="000000"/>
                <w:kern w:val="0"/>
                <w:szCs w:val="21"/>
                <w:lang w:bidi="ar"/>
              </w:rPr>
              <w:t>25</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476F2">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cstheme="minorEastAsia"/>
                <w:color w:val="000000"/>
                <w:kern w:val="0"/>
                <w:szCs w:val="21"/>
                <w:lang w:bidi="ar"/>
              </w:rPr>
              <w:t>张</w:t>
            </w:r>
          </w:p>
        </w:tc>
      </w:tr>
      <w:tr w14:paraId="57159598">
        <w:tblPrEx>
          <w:tblCellMar>
            <w:top w:w="0" w:type="dxa"/>
            <w:left w:w="108" w:type="dxa"/>
            <w:bottom w:w="0" w:type="dxa"/>
            <w:right w:w="108" w:type="dxa"/>
          </w:tblCellMar>
        </w:tblPrEx>
        <w:trPr>
          <w:trHeight w:val="964"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702CE">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196</w:t>
            </w:r>
          </w:p>
        </w:tc>
        <w:tc>
          <w:tcPr>
            <w:tcW w:w="475" w:type="pct"/>
            <w:vMerge w:val="continue"/>
            <w:tcBorders>
              <w:left w:val="single" w:color="000000" w:sz="4" w:space="0"/>
              <w:right w:val="single" w:color="000000" w:sz="4" w:space="0"/>
            </w:tcBorders>
            <w:shd w:val="clear" w:color="auto" w:fill="auto"/>
            <w:noWrap/>
            <w:vAlign w:val="center"/>
          </w:tcPr>
          <w:p w14:paraId="0D5358D4">
            <w:pPr>
              <w:widowControl/>
              <w:jc w:val="center"/>
              <w:textAlignment w:val="center"/>
              <w:rPr>
                <w:rFonts w:hint="eastAsia" w:asciiTheme="minorEastAsia" w:hAnsiTheme="minorEastAsia" w:eastAsiaTheme="minorEastAsia" w:cstheme="minorEastAsia"/>
                <w:color w:val="000000"/>
                <w:kern w:val="0"/>
                <w:szCs w:val="21"/>
                <w:lang w:bidi="ar"/>
              </w:rPr>
            </w:pP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37523">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cstheme="minorEastAsia"/>
                <w:color w:val="000000"/>
                <w:kern w:val="0"/>
                <w:szCs w:val="21"/>
                <w:lang w:bidi="ar"/>
              </w:rPr>
              <w:t>2000*1800*760</w:t>
            </w:r>
          </w:p>
        </w:tc>
        <w:tc>
          <w:tcPr>
            <w:tcW w:w="2329" w:type="pct"/>
            <w:vMerge w:val="continue"/>
            <w:tcBorders>
              <w:left w:val="single" w:color="000000" w:sz="4" w:space="0"/>
              <w:right w:val="single" w:color="000000" w:sz="4" w:space="0"/>
            </w:tcBorders>
            <w:shd w:val="clear" w:color="auto" w:fill="auto"/>
          </w:tcPr>
          <w:p w14:paraId="3B319B6D">
            <w:pPr>
              <w:widowControl/>
              <w:jc w:val="left"/>
              <w:textAlignment w:val="top"/>
              <w:rPr>
                <w:rFonts w:hint="eastAsia" w:asciiTheme="minorEastAsia" w:hAnsiTheme="minorEastAsia" w:eastAsiaTheme="minorEastAsia" w:cstheme="minorEastAsia"/>
                <w:color w:val="000000"/>
                <w:kern w:val="0"/>
                <w:szCs w:val="21"/>
                <w:lang w:bidi="ar"/>
              </w:rPr>
            </w:pPr>
          </w:p>
        </w:tc>
        <w:tc>
          <w:tcPr>
            <w:tcW w:w="819" w:type="pct"/>
            <w:vMerge w:val="continue"/>
            <w:tcBorders>
              <w:left w:val="single" w:color="000000" w:sz="4" w:space="0"/>
              <w:right w:val="single" w:color="000000" w:sz="4" w:space="0"/>
            </w:tcBorders>
            <w:shd w:val="clear" w:color="auto" w:fill="auto"/>
            <w:noWrap/>
            <w:vAlign w:val="center"/>
          </w:tcPr>
          <w:p w14:paraId="79248B05">
            <w:pPr>
              <w:widowControl/>
              <w:jc w:val="center"/>
              <w:textAlignment w:val="center"/>
              <w:rPr>
                <w:rFonts w:hint="eastAsia" w:asciiTheme="minorEastAsia" w:hAnsiTheme="minorEastAsia" w:eastAsiaTheme="minorEastAsia" w:cstheme="minorEastAsia"/>
                <w:color w:val="000000"/>
                <w:kern w:val="0"/>
                <w:szCs w:val="21"/>
                <w:bdr w:val="single" w:color="000000" w:sz="4" w:space="0"/>
                <w:lang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64AA3">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cstheme="minorEastAsia"/>
                <w:color w:val="000000"/>
                <w:kern w:val="0"/>
                <w:szCs w:val="21"/>
                <w:lang w:bidi="ar"/>
              </w:rPr>
              <w:t>3</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A0098">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cstheme="minorEastAsia"/>
                <w:color w:val="000000"/>
                <w:kern w:val="0"/>
                <w:szCs w:val="21"/>
                <w:lang w:bidi="ar"/>
              </w:rPr>
              <w:t>张</w:t>
            </w:r>
          </w:p>
        </w:tc>
      </w:tr>
      <w:tr w14:paraId="5F13A461">
        <w:tblPrEx>
          <w:tblCellMar>
            <w:top w:w="0" w:type="dxa"/>
            <w:left w:w="108" w:type="dxa"/>
            <w:bottom w:w="0" w:type="dxa"/>
            <w:right w:w="108" w:type="dxa"/>
          </w:tblCellMar>
        </w:tblPrEx>
        <w:trPr>
          <w:trHeight w:val="964"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B5FCB">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197</w:t>
            </w:r>
          </w:p>
        </w:tc>
        <w:tc>
          <w:tcPr>
            <w:tcW w:w="475" w:type="pct"/>
            <w:vMerge w:val="continue"/>
            <w:tcBorders>
              <w:left w:val="single" w:color="000000" w:sz="4" w:space="0"/>
              <w:right w:val="single" w:color="000000" w:sz="4" w:space="0"/>
            </w:tcBorders>
            <w:shd w:val="clear" w:color="auto" w:fill="auto"/>
            <w:noWrap/>
            <w:vAlign w:val="center"/>
          </w:tcPr>
          <w:p w14:paraId="2AD6AC44">
            <w:pPr>
              <w:widowControl/>
              <w:jc w:val="center"/>
              <w:textAlignment w:val="center"/>
              <w:rPr>
                <w:rFonts w:hint="eastAsia" w:asciiTheme="minorEastAsia" w:hAnsiTheme="minorEastAsia" w:eastAsiaTheme="minorEastAsia" w:cstheme="minorEastAsia"/>
                <w:color w:val="000000"/>
                <w:kern w:val="0"/>
                <w:szCs w:val="21"/>
                <w:lang w:bidi="ar"/>
              </w:rPr>
            </w:pP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B650E">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cstheme="minorEastAsia"/>
                <w:color w:val="000000"/>
                <w:kern w:val="0"/>
                <w:szCs w:val="21"/>
                <w:lang w:bidi="ar"/>
              </w:rPr>
              <w:t>2200*1800*760</w:t>
            </w:r>
          </w:p>
        </w:tc>
        <w:tc>
          <w:tcPr>
            <w:tcW w:w="2329" w:type="pct"/>
            <w:vMerge w:val="continue"/>
            <w:tcBorders>
              <w:left w:val="single" w:color="000000" w:sz="4" w:space="0"/>
              <w:right w:val="single" w:color="000000" w:sz="4" w:space="0"/>
            </w:tcBorders>
            <w:shd w:val="clear" w:color="auto" w:fill="auto"/>
          </w:tcPr>
          <w:p w14:paraId="4C806DFA">
            <w:pPr>
              <w:widowControl/>
              <w:jc w:val="left"/>
              <w:textAlignment w:val="top"/>
              <w:rPr>
                <w:rFonts w:hint="eastAsia" w:asciiTheme="minorEastAsia" w:hAnsiTheme="minorEastAsia" w:eastAsiaTheme="minorEastAsia" w:cstheme="minorEastAsia"/>
                <w:color w:val="000000"/>
                <w:kern w:val="0"/>
                <w:szCs w:val="21"/>
                <w:lang w:bidi="ar"/>
              </w:rPr>
            </w:pPr>
          </w:p>
        </w:tc>
        <w:tc>
          <w:tcPr>
            <w:tcW w:w="819" w:type="pct"/>
            <w:vMerge w:val="continue"/>
            <w:tcBorders>
              <w:left w:val="single" w:color="000000" w:sz="4" w:space="0"/>
              <w:right w:val="single" w:color="000000" w:sz="4" w:space="0"/>
            </w:tcBorders>
            <w:shd w:val="clear" w:color="auto" w:fill="auto"/>
            <w:noWrap/>
            <w:vAlign w:val="center"/>
          </w:tcPr>
          <w:p w14:paraId="7607E9E2">
            <w:pPr>
              <w:widowControl/>
              <w:jc w:val="center"/>
              <w:textAlignment w:val="center"/>
              <w:rPr>
                <w:rFonts w:hint="eastAsia" w:asciiTheme="minorEastAsia" w:hAnsiTheme="minorEastAsia" w:eastAsiaTheme="minorEastAsia" w:cstheme="minorEastAsia"/>
                <w:color w:val="000000"/>
                <w:kern w:val="0"/>
                <w:szCs w:val="21"/>
                <w:bdr w:val="single" w:color="000000" w:sz="4" w:space="0"/>
                <w:lang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469AE">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cstheme="minorEastAsia"/>
                <w:color w:val="000000"/>
                <w:kern w:val="0"/>
                <w:szCs w:val="21"/>
                <w:lang w:bidi="ar"/>
              </w:rPr>
              <w:t>10</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70550">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cstheme="minorEastAsia"/>
                <w:color w:val="000000"/>
                <w:kern w:val="0"/>
                <w:szCs w:val="21"/>
                <w:lang w:bidi="ar"/>
              </w:rPr>
              <w:t>张</w:t>
            </w:r>
          </w:p>
        </w:tc>
      </w:tr>
      <w:tr w14:paraId="3DA8BDA1">
        <w:tblPrEx>
          <w:tblCellMar>
            <w:top w:w="0" w:type="dxa"/>
            <w:left w:w="108" w:type="dxa"/>
            <w:bottom w:w="0" w:type="dxa"/>
            <w:right w:w="108" w:type="dxa"/>
          </w:tblCellMar>
        </w:tblPrEx>
        <w:trPr>
          <w:trHeight w:val="964"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31435">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198</w:t>
            </w:r>
          </w:p>
        </w:tc>
        <w:tc>
          <w:tcPr>
            <w:tcW w:w="475" w:type="pct"/>
            <w:vMerge w:val="continue"/>
            <w:tcBorders>
              <w:left w:val="single" w:color="000000" w:sz="4" w:space="0"/>
              <w:bottom w:val="single" w:color="000000" w:sz="4" w:space="0"/>
              <w:right w:val="single" w:color="000000" w:sz="4" w:space="0"/>
            </w:tcBorders>
            <w:shd w:val="clear" w:color="auto" w:fill="auto"/>
            <w:noWrap/>
            <w:vAlign w:val="center"/>
          </w:tcPr>
          <w:p w14:paraId="443AEE20">
            <w:pPr>
              <w:widowControl/>
              <w:jc w:val="center"/>
              <w:textAlignment w:val="center"/>
              <w:rPr>
                <w:rFonts w:hint="eastAsia" w:asciiTheme="minorEastAsia" w:hAnsiTheme="minorEastAsia" w:eastAsiaTheme="minorEastAsia" w:cstheme="minorEastAsia"/>
                <w:color w:val="000000"/>
                <w:kern w:val="0"/>
                <w:szCs w:val="21"/>
                <w:lang w:bidi="ar"/>
              </w:rPr>
            </w:pP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E164C">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cstheme="minorEastAsia"/>
                <w:color w:val="000000"/>
                <w:kern w:val="0"/>
                <w:szCs w:val="21"/>
                <w:lang w:bidi="ar"/>
              </w:rPr>
              <w:t>2400*2000*760</w:t>
            </w:r>
          </w:p>
        </w:tc>
        <w:tc>
          <w:tcPr>
            <w:tcW w:w="2329" w:type="pct"/>
            <w:vMerge w:val="continue"/>
            <w:tcBorders>
              <w:left w:val="single" w:color="000000" w:sz="4" w:space="0"/>
              <w:bottom w:val="single" w:color="000000" w:sz="4" w:space="0"/>
              <w:right w:val="single" w:color="000000" w:sz="4" w:space="0"/>
            </w:tcBorders>
            <w:shd w:val="clear" w:color="auto" w:fill="auto"/>
          </w:tcPr>
          <w:p w14:paraId="343A1ED4">
            <w:pPr>
              <w:widowControl/>
              <w:jc w:val="left"/>
              <w:textAlignment w:val="top"/>
              <w:rPr>
                <w:rFonts w:hint="eastAsia" w:asciiTheme="minorEastAsia" w:hAnsiTheme="minorEastAsia" w:eastAsiaTheme="minorEastAsia" w:cstheme="minorEastAsia"/>
                <w:color w:val="000000"/>
                <w:kern w:val="0"/>
                <w:szCs w:val="21"/>
                <w:lang w:bidi="ar"/>
              </w:rPr>
            </w:pPr>
          </w:p>
        </w:tc>
        <w:tc>
          <w:tcPr>
            <w:tcW w:w="819" w:type="pct"/>
            <w:vMerge w:val="continue"/>
            <w:tcBorders>
              <w:left w:val="single" w:color="000000" w:sz="4" w:space="0"/>
              <w:bottom w:val="single" w:color="000000" w:sz="4" w:space="0"/>
              <w:right w:val="single" w:color="000000" w:sz="4" w:space="0"/>
            </w:tcBorders>
            <w:shd w:val="clear" w:color="auto" w:fill="auto"/>
            <w:noWrap/>
            <w:vAlign w:val="center"/>
          </w:tcPr>
          <w:p w14:paraId="34BD6DDA">
            <w:pPr>
              <w:widowControl/>
              <w:jc w:val="center"/>
              <w:textAlignment w:val="center"/>
              <w:rPr>
                <w:rFonts w:hint="eastAsia" w:asciiTheme="minorEastAsia" w:hAnsiTheme="minorEastAsia" w:eastAsiaTheme="minorEastAsia" w:cstheme="minorEastAsia"/>
                <w:color w:val="000000"/>
                <w:kern w:val="0"/>
                <w:szCs w:val="21"/>
                <w:bdr w:val="single" w:color="000000" w:sz="4" w:space="0"/>
                <w:lang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C1EEF">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cstheme="minorEastAsia"/>
                <w:color w:val="000000"/>
                <w:kern w:val="0"/>
                <w:szCs w:val="21"/>
                <w:lang w:bidi="ar"/>
              </w:rPr>
              <w:t>10</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B8F64">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cstheme="minorEastAsia"/>
                <w:color w:val="000000"/>
                <w:kern w:val="0"/>
                <w:szCs w:val="21"/>
                <w:lang w:bidi="ar"/>
              </w:rPr>
              <w:t>张</w:t>
            </w:r>
          </w:p>
        </w:tc>
      </w:tr>
      <w:tr w14:paraId="79B758F2">
        <w:tblPrEx>
          <w:tblCellMar>
            <w:top w:w="0" w:type="dxa"/>
            <w:left w:w="108" w:type="dxa"/>
            <w:bottom w:w="0" w:type="dxa"/>
            <w:right w:w="108" w:type="dxa"/>
          </w:tblCellMar>
        </w:tblPrEx>
        <w:trPr>
          <w:trHeight w:val="342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C5223">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199</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7EAB9">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cstheme="minorEastAsia"/>
                <w:color w:val="000000"/>
                <w:kern w:val="0"/>
                <w:szCs w:val="21"/>
                <w:lang w:bidi="ar"/>
              </w:rPr>
              <w:t>定制桌组</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4852A">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cstheme="minorEastAsia"/>
                <w:color w:val="000000"/>
                <w:kern w:val="0"/>
                <w:szCs w:val="21"/>
                <w:lang w:bidi="ar"/>
              </w:rPr>
              <w:t>3600*3000*760</w:t>
            </w:r>
          </w:p>
        </w:tc>
        <w:tc>
          <w:tcPr>
            <w:tcW w:w="2329" w:type="pct"/>
            <w:tcBorders>
              <w:top w:val="single" w:color="000000" w:sz="4" w:space="0"/>
              <w:left w:val="single" w:color="000000" w:sz="4" w:space="0"/>
              <w:bottom w:val="single" w:color="000000" w:sz="4" w:space="0"/>
              <w:right w:val="single" w:color="000000" w:sz="4" w:space="0"/>
            </w:tcBorders>
            <w:shd w:val="clear" w:color="auto" w:fill="auto"/>
          </w:tcPr>
          <w:p w14:paraId="46A55A73">
            <w:pPr>
              <w:widowControl/>
              <w:jc w:val="left"/>
              <w:textAlignment w:val="top"/>
              <w:rPr>
                <w:rFonts w:hint="eastAsia" w:asciiTheme="minorEastAsia" w:hAnsiTheme="minorEastAsia" w:eastAsiaTheme="minorEastAsia" w:cstheme="minorEastAsia"/>
                <w:color w:val="000000"/>
                <w:kern w:val="0"/>
                <w:szCs w:val="21"/>
                <w:lang w:bidi="ar"/>
              </w:rPr>
            </w:pPr>
            <w:r>
              <w:rPr>
                <w:rFonts w:hint="eastAsia" w:asciiTheme="minorEastAsia" w:hAnsiTheme="minorEastAsia" w:cstheme="minorEastAsia"/>
                <w:color w:val="000000"/>
                <w:kern w:val="0"/>
                <w:szCs w:val="21"/>
                <w:lang w:bidi="ar"/>
              </w:rPr>
              <w:t>1.面材：采用优质天然实木木皮贴面，木皮厚度≥0.6mm；</w:t>
            </w:r>
            <w:r>
              <w:rPr>
                <w:rFonts w:hint="eastAsia" w:asciiTheme="minorEastAsia" w:hAnsiTheme="minorEastAsia" w:cstheme="minorEastAsia"/>
                <w:color w:val="000000"/>
                <w:kern w:val="0"/>
                <w:szCs w:val="21"/>
                <w:lang w:bidi="ar"/>
              </w:rPr>
              <w:br w:type="textWrapping"/>
            </w:r>
            <w:r>
              <w:rPr>
                <w:rFonts w:hint="eastAsia" w:asciiTheme="minorEastAsia" w:hAnsiTheme="minorEastAsia" w:cstheme="minorEastAsia"/>
                <w:color w:val="000000"/>
                <w:kern w:val="0"/>
                <w:szCs w:val="21"/>
                <w:lang w:bidi="ar"/>
              </w:rPr>
              <w:t>2.基材：采用E0级密度板，各项性能均优于国家标准；</w:t>
            </w:r>
            <w:r>
              <w:rPr>
                <w:rFonts w:hint="eastAsia" w:asciiTheme="minorEastAsia" w:hAnsiTheme="minorEastAsia" w:cstheme="minorEastAsia"/>
                <w:color w:val="000000"/>
                <w:kern w:val="0"/>
                <w:szCs w:val="21"/>
                <w:lang w:bidi="ar"/>
              </w:rPr>
              <w:br w:type="textWrapping"/>
            </w:r>
            <w:r>
              <w:rPr>
                <w:rFonts w:hint="eastAsia" w:asciiTheme="minorEastAsia" w:hAnsiTheme="minorEastAsia" w:cstheme="minorEastAsia"/>
                <w:color w:val="000000"/>
                <w:kern w:val="0"/>
                <w:szCs w:val="21"/>
                <w:lang w:bidi="ar"/>
              </w:rPr>
              <w:t>3.油漆：油性木器涂料涂饰，采用五底三面涂饰工艺，符合国家标准；</w:t>
            </w:r>
            <w:r>
              <w:rPr>
                <w:rFonts w:hint="eastAsia" w:asciiTheme="minorEastAsia" w:hAnsiTheme="minorEastAsia" w:cstheme="minorEastAsia"/>
                <w:color w:val="000000"/>
                <w:kern w:val="0"/>
                <w:szCs w:val="21"/>
                <w:lang w:bidi="ar"/>
              </w:rPr>
              <w:br w:type="textWrapping"/>
            </w:r>
            <w:r>
              <w:rPr>
                <w:rFonts w:hint="eastAsia" w:asciiTheme="minorEastAsia" w:hAnsiTheme="minorEastAsia" w:cstheme="minorEastAsia"/>
                <w:color w:val="000000"/>
                <w:kern w:val="0"/>
                <w:szCs w:val="21"/>
                <w:lang w:bidi="ar"/>
              </w:rPr>
              <w:t>4.胶水：采用环保白乳胶；</w:t>
            </w:r>
            <w:r>
              <w:rPr>
                <w:rFonts w:hint="eastAsia" w:asciiTheme="minorEastAsia" w:hAnsiTheme="minorEastAsia" w:cstheme="minorEastAsia"/>
                <w:color w:val="000000"/>
                <w:kern w:val="0"/>
                <w:szCs w:val="21"/>
                <w:lang w:bidi="ar"/>
              </w:rPr>
              <w:br w:type="textWrapping"/>
            </w:r>
            <w:r>
              <w:rPr>
                <w:rFonts w:hint="eastAsia" w:asciiTheme="minorEastAsia" w:hAnsiTheme="minorEastAsia" w:cstheme="minorEastAsia"/>
                <w:color w:val="000000"/>
                <w:kern w:val="0"/>
                <w:szCs w:val="21"/>
                <w:lang w:bidi="ar"/>
              </w:rPr>
              <w:t>5.配件：优质五金配件；</w:t>
            </w:r>
            <w:r>
              <w:rPr>
                <w:rFonts w:hint="eastAsia" w:asciiTheme="minorEastAsia" w:hAnsiTheme="minorEastAsia" w:cstheme="minorEastAsia"/>
                <w:color w:val="000000"/>
                <w:kern w:val="0"/>
                <w:szCs w:val="21"/>
                <w:lang w:bidi="ar"/>
              </w:rPr>
              <w:br w:type="textWrapping"/>
            </w:r>
            <w:r>
              <w:rPr>
                <w:rFonts w:hint="eastAsia" w:asciiTheme="minorEastAsia" w:hAnsiTheme="minorEastAsia" w:cstheme="minorEastAsia"/>
                <w:color w:val="000000"/>
                <w:kern w:val="0"/>
                <w:szCs w:val="21"/>
                <w:lang w:bidi="ar"/>
              </w:rPr>
              <w:t>6.走线：线路隐蔽处理，桌面含黑色铝合金或木制翻盖，内置底盒及预留4个86型面板孔；</w:t>
            </w:r>
            <w:r>
              <w:rPr>
                <w:rFonts w:hint="eastAsia" w:asciiTheme="minorEastAsia" w:hAnsiTheme="minorEastAsia" w:cstheme="minorEastAsia"/>
                <w:color w:val="000000"/>
                <w:kern w:val="0"/>
                <w:szCs w:val="21"/>
                <w:lang w:bidi="ar"/>
              </w:rPr>
              <w:br w:type="textWrapping"/>
            </w:r>
            <w:r>
              <w:rPr>
                <w:rFonts w:hint="eastAsia" w:asciiTheme="minorEastAsia" w:hAnsiTheme="minorEastAsia" w:cstheme="minorEastAsia"/>
                <w:color w:val="000000"/>
                <w:kern w:val="0"/>
                <w:szCs w:val="21"/>
                <w:lang w:bidi="ar"/>
              </w:rPr>
              <w:t>7.功能及工艺要求：含支撑柜及副柜，配锁；桌面厚度≥90mm，桌面四周倒圆及边缘</w:t>
            </w:r>
            <w:r>
              <w:rPr>
                <w:rFonts w:hint="eastAsia" w:asciiTheme="minorEastAsia" w:hAnsiTheme="minorEastAsia" w:cstheme="minorEastAsia"/>
                <w:color w:val="000000"/>
                <w:kern w:val="0"/>
                <w:szCs w:val="21"/>
                <w:highlight w:val="none"/>
                <w:lang w:bidi="ar"/>
              </w:rPr>
              <w:t>倒边；支撑脚厚度≥90mm,顶板厚度≥25mm，背板及其余部分均≥18mm；</w:t>
            </w:r>
            <w:r>
              <w:rPr>
                <w:rFonts w:hint="eastAsia" w:asciiTheme="minorEastAsia" w:hAnsiTheme="minorEastAsia" w:cstheme="minorEastAsia"/>
                <w:color w:val="000000"/>
                <w:kern w:val="0"/>
                <w:szCs w:val="21"/>
                <w:highlight w:val="none"/>
                <w:lang w:bidi="ar"/>
              </w:rPr>
              <w:br w:type="textWrapping"/>
            </w:r>
            <w:r>
              <w:rPr>
                <w:rFonts w:hint="eastAsia" w:asciiTheme="minorEastAsia" w:hAnsiTheme="minorEastAsia" w:cstheme="minorEastAsia"/>
                <w:color w:val="000000"/>
                <w:kern w:val="0"/>
                <w:szCs w:val="21"/>
                <w:highlight w:val="none"/>
                <w:lang w:bidi="ar"/>
              </w:rPr>
              <w:t>8.颜色可定制；</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BBE79">
            <w:pPr>
              <w:widowControl/>
              <w:jc w:val="center"/>
              <w:textAlignment w:val="center"/>
              <w:rPr>
                <w:rFonts w:hint="eastAsia" w:asciiTheme="minorEastAsia" w:hAnsiTheme="minorEastAsia" w:eastAsiaTheme="minorEastAsia" w:cstheme="minorEastAsia"/>
                <w:color w:val="000000"/>
                <w:kern w:val="0"/>
                <w:szCs w:val="21"/>
                <w:bdr w:val="single" w:color="000000" w:sz="4" w:space="0"/>
                <w:lang w:bidi="ar"/>
              </w:rPr>
            </w:pPr>
            <w:r>
              <w:rPr>
                <w:rFonts w:hint="eastAsia" w:asciiTheme="minorEastAsia" w:hAnsiTheme="minorEastAsia" w:cstheme="minorEastAsia"/>
                <w:color w:val="000000"/>
                <w:kern w:val="0"/>
                <w:szCs w:val="21"/>
                <w:bdr w:val="single" w:color="000000" w:sz="4" w:space="0"/>
                <w:lang w:bidi="ar"/>
              </w:rPr>
              <w:drawing>
                <wp:inline distT="0" distB="0" distL="0" distR="0">
                  <wp:extent cx="1193800" cy="967105"/>
                  <wp:effectExtent l="0" t="0" r="10160" b="8255"/>
                  <wp:docPr id="1009700815" name="图片_6"/>
                  <wp:cNvGraphicFramePr/>
                  <a:graphic xmlns:a="http://schemas.openxmlformats.org/drawingml/2006/main">
                    <a:graphicData uri="http://schemas.openxmlformats.org/drawingml/2006/picture">
                      <pic:pic xmlns:pic="http://schemas.openxmlformats.org/drawingml/2006/picture">
                        <pic:nvPicPr>
                          <pic:cNvPr id="1009700815" name="图片_6"/>
                          <pic:cNvPicPr/>
                        </pic:nvPicPr>
                        <pic:blipFill>
                          <a:blip r:embed="rId141">
                            <a:extLst>
                              <a:ext uri="{28A0092B-C50C-407E-A947-70E740481C1C}">
                                <a14:useLocalDpi xmlns:a14="http://schemas.microsoft.com/office/drawing/2010/main" val="0"/>
                              </a:ext>
                            </a:extLst>
                          </a:blip>
                          <a:stretch>
                            <a:fillRect/>
                          </a:stretch>
                        </pic:blipFill>
                        <pic:spPr>
                          <a:xfrm>
                            <a:off x="0" y="0"/>
                            <a:ext cx="1200327" cy="972703"/>
                          </a:xfrm>
                          <a:prstGeom prst="rect">
                            <a:avLst/>
                          </a:prstGeom>
                          <a:noFill/>
                          <a:ln>
                            <a:noFill/>
                          </a:ln>
                        </pic:spPr>
                      </pic:pic>
                    </a:graphicData>
                  </a:graphic>
                </wp:inline>
              </w:drawing>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719DA">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cstheme="minorEastAsia"/>
                <w:color w:val="000000"/>
                <w:kern w:val="0"/>
                <w:szCs w:val="21"/>
                <w:lang w:bidi="ar"/>
              </w:rPr>
              <w:t>2</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77745">
            <w:pPr>
              <w:widowControl/>
              <w:jc w:val="center"/>
              <w:textAlignment w:val="center"/>
              <w:rPr>
                <w:rFonts w:hint="eastAsia" w:asciiTheme="minorEastAsia" w:hAnsiTheme="minorEastAsia" w:eastAsiaTheme="minorEastAsia" w:cstheme="minorEastAsia"/>
                <w:color w:val="000000"/>
                <w:kern w:val="0"/>
                <w:szCs w:val="21"/>
                <w:lang w:bidi="ar"/>
              </w:rPr>
            </w:pPr>
            <w:r>
              <w:rPr>
                <w:rFonts w:hint="eastAsia" w:asciiTheme="minorEastAsia" w:hAnsiTheme="minorEastAsia" w:cstheme="minorEastAsia"/>
                <w:color w:val="000000"/>
                <w:kern w:val="0"/>
                <w:szCs w:val="21"/>
                <w:lang w:bidi="ar"/>
              </w:rPr>
              <w:t>张</w:t>
            </w:r>
          </w:p>
        </w:tc>
      </w:tr>
    </w:tbl>
    <w:p w14:paraId="0342B14E">
      <w:pPr>
        <w:rPr>
          <w:color w:val="auto"/>
          <w:highlight w:val="none"/>
        </w:rPr>
      </w:pPr>
    </w:p>
    <w:p w14:paraId="1CD127C3">
      <w:pPr>
        <w:rPr>
          <w:color w:val="auto"/>
          <w:highlight w:val="none"/>
        </w:rPr>
      </w:pPr>
    </w:p>
    <w:p w14:paraId="692B3AA9">
      <w:pPr>
        <w:rPr>
          <w:color w:val="auto"/>
          <w:highlight w:val="none"/>
        </w:rPr>
        <w:sectPr>
          <w:pgSz w:w="16840" w:h="11907" w:orient="landscape"/>
          <w:pgMar w:top="1814" w:right="1134" w:bottom="1814" w:left="1474" w:header="851" w:footer="851" w:gutter="0"/>
          <w:pgBorders>
            <w:top w:val="none" w:sz="0" w:space="0"/>
            <w:left w:val="none" w:sz="0" w:space="0"/>
            <w:bottom w:val="none" w:sz="0" w:space="0"/>
            <w:right w:val="none" w:sz="0" w:space="0"/>
          </w:pgBorders>
          <w:cols w:space="720" w:num="1"/>
          <w:titlePg/>
          <w:docGrid w:type="lines" w:linePitch="312" w:charSpace="0"/>
        </w:sectPr>
      </w:pPr>
      <w:r>
        <w:rPr>
          <w:rFonts w:hint="eastAsia"/>
          <w:color w:val="auto"/>
          <w:highlight w:val="none"/>
        </w:rPr>
        <w:br w:type="page"/>
      </w:r>
    </w:p>
    <w:p w14:paraId="5270422B">
      <w:pPr>
        <w:rPr>
          <w:color w:val="auto"/>
          <w:highlight w:val="none"/>
        </w:rPr>
      </w:pPr>
    </w:p>
    <w:p w14:paraId="0717F2C4">
      <w:pPr>
        <w:spacing w:line="360" w:lineRule="auto"/>
        <w:outlineLvl w:val="0"/>
        <w:rPr>
          <w:rFonts w:ascii="宋体" w:hAnsi="宋体" w:cs="宋体"/>
          <w:color w:val="auto"/>
          <w:sz w:val="24"/>
          <w:highlight w:val="none"/>
        </w:rPr>
      </w:pPr>
      <w:r>
        <w:rPr>
          <w:rFonts w:hint="eastAsia" w:ascii="宋体" w:hAnsi="宋体" w:cs="宋体"/>
          <w:b/>
          <w:bCs/>
          <w:color w:val="auto"/>
          <w:spacing w:val="14"/>
          <w:sz w:val="24"/>
          <w:highlight w:val="none"/>
        </w:rPr>
        <w:t>二、</w:t>
      </w:r>
      <w:r>
        <w:rPr>
          <w:rFonts w:hint="eastAsia" w:ascii="宋体" w:hAnsi="宋体" w:cs="宋体"/>
          <w:b/>
          <w:bCs/>
          <w:color w:val="auto"/>
          <w:sz w:val="24"/>
          <w:highlight w:val="none"/>
        </w:rPr>
        <w:t>基本要求</w:t>
      </w:r>
    </w:p>
    <w:p w14:paraId="51DAA915">
      <w:pPr>
        <w:numPr>
          <w:ilvl w:val="0"/>
          <w:numId w:val="1"/>
        </w:numPr>
        <w:spacing w:line="480" w:lineRule="auto"/>
        <w:rPr>
          <w:rFonts w:ascii="宋体" w:hAnsi="宋体" w:cs="宋体"/>
          <w:color w:val="auto"/>
          <w:sz w:val="24"/>
          <w:highlight w:val="none"/>
        </w:rPr>
      </w:pPr>
      <w:r>
        <w:rPr>
          <w:rFonts w:hint="eastAsia" w:ascii="宋体" w:hAnsi="宋体" w:cs="宋体"/>
          <w:color w:val="auto"/>
          <w:spacing w:val="-11"/>
          <w:sz w:val="24"/>
          <w:highlight w:val="none"/>
        </w:rPr>
        <w:t>功能要求：满足</w:t>
      </w:r>
      <w:r>
        <w:rPr>
          <w:rFonts w:hint="eastAsia" w:ascii="宋体" w:hAnsi="宋体" w:cs="宋体"/>
          <w:color w:val="auto"/>
          <w:spacing w:val="-42"/>
          <w:sz w:val="24"/>
          <w:highlight w:val="none"/>
        </w:rPr>
        <w:t xml:space="preserve"> </w:t>
      </w:r>
      <w:r>
        <w:rPr>
          <w:rFonts w:hint="eastAsia" w:ascii="宋体" w:hAnsi="宋体" w:cs="宋体"/>
          <w:color w:val="auto"/>
          <w:spacing w:val="7"/>
          <w:sz w:val="24"/>
          <w:highlight w:val="none"/>
          <w:u w:val="single"/>
        </w:rPr>
        <w:t xml:space="preserve"> 学校办公使用 </w:t>
      </w:r>
      <w:r>
        <w:rPr>
          <w:rFonts w:hint="eastAsia" w:ascii="宋体" w:hAnsi="宋体" w:cs="宋体"/>
          <w:color w:val="auto"/>
          <w:spacing w:val="-78"/>
          <w:sz w:val="24"/>
          <w:highlight w:val="none"/>
        </w:rPr>
        <w:t xml:space="preserve"> </w:t>
      </w:r>
      <w:r>
        <w:rPr>
          <w:rFonts w:hint="eastAsia" w:ascii="宋体" w:hAnsi="宋体" w:cs="宋体"/>
          <w:color w:val="auto"/>
          <w:spacing w:val="-11"/>
          <w:sz w:val="24"/>
          <w:highlight w:val="none"/>
        </w:rPr>
        <w:t>的需要。</w:t>
      </w:r>
    </w:p>
    <w:p w14:paraId="4AB6B72C">
      <w:pPr>
        <w:numPr>
          <w:ilvl w:val="0"/>
          <w:numId w:val="1"/>
        </w:numPr>
        <w:spacing w:line="480" w:lineRule="auto"/>
        <w:rPr>
          <w:rFonts w:ascii="宋体" w:hAnsi="宋体" w:cs="宋体"/>
          <w:color w:val="auto"/>
          <w:sz w:val="24"/>
          <w:highlight w:val="none"/>
        </w:rPr>
      </w:pPr>
      <w:r>
        <w:rPr>
          <w:rFonts w:hint="eastAsia" w:ascii="宋体" w:hAnsi="宋体" w:cs="宋体"/>
          <w:color w:val="auto"/>
          <w:spacing w:val="-1"/>
          <w:sz w:val="24"/>
          <w:highlight w:val="none"/>
        </w:rPr>
        <w:t>交货期要求：</w:t>
      </w:r>
      <w:r>
        <w:rPr>
          <w:rFonts w:hint="eastAsia" w:ascii="宋体" w:hAnsi="宋体" w:cs="宋体"/>
          <w:color w:val="auto"/>
          <w:spacing w:val="-1"/>
          <w:sz w:val="24"/>
          <w:highlight w:val="none"/>
          <w:u w:val="single"/>
        </w:rPr>
        <w:t>合同签订后</w:t>
      </w:r>
      <w:r>
        <w:rPr>
          <w:rFonts w:hint="eastAsia" w:ascii="宋体" w:hAnsi="宋体" w:cs="宋体"/>
          <w:color w:val="auto"/>
          <w:spacing w:val="-1"/>
          <w:sz w:val="24"/>
          <w:highlight w:val="none"/>
          <w:u w:val="single"/>
          <w:lang w:val="en-US" w:eastAsia="zh-CN"/>
        </w:rPr>
        <w:t>50</w:t>
      </w:r>
      <w:r>
        <w:rPr>
          <w:rFonts w:hint="eastAsia" w:ascii="宋体" w:hAnsi="宋体" w:cs="宋体"/>
          <w:color w:val="auto"/>
          <w:spacing w:val="-1"/>
          <w:sz w:val="24"/>
          <w:highlight w:val="none"/>
          <w:u w:val="single"/>
        </w:rPr>
        <w:t>天内完成供货、安装调试及验收</w:t>
      </w:r>
      <w:r>
        <w:rPr>
          <w:rFonts w:hint="eastAsia" w:ascii="宋体" w:hAnsi="宋体" w:cs="宋体"/>
          <w:color w:val="auto"/>
          <w:spacing w:val="-1"/>
          <w:sz w:val="24"/>
          <w:highlight w:val="none"/>
        </w:rPr>
        <w:t>。</w:t>
      </w:r>
    </w:p>
    <w:p w14:paraId="2449EB38">
      <w:pPr>
        <w:numPr>
          <w:ilvl w:val="0"/>
          <w:numId w:val="1"/>
        </w:numPr>
        <w:spacing w:line="480" w:lineRule="auto"/>
        <w:rPr>
          <w:rFonts w:ascii="宋体" w:hAnsi="宋体" w:cs="宋体"/>
          <w:color w:val="auto"/>
          <w:sz w:val="24"/>
          <w:highlight w:val="none"/>
        </w:rPr>
      </w:pPr>
      <w:r>
        <w:rPr>
          <w:rFonts w:hint="eastAsia" w:ascii="宋体" w:hAnsi="宋体" w:cs="宋体"/>
          <w:color w:val="auto"/>
          <w:spacing w:val="-22"/>
          <w:sz w:val="24"/>
          <w:highlight w:val="none"/>
        </w:rPr>
        <w:t>交货地点：</w:t>
      </w:r>
      <w:r>
        <w:rPr>
          <w:rFonts w:hint="eastAsia" w:ascii="宋体" w:hAnsi="宋体" w:cs="宋体"/>
          <w:color w:val="auto"/>
          <w:sz w:val="24"/>
          <w:highlight w:val="none"/>
          <w:u w:val="single"/>
        </w:rPr>
        <w:t xml:space="preserve">天元公学西站校区景腾北路和仓兴街交叉口 </w:t>
      </w:r>
      <w:r>
        <w:rPr>
          <w:rFonts w:hint="eastAsia" w:ascii="宋体" w:hAnsi="宋体" w:cs="宋体"/>
          <w:color w:val="auto"/>
          <w:sz w:val="24"/>
          <w:highlight w:val="none"/>
        </w:rPr>
        <w:t>。</w:t>
      </w:r>
    </w:p>
    <w:p w14:paraId="39ACEA93">
      <w:pPr>
        <w:spacing w:line="360" w:lineRule="auto"/>
        <w:outlineLvl w:val="0"/>
        <w:rPr>
          <w:rFonts w:ascii="宋体" w:hAnsi="宋体" w:cs="宋体"/>
          <w:color w:val="auto"/>
          <w:sz w:val="24"/>
          <w:highlight w:val="none"/>
        </w:rPr>
      </w:pPr>
      <w:r>
        <w:rPr>
          <w:rFonts w:hint="eastAsia" w:ascii="宋体" w:hAnsi="宋体" w:cs="宋体"/>
          <w:b/>
          <w:bCs/>
          <w:color w:val="auto"/>
          <w:spacing w:val="14"/>
          <w:sz w:val="24"/>
          <w:highlight w:val="none"/>
        </w:rPr>
        <w:t>三、</w:t>
      </w:r>
      <w:r>
        <w:rPr>
          <w:rFonts w:hint="eastAsia" w:ascii="宋体" w:hAnsi="宋体" w:cs="宋体"/>
          <w:color w:val="auto"/>
          <w:spacing w:val="-36"/>
          <w:sz w:val="24"/>
          <w:highlight w:val="none"/>
        </w:rPr>
        <w:t xml:space="preserve"> </w:t>
      </w:r>
      <w:r>
        <w:rPr>
          <w:rFonts w:hint="eastAsia" w:ascii="宋体" w:hAnsi="宋体" w:cs="宋体"/>
          <w:b/>
          <w:bCs/>
          <w:color w:val="auto"/>
          <w:spacing w:val="14"/>
          <w:sz w:val="24"/>
          <w:highlight w:val="none"/>
        </w:rPr>
        <w:t>服务标准、期限、效率等要求</w:t>
      </w:r>
    </w:p>
    <w:p w14:paraId="576CFC41">
      <w:pPr>
        <w:numPr>
          <w:ilvl w:val="0"/>
          <w:numId w:val="2"/>
        </w:numPr>
        <w:spacing w:line="360" w:lineRule="auto"/>
        <w:rPr>
          <w:rFonts w:ascii="宋体" w:hAnsi="宋体" w:cs="宋体"/>
          <w:color w:val="auto"/>
          <w:sz w:val="24"/>
          <w:highlight w:val="none"/>
        </w:rPr>
      </w:pPr>
      <w:r>
        <w:rPr>
          <w:rFonts w:hint="eastAsia" w:ascii="宋体" w:hAnsi="宋体" w:cs="宋体"/>
          <w:color w:val="auto"/>
          <w:spacing w:val="19"/>
          <w:sz w:val="24"/>
          <w:highlight w:val="none"/>
        </w:rPr>
        <w:t>投标人需要提供合理的项目整体实施方案，能按</w:t>
      </w:r>
      <w:r>
        <w:rPr>
          <w:rFonts w:hint="eastAsia" w:ascii="宋体" w:hAnsi="宋体" w:cs="宋体"/>
          <w:color w:val="auto"/>
          <w:spacing w:val="18"/>
          <w:sz w:val="24"/>
          <w:highlight w:val="none"/>
        </w:rPr>
        <w:t>照项目分解节点并可跟踪实施。</w:t>
      </w:r>
    </w:p>
    <w:p w14:paraId="45E47C53">
      <w:pPr>
        <w:numPr>
          <w:ilvl w:val="0"/>
          <w:numId w:val="2"/>
        </w:numPr>
        <w:spacing w:line="360" w:lineRule="auto"/>
        <w:ind w:right="453"/>
        <w:rPr>
          <w:rFonts w:ascii="宋体" w:hAnsi="宋体" w:cs="宋体"/>
          <w:color w:val="auto"/>
          <w:sz w:val="24"/>
          <w:highlight w:val="none"/>
        </w:rPr>
      </w:pPr>
      <w:r>
        <w:rPr>
          <w:rFonts w:hint="eastAsia" w:ascii="宋体" w:hAnsi="宋体" w:cs="宋体"/>
          <w:color w:val="auto"/>
          <w:spacing w:val="21"/>
          <w:sz w:val="24"/>
          <w:highlight w:val="none"/>
        </w:rPr>
        <w:t>投标人需要提供生产实施方案，包括原材料采购、加工制作等各个环节的实施方案，在规定的时间内有计划的完</w:t>
      </w:r>
      <w:r>
        <w:rPr>
          <w:rFonts w:hint="eastAsia" w:ascii="宋体" w:hAnsi="宋体" w:cs="宋体"/>
          <w:color w:val="auto"/>
          <w:spacing w:val="20"/>
          <w:sz w:val="24"/>
          <w:highlight w:val="none"/>
        </w:rPr>
        <w:t>成项目需求产</w:t>
      </w:r>
      <w:r>
        <w:rPr>
          <w:rFonts w:hint="eastAsia" w:ascii="宋体" w:hAnsi="宋体" w:cs="宋体"/>
          <w:color w:val="auto"/>
          <w:spacing w:val="11"/>
          <w:sz w:val="24"/>
          <w:highlight w:val="none"/>
        </w:rPr>
        <w:t>品的生产和装配。</w:t>
      </w:r>
    </w:p>
    <w:p w14:paraId="45969EE5">
      <w:pPr>
        <w:numPr>
          <w:ilvl w:val="0"/>
          <w:numId w:val="2"/>
        </w:numPr>
        <w:spacing w:line="360" w:lineRule="auto"/>
        <w:ind w:right="457"/>
        <w:rPr>
          <w:rFonts w:ascii="宋体" w:hAnsi="宋体" w:cs="宋体"/>
          <w:color w:val="auto"/>
          <w:sz w:val="24"/>
          <w:highlight w:val="none"/>
        </w:rPr>
      </w:pPr>
      <w:r>
        <w:rPr>
          <w:rFonts w:hint="eastAsia" w:ascii="宋体" w:hAnsi="宋体" w:cs="宋体"/>
          <w:color w:val="auto"/>
          <w:spacing w:val="21"/>
          <w:sz w:val="24"/>
          <w:highlight w:val="none"/>
        </w:rPr>
        <w:t>投标人需要提供品控管理方案，对产品品质有管理管控过程，有独立品管部门和专门品管人员，确保产</w:t>
      </w:r>
      <w:r>
        <w:rPr>
          <w:rFonts w:hint="eastAsia" w:ascii="宋体" w:hAnsi="宋体" w:cs="宋体"/>
          <w:color w:val="auto"/>
          <w:spacing w:val="20"/>
          <w:sz w:val="24"/>
          <w:highlight w:val="none"/>
        </w:rPr>
        <w:t>品生产过程中的质量控</w:t>
      </w:r>
      <w:r>
        <w:rPr>
          <w:rFonts w:hint="eastAsia" w:ascii="宋体" w:hAnsi="宋体" w:cs="宋体"/>
          <w:color w:val="auto"/>
          <w:spacing w:val="7"/>
          <w:sz w:val="24"/>
          <w:highlight w:val="none"/>
        </w:rPr>
        <w:t>制完善。</w:t>
      </w:r>
    </w:p>
    <w:p w14:paraId="6670B62F">
      <w:pPr>
        <w:numPr>
          <w:ilvl w:val="0"/>
          <w:numId w:val="2"/>
        </w:numPr>
        <w:spacing w:line="360" w:lineRule="auto"/>
        <w:rPr>
          <w:rFonts w:ascii="宋体" w:hAnsi="宋体" w:cs="宋体"/>
          <w:color w:val="auto"/>
          <w:sz w:val="24"/>
          <w:highlight w:val="none"/>
        </w:rPr>
      </w:pPr>
      <w:r>
        <w:rPr>
          <w:rFonts w:hint="eastAsia" w:ascii="宋体" w:hAnsi="宋体" w:cs="宋体"/>
          <w:color w:val="auto"/>
          <w:spacing w:val="19"/>
          <w:sz w:val="24"/>
          <w:highlight w:val="none"/>
        </w:rPr>
        <w:t>投标人需要提供安装服务实施方案，根据货物交付时间节点，落实送货安装时间和人员安排，确保按期交付使用。</w:t>
      </w:r>
    </w:p>
    <w:p w14:paraId="17C98565">
      <w:pPr>
        <w:numPr>
          <w:ilvl w:val="0"/>
          <w:numId w:val="2"/>
        </w:numPr>
        <w:spacing w:line="360" w:lineRule="auto"/>
        <w:rPr>
          <w:rFonts w:ascii="宋体" w:hAnsi="宋体" w:cs="宋体"/>
          <w:color w:val="auto"/>
          <w:sz w:val="24"/>
          <w:highlight w:val="none"/>
        </w:rPr>
      </w:pPr>
      <w:r>
        <w:rPr>
          <w:rFonts w:hint="eastAsia" w:ascii="宋体" w:hAnsi="宋体" w:cs="宋体"/>
          <w:color w:val="auto"/>
          <w:spacing w:val="13"/>
          <w:sz w:val="24"/>
          <w:highlight w:val="none"/>
        </w:rPr>
        <w:t>售后服务要求：</w:t>
      </w:r>
    </w:p>
    <w:p w14:paraId="515CBF5B">
      <w:pPr>
        <w:widowControl/>
        <w:numPr>
          <w:ilvl w:val="0"/>
          <w:numId w:val="3"/>
        </w:numPr>
        <w:tabs>
          <w:tab w:val="left" w:pos="425"/>
        </w:tabs>
        <w:snapToGrid w:val="0"/>
        <w:spacing w:line="360" w:lineRule="auto"/>
        <w:textAlignment w:val="baseline"/>
        <w:rPr>
          <w:color w:val="auto"/>
          <w:highlight w:val="none"/>
        </w:rPr>
      </w:pPr>
      <w:r>
        <w:rPr>
          <w:rFonts w:hint="eastAsia" w:ascii="宋体" w:hAnsi="宋体" w:cs="宋体"/>
          <w:color w:val="auto"/>
          <w:sz w:val="24"/>
          <w:highlight w:val="none"/>
        </w:rPr>
        <w:t>投标人提供的售后服务应符合GB/T</w:t>
      </w:r>
      <w:r>
        <w:rPr>
          <w:rFonts w:hint="eastAsia" w:ascii="宋体" w:hAnsi="宋体" w:cs="宋体"/>
          <w:color w:val="auto"/>
          <w:spacing w:val="59"/>
          <w:sz w:val="24"/>
          <w:highlight w:val="none"/>
        </w:rPr>
        <w:t xml:space="preserve"> </w:t>
      </w:r>
      <w:r>
        <w:rPr>
          <w:rFonts w:hint="eastAsia" w:ascii="宋体" w:hAnsi="宋体" w:cs="宋体"/>
          <w:color w:val="auto"/>
          <w:sz w:val="24"/>
          <w:highlight w:val="none"/>
        </w:rPr>
        <w:t>37652-2019</w:t>
      </w:r>
      <w:r>
        <w:rPr>
          <w:rFonts w:hint="eastAsia" w:ascii="宋体" w:hAnsi="宋体" w:cs="宋体"/>
          <w:color w:val="auto"/>
          <w:spacing w:val="-20"/>
          <w:sz w:val="24"/>
          <w:highlight w:val="none"/>
        </w:rPr>
        <w:t xml:space="preserve"> </w:t>
      </w:r>
      <w:r>
        <w:rPr>
          <w:rFonts w:hint="eastAsia" w:ascii="宋体" w:hAnsi="宋体" w:cs="宋体"/>
          <w:color w:val="auto"/>
          <w:sz w:val="24"/>
          <w:highlight w:val="none"/>
        </w:rPr>
        <w:t>《家具售后服务要求》。</w:t>
      </w:r>
    </w:p>
    <w:p w14:paraId="2DC29C23">
      <w:pPr>
        <w:widowControl/>
        <w:numPr>
          <w:ilvl w:val="0"/>
          <w:numId w:val="3"/>
        </w:numPr>
        <w:tabs>
          <w:tab w:val="left" w:pos="425"/>
        </w:tabs>
        <w:snapToGrid w:val="0"/>
        <w:spacing w:line="360" w:lineRule="auto"/>
        <w:textAlignment w:val="baseline"/>
        <w:rPr>
          <w:rFonts w:ascii="宋体" w:hAnsi="宋体" w:cs="宋体"/>
          <w:color w:val="auto"/>
          <w:sz w:val="24"/>
          <w:highlight w:val="none"/>
        </w:rPr>
      </w:pPr>
      <w:r>
        <w:rPr>
          <w:rFonts w:ascii="宋体" w:hAnsi="宋体" w:cs="宋体"/>
          <w:color w:val="auto"/>
          <w:sz w:val="24"/>
          <w:highlight w:val="none"/>
        </w:rPr>
        <w:t>投标人提供详细完整的“三包”措施及售后服务措施和方案（包括服务措施、产品质量保证、回访、技术培训等）</w:t>
      </w:r>
      <w:r>
        <w:rPr>
          <w:rFonts w:hint="eastAsia" w:ascii="宋体" w:hAnsi="宋体" w:cs="宋体"/>
          <w:color w:val="auto"/>
          <w:sz w:val="24"/>
          <w:highlight w:val="none"/>
        </w:rPr>
        <w:t>。</w:t>
      </w:r>
    </w:p>
    <w:p w14:paraId="46767E83">
      <w:pPr>
        <w:widowControl/>
        <w:numPr>
          <w:ilvl w:val="0"/>
          <w:numId w:val="3"/>
        </w:numPr>
        <w:tabs>
          <w:tab w:val="left" w:pos="425"/>
        </w:tabs>
        <w:snapToGrid w:val="0"/>
        <w:spacing w:line="360" w:lineRule="auto"/>
        <w:textAlignment w:val="baseline"/>
        <w:rPr>
          <w:rFonts w:ascii="宋体" w:hAnsi="宋体" w:cs="宋体"/>
          <w:color w:val="auto"/>
          <w:sz w:val="24"/>
          <w:highlight w:val="none"/>
        </w:rPr>
      </w:pPr>
      <w:r>
        <w:rPr>
          <w:rFonts w:hint="eastAsia" w:ascii="宋体" w:hAnsi="宋体" w:cs="宋体"/>
          <w:color w:val="auto"/>
          <w:spacing w:val="3"/>
          <w:sz w:val="24"/>
          <w:highlight w:val="none"/>
        </w:rPr>
        <w:t>投标人需提供24小时售后服务，且维修人员须在接到维修电话后24小时内赶到现场，提供不间断的服务直到修复为止，并提供“24小时售后服务承诺书”。</w:t>
      </w:r>
    </w:p>
    <w:p w14:paraId="1722E61C">
      <w:pPr>
        <w:widowControl/>
        <w:numPr>
          <w:ilvl w:val="0"/>
          <w:numId w:val="3"/>
        </w:numPr>
        <w:tabs>
          <w:tab w:val="left" w:pos="425"/>
        </w:tabs>
        <w:snapToGrid w:val="0"/>
        <w:spacing w:line="360" w:lineRule="auto"/>
        <w:textAlignment w:val="baseline"/>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pacing w:val="3"/>
          <w:sz w:val="24"/>
          <w:highlight w:val="none"/>
        </w:rPr>
        <w:t>质量保证期：所有家具的质量保证期不少于</w:t>
      </w:r>
      <w:r>
        <w:rPr>
          <w:rFonts w:hint="eastAsia" w:ascii="宋体" w:hAnsi="宋体" w:cs="宋体"/>
          <w:color w:val="auto"/>
          <w:spacing w:val="3"/>
          <w:sz w:val="24"/>
          <w:highlight w:val="none"/>
          <w:u w:val="single"/>
        </w:rPr>
        <w:t xml:space="preserve"> 5 </w:t>
      </w:r>
      <w:r>
        <w:rPr>
          <w:rFonts w:hint="eastAsia" w:ascii="宋体" w:hAnsi="宋体" w:cs="宋体"/>
          <w:color w:val="auto"/>
          <w:spacing w:val="3"/>
          <w:sz w:val="24"/>
          <w:highlight w:val="none"/>
        </w:rPr>
        <w:t>年。在此保证期内，如在正常使用过程中出现的质量问题，投标人须负责免</w:t>
      </w:r>
      <w:r>
        <w:rPr>
          <w:rFonts w:hint="eastAsia" w:ascii="宋体" w:hAnsi="宋体" w:cs="宋体"/>
          <w:color w:val="auto"/>
          <w:spacing w:val="-6"/>
          <w:sz w:val="24"/>
          <w:highlight w:val="none"/>
        </w:rPr>
        <w:t>费维修或调换。</w:t>
      </w:r>
    </w:p>
    <w:p w14:paraId="26FA2412">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⑤ 质保期内，供应商应承诺每年寒暑假由专业人员到校进行巡查维修，对家具出现破损的地方进行修复。</w:t>
      </w:r>
    </w:p>
    <w:p w14:paraId="530CE8D3">
      <w:pPr>
        <w:spacing w:line="360" w:lineRule="auto"/>
        <w:ind w:left="2"/>
        <w:outlineLvl w:val="0"/>
        <w:rPr>
          <w:rFonts w:ascii="宋体" w:hAnsi="宋体" w:cs="宋体"/>
          <w:b/>
          <w:bCs/>
          <w:color w:val="auto"/>
          <w:spacing w:val="-8"/>
          <w:sz w:val="24"/>
          <w:highlight w:val="none"/>
        </w:rPr>
      </w:pPr>
      <w:r>
        <w:rPr>
          <w:rFonts w:hint="eastAsia" w:ascii="宋体" w:hAnsi="宋体" w:cs="宋体"/>
          <w:b/>
          <w:bCs/>
          <w:color w:val="auto"/>
          <w:spacing w:val="-8"/>
          <w:sz w:val="24"/>
          <w:highlight w:val="none"/>
        </w:rPr>
        <w:t>四、验收标准</w:t>
      </w:r>
    </w:p>
    <w:p w14:paraId="346D0169">
      <w:pPr>
        <w:spacing w:line="360" w:lineRule="auto"/>
        <w:ind w:firstLine="480"/>
        <w:rPr>
          <w:rFonts w:ascii="宋体" w:hAnsi="宋体" w:cs="仿宋"/>
          <w:color w:val="auto"/>
          <w:sz w:val="24"/>
          <w:highlight w:val="none"/>
        </w:rPr>
      </w:pPr>
      <w:r>
        <w:rPr>
          <w:rFonts w:hint="eastAsia" w:ascii="宋体" w:hAnsi="宋体" w:cs="仿宋"/>
          <w:color w:val="auto"/>
          <w:sz w:val="24"/>
          <w:highlight w:val="none"/>
        </w:rPr>
        <w:t>1.采购人按照采购合同规定的技术、服务、标准以及中标单位的投标文件、本项目招标文件等要求，组织对供应商履约情况进行验收，并出具验收合格书。</w:t>
      </w:r>
    </w:p>
    <w:p w14:paraId="22FCA962">
      <w:pPr>
        <w:autoSpaceDE w:val="0"/>
        <w:autoSpaceDN w:val="0"/>
        <w:spacing w:line="360" w:lineRule="auto"/>
        <w:ind w:firstLine="482"/>
        <w:rPr>
          <w:rFonts w:ascii="宋体" w:hAnsi="宋体" w:cs="仿宋"/>
          <w:b/>
          <w:bCs/>
          <w:color w:val="auto"/>
          <w:kern w:val="0"/>
          <w:sz w:val="24"/>
          <w:highlight w:val="none"/>
        </w:rPr>
      </w:pPr>
      <w:r>
        <w:rPr>
          <w:rFonts w:hint="eastAsia" w:ascii="宋体" w:hAnsi="宋体" w:cs="仿宋"/>
          <w:b/>
          <w:bCs/>
          <w:color w:val="auto"/>
          <w:kern w:val="0"/>
          <w:sz w:val="24"/>
          <w:highlight w:val="none"/>
        </w:rPr>
        <w:t>2.验收流程</w:t>
      </w:r>
    </w:p>
    <w:p w14:paraId="6FD196A6">
      <w:pPr>
        <w:spacing w:line="360" w:lineRule="auto"/>
        <w:ind w:firstLine="480"/>
        <w:rPr>
          <w:rFonts w:ascii="宋体" w:hAnsi="宋体" w:cs="仿宋"/>
          <w:color w:val="auto"/>
          <w:sz w:val="24"/>
          <w:highlight w:val="none"/>
        </w:rPr>
      </w:pPr>
      <w:r>
        <w:rPr>
          <w:rFonts w:hint="eastAsia" w:ascii="宋体" w:hAnsi="宋体" w:cs="仿宋"/>
          <w:color w:val="auto"/>
          <w:kern w:val="0"/>
          <w:sz w:val="24"/>
          <w:highlight w:val="none"/>
        </w:rPr>
        <w:t>（1）</w:t>
      </w:r>
      <w:r>
        <w:rPr>
          <w:rFonts w:hint="eastAsia" w:ascii="宋体" w:hAnsi="宋体" w:cs="仿宋"/>
          <w:color w:val="auto"/>
          <w:sz w:val="24"/>
          <w:highlight w:val="none"/>
        </w:rPr>
        <w:t>采购人按照余财采〔2020〕14号《关于转发《杭州市政府采购履约验收暂行办法》的通知》规定组织对中标单位履约的验收。验收方成员应当在验收书上签字，并承担相应的法律责任。如果发现与合同中要求不符，中标单位须承担由此发生的一切损失和费用，并接受相应的处理。</w:t>
      </w:r>
    </w:p>
    <w:p w14:paraId="1936AB78">
      <w:pPr>
        <w:autoSpaceDE w:val="0"/>
        <w:autoSpaceDN w:val="0"/>
        <w:spacing w:line="360" w:lineRule="auto"/>
        <w:ind w:firstLine="482"/>
        <w:rPr>
          <w:rFonts w:ascii="宋体" w:hAnsi="宋体" w:cs="仿宋"/>
          <w:b/>
          <w:bCs/>
          <w:color w:val="auto"/>
          <w:kern w:val="0"/>
          <w:sz w:val="24"/>
          <w:highlight w:val="none"/>
        </w:rPr>
      </w:pPr>
      <w:r>
        <w:rPr>
          <w:rFonts w:hint="eastAsia" w:ascii="宋体" w:hAnsi="宋体" w:cs="仿宋"/>
          <w:b/>
          <w:bCs/>
          <w:color w:val="auto"/>
          <w:kern w:val="0"/>
          <w:sz w:val="24"/>
          <w:highlight w:val="none"/>
        </w:rPr>
        <w:t>3.验收标准</w:t>
      </w:r>
    </w:p>
    <w:p w14:paraId="31A2B65E">
      <w:pPr>
        <w:autoSpaceDE w:val="0"/>
        <w:autoSpaceDN w:val="0"/>
        <w:spacing w:line="360" w:lineRule="auto"/>
        <w:ind w:firstLine="480"/>
        <w:rPr>
          <w:rFonts w:ascii="宋体" w:hAnsi="宋体" w:cs="仿宋"/>
          <w:color w:val="auto"/>
          <w:kern w:val="0"/>
          <w:sz w:val="24"/>
          <w:highlight w:val="none"/>
        </w:rPr>
      </w:pPr>
      <w:r>
        <w:rPr>
          <w:rFonts w:hint="eastAsia" w:ascii="宋体" w:hAnsi="宋体" w:cs="仿宋"/>
          <w:color w:val="auto"/>
          <w:kern w:val="0"/>
          <w:sz w:val="24"/>
          <w:highlight w:val="none"/>
        </w:rPr>
        <w:t>（1）所供产品的规格、数量符合招标文件供应商投标承诺及采购合同约定的要求。</w:t>
      </w:r>
    </w:p>
    <w:p w14:paraId="1677A60F">
      <w:pPr>
        <w:autoSpaceDE w:val="0"/>
        <w:autoSpaceDN w:val="0"/>
        <w:spacing w:line="360" w:lineRule="auto"/>
        <w:ind w:firstLine="480"/>
        <w:rPr>
          <w:rFonts w:ascii="宋体" w:hAnsi="宋体" w:cs="仿宋"/>
          <w:color w:val="auto"/>
          <w:kern w:val="0"/>
          <w:sz w:val="24"/>
          <w:highlight w:val="none"/>
        </w:rPr>
      </w:pPr>
      <w:r>
        <w:rPr>
          <w:rFonts w:hint="eastAsia" w:ascii="宋体" w:hAnsi="宋体" w:cs="仿宋"/>
          <w:color w:val="auto"/>
          <w:kern w:val="0"/>
          <w:sz w:val="24"/>
          <w:highlight w:val="none"/>
        </w:rPr>
        <w:t>（2）所供产品的材质、颜色符合招标文件供应商投标承诺及采购合同约定的要求。</w:t>
      </w:r>
    </w:p>
    <w:p w14:paraId="6E433A43">
      <w:pPr>
        <w:autoSpaceDE w:val="0"/>
        <w:autoSpaceDN w:val="0"/>
        <w:spacing w:line="360" w:lineRule="auto"/>
        <w:ind w:firstLine="480"/>
        <w:rPr>
          <w:rFonts w:ascii="宋体" w:hAnsi="宋体" w:cs="仿宋"/>
          <w:color w:val="auto"/>
          <w:kern w:val="0"/>
          <w:sz w:val="24"/>
          <w:highlight w:val="none"/>
        </w:rPr>
      </w:pPr>
      <w:r>
        <w:rPr>
          <w:rFonts w:hint="eastAsia" w:ascii="宋体" w:hAnsi="宋体" w:cs="仿宋"/>
          <w:color w:val="auto"/>
          <w:kern w:val="0"/>
          <w:sz w:val="24"/>
          <w:highlight w:val="none"/>
        </w:rPr>
        <w:t>（3）所供产品的外观完好，无严重碰撞、表皮脱落、五金件生锈等明显瑕疵。</w:t>
      </w:r>
    </w:p>
    <w:p w14:paraId="1D7AC580">
      <w:pPr>
        <w:autoSpaceDE w:val="0"/>
        <w:autoSpaceDN w:val="0"/>
        <w:spacing w:line="360" w:lineRule="auto"/>
        <w:ind w:firstLine="480"/>
        <w:rPr>
          <w:rFonts w:ascii="宋体" w:hAnsi="宋体" w:cs="仿宋"/>
          <w:color w:val="auto"/>
          <w:kern w:val="0"/>
          <w:sz w:val="24"/>
          <w:highlight w:val="none"/>
        </w:rPr>
      </w:pPr>
      <w:r>
        <w:rPr>
          <w:rFonts w:hint="eastAsia" w:ascii="宋体" w:hAnsi="宋体" w:cs="仿宋"/>
          <w:color w:val="auto"/>
          <w:kern w:val="0"/>
          <w:sz w:val="24"/>
          <w:highlight w:val="none"/>
        </w:rPr>
        <w:t>（4）所供产品结构牢固，无安全隐患。</w:t>
      </w:r>
    </w:p>
    <w:p w14:paraId="5F2066CF">
      <w:pPr>
        <w:autoSpaceDE w:val="0"/>
        <w:autoSpaceDN w:val="0"/>
        <w:spacing w:line="360" w:lineRule="auto"/>
        <w:ind w:firstLine="480"/>
        <w:rPr>
          <w:rFonts w:ascii="宋体" w:hAnsi="宋体" w:cs="仿宋"/>
          <w:color w:val="auto"/>
          <w:kern w:val="0"/>
          <w:sz w:val="24"/>
          <w:highlight w:val="none"/>
        </w:rPr>
      </w:pPr>
      <w:r>
        <w:rPr>
          <w:rFonts w:hint="eastAsia" w:ascii="宋体" w:hAnsi="宋体" w:cs="仿宋"/>
          <w:color w:val="auto"/>
          <w:kern w:val="0"/>
          <w:sz w:val="24"/>
          <w:highlight w:val="none"/>
        </w:rPr>
        <w:t>（5）如有抽检要求的，检测结果符合招标文件供应商投标承诺及采购合同约定的要求。</w:t>
      </w:r>
    </w:p>
    <w:p w14:paraId="2040A385">
      <w:pPr>
        <w:autoSpaceDE w:val="0"/>
        <w:autoSpaceDN w:val="0"/>
        <w:spacing w:line="360" w:lineRule="auto"/>
        <w:ind w:firstLine="480"/>
        <w:rPr>
          <w:rFonts w:ascii="宋体" w:hAnsi="宋体" w:cs="仿宋"/>
          <w:color w:val="auto"/>
          <w:kern w:val="0"/>
          <w:sz w:val="24"/>
          <w:highlight w:val="none"/>
        </w:rPr>
      </w:pPr>
      <w:r>
        <w:rPr>
          <w:rFonts w:hint="eastAsia" w:ascii="宋体" w:hAnsi="宋体" w:cs="仿宋"/>
          <w:color w:val="auto"/>
          <w:kern w:val="0"/>
          <w:sz w:val="24"/>
          <w:highlight w:val="none"/>
        </w:rPr>
        <w:t>（6）所有产品均已运输至指定地点，并安装调试完毕。</w:t>
      </w:r>
    </w:p>
    <w:p w14:paraId="397EE62F">
      <w:pPr>
        <w:autoSpaceDE w:val="0"/>
        <w:autoSpaceDN w:val="0"/>
        <w:spacing w:line="360" w:lineRule="auto"/>
        <w:ind w:firstLine="480"/>
        <w:rPr>
          <w:rFonts w:ascii="宋体" w:hAnsi="宋体" w:cs="仿宋"/>
          <w:color w:val="auto"/>
          <w:kern w:val="0"/>
          <w:sz w:val="24"/>
          <w:highlight w:val="none"/>
        </w:rPr>
      </w:pPr>
      <w:r>
        <w:rPr>
          <w:rFonts w:hint="eastAsia" w:ascii="宋体" w:hAnsi="宋体" w:cs="仿宋"/>
          <w:color w:val="auto"/>
          <w:kern w:val="0"/>
          <w:sz w:val="24"/>
          <w:highlight w:val="none"/>
        </w:rPr>
        <w:t>（7）招标文件供应商投标承诺及采购合同约定的附件、工具、技术资料等齐全；提供产品使用说明书、合格证。</w:t>
      </w:r>
    </w:p>
    <w:p w14:paraId="391964CC">
      <w:pPr>
        <w:autoSpaceDE w:val="0"/>
        <w:autoSpaceDN w:val="0"/>
        <w:spacing w:line="360" w:lineRule="auto"/>
        <w:ind w:firstLine="480"/>
        <w:rPr>
          <w:rFonts w:ascii="宋体" w:hAnsi="宋体" w:cs="仿宋"/>
          <w:color w:val="auto"/>
          <w:kern w:val="0"/>
          <w:sz w:val="24"/>
          <w:highlight w:val="none"/>
        </w:rPr>
      </w:pPr>
      <w:r>
        <w:rPr>
          <w:rFonts w:hint="eastAsia" w:ascii="宋体" w:hAnsi="宋体" w:cs="仿宋"/>
          <w:color w:val="auto"/>
          <w:kern w:val="0"/>
          <w:sz w:val="24"/>
          <w:highlight w:val="none"/>
        </w:rPr>
        <w:t>（8）供应商提供的实际服务符合招标文件要求；</w:t>
      </w:r>
    </w:p>
    <w:p w14:paraId="1754BF62">
      <w:pPr>
        <w:autoSpaceDE w:val="0"/>
        <w:autoSpaceDN w:val="0"/>
        <w:spacing w:line="360" w:lineRule="auto"/>
        <w:ind w:firstLine="480"/>
        <w:rPr>
          <w:rFonts w:ascii="宋体" w:hAnsi="宋体" w:cs="仿宋"/>
          <w:color w:val="auto"/>
          <w:kern w:val="0"/>
          <w:sz w:val="24"/>
          <w:highlight w:val="none"/>
        </w:rPr>
      </w:pPr>
      <w:r>
        <w:rPr>
          <w:rFonts w:hint="eastAsia" w:ascii="宋体" w:hAnsi="宋体" w:cs="仿宋"/>
          <w:color w:val="auto"/>
          <w:kern w:val="0"/>
          <w:sz w:val="24"/>
          <w:highlight w:val="none"/>
        </w:rPr>
        <w:t>（9）供应商提供的项目成果资料符合《招标文件》及合同约定要求。</w:t>
      </w:r>
    </w:p>
    <w:p w14:paraId="757BACDB">
      <w:pPr>
        <w:autoSpaceDE w:val="0"/>
        <w:autoSpaceDN w:val="0"/>
        <w:spacing w:line="360" w:lineRule="auto"/>
        <w:ind w:firstLine="482"/>
        <w:rPr>
          <w:rFonts w:ascii="宋体" w:hAnsi="宋体" w:cs="仿宋"/>
          <w:color w:val="auto"/>
          <w:kern w:val="0"/>
          <w:sz w:val="24"/>
          <w:highlight w:val="none"/>
        </w:rPr>
      </w:pPr>
      <w:r>
        <w:rPr>
          <w:rFonts w:hint="eastAsia" w:ascii="宋体" w:hAnsi="宋体" w:cs="仿宋"/>
          <w:color w:val="auto"/>
          <w:kern w:val="0"/>
          <w:sz w:val="24"/>
          <w:highlight w:val="none"/>
          <w:lang w:val="en-US" w:eastAsia="zh-CN"/>
        </w:rPr>
        <w:t>4.</w:t>
      </w:r>
      <w:r>
        <w:rPr>
          <w:rFonts w:hint="eastAsia" w:ascii="宋体" w:hAnsi="宋体" w:cs="仿宋"/>
          <w:color w:val="auto"/>
          <w:kern w:val="0"/>
          <w:sz w:val="24"/>
          <w:highlight w:val="none"/>
        </w:rPr>
        <w:t>验收产生的费用首次验收费用</w:t>
      </w:r>
      <w:r>
        <w:rPr>
          <w:rFonts w:hint="eastAsia" w:ascii="宋体" w:hAnsi="宋体" w:cs="仿宋"/>
          <w:b w:val="0"/>
          <w:bCs w:val="0"/>
          <w:color w:val="auto"/>
          <w:kern w:val="0"/>
          <w:sz w:val="24"/>
          <w:highlight w:val="none"/>
        </w:rPr>
        <w:t>由采购人承</w:t>
      </w:r>
      <w:r>
        <w:rPr>
          <w:rFonts w:hint="eastAsia" w:ascii="宋体" w:hAnsi="宋体" w:cs="仿宋"/>
          <w:color w:val="auto"/>
          <w:kern w:val="0"/>
          <w:sz w:val="24"/>
          <w:highlight w:val="none"/>
        </w:rPr>
        <w:t>担，如首次验收不合格，后续验收费用由中标单位支付所有费用。</w:t>
      </w:r>
    </w:p>
    <w:p w14:paraId="79A7D89C">
      <w:pPr>
        <w:spacing w:line="360" w:lineRule="auto"/>
        <w:ind w:left="2"/>
        <w:outlineLvl w:val="0"/>
        <w:rPr>
          <w:rFonts w:ascii="宋体" w:hAnsi="宋体" w:cs="宋体"/>
          <w:b/>
          <w:bCs/>
          <w:color w:val="auto"/>
          <w:spacing w:val="-8"/>
          <w:sz w:val="24"/>
          <w:highlight w:val="none"/>
        </w:rPr>
      </w:pPr>
      <w:r>
        <w:rPr>
          <w:rFonts w:hint="eastAsia" w:ascii="宋体" w:hAnsi="宋体" w:cs="宋体"/>
          <w:b/>
          <w:bCs/>
          <w:color w:val="auto"/>
          <w:spacing w:val="-8"/>
          <w:sz w:val="24"/>
          <w:highlight w:val="none"/>
        </w:rPr>
        <w:t>五、报价说明</w:t>
      </w:r>
    </w:p>
    <w:p w14:paraId="27DB1DCF">
      <w:pPr>
        <w:adjustRightInd/>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本项目采购包括设备的设计供货、安装、调试直至验收合格，报价须包含货物设施费、材料费、运输装卸费、安装调试费、检测费、税费、参加投标费用、售后服务费等一切费用。</w:t>
      </w:r>
    </w:p>
    <w:p w14:paraId="1400C91A">
      <w:pPr>
        <w:spacing w:line="360" w:lineRule="auto"/>
        <w:ind w:left="2"/>
        <w:outlineLvl w:val="0"/>
        <w:rPr>
          <w:rFonts w:ascii="宋体" w:hAnsi="宋体" w:cs="宋体"/>
          <w:b/>
          <w:bCs/>
          <w:color w:val="auto"/>
          <w:spacing w:val="-8"/>
          <w:sz w:val="24"/>
          <w:highlight w:val="none"/>
        </w:rPr>
      </w:pPr>
      <w:r>
        <w:rPr>
          <w:rFonts w:hint="eastAsia" w:ascii="宋体" w:hAnsi="宋体" w:cs="宋体"/>
          <w:b/>
          <w:bCs/>
          <w:color w:val="auto"/>
          <w:spacing w:val="-8"/>
          <w:sz w:val="24"/>
          <w:highlight w:val="none"/>
        </w:rPr>
        <w:t>六、样品制作要求：</w:t>
      </w:r>
    </w:p>
    <w:p w14:paraId="17501F48">
      <w:pPr>
        <w:adjustRightInd/>
        <w:spacing w:line="360" w:lineRule="auto"/>
        <w:ind w:firstLine="424" w:firstLineChars="177"/>
        <w:rPr>
          <w:rFonts w:ascii="宋体" w:hAnsi="宋体" w:cs="宋体"/>
          <w:color w:val="auto"/>
          <w:sz w:val="24"/>
          <w:highlight w:val="none"/>
        </w:rPr>
      </w:pPr>
      <w:r>
        <w:rPr>
          <w:rFonts w:hint="eastAsia" w:ascii="宋体" w:hAnsi="宋体" w:cs="宋体"/>
          <w:color w:val="auto"/>
          <w:sz w:val="24"/>
          <w:highlight w:val="none"/>
        </w:rPr>
        <w:t>为了更加直观、准确的评价各投标人所投产品与采购需求的符合性，以及评价各投标人所投产品的材质、制造工艺等，本项目要求投标人按要求递交投标样品。</w:t>
      </w:r>
    </w:p>
    <w:p w14:paraId="42E5A614">
      <w:pPr>
        <w:spacing w:line="360" w:lineRule="auto"/>
        <w:ind w:left="2"/>
        <w:outlineLvl w:val="0"/>
        <w:rPr>
          <w:rFonts w:ascii="宋体" w:hAnsi="宋体" w:cs="宋体"/>
          <w:b/>
          <w:bCs/>
          <w:color w:val="auto"/>
          <w:spacing w:val="-8"/>
          <w:sz w:val="24"/>
          <w:highlight w:val="none"/>
        </w:rPr>
      </w:pPr>
      <w:r>
        <w:rPr>
          <w:rFonts w:hint="eastAsia" w:ascii="宋体" w:hAnsi="宋体" w:cs="宋体"/>
          <w:b/>
          <w:bCs/>
          <w:color w:val="auto"/>
          <w:spacing w:val="-8"/>
          <w:sz w:val="24"/>
          <w:highlight w:val="none"/>
        </w:rPr>
        <w:t>七、特别提示</w:t>
      </w:r>
    </w:p>
    <w:p w14:paraId="75DDB763">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关于知识产权：采购人在中华人民共和国境内因使用本招标项目产品和服务中的任何一部分时，采购人免受第三方提出的侵犯其专利权、商标权或其它知识产权的起诉。若出现以上情况，所有责任由投标人承担。</w:t>
      </w:r>
    </w:p>
    <w:p w14:paraId="5AF6B90B">
      <w:pPr>
        <w:spacing w:line="360" w:lineRule="auto"/>
        <w:ind w:left="2"/>
        <w:outlineLvl w:val="0"/>
        <w:rPr>
          <w:rFonts w:hint="eastAsia" w:ascii="宋体" w:hAnsi="宋体" w:cs="宋体"/>
          <w:b/>
          <w:bCs/>
          <w:color w:val="auto"/>
          <w:spacing w:val="-8"/>
          <w:sz w:val="24"/>
          <w:highlight w:val="none"/>
        </w:rPr>
      </w:pPr>
      <w:r>
        <w:rPr>
          <w:rFonts w:hint="eastAsia" w:ascii="宋体" w:hAnsi="宋体" w:cs="宋体"/>
          <w:b/>
          <w:bCs/>
          <w:color w:val="auto"/>
          <w:spacing w:val="-8"/>
          <w:sz w:val="24"/>
          <w:highlight w:val="none"/>
          <w:lang w:val="en-US" w:eastAsia="zh-CN"/>
        </w:rPr>
        <w:t>八</w:t>
      </w:r>
      <w:r>
        <w:rPr>
          <w:rFonts w:hint="eastAsia" w:ascii="宋体" w:hAnsi="宋体" w:cs="宋体"/>
          <w:b/>
          <w:bCs/>
          <w:color w:val="auto"/>
          <w:spacing w:val="-8"/>
          <w:sz w:val="24"/>
          <w:highlight w:val="none"/>
        </w:rPr>
        <w:t>、其他要求</w:t>
      </w:r>
    </w:p>
    <w:p w14:paraId="1156FC45">
      <w:pPr>
        <w:spacing w:line="360" w:lineRule="auto"/>
        <w:ind w:firstLine="480"/>
        <w:rPr>
          <w:rFonts w:ascii="宋体" w:hAnsi="宋体" w:cs="仿宋"/>
          <w:color w:val="auto"/>
          <w:sz w:val="24"/>
          <w:highlight w:val="none"/>
        </w:rPr>
      </w:pPr>
      <w:r>
        <w:rPr>
          <w:rFonts w:hint="eastAsia" w:ascii="宋体" w:hAnsi="宋体" w:cs="仿宋"/>
          <w:bCs/>
          <w:color w:val="auto"/>
          <w:sz w:val="24"/>
          <w:highlight w:val="none"/>
        </w:rPr>
        <w:t>1.</w:t>
      </w:r>
      <w:r>
        <w:rPr>
          <w:rFonts w:hint="eastAsia" w:ascii="宋体" w:hAnsi="宋体" w:cs="仿宋"/>
          <w:color w:val="auto"/>
          <w:sz w:val="24"/>
          <w:highlight w:val="none"/>
        </w:rPr>
        <w:t>采购清单中图片仅供参考，但参数必须满足招标要求；中标人所供的货物须为全新的，符合国家标准的合格产品。</w:t>
      </w:r>
    </w:p>
    <w:p w14:paraId="482DB9F0">
      <w:pPr>
        <w:spacing w:line="360" w:lineRule="auto"/>
        <w:ind w:firstLine="480"/>
        <w:rPr>
          <w:rFonts w:ascii="宋体" w:hAnsi="宋体" w:cs="仿宋"/>
          <w:b/>
          <w:bCs/>
          <w:color w:val="auto"/>
          <w:sz w:val="24"/>
          <w:highlight w:val="none"/>
        </w:rPr>
      </w:pPr>
      <w:r>
        <w:rPr>
          <w:rFonts w:hint="eastAsia" w:ascii="宋体" w:hAnsi="宋体" w:cs="仿宋"/>
          <w:color w:val="auto"/>
          <w:sz w:val="24"/>
          <w:highlight w:val="none"/>
        </w:rPr>
        <w:t>2.</w:t>
      </w:r>
      <w:r>
        <w:rPr>
          <w:rFonts w:hint="eastAsia" w:ascii="宋体" w:hAnsi="宋体" w:cs="仿宋"/>
          <w:b/>
          <w:bCs/>
          <w:color w:val="auto"/>
          <w:sz w:val="24"/>
          <w:highlight w:val="none"/>
        </w:rPr>
        <w:t>产品尺寸规格需根据实际情况相应制作，采购清单中规定的尺寸为暂估尺寸,以中标人实地测量尺寸为准;但需保障各项货物设施须能配套、大小合适、整体美观简洁且确保正常使用；</w:t>
      </w:r>
    </w:p>
    <w:p w14:paraId="2A8B8462">
      <w:pPr>
        <w:spacing w:line="360" w:lineRule="auto"/>
        <w:ind w:firstLine="482"/>
        <w:rPr>
          <w:rFonts w:ascii="宋体" w:hAnsi="宋体" w:cs="仿宋"/>
          <w:b/>
          <w:bCs/>
          <w:color w:val="auto"/>
          <w:sz w:val="24"/>
          <w:highlight w:val="none"/>
        </w:rPr>
      </w:pPr>
      <w:r>
        <w:rPr>
          <w:rFonts w:hint="eastAsia" w:ascii="宋体" w:hAnsi="宋体" w:cs="仿宋"/>
          <w:b/>
          <w:bCs/>
          <w:color w:val="auto"/>
          <w:sz w:val="24"/>
          <w:highlight w:val="none"/>
        </w:rPr>
        <w:t>中标后，打样经采购人颜色确认后再下单制作；定制柜体功能、样式等须经</w:t>
      </w:r>
      <w:r>
        <w:rPr>
          <w:rFonts w:hint="eastAsia" w:ascii="宋体" w:hAnsi="宋体" w:cs="仿宋"/>
          <w:b/>
          <w:bCs/>
          <w:color w:val="auto"/>
          <w:sz w:val="24"/>
          <w:highlight w:val="none"/>
          <w:lang w:val="en-US" w:eastAsia="zh-CN"/>
        </w:rPr>
        <w:t>采购人</w:t>
      </w:r>
      <w:r>
        <w:rPr>
          <w:rFonts w:hint="eastAsia" w:ascii="宋体" w:hAnsi="宋体" w:cs="仿宋"/>
          <w:b/>
          <w:bCs/>
          <w:color w:val="auto"/>
          <w:sz w:val="24"/>
          <w:highlight w:val="none"/>
        </w:rPr>
        <w:t>认可后实施制作安装。</w:t>
      </w:r>
    </w:p>
    <w:p w14:paraId="4BE63AE7">
      <w:pPr>
        <w:spacing w:line="360" w:lineRule="auto"/>
        <w:ind w:firstLine="482"/>
        <w:rPr>
          <w:rFonts w:ascii="宋体" w:hAnsi="宋体" w:cs="仿宋"/>
          <w:color w:val="auto"/>
          <w:sz w:val="24"/>
          <w:highlight w:val="none"/>
        </w:rPr>
      </w:pPr>
      <w:r>
        <w:rPr>
          <w:rFonts w:hint="eastAsia" w:ascii="宋体" w:hAnsi="宋体" w:cs="仿宋"/>
          <w:b w:val="0"/>
          <w:bCs w:val="0"/>
          <w:color w:val="auto"/>
          <w:sz w:val="24"/>
          <w:highlight w:val="none"/>
        </w:rPr>
        <w:t>3.</w:t>
      </w:r>
      <w:r>
        <w:rPr>
          <w:rFonts w:hint="eastAsia" w:ascii="宋体" w:hAnsi="宋体" w:cs="仿宋"/>
          <w:color w:val="auto"/>
          <w:sz w:val="24"/>
          <w:highlight w:val="none"/>
        </w:rPr>
        <w:t>如招标文件中遗漏了完工必须具备的材料、配件或服务，供应商在投标文件中应该指出，并根据自身的工程经验提出解决方案，并包含在投标总价中；供应商有义务保证采购人系统的完整性，如项目实施过程中因缺少设备、配件或服务导致采购人系统无法正常运行，中标供应商须负责提供，合同金额不作调整。</w:t>
      </w:r>
    </w:p>
    <w:p w14:paraId="1AED4A27">
      <w:pPr>
        <w:spacing w:line="360" w:lineRule="auto"/>
        <w:ind w:firstLine="480"/>
        <w:rPr>
          <w:rFonts w:ascii="宋体" w:hAnsi="宋体" w:cs="仿宋"/>
          <w:color w:val="auto"/>
          <w:sz w:val="24"/>
          <w:highlight w:val="none"/>
        </w:rPr>
      </w:pPr>
      <w:r>
        <w:rPr>
          <w:rFonts w:hint="eastAsia" w:ascii="宋体" w:hAnsi="宋体" w:cs="仿宋"/>
          <w:color w:val="auto"/>
          <w:sz w:val="24"/>
          <w:highlight w:val="none"/>
          <w:lang w:val="en-US" w:eastAsia="zh-CN"/>
        </w:rPr>
        <w:t>4</w:t>
      </w:r>
      <w:r>
        <w:rPr>
          <w:rFonts w:hint="eastAsia" w:ascii="宋体" w:hAnsi="宋体" w:cs="仿宋"/>
          <w:color w:val="auto"/>
          <w:sz w:val="24"/>
          <w:highlight w:val="none"/>
        </w:rPr>
        <w:t>.如招标文件中遗漏了货物设施在今后安全正常使用的保护装置或措施，供应商应根据自身的工程经验提出解决方案，并包含在投标总价中；中标供应商有义务保证货物设施能被安全正常的使用。</w:t>
      </w:r>
    </w:p>
    <w:p w14:paraId="167FFD82">
      <w:pPr>
        <w:spacing w:line="360" w:lineRule="auto"/>
        <w:ind w:firstLine="480"/>
        <w:rPr>
          <w:rFonts w:ascii="宋体" w:hAnsi="宋体" w:cs="仿宋"/>
          <w:color w:val="auto"/>
          <w:sz w:val="24"/>
          <w:highlight w:val="none"/>
        </w:rPr>
      </w:pPr>
      <w:r>
        <w:rPr>
          <w:rFonts w:hint="eastAsia" w:ascii="宋体" w:hAnsi="宋体" w:cs="仿宋"/>
          <w:color w:val="auto"/>
          <w:sz w:val="24"/>
          <w:highlight w:val="none"/>
          <w:lang w:val="en-US" w:eastAsia="zh-CN"/>
        </w:rPr>
        <w:t>5</w:t>
      </w:r>
      <w:r>
        <w:rPr>
          <w:rFonts w:hint="eastAsia" w:ascii="宋体" w:hAnsi="宋体" w:cs="仿宋"/>
          <w:color w:val="auto"/>
          <w:sz w:val="24"/>
          <w:highlight w:val="none"/>
        </w:rPr>
        <w:t>.装修完成后，供应商负责货物设施就位。安装完毕后进行调试工作，确保各货物设施正常使用。</w:t>
      </w:r>
    </w:p>
    <w:p w14:paraId="54F14741">
      <w:pPr>
        <w:spacing w:line="360" w:lineRule="auto"/>
        <w:ind w:firstLine="480"/>
        <w:rPr>
          <w:rFonts w:ascii="宋体" w:hAnsi="宋体" w:cs="仿宋"/>
          <w:color w:val="auto"/>
          <w:sz w:val="24"/>
          <w:highlight w:val="none"/>
        </w:rPr>
      </w:pPr>
      <w:r>
        <w:rPr>
          <w:rFonts w:hint="eastAsia" w:ascii="宋体" w:hAnsi="宋体" w:cs="仿宋"/>
          <w:color w:val="auto"/>
          <w:sz w:val="24"/>
          <w:highlight w:val="none"/>
          <w:lang w:val="en-US" w:eastAsia="zh-CN"/>
        </w:rPr>
        <w:t>6.</w:t>
      </w:r>
      <w:r>
        <w:rPr>
          <w:rFonts w:hint="eastAsia" w:ascii="宋体" w:hAnsi="宋体" w:cs="仿宋"/>
          <w:color w:val="auto"/>
          <w:sz w:val="24"/>
          <w:highlight w:val="none"/>
        </w:rPr>
        <w:t>中标供应商须与招标人确定颜色后方可生产并供货。</w:t>
      </w:r>
    </w:p>
    <w:p w14:paraId="16439AB1">
      <w:pPr>
        <w:spacing w:line="360" w:lineRule="auto"/>
        <w:ind w:left="2"/>
        <w:outlineLvl w:val="0"/>
        <w:rPr>
          <w:rFonts w:ascii="宋体" w:hAnsi="宋体" w:cs="仿宋"/>
          <w:b/>
          <w:color w:val="auto"/>
          <w:sz w:val="24"/>
          <w:highlight w:val="none"/>
        </w:rPr>
      </w:pPr>
      <w:r>
        <w:rPr>
          <w:rFonts w:hint="eastAsia" w:ascii="宋体" w:hAnsi="宋体" w:cs="仿宋"/>
          <w:b/>
          <w:color w:val="auto"/>
          <w:sz w:val="24"/>
          <w:highlight w:val="none"/>
          <w:lang w:val="en-US" w:eastAsia="zh-CN"/>
        </w:rPr>
        <w:t>九</w:t>
      </w:r>
      <w:r>
        <w:rPr>
          <w:rFonts w:hint="eastAsia" w:ascii="宋体" w:hAnsi="宋体" w:cs="仿宋"/>
          <w:b/>
          <w:color w:val="auto"/>
          <w:sz w:val="24"/>
          <w:highlight w:val="none"/>
        </w:rPr>
        <w:t>、相关服务要求</w:t>
      </w:r>
    </w:p>
    <w:p w14:paraId="4CCE0CC9">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1.供应商需要提供合理的项目整体实施方案，能按照项目分解节点并可跟踪实施。</w:t>
      </w:r>
    </w:p>
    <w:p w14:paraId="7CFEA286">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2.供应商需要提供供货安装方案，根据货物交付时间节点，落实送货安装时间和人员安排，确保按期交付使用。</w:t>
      </w:r>
    </w:p>
    <w:p w14:paraId="5AC39F2E">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3.质量跟踪、检测</w:t>
      </w:r>
    </w:p>
    <w:p w14:paraId="767A5CAE">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1）质量跟踪：采购人有权委托具有家具产品质量检验资质的质检机构方对中标方的家具生产、安装、材料及配件质量进行全过程跟踪，中标方应无条件予以配合，一旦发现中标方有违背合同的情况，将立即中止合同，由此造成的损失由中标方负责。跟踪分三个阶段：第一阶段：所有材料备货完毕中标方应通知采购人到厂跟踪检查；第二阶段：产品生产组装时，中标方应通知采购人到厂进行产品跟踪检查；第三阶段：所有产品发货前中标方应通知采购人到场到厂跟踪检查。</w:t>
      </w:r>
    </w:p>
    <w:p w14:paraId="2527C91D">
      <w:pPr>
        <w:spacing w:line="360" w:lineRule="auto"/>
        <w:ind w:firstLine="424" w:firstLineChars="177"/>
        <w:rPr>
          <w:rFonts w:hint="default" w:ascii="宋体" w:hAnsi="宋体" w:cs="仿宋"/>
          <w:color w:val="auto"/>
          <w:sz w:val="24"/>
          <w:highlight w:val="none"/>
          <w:lang w:val="en-US" w:eastAsia="zh-CN"/>
        </w:rPr>
      </w:pPr>
      <w:r>
        <w:rPr>
          <w:rFonts w:hint="eastAsia" w:ascii="宋体" w:hAnsi="宋体" w:cs="仿宋"/>
          <w:color w:val="auto"/>
          <w:sz w:val="24"/>
          <w:highlight w:val="none"/>
        </w:rPr>
        <w:t>（2）采购人有权委托第三方检测机构在家具生产中的原材料进货、生产组装及成品安装等阶段中按一定比例向中标方抽取家具的某一部位进行质量、环保检测</w:t>
      </w:r>
      <w:r>
        <w:rPr>
          <w:rFonts w:hint="eastAsia" w:ascii="宋体" w:hAnsi="宋体" w:cs="仿宋"/>
          <w:color w:val="auto"/>
          <w:sz w:val="24"/>
          <w:highlight w:val="none"/>
          <w:lang w:eastAsia="zh-CN"/>
        </w:rPr>
        <w:t>。</w:t>
      </w:r>
      <w:r>
        <w:rPr>
          <w:rFonts w:hint="eastAsia" w:ascii="宋体" w:hAnsi="宋体" w:cs="仿宋"/>
          <w:color w:val="auto"/>
          <w:sz w:val="24"/>
          <w:highlight w:val="none"/>
          <w:lang w:val="en-US" w:eastAsia="zh-CN"/>
        </w:rPr>
        <w:t>如检测合格，</w:t>
      </w:r>
      <w:r>
        <w:rPr>
          <w:rFonts w:hint="eastAsia" w:ascii="宋体" w:hAnsi="宋体" w:cs="仿宋"/>
          <w:color w:val="auto"/>
          <w:sz w:val="24"/>
          <w:highlight w:val="none"/>
        </w:rPr>
        <w:t>其中产生的一切费用，包括抽检部分的破坏性检测造成的损失、抽检内容缺失部分的修补、制作费及环保检测费用均由采购人承担</w:t>
      </w:r>
      <w:r>
        <w:rPr>
          <w:rFonts w:hint="eastAsia" w:ascii="宋体" w:hAnsi="宋体" w:cs="仿宋"/>
          <w:color w:val="auto"/>
          <w:sz w:val="24"/>
          <w:highlight w:val="none"/>
          <w:lang w:eastAsia="zh-CN"/>
        </w:rPr>
        <w:t>；</w:t>
      </w:r>
      <w:r>
        <w:rPr>
          <w:rFonts w:hint="eastAsia" w:ascii="宋体" w:hAnsi="宋体" w:cs="仿宋"/>
          <w:color w:val="auto"/>
          <w:sz w:val="24"/>
          <w:highlight w:val="none"/>
          <w:lang w:val="en-US" w:eastAsia="zh-CN"/>
        </w:rPr>
        <w:t>如检测不合格，中标方需立即按照供应商投标文件及合同中要求进行整改。</w:t>
      </w:r>
    </w:p>
    <w:p w14:paraId="1184EFF8">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4.项目团队要求：供应商需要提供项目技术团队及其能力说明，提供人员清单、履历、专业技术能力等资料。</w:t>
      </w:r>
    </w:p>
    <w:p w14:paraId="57A0F827">
      <w:pPr>
        <w:spacing w:line="360" w:lineRule="auto"/>
        <w:ind w:firstLine="424" w:firstLineChars="177"/>
        <w:rPr>
          <w:rFonts w:hint="eastAsia" w:ascii="宋体" w:hAnsi="宋体" w:cs="仿宋"/>
          <w:color w:val="auto"/>
          <w:sz w:val="24"/>
          <w:highlight w:val="none"/>
        </w:rPr>
      </w:pPr>
      <w:r>
        <w:rPr>
          <w:rFonts w:hint="eastAsia" w:ascii="宋体" w:hAnsi="宋体" w:cs="仿宋"/>
          <w:color w:val="auto"/>
          <w:sz w:val="24"/>
          <w:highlight w:val="none"/>
          <w:lang w:val="en-US"/>
        </w:rPr>
        <w:t>5.培训要求：安装调试后，对家具使用人员进行现场实地培训，直至会熟练使用。</w:t>
      </w:r>
    </w:p>
    <w:p w14:paraId="5E622D14">
      <w:pPr>
        <w:spacing w:line="360" w:lineRule="auto"/>
        <w:ind w:firstLine="181" w:firstLineChars="50"/>
        <w:rPr>
          <w:rFonts w:ascii="宋体" w:hAnsi="宋体" w:cs="宋体"/>
          <w:b/>
          <w:sz w:val="36"/>
          <w:szCs w:val="36"/>
        </w:rPr>
      </w:pPr>
    </w:p>
    <w:p w14:paraId="6527F38E">
      <w:pPr>
        <w:spacing w:line="360" w:lineRule="auto"/>
        <w:rPr>
          <w:rFonts w:ascii="宋体" w:hAnsi="宋体" w:cs="宋体"/>
          <w:sz w:val="24"/>
        </w:rPr>
      </w:pPr>
    </w:p>
    <w:p w14:paraId="26590C92">
      <w:pPr>
        <w:widowControl/>
        <w:ind w:firstLine="720" w:firstLineChars="300"/>
        <w:jc w:val="left"/>
        <w:rPr>
          <w:rFonts w:ascii="宋体" w:hAnsi="宋体" w:cs="宋体"/>
          <w:bCs/>
          <w:sz w:val="24"/>
        </w:rPr>
      </w:pPr>
    </w:p>
    <w:p w14:paraId="5BAFBA3E">
      <w:pPr>
        <w:rPr>
          <w:rFonts w:ascii="宋体" w:hAnsi="宋体" w:cs="宋体"/>
          <w:snapToGrid w:val="0"/>
          <w:kern w:val="0"/>
          <w:sz w:val="24"/>
        </w:rPr>
      </w:pPr>
    </w:p>
    <w:p w14:paraId="611E757D">
      <w:pPr>
        <w:spacing w:line="360" w:lineRule="auto"/>
        <w:jc w:val="center"/>
        <w:outlineLvl w:val="0"/>
        <w:rPr>
          <w:rFonts w:ascii="宋体" w:hAnsi="宋体" w:cs="宋体"/>
          <w:b/>
          <w:color w:val="auto"/>
          <w:sz w:val="36"/>
          <w:szCs w:val="36"/>
          <w:highlight w:val="none"/>
        </w:rPr>
      </w:pPr>
      <w:r>
        <w:rPr>
          <w:rFonts w:hint="eastAsia" w:ascii="宋体" w:hAnsi="宋体" w:cs="宋体"/>
          <w:b/>
          <w:sz w:val="24"/>
        </w:rPr>
        <w:br w:type="page"/>
      </w:r>
      <w:r>
        <w:rPr>
          <w:rFonts w:hint="eastAsia" w:ascii="宋体" w:hAnsi="宋体" w:cs="宋体"/>
          <w:b/>
          <w:sz w:val="36"/>
          <w:szCs w:val="36"/>
        </w:rPr>
        <w:t>第四部</w:t>
      </w:r>
      <w:r>
        <w:rPr>
          <w:rFonts w:hint="eastAsia" w:ascii="宋体" w:hAnsi="宋体" w:cs="宋体"/>
          <w:b/>
          <w:color w:val="auto"/>
          <w:sz w:val="36"/>
          <w:szCs w:val="36"/>
          <w:highlight w:val="none"/>
        </w:rPr>
        <w:t xml:space="preserve">分   </w:t>
      </w:r>
      <w:bookmarkStart w:id="32" w:name="_Toc184314457"/>
      <w:bookmarkEnd w:id="32"/>
      <w:bookmarkStart w:id="33" w:name="_Toc184312103"/>
      <w:bookmarkEnd w:id="33"/>
      <w:bookmarkStart w:id="34" w:name="_Toc184313310"/>
      <w:bookmarkEnd w:id="34"/>
      <w:bookmarkStart w:id="35" w:name="_Toc184314480"/>
      <w:bookmarkEnd w:id="35"/>
      <w:bookmarkStart w:id="36" w:name="_Toc184313286"/>
      <w:bookmarkEnd w:id="36"/>
      <w:bookmarkStart w:id="37" w:name="_Toc184313284"/>
      <w:bookmarkEnd w:id="37"/>
      <w:bookmarkStart w:id="38" w:name="_Toc184308054"/>
      <w:bookmarkEnd w:id="38"/>
      <w:bookmarkStart w:id="39" w:name="_Toc184308069"/>
      <w:bookmarkEnd w:id="39"/>
      <w:bookmarkStart w:id="40" w:name="_Toc184310311"/>
      <w:bookmarkEnd w:id="40"/>
      <w:bookmarkStart w:id="41" w:name="_Toc184310313"/>
      <w:bookmarkEnd w:id="41"/>
      <w:bookmarkStart w:id="42" w:name="_Toc184308075"/>
      <w:bookmarkEnd w:id="42"/>
      <w:bookmarkStart w:id="43" w:name="_Toc184312088"/>
      <w:bookmarkEnd w:id="43"/>
      <w:bookmarkStart w:id="44" w:name="_Toc184313282"/>
      <w:bookmarkEnd w:id="44"/>
      <w:bookmarkStart w:id="45" w:name="_Toc184308097"/>
      <w:bookmarkEnd w:id="45"/>
      <w:bookmarkStart w:id="46" w:name="_Toc184314431"/>
      <w:bookmarkEnd w:id="46"/>
      <w:bookmarkStart w:id="47" w:name="_Toc184313256"/>
      <w:bookmarkEnd w:id="47"/>
      <w:bookmarkStart w:id="48" w:name="_Toc184313271"/>
      <w:bookmarkEnd w:id="48"/>
      <w:bookmarkStart w:id="49" w:name="_Toc184308055"/>
      <w:bookmarkEnd w:id="49"/>
      <w:bookmarkStart w:id="50" w:name="_Toc184314441"/>
      <w:bookmarkEnd w:id="50"/>
      <w:bookmarkStart w:id="51" w:name="_Toc184308093"/>
      <w:bookmarkEnd w:id="51"/>
      <w:bookmarkStart w:id="52" w:name="_Toc184312092"/>
      <w:bookmarkEnd w:id="52"/>
      <w:bookmarkStart w:id="53" w:name="_Toc184314446"/>
      <w:bookmarkEnd w:id="53"/>
      <w:bookmarkStart w:id="54" w:name="_Toc184314433"/>
      <w:bookmarkEnd w:id="54"/>
      <w:bookmarkStart w:id="55" w:name="_Toc184313307"/>
      <w:bookmarkEnd w:id="55"/>
      <w:bookmarkStart w:id="56" w:name="_Toc184310339"/>
      <w:bookmarkEnd w:id="56"/>
      <w:bookmarkStart w:id="57" w:name="_Toc184308057"/>
      <w:bookmarkEnd w:id="57"/>
      <w:bookmarkStart w:id="58" w:name="_Toc184308050"/>
      <w:bookmarkEnd w:id="58"/>
      <w:bookmarkStart w:id="59" w:name="_Toc184310292"/>
      <w:bookmarkEnd w:id="59"/>
      <w:bookmarkStart w:id="60" w:name="_Toc184308091"/>
      <w:bookmarkEnd w:id="60"/>
      <w:bookmarkStart w:id="61" w:name="_Toc184308041"/>
      <w:bookmarkEnd w:id="61"/>
      <w:bookmarkStart w:id="62" w:name="_Toc184310287"/>
      <w:bookmarkEnd w:id="62"/>
      <w:bookmarkStart w:id="63" w:name="_Toc184314445"/>
      <w:bookmarkEnd w:id="63"/>
      <w:bookmarkStart w:id="64" w:name="_Toc184308103"/>
      <w:bookmarkEnd w:id="64"/>
      <w:bookmarkStart w:id="65" w:name="_Toc184312076"/>
      <w:bookmarkEnd w:id="65"/>
      <w:bookmarkStart w:id="66" w:name="_Toc184310294"/>
      <w:bookmarkEnd w:id="66"/>
      <w:bookmarkStart w:id="67" w:name="_Toc184312127"/>
      <w:bookmarkEnd w:id="67"/>
      <w:bookmarkStart w:id="68" w:name="_Toc184310325"/>
      <w:bookmarkEnd w:id="68"/>
      <w:bookmarkStart w:id="69" w:name="_Toc184310328"/>
      <w:bookmarkEnd w:id="69"/>
      <w:bookmarkStart w:id="70" w:name="_Toc184308080"/>
      <w:bookmarkEnd w:id="70"/>
      <w:bookmarkStart w:id="71" w:name="_Toc184312120"/>
      <w:bookmarkEnd w:id="71"/>
      <w:bookmarkStart w:id="72" w:name="_Toc184308088"/>
      <w:bookmarkEnd w:id="72"/>
      <w:bookmarkStart w:id="73" w:name="_Toc184310305"/>
      <w:bookmarkEnd w:id="73"/>
      <w:bookmarkStart w:id="74" w:name="_Toc184308073"/>
      <w:bookmarkEnd w:id="74"/>
      <w:bookmarkStart w:id="75" w:name="_Toc184312133"/>
      <w:bookmarkEnd w:id="75"/>
      <w:bookmarkStart w:id="76" w:name="_Toc184312137"/>
      <w:bookmarkEnd w:id="76"/>
      <w:bookmarkStart w:id="77" w:name="_Toc184312123"/>
      <w:bookmarkEnd w:id="77"/>
      <w:bookmarkStart w:id="78" w:name="_Toc184312074"/>
      <w:bookmarkEnd w:id="78"/>
      <w:bookmarkStart w:id="79" w:name="_Toc184312125"/>
      <w:bookmarkEnd w:id="79"/>
      <w:bookmarkStart w:id="80" w:name="_Toc184308065"/>
      <w:bookmarkEnd w:id="80"/>
      <w:bookmarkStart w:id="81" w:name="_Toc184313297"/>
      <w:bookmarkEnd w:id="81"/>
      <w:bookmarkStart w:id="82" w:name="_Toc184312080"/>
      <w:bookmarkEnd w:id="82"/>
      <w:bookmarkStart w:id="83" w:name="_Toc184314451"/>
      <w:bookmarkEnd w:id="83"/>
      <w:bookmarkStart w:id="84" w:name="_Toc184313257"/>
      <w:bookmarkEnd w:id="84"/>
      <w:bookmarkStart w:id="85" w:name="_Toc184312090"/>
      <w:bookmarkEnd w:id="85"/>
      <w:bookmarkStart w:id="86" w:name="_Toc184310285"/>
      <w:bookmarkEnd w:id="86"/>
      <w:bookmarkStart w:id="87" w:name="_Toc184308043"/>
      <w:bookmarkEnd w:id="87"/>
      <w:bookmarkStart w:id="88" w:name="_Toc184314478"/>
      <w:bookmarkEnd w:id="88"/>
      <w:bookmarkStart w:id="89" w:name="_Toc184312126"/>
      <w:bookmarkEnd w:id="89"/>
      <w:bookmarkStart w:id="90" w:name="_Toc184314438"/>
      <w:bookmarkEnd w:id="90"/>
      <w:bookmarkStart w:id="91" w:name="_Toc184312110"/>
      <w:bookmarkEnd w:id="91"/>
      <w:bookmarkStart w:id="92" w:name="_Toc184313287"/>
      <w:bookmarkEnd w:id="92"/>
      <w:bookmarkStart w:id="93" w:name="_Toc184314467"/>
      <w:bookmarkEnd w:id="93"/>
      <w:bookmarkStart w:id="94" w:name="_Toc184313291"/>
      <w:bookmarkEnd w:id="94"/>
      <w:bookmarkStart w:id="95" w:name="_Toc184312139"/>
      <w:bookmarkEnd w:id="95"/>
      <w:bookmarkStart w:id="96" w:name="_Toc184314453"/>
      <w:bookmarkEnd w:id="96"/>
      <w:bookmarkStart w:id="97" w:name="_Toc184314423"/>
      <w:bookmarkEnd w:id="97"/>
      <w:bookmarkStart w:id="98" w:name="_Toc184312100"/>
      <w:bookmarkEnd w:id="98"/>
      <w:bookmarkStart w:id="99" w:name="_Toc184308095"/>
      <w:bookmarkEnd w:id="99"/>
      <w:bookmarkStart w:id="100" w:name="_Toc184308046"/>
      <w:bookmarkEnd w:id="100"/>
      <w:bookmarkStart w:id="101" w:name="_Toc184313308"/>
      <w:bookmarkEnd w:id="101"/>
      <w:bookmarkStart w:id="102" w:name="_Toc184308081"/>
      <w:bookmarkEnd w:id="102"/>
      <w:bookmarkStart w:id="103" w:name="_Toc184308085"/>
      <w:bookmarkEnd w:id="103"/>
      <w:bookmarkStart w:id="104" w:name="_Toc184312089"/>
      <w:bookmarkEnd w:id="104"/>
      <w:bookmarkStart w:id="105" w:name="_Toc184314450"/>
      <w:bookmarkEnd w:id="105"/>
      <w:bookmarkStart w:id="106" w:name="_Toc184313264"/>
      <w:bookmarkEnd w:id="106"/>
      <w:bookmarkStart w:id="107" w:name="_Toc184310299"/>
      <w:bookmarkEnd w:id="107"/>
      <w:bookmarkStart w:id="108" w:name="_Toc184310274"/>
      <w:bookmarkEnd w:id="108"/>
      <w:bookmarkStart w:id="109" w:name="_Toc184314442"/>
      <w:bookmarkEnd w:id="109"/>
      <w:bookmarkStart w:id="110" w:name="_Toc184313254"/>
      <w:bookmarkEnd w:id="110"/>
      <w:bookmarkStart w:id="111" w:name="_Toc184314435"/>
      <w:bookmarkEnd w:id="111"/>
      <w:bookmarkStart w:id="112" w:name="_Toc184312132"/>
      <w:bookmarkEnd w:id="112"/>
      <w:bookmarkStart w:id="113" w:name="_Toc184312085"/>
      <w:bookmarkEnd w:id="113"/>
      <w:bookmarkStart w:id="114" w:name="_Toc184308062"/>
      <w:bookmarkEnd w:id="114"/>
      <w:bookmarkStart w:id="115" w:name="_Toc184310314"/>
      <w:bookmarkEnd w:id="115"/>
      <w:bookmarkStart w:id="116" w:name="_Toc184310297"/>
      <w:bookmarkEnd w:id="116"/>
      <w:bookmarkStart w:id="117" w:name="_Toc184314417"/>
      <w:bookmarkEnd w:id="117"/>
      <w:bookmarkStart w:id="118" w:name="_Toc184314420"/>
      <w:bookmarkEnd w:id="118"/>
      <w:bookmarkStart w:id="119" w:name="_Toc184312094"/>
      <w:bookmarkEnd w:id="119"/>
      <w:bookmarkStart w:id="120" w:name="_Toc184313267"/>
      <w:bookmarkEnd w:id="120"/>
      <w:bookmarkStart w:id="121" w:name="_Toc184312107"/>
      <w:bookmarkEnd w:id="121"/>
      <w:bookmarkStart w:id="122" w:name="_Toc184314481"/>
      <w:bookmarkEnd w:id="122"/>
      <w:bookmarkStart w:id="123" w:name="_Toc184312111"/>
      <w:bookmarkEnd w:id="123"/>
      <w:bookmarkStart w:id="124" w:name="_Toc184314449"/>
      <w:bookmarkEnd w:id="124"/>
      <w:bookmarkStart w:id="125" w:name="_Toc184308049"/>
      <w:bookmarkEnd w:id="125"/>
      <w:bookmarkStart w:id="126" w:name="_Toc184310319"/>
      <w:bookmarkEnd w:id="126"/>
      <w:bookmarkStart w:id="127" w:name="_Toc184312129"/>
      <w:bookmarkEnd w:id="127"/>
      <w:bookmarkStart w:id="128" w:name="_Toc184308072"/>
      <w:bookmarkEnd w:id="128"/>
      <w:bookmarkStart w:id="129" w:name="_Toc184308092"/>
      <w:bookmarkEnd w:id="129"/>
      <w:bookmarkStart w:id="130" w:name="_Toc184313265"/>
      <w:bookmarkEnd w:id="130"/>
      <w:bookmarkStart w:id="131" w:name="_Toc184314482"/>
      <w:bookmarkEnd w:id="131"/>
      <w:bookmarkStart w:id="132" w:name="_Toc184314437"/>
      <w:bookmarkEnd w:id="132"/>
      <w:bookmarkStart w:id="133" w:name="_Toc184313290"/>
      <w:bookmarkEnd w:id="133"/>
      <w:bookmarkStart w:id="134" w:name="_Toc184312116"/>
      <w:bookmarkEnd w:id="134"/>
      <w:bookmarkStart w:id="135" w:name="_Toc184310302"/>
      <w:bookmarkEnd w:id="135"/>
      <w:bookmarkStart w:id="136" w:name="_Toc184314439"/>
      <w:bookmarkEnd w:id="136"/>
      <w:bookmarkStart w:id="137" w:name="_Toc184312072"/>
      <w:bookmarkEnd w:id="137"/>
      <w:bookmarkStart w:id="138" w:name="_Toc184312087"/>
      <w:bookmarkEnd w:id="138"/>
      <w:bookmarkStart w:id="139" w:name="_Toc184314411"/>
      <w:bookmarkEnd w:id="139"/>
      <w:bookmarkStart w:id="140" w:name="_Toc184308063"/>
      <w:bookmarkEnd w:id="140"/>
      <w:bookmarkStart w:id="141" w:name="_Toc184314461"/>
      <w:bookmarkEnd w:id="141"/>
      <w:bookmarkStart w:id="142" w:name="_Toc184312104"/>
      <w:bookmarkEnd w:id="142"/>
      <w:bookmarkStart w:id="143" w:name="_Toc184313279"/>
      <w:bookmarkEnd w:id="143"/>
      <w:bookmarkStart w:id="144" w:name="_Toc184310273"/>
      <w:bookmarkEnd w:id="144"/>
      <w:bookmarkStart w:id="145" w:name="_Toc184313239"/>
      <w:bookmarkEnd w:id="145"/>
      <w:bookmarkStart w:id="146" w:name="_Toc184308060"/>
      <w:bookmarkEnd w:id="146"/>
      <w:bookmarkStart w:id="147" w:name="_Toc184314468"/>
      <w:bookmarkEnd w:id="147"/>
      <w:bookmarkStart w:id="148" w:name="_Toc184310322"/>
      <w:bookmarkEnd w:id="148"/>
      <w:bookmarkStart w:id="149" w:name="_Toc184310344"/>
      <w:bookmarkEnd w:id="149"/>
      <w:bookmarkStart w:id="150" w:name="_Toc184314434"/>
      <w:bookmarkEnd w:id="150"/>
      <w:bookmarkStart w:id="151" w:name="_Toc184308083"/>
      <w:bookmarkEnd w:id="151"/>
      <w:bookmarkStart w:id="152" w:name="_Toc184312106"/>
      <w:bookmarkEnd w:id="152"/>
      <w:bookmarkStart w:id="153" w:name="_Toc184314456"/>
      <w:bookmarkEnd w:id="153"/>
      <w:bookmarkStart w:id="154" w:name="_Toc184310312"/>
      <w:bookmarkEnd w:id="154"/>
      <w:bookmarkStart w:id="155" w:name="_Toc184312096"/>
      <w:bookmarkEnd w:id="155"/>
      <w:bookmarkStart w:id="156" w:name="_Toc184313292"/>
      <w:bookmarkEnd w:id="156"/>
      <w:bookmarkStart w:id="157" w:name="_Toc184312121"/>
      <w:bookmarkEnd w:id="157"/>
      <w:bookmarkStart w:id="158" w:name="_Toc184310330"/>
      <w:bookmarkEnd w:id="158"/>
      <w:bookmarkStart w:id="159" w:name="_Toc184313281"/>
      <w:bookmarkEnd w:id="159"/>
      <w:bookmarkStart w:id="160" w:name="_Toc184313298"/>
      <w:bookmarkEnd w:id="160"/>
      <w:bookmarkStart w:id="161" w:name="_Toc184308101"/>
      <w:bookmarkEnd w:id="161"/>
      <w:bookmarkStart w:id="162" w:name="_Toc184314472"/>
      <w:bookmarkEnd w:id="162"/>
      <w:bookmarkStart w:id="163" w:name="_Toc184312082"/>
      <w:bookmarkEnd w:id="163"/>
      <w:bookmarkStart w:id="164" w:name="_Toc184313250"/>
      <w:bookmarkEnd w:id="164"/>
      <w:bookmarkStart w:id="165" w:name="_Toc184308086"/>
      <w:bookmarkEnd w:id="165"/>
      <w:bookmarkStart w:id="166" w:name="_Toc184310331"/>
      <w:bookmarkEnd w:id="166"/>
      <w:bookmarkStart w:id="167" w:name="_Toc184308090"/>
      <w:bookmarkEnd w:id="167"/>
      <w:bookmarkStart w:id="168" w:name="_Toc184310301"/>
      <w:bookmarkEnd w:id="168"/>
      <w:bookmarkStart w:id="169" w:name="_Toc184313289"/>
      <w:bookmarkEnd w:id="169"/>
      <w:bookmarkStart w:id="170" w:name="_Toc184308098"/>
      <w:bookmarkEnd w:id="170"/>
      <w:bookmarkStart w:id="171" w:name="_Toc184313283"/>
      <w:bookmarkEnd w:id="171"/>
      <w:bookmarkStart w:id="172" w:name="_Toc184312117"/>
      <w:bookmarkEnd w:id="172"/>
      <w:bookmarkStart w:id="173" w:name="_Toc184308096"/>
      <w:bookmarkEnd w:id="173"/>
      <w:bookmarkStart w:id="174" w:name="_Toc184313258"/>
      <w:bookmarkEnd w:id="174"/>
      <w:bookmarkStart w:id="175" w:name="_Toc184312128"/>
      <w:bookmarkEnd w:id="175"/>
      <w:bookmarkStart w:id="176" w:name="_Toc184313244"/>
      <w:bookmarkEnd w:id="176"/>
      <w:bookmarkStart w:id="177" w:name="_Toc184314429"/>
      <w:bookmarkEnd w:id="177"/>
      <w:bookmarkStart w:id="178" w:name="_Toc184312124"/>
      <w:bookmarkEnd w:id="178"/>
      <w:bookmarkStart w:id="179" w:name="_Toc184310333"/>
      <w:bookmarkEnd w:id="179"/>
      <w:bookmarkStart w:id="180" w:name="_Toc184314464"/>
      <w:bookmarkEnd w:id="180"/>
      <w:bookmarkStart w:id="181" w:name="_Toc184314414"/>
      <w:bookmarkEnd w:id="181"/>
      <w:bookmarkStart w:id="182" w:name="_Toc184312078"/>
      <w:bookmarkEnd w:id="182"/>
      <w:bookmarkStart w:id="183" w:name="_Toc184308078"/>
      <w:bookmarkEnd w:id="183"/>
      <w:bookmarkStart w:id="184" w:name="_Toc184314463"/>
      <w:bookmarkEnd w:id="184"/>
      <w:bookmarkStart w:id="185" w:name="_Toc184314418"/>
      <w:bookmarkEnd w:id="185"/>
      <w:bookmarkStart w:id="186" w:name="_Toc184310277"/>
      <w:bookmarkEnd w:id="186"/>
      <w:bookmarkStart w:id="187" w:name="_Toc184310323"/>
      <w:bookmarkEnd w:id="187"/>
      <w:bookmarkStart w:id="188" w:name="_Toc184308066"/>
      <w:bookmarkEnd w:id="188"/>
      <w:bookmarkStart w:id="189" w:name="_Toc184314413"/>
      <w:bookmarkEnd w:id="189"/>
      <w:bookmarkStart w:id="190" w:name="_Toc184310272"/>
      <w:bookmarkEnd w:id="190"/>
      <w:bookmarkStart w:id="191" w:name="_Toc184314430"/>
      <w:bookmarkEnd w:id="191"/>
      <w:bookmarkStart w:id="192" w:name="_Toc184308064"/>
      <w:bookmarkEnd w:id="192"/>
      <w:bookmarkStart w:id="193" w:name="_Toc184308070"/>
      <w:bookmarkEnd w:id="193"/>
      <w:bookmarkStart w:id="194" w:name="_Toc184314458"/>
      <w:bookmarkEnd w:id="194"/>
      <w:bookmarkStart w:id="195" w:name="_Toc184314444"/>
      <w:bookmarkEnd w:id="195"/>
      <w:bookmarkStart w:id="196" w:name="_Toc184312115"/>
      <w:bookmarkEnd w:id="196"/>
      <w:bookmarkStart w:id="197" w:name="_Toc184310279"/>
      <w:bookmarkEnd w:id="197"/>
      <w:bookmarkStart w:id="198" w:name="_Toc184313242"/>
      <w:bookmarkEnd w:id="198"/>
      <w:bookmarkStart w:id="199" w:name="_Toc184314421"/>
      <w:bookmarkEnd w:id="199"/>
      <w:bookmarkStart w:id="200" w:name="_Toc184310283"/>
      <w:bookmarkEnd w:id="200"/>
      <w:bookmarkStart w:id="201" w:name="_Toc184313262"/>
      <w:bookmarkEnd w:id="201"/>
      <w:bookmarkStart w:id="202" w:name="_Toc184310284"/>
      <w:bookmarkEnd w:id="202"/>
      <w:bookmarkStart w:id="203" w:name="_Toc184308084"/>
      <w:bookmarkEnd w:id="203"/>
      <w:bookmarkStart w:id="204" w:name="_Toc184312130"/>
      <w:bookmarkEnd w:id="204"/>
      <w:bookmarkStart w:id="205" w:name="_Toc184313252"/>
      <w:bookmarkEnd w:id="205"/>
      <w:bookmarkStart w:id="206" w:name="_Toc184308076"/>
      <w:bookmarkEnd w:id="206"/>
      <w:bookmarkStart w:id="207" w:name="_Toc184310342"/>
      <w:bookmarkEnd w:id="207"/>
      <w:bookmarkStart w:id="208" w:name="_Toc184313243"/>
      <w:bookmarkEnd w:id="208"/>
      <w:bookmarkStart w:id="209" w:name="_Toc184310280"/>
      <w:bookmarkEnd w:id="209"/>
      <w:bookmarkStart w:id="210" w:name="_Toc184308105"/>
      <w:bookmarkEnd w:id="210"/>
      <w:bookmarkStart w:id="211" w:name="_Toc184308042"/>
      <w:bookmarkEnd w:id="211"/>
      <w:bookmarkStart w:id="212" w:name="_Toc184308053"/>
      <w:bookmarkEnd w:id="212"/>
      <w:bookmarkStart w:id="213" w:name="_Toc184313278"/>
      <w:bookmarkEnd w:id="213"/>
      <w:bookmarkStart w:id="214" w:name="_Toc184314460"/>
      <w:bookmarkEnd w:id="214"/>
      <w:bookmarkStart w:id="215" w:name="_Toc184314424"/>
      <w:bookmarkEnd w:id="215"/>
      <w:bookmarkStart w:id="216" w:name="_Toc184308082"/>
      <w:bookmarkEnd w:id="216"/>
      <w:bookmarkStart w:id="217" w:name="_Toc184310336"/>
      <w:bookmarkEnd w:id="217"/>
      <w:bookmarkStart w:id="218" w:name="_Toc184313276"/>
      <w:bookmarkEnd w:id="218"/>
      <w:bookmarkStart w:id="219" w:name="_Toc184310304"/>
      <w:bookmarkEnd w:id="219"/>
      <w:bookmarkStart w:id="220" w:name="_Toc184310295"/>
      <w:bookmarkEnd w:id="220"/>
      <w:bookmarkStart w:id="221" w:name="_Toc184312068"/>
      <w:bookmarkEnd w:id="221"/>
      <w:bookmarkStart w:id="222" w:name="_Toc184308100"/>
      <w:bookmarkEnd w:id="222"/>
      <w:bookmarkStart w:id="223" w:name="_Toc184314428"/>
      <w:bookmarkEnd w:id="223"/>
      <w:bookmarkStart w:id="224" w:name="_Toc184313296"/>
      <w:bookmarkEnd w:id="224"/>
      <w:bookmarkStart w:id="225" w:name="_Toc184312101"/>
      <w:bookmarkEnd w:id="225"/>
      <w:bookmarkStart w:id="226" w:name="_Toc184314471"/>
      <w:bookmarkEnd w:id="226"/>
      <w:bookmarkStart w:id="227" w:name="_Toc184313299"/>
      <w:bookmarkEnd w:id="227"/>
      <w:bookmarkStart w:id="228" w:name="_Toc184313309"/>
      <w:bookmarkEnd w:id="228"/>
      <w:bookmarkStart w:id="229" w:name="_Toc184310341"/>
      <w:bookmarkEnd w:id="229"/>
      <w:bookmarkStart w:id="230" w:name="_Toc184308038"/>
      <w:bookmarkEnd w:id="230"/>
      <w:bookmarkStart w:id="231" w:name="_Toc184313277"/>
      <w:bookmarkEnd w:id="231"/>
      <w:bookmarkStart w:id="232" w:name="_Toc184314477"/>
      <w:bookmarkEnd w:id="232"/>
      <w:bookmarkStart w:id="233" w:name="_Toc184314443"/>
      <w:bookmarkEnd w:id="233"/>
      <w:bookmarkStart w:id="234" w:name="_Toc184313261"/>
      <w:bookmarkEnd w:id="234"/>
      <w:bookmarkStart w:id="235" w:name="_Toc184314465"/>
      <w:bookmarkEnd w:id="235"/>
      <w:bookmarkStart w:id="236" w:name="_Toc184313272"/>
      <w:bookmarkEnd w:id="236"/>
      <w:bookmarkStart w:id="237" w:name="_Toc184312086"/>
      <w:bookmarkEnd w:id="237"/>
      <w:bookmarkStart w:id="238" w:name="_Toc184312081"/>
      <w:bookmarkEnd w:id="238"/>
      <w:bookmarkStart w:id="239" w:name="_Toc184308040"/>
      <w:bookmarkEnd w:id="239"/>
      <w:bookmarkStart w:id="240" w:name="_Toc184313275"/>
      <w:bookmarkEnd w:id="240"/>
      <w:bookmarkStart w:id="241" w:name="_Toc184312070"/>
      <w:bookmarkEnd w:id="241"/>
      <w:bookmarkStart w:id="242" w:name="_Toc184308061"/>
      <w:bookmarkEnd w:id="242"/>
      <w:bookmarkStart w:id="243" w:name="_Toc184310306"/>
      <w:bookmarkEnd w:id="243"/>
      <w:bookmarkStart w:id="244" w:name="_Toc184313280"/>
      <w:bookmarkEnd w:id="244"/>
      <w:bookmarkStart w:id="245" w:name="_Toc184308094"/>
      <w:bookmarkEnd w:id="245"/>
      <w:bookmarkStart w:id="246" w:name="_Toc184308056"/>
      <w:bookmarkEnd w:id="246"/>
      <w:bookmarkStart w:id="247" w:name="_Toc184312118"/>
      <w:bookmarkEnd w:id="247"/>
      <w:bookmarkStart w:id="248" w:name="_Toc184308067"/>
      <w:bookmarkEnd w:id="248"/>
      <w:bookmarkStart w:id="249" w:name="_Toc184314422"/>
      <w:bookmarkEnd w:id="249"/>
      <w:bookmarkStart w:id="250" w:name="_Toc184313294"/>
      <w:bookmarkEnd w:id="250"/>
      <w:bookmarkStart w:id="251" w:name="_Toc184310321"/>
      <w:bookmarkEnd w:id="251"/>
      <w:bookmarkStart w:id="252" w:name="_Toc184314462"/>
      <w:bookmarkEnd w:id="252"/>
      <w:bookmarkStart w:id="253" w:name="_Toc184308068"/>
      <w:bookmarkEnd w:id="253"/>
      <w:bookmarkStart w:id="254" w:name="_Toc184308048"/>
      <w:bookmarkEnd w:id="254"/>
      <w:bookmarkStart w:id="255" w:name="_Toc184313305"/>
      <w:bookmarkEnd w:id="255"/>
      <w:bookmarkStart w:id="256" w:name="_Toc184314419"/>
      <w:bookmarkEnd w:id="256"/>
      <w:bookmarkStart w:id="257" w:name="_Toc184310278"/>
      <w:bookmarkEnd w:id="257"/>
      <w:bookmarkStart w:id="258" w:name="_Toc184312093"/>
      <w:bookmarkEnd w:id="258"/>
      <w:bookmarkStart w:id="259" w:name="_Toc184313248"/>
      <w:bookmarkEnd w:id="259"/>
      <w:bookmarkStart w:id="260" w:name="_Toc184312095"/>
      <w:bookmarkEnd w:id="260"/>
      <w:bookmarkStart w:id="261" w:name="_Toc184314426"/>
      <w:bookmarkEnd w:id="261"/>
      <w:bookmarkStart w:id="262" w:name="_Toc184310282"/>
      <w:bookmarkEnd w:id="262"/>
      <w:bookmarkStart w:id="263" w:name="_Toc184314479"/>
      <w:bookmarkEnd w:id="263"/>
      <w:bookmarkStart w:id="264" w:name="_Toc184310315"/>
      <w:bookmarkEnd w:id="264"/>
      <w:bookmarkStart w:id="265" w:name="_Toc184314455"/>
      <w:bookmarkEnd w:id="265"/>
      <w:bookmarkStart w:id="266" w:name="_Toc184312098"/>
      <w:bookmarkEnd w:id="266"/>
      <w:bookmarkStart w:id="267" w:name="_Toc184312099"/>
      <w:bookmarkEnd w:id="267"/>
      <w:bookmarkStart w:id="268" w:name="_Toc184308045"/>
      <w:bookmarkEnd w:id="268"/>
      <w:bookmarkStart w:id="269" w:name="_Toc184312109"/>
      <w:bookmarkEnd w:id="269"/>
      <w:bookmarkStart w:id="270" w:name="_Toc184313259"/>
      <w:bookmarkEnd w:id="270"/>
      <w:bookmarkStart w:id="271" w:name="_Toc184312073"/>
      <w:bookmarkEnd w:id="271"/>
      <w:bookmarkStart w:id="272" w:name="_Toc184313240"/>
      <w:bookmarkEnd w:id="272"/>
      <w:bookmarkStart w:id="273" w:name="_Toc184313263"/>
      <w:bookmarkEnd w:id="273"/>
      <w:bookmarkStart w:id="274" w:name="_Toc184313246"/>
      <w:bookmarkEnd w:id="274"/>
      <w:bookmarkStart w:id="275" w:name="_Toc184310316"/>
      <w:bookmarkEnd w:id="275"/>
      <w:bookmarkStart w:id="276" w:name="_Toc184314436"/>
      <w:bookmarkEnd w:id="276"/>
      <w:bookmarkStart w:id="277" w:name="_Toc184308037"/>
      <w:bookmarkEnd w:id="277"/>
      <w:bookmarkStart w:id="278" w:name="_Toc184310329"/>
      <w:bookmarkEnd w:id="278"/>
      <w:bookmarkStart w:id="279" w:name="_Toc184308077"/>
      <w:bookmarkEnd w:id="279"/>
      <w:bookmarkStart w:id="280" w:name="_Toc184312075"/>
      <w:bookmarkEnd w:id="280"/>
      <w:bookmarkStart w:id="281" w:name="_Toc184313245"/>
      <w:bookmarkEnd w:id="281"/>
      <w:bookmarkStart w:id="282" w:name="_Toc184314473"/>
      <w:bookmarkEnd w:id="282"/>
      <w:bookmarkStart w:id="283" w:name="_Toc184314440"/>
      <w:bookmarkEnd w:id="283"/>
      <w:bookmarkStart w:id="284" w:name="_Toc184310337"/>
      <w:bookmarkEnd w:id="284"/>
      <w:bookmarkStart w:id="285" w:name="_Toc184310335"/>
      <w:bookmarkEnd w:id="285"/>
      <w:bookmarkStart w:id="286" w:name="_Toc184314427"/>
      <w:bookmarkEnd w:id="286"/>
      <w:bookmarkStart w:id="287" w:name="_Toc184313302"/>
      <w:bookmarkEnd w:id="287"/>
      <w:bookmarkStart w:id="288" w:name="_Toc184312102"/>
      <w:bookmarkEnd w:id="288"/>
      <w:bookmarkStart w:id="289" w:name="_Toc184308107"/>
      <w:bookmarkEnd w:id="289"/>
      <w:bookmarkStart w:id="290" w:name="_Toc184314475"/>
      <w:bookmarkEnd w:id="290"/>
      <w:bookmarkStart w:id="291" w:name="_Toc184308087"/>
      <w:bookmarkEnd w:id="291"/>
      <w:bookmarkStart w:id="292" w:name="_Toc184310286"/>
      <w:bookmarkEnd w:id="292"/>
      <w:bookmarkStart w:id="293" w:name="_Toc184310327"/>
      <w:bookmarkEnd w:id="293"/>
      <w:bookmarkStart w:id="294" w:name="_Toc184310320"/>
      <w:bookmarkEnd w:id="294"/>
      <w:bookmarkStart w:id="295" w:name="_Toc184310276"/>
      <w:bookmarkEnd w:id="295"/>
      <w:bookmarkStart w:id="296" w:name="_Toc184312077"/>
      <w:bookmarkEnd w:id="296"/>
      <w:bookmarkStart w:id="297" w:name="_Toc184308039"/>
      <w:bookmarkEnd w:id="297"/>
      <w:bookmarkStart w:id="298" w:name="_Toc184313253"/>
      <w:bookmarkEnd w:id="298"/>
      <w:bookmarkStart w:id="299" w:name="_Toc184308102"/>
      <w:bookmarkEnd w:id="299"/>
      <w:bookmarkStart w:id="300" w:name="_Toc184314459"/>
      <w:bookmarkEnd w:id="300"/>
      <w:bookmarkStart w:id="301" w:name="_Toc184310309"/>
      <w:bookmarkEnd w:id="301"/>
      <w:bookmarkStart w:id="302" w:name="_Toc184313260"/>
      <w:bookmarkEnd w:id="302"/>
      <w:bookmarkStart w:id="303" w:name="_Toc184310296"/>
      <w:bookmarkEnd w:id="303"/>
      <w:bookmarkStart w:id="304" w:name="_Toc184313304"/>
      <w:bookmarkEnd w:id="304"/>
      <w:bookmarkStart w:id="305" w:name="_Toc184314452"/>
      <w:bookmarkEnd w:id="305"/>
      <w:bookmarkStart w:id="306" w:name="_Toc184312079"/>
      <w:bookmarkEnd w:id="306"/>
      <w:bookmarkStart w:id="307" w:name="_Toc184314454"/>
      <w:bookmarkEnd w:id="307"/>
      <w:bookmarkStart w:id="308" w:name="_Toc184313266"/>
      <w:bookmarkEnd w:id="308"/>
      <w:bookmarkStart w:id="309" w:name="_Toc184308047"/>
      <w:bookmarkEnd w:id="309"/>
      <w:bookmarkStart w:id="310" w:name="_Toc184314447"/>
      <w:bookmarkEnd w:id="310"/>
      <w:bookmarkStart w:id="311" w:name="_Toc184308058"/>
      <w:bookmarkEnd w:id="311"/>
      <w:bookmarkStart w:id="312" w:name="_Toc184313301"/>
      <w:bookmarkEnd w:id="312"/>
      <w:bookmarkStart w:id="313" w:name="_Toc184310293"/>
      <w:bookmarkEnd w:id="313"/>
      <w:bookmarkStart w:id="314" w:name="_Toc184310298"/>
      <w:bookmarkEnd w:id="314"/>
      <w:bookmarkStart w:id="315" w:name="_Toc184310288"/>
      <w:bookmarkEnd w:id="315"/>
      <w:bookmarkStart w:id="316" w:name="_Toc184308036"/>
      <w:bookmarkEnd w:id="316"/>
      <w:bookmarkStart w:id="317" w:name="_Toc184308052"/>
      <w:bookmarkEnd w:id="317"/>
      <w:bookmarkStart w:id="318" w:name="_Toc184313251"/>
      <w:bookmarkEnd w:id="318"/>
      <w:bookmarkStart w:id="319" w:name="_Toc184310318"/>
      <w:bookmarkEnd w:id="319"/>
      <w:bookmarkStart w:id="320" w:name="_Toc184313306"/>
      <w:bookmarkEnd w:id="320"/>
      <w:bookmarkStart w:id="321" w:name="_Toc184314448"/>
      <w:bookmarkEnd w:id="321"/>
      <w:bookmarkStart w:id="322" w:name="_Toc184313269"/>
      <w:bookmarkEnd w:id="322"/>
      <w:bookmarkStart w:id="323" w:name="_Toc184312134"/>
      <w:bookmarkEnd w:id="323"/>
      <w:bookmarkStart w:id="324" w:name="_Toc184313249"/>
      <w:bookmarkEnd w:id="324"/>
      <w:bookmarkStart w:id="325" w:name="_Toc184312069"/>
      <w:bookmarkEnd w:id="325"/>
      <w:bookmarkStart w:id="326" w:name="_Toc184308089"/>
      <w:bookmarkEnd w:id="326"/>
      <w:bookmarkStart w:id="327" w:name="_Toc184312131"/>
      <w:bookmarkEnd w:id="327"/>
      <w:bookmarkStart w:id="328" w:name="_Toc184312122"/>
      <w:bookmarkEnd w:id="328"/>
      <w:bookmarkStart w:id="329" w:name="_Toc184312114"/>
      <w:bookmarkEnd w:id="329"/>
      <w:bookmarkStart w:id="330" w:name="_Toc184312067"/>
      <w:bookmarkEnd w:id="330"/>
      <w:bookmarkStart w:id="331" w:name="_Toc184310300"/>
      <w:bookmarkEnd w:id="331"/>
      <w:bookmarkStart w:id="332" w:name="_Toc184313255"/>
      <w:bookmarkEnd w:id="332"/>
      <w:bookmarkStart w:id="333" w:name="_Toc184310332"/>
      <w:bookmarkEnd w:id="333"/>
      <w:bookmarkStart w:id="334" w:name="_Toc184313274"/>
      <w:bookmarkEnd w:id="334"/>
      <w:bookmarkStart w:id="335" w:name="_Toc184313288"/>
      <w:bookmarkEnd w:id="335"/>
      <w:bookmarkStart w:id="336" w:name="_Toc184313293"/>
      <w:bookmarkEnd w:id="336"/>
      <w:bookmarkStart w:id="337" w:name="_Toc184313247"/>
      <w:bookmarkEnd w:id="337"/>
      <w:bookmarkStart w:id="338" w:name="_Toc184312097"/>
      <w:bookmarkEnd w:id="338"/>
      <w:bookmarkStart w:id="339" w:name="_Toc184310289"/>
      <w:bookmarkEnd w:id="339"/>
      <w:bookmarkStart w:id="340" w:name="_Toc184314476"/>
      <w:bookmarkEnd w:id="340"/>
      <w:bookmarkStart w:id="341" w:name="_Toc184313241"/>
      <w:bookmarkEnd w:id="341"/>
      <w:bookmarkStart w:id="342" w:name="_Toc184314470"/>
      <w:bookmarkEnd w:id="342"/>
      <w:bookmarkStart w:id="343" w:name="_Toc184312136"/>
      <w:bookmarkEnd w:id="343"/>
      <w:bookmarkStart w:id="344" w:name="_Toc184314415"/>
      <w:bookmarkEnd w:id="344"/>
      <w:bookmarkStart w:id="345" w:name="_Toc184314410"/>
      <w:bookmarkEnd w:id="345"/>
      <w:bookmarkStart w:id="346" w:name="_Toc184312119"/>
      <w:bookmarkEnd w:id="346"/>
      <w:bookmarkStart w:id="347" w:name="_Toc184310326"/>
      <w:bookmarkEnd w:id="347"/>
      <w:bookmarkStart w:id="348" w:name="_Toc184312091"/>
      <w:bookmarkEnd w:id="348"/>
      <w:bookmarkStart w:id="349" w:name="_Toc184312112"/>
      <w:bookmarkEnd w:id="349"/>
      <w:bookmarkStart w:id="350" w:name="_Toc184314412"/>
      <w:bookmarkEnd w:id="350"/>
      <w:bookmarkStart w:id="351" w:name="_Toc184313303"/>
      <w:bookmarkEnd w:id="351"/>
      <w:bookmarkStart w:id="352" w:name="_Toc184313300"/>
      <w:bookmarkEnd w:id="352"/>
      <w:bookmarkStart w:id="353" w:name="_Toc184310338"/>
      <w:bookmarkEnd w:id="353"/>
      <w:bookmarkStart w:id="354" w:name="_Toc184310275"/>
      <w:bookmarkEnd w:id="354"/>
      <w:bookmarkStart w:id="355" w:name="_Toc184313268"/>
      <w:bookmarkEnd w:id="355"/>
      <w:bookmarkStart w:id="356" w:name="_Toc184310281"/>
      <w:bookmarkEnd w:id="356"/>
      <w:bookmarkStart w:id="357" w:name="_Toc184313295"/>
      <w:bookmarkEnd w:id="357"/>
      <w:bookmarkStart w:id="358" w:name="_Toc184312135"/>
      <w:bookmarkEnd w:id="358"/>
      <w:bookmarkStart w:id="359" w:name="_Toc184310291"/>
      <w:bookmarkEnd w:id="359"/>
      <w:bookmarkStart w:id="360" w:name="_Toc184310308"/>
      <w:bookmarkEnd w:id="360"/>
      <w:bookmarkStart w:id="361" w:name="_Toc184308104"/>
      <w:bookmarkEnd w:id="361"/>
      <w:bookmarkStart w:id="362" w:name="_Toc184310307"/>
      <w:bookmarkEnd w:id="362"/>
      <w:bookmarkStart w:id="363" w:name="_Toc184308051"/>
      <w:bookmarkEnd w:id="363"/>
      <w:bookmarkStart w:id="364" w:name="_Toc184314432"/>
      <w:bookmarkEnd w:id="364"/>
      <w:bookmarkStart w:id="365" w:name="_Toc184312105"/>
      <w:bookmarkEnd w:id="365"/>
      <w:bookmarkStart w:id="366" w:name="_Toc184308071"/>
      <w:bookmarkEnd w:id="366"/>
      <w:bookmarkStart w:id="367" w:name="_Toc184310303"/>
      <w:bookmarkEnd w:id="367"/>
      <w:bookmarkStart w:id="368" w:name="_Toc184312138"/>
      <w:bookmarkEnd w:id="368"/>
      <w:bookmarkStart w:id="369" w:name="_Toc184310343"/>
      <w:bookmarkEnd w:id="369"/>
      <w:bookmarkStart w:id="370" w:name="_Toc184308106"/>
      <w:bookmarkEnd w:id="370"/>
      <w:bookmarkStart w:id="371" w:name="_Toc184314466"/>
      <w:bookmarkEnd w:id="371"/>
      <w:bookmarkStart w:id="372" w:name="_Toc184312083"/>
      <w:bookmarkEnd w:id="372"/>
      <w:bookmarkStart w:id="373" w:name="_Toc184308099"/>
      <w:bookmarkEnd w:id="373"/>
      <w:bookmarkStart w:id="374" w:name="_Toc184310340"/>
      <w:bookmarkEnd w:id="374"/>
      <w:bookmarkStart w:id="375" w:name="_Toc184312113"/>
      <w:bookmarkEnd w:id="375"/>
      <w:bookmarkStart w:id="376" w:name="_Toc184313273"/>
      <w:bookmarkEnd w:id="376"/>
      <w:bookmarkStart w:id="377" w:name="_Toc184310334"/>
      <w:bookmarkEnd w:id="377"/>
      <w:bookmarkStart w:id="378" w:name="_Toc184314469"/>
      <w:bookmarkEnd w:id="378"/>
      <w:bookmarkStart w:id="379" w:name="_Toc184310310"/>
      <w:bookmarkEnd w:id="379"/>
      <w:bookmarkStart w:id="380" w:name="_Toc184310317"/>
      <w:bookmarkEnd w:id="380"/>
      <w:bookmarkStart w:id="381" w:name="_Toc184312071"/>
      <w:bookmarkEnd w:id="381"/>
      <w:bookmarkStart w:id="382" w:name="_Toc184313270"/>
      <w:bookmarkEnd w:id="382"/>
      <w:bookmarkStart w:id="383" w:name="_Toc184308108"/>
      <w:bookmarkEnd w:id="383"/>
      <w:bookmarkStart w:id="384" w:name="_Toc184314416"/>
      <w:bookmarkEnd w:id="384"/>
      <w:bookmarkStart w:id="385" w:name="_Toc184314425"/>
      <w:bookmarkEnd w:id="385"/>
      <w:bookmarkStart w:id="386" w:name="_Toc184308074"/>
      <w:bookmarkEnd w:id="386"/>
      <w:bookmarkStart w:id="387" w:name="_Toc184310290"/>
      <w:bookmarkEnd w:id="387"/>
      <w:bookmarkStart w:id="388" w:name="_Toc184313285"/>
      <w:bookmarkEnd w:id="388"/>
      <w:bookmarkStart w:id="389" w:name="_Toc184312108"/>
      <w:bookmarkEnd w:id="389"/>
      <w:bookmarkStart w:id="390" w:name="_Toc184312084"/>
      <w:bookmarkEnd w:id="390"/>
      <w:bookmarkStart w:id="391" w:name="_Toc184308044"/>
      <w:bookmarkEnd w:id="391"/>
      <w:bookmarkStart w:id="392" w:name="_Toc184314474"/>
      <w:bookmarkEnd w:id="392"/>
      <w:bookmarkStart w:id="393" w:name="_Toc184310324"/>
      <w:bookmarkEnd w:id="393"/>
      <w:bookmarkStart w:id="394" w:name="_Toc184308059"/>
      <w:bookmarkEnd w:id="394"/>
      <w:bookmarkStart w:id="395" w:name="_Toc184308079"/>
      <w:bookmarkEnd w:id="395"/>
      <w:bookmarkStart w:id="396" w:name="_Toc184313238"/>
      <w:bookmarkEnd w:id="396"/>
      <w:r>
        <w:rPr>
          <w:rFonts w:hint="eastAsia" w:ascii="宋体" w:hAnsi="宋体" w:cs="宋体"/>
          <w:b/>
          <w:color w:val="auto"/>
          <w:sz w:val="36"/>
          <w:szCs w:val="36"/>
          <w:highlight w:val="none"/>
        </w:rPr>
        <w:t>评标办法</w:t>
      </w:r>
    </w:p>
    <w:p w14:paraId="07C8E778">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评标办法前附表</w:t>
      </w:r>
    </w:p>
    <w:tbl>
      <w:tblPr>
        <w:tblStyle w:val="62"/>
        <w:tblW w:w="9760" w:type="dxa"/>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6175"/>
        <w:gridCol w:w="775"/>
        <w:gridCol w:w="914"/>
        <w:gridCol w:w="1228"/>
      </w:tblGrid>
      <w:tr w14:paraId="3841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trPr>
        <w:tc>
          <w:tcPr>
            <w:tcW w:w="668" w:type="dxa"/>
            <w:tcBorders>
              <w:top w:val="single" w:color="auto" w:sz="4" w:space="0"/>
              <w:left w:val="single" w:color="auto" w:sz="4" w:space="0"/>
              <w:bottom w:val="single" w:color="auto" w:sz="4" w:space="0"/>
              <w:right w:val="single" w:color="auto" w:sz="4" w:space="0"/>
            </w:tcBorders>
            <w:vAlign w:val="center"/>
          </w:tcPr>
          <w:p w14:paraId="60E83969">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序号</w:t>
            </w:r>
          </w:p>
        </w:tc>
        <w:tc>
          <w:tcPr>
            <w:tcW w:w="6175" w:type="dxa"/>
            <w:tcBorders>
              <w:top w:val="single" w:color="auto" w:sz="4" w:space="0"/>
              <w:left w:val="single" w:color="auto" w:sz="4" w:space="0"/>
              <w:bottom w:val="single" w:color="auto" w:sz="4" w:space="0"/>
              <w:right w:val="single" w:color="auto" w:sz="4" w:space="0"/>
            </w:tcBorders>
            <w:vAlign w:val="center"/>
          </w:tcPr>
          <w:p w14:paraId="11F1AE85">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评标标准</w:t>
            </w:r>
          </w:p>
        </w:tc>
        <w:tc>
          <w:tcPr>
            <w:tcW w:w="775" w:type="dxa"/>
            <w:tcBorders>
              <w:top w:val="single" w:color="auto" w:sz="4" w:space="0"/>
              <w:left w:val="single" w:color="auto" w:sz="4" w:space="0"/>
              <w:bottom w:val="single" w:color="auto" w:sz="4" w:space="0"/>
              <w:right w:val="single" w:color="auto" w:sz="4" w:space="0"/>
            </w:tcBorders>
            <w:vAlign w:val="center"/>
          </w:tcPr>
          <w:p w14:paraId="5F07A53F">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最高分值</w:t>
            </w:r>
          </w:p>
        </w:tc>
        <w:tc>
          <w:tcPr>
            <w:tcW w:w="914" w:type="dxa"/>
            <w:tcBorders>
              <w:top w:val="single" w:color="auto" w:sz="4" w:space="0"/>
              <w:left w:val="single" w:color="auto" w:sz="4" w:space="0"/>
              <w:bottom w:val="single" w:color="auto" w:sz="4" w:space="0"/>
              <w:right w:val="single" w:color="auto" w:sz="4" w:space="0"/>
            </w:tcBorders>
            <w:vAlign w:val="center"/>
          </w:tcPr>
          <w:p w14:paraId="7F136D6F">
            <w:pPr>
              <w:pageBreakBefore w:val="0"/>
              <w:wordWrap/>
              <w:overflowPunct/>
              <w:topLinePunct w:val="0"/>
              <w:bidi w:val="0"/>
              <w:adjustRightInd w:val="0"/>
              <w:snapToGrid w:val="0"/>
              <w:spacing w:line="360" w:lineRule="auto"/>
              <w:jc w:val="center"/>
              <w:rPr>
                <w:rFonts w:hint="eastAsia" w:ascii="新宋体" w:hAnsi="新宋体" w:eastAsia="新宋体" w:cs="新宋体"/>
                <w:bCs/>
                <w:color w:val="auto"/>
                <w:szCs w:val="21"/>
                <w:highlight w:val="none"/>
              </w:rPr>
            </w:pPr>
            <w:r>
              <w:rPr>
                <w:rFonts w:hint="eastAsia" w:ascii="新宋体" w:hAnsi="新宋体" w:eastAsia="新宋体" w:cs="新宋体"/>
                <w:bCs/>
                <w:color w:val="auto"/>
                <w:szCs w:val="21"/>
                <w:highlight w:val="none"/>
              </w:rPr>
              <w:t>主观分/客观分属性</w:t>
            </w:r>
          </w:p>
        </w:tc>
        <w:tc>
          <w:tcPr>
            <w:tcW w:w="1228" w:type="dxa"/>
            <w:tcBorders>
              <w:top w:val="single" w:color="auto" w:sz="4" w:space="0"/>
              <w:left w:val="single" w:color="auto" w:sz="4" w:space="0"/>
              <w:bottom w:val="single" w:color="auto" w:sz="4" w:space="0"/>
              <w:right w:val="single" w:color="auto" w:sz="4" w:space="0"/>
            </w:tcBorders>
            <w:vAlign w:val="top"/>
          </w:tcPr>
          <w:p w14:paraId="52E8A5A5">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bCs/>
                <w:color w:val="auto"/>
                <w:szCs w:val="21"/>
                <w:highlight w:val="none"/>
              </w:rPr>
              <w:t>投标文件中评标标准相应的商务技术资料目录*</w:t>
            </w:r>
          </w:p>
        </w:tc>
      </w:tr>
      <w:tr w14:paraId="37E2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668" w:type="dxa"/>
            <w:vMerge w:val="restart"/>
            <w:tcBorders>
              <w:top w:val="single" w:color="auto" w:sz="4" w:space="0"/>
              <w:left w:val="single" w:color="auto" w:sz="4" w:space="0"/>
              <w:right w:val="single" w:color="auto" w:sz="4" w:space="0"/>
            </w:tcBorders>
            <w:vAlign w:val="center"/>
          </w:tcPr>
          <w:p w14:paraId="722C60B2">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1</w:t>
            </w:r>
          </w:p>
        </w:tc>
        <w:tc>
          <w:tcPr>
            <w:tcW w:w="6175" w:type="dxa"/>
            <w:tcBorders>
              <w:top w:val="single" w:color="auto" w:sz="4" w:space="0"/>
              <w:left w:val="single" w:color="auto" w:sz="4" w:space="0"/>
              <w:bottom w:val="single" w:color="auto" w:sz="4" w:space="0"/>
              <w:right w:val="single" w:color="auto" w:sz="4" w:space="0"/>
            </w:tcBorders>
            <w:vAlign w:val="top"/>
          </w:tcPr>
          <w:p w14:paraId="4AEBBD45">
            <w:pPr>
              <w:snapToGrid w:val="0"/>
              <w:spacing w:line="360" w:lineRule="auto"/>
              <w:jc w:val="left"/>
              <w:rPr>
                <w:rFonts w:ascii="宋体" w:hAnsi="宋体" w:cs="仿宋"/>
                <w:b/>
                <w:bCs/>
                <w:color w:val="auto"/>
                <w:kern w:val="0"/>
                <w:szCs w:val="21"/>
                <w:highlight w:val="none"/>
              </w:rPr>
            </w:pPr>
            <w:r>
              <w:rPr>
                <w:rFonts w:hint="eastAsia" w:ascii="宋体" w:hAnsi="宋体" w:cs="仿宋"/>
                <w:b/>
                <w:bCs/>
                <w:color w:val="auto"/>
                <w:kern w:val="0"/>
                <w:szCs w:val="21"/>
                <w:highlight w:val="none"/>
              </w:rPr>
              <w:t>样品评分：</w:t>
            </w:r>
          </w:p>
          <w:p w14:paraId="17D97706">
            <w:pPr>
              <w:snapToGrid w:val="0"/>
              <w:spacing w:line="360" w:lineRule="auto"/>
              <w:jc w:val="left"/>
              <w:rPr>
                <w:rFonts w:ascii="宋体" w:hAnsi="宋体" w:cs="仿宋"/>
                <w:b/>
                <w:bCs/>
                <w:color w:val="auto"/>
                <w:kern w:val="0"/>
                <w:szCs w:val="21"/>
                <w:highlight w:val="none"/>
              </w:rPr>
            </w:pPr>
            <w:r>
              <w:rPr>
                <w:rFonts w:hint="eastAsia" w:ascii="宋体" w:hAnsi="宋体" w:cs="仿宋"/>
                <w:b/>
                <w:bCs/>
                <w:color w:val="auto"/>
                <w:kern w:val="0"/>
                <w:szCs w:val="21"/>
                <w:highlight w:val="none"/>
              </w:rPr>
              <w:t>一、产品主要尺寸、形状及位置公差（3分）：每偏离一个参数指标扣1分，扣完为止。采购人有明确要求且明示的产品尺寸，(测量工具：0～3m钢卷尺，精度1mm)；</w:t>
            </w:r>
          </w:p>
          <w:p w14:paraId="38AC43A7">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1.团员活动桌（</w:t>
            </w:r>
            <w:r>
              <w:rPr>
                <w:rFonts w:hint="eastAsia" w:ascii="宋体" w:hAnsi="宋体" w:cs="宋体"/>
                <w:color w:val="auto"/>
                <w:szCs w:val="21"/>
                <w:highlight w:val="none"/>
                <w:lang w:val="en-US" w:eastAsia="zh-CN"/>
              </w:rPr>
              <w:t>序号30</w:t>
            </w:r>
            <w:r>
              <w:rPr>
                <w:rFonts w:hint="eastAsia" w:ascii="宋体" w:hAnsi="宋体" w:cs="宋体"/>
                <w:color w:val="auto"/>
                <w:szCs w:val="21"/>
                <w:highlight w:val="none"/>
              </w:rPr>
              <w:t>）（单位：mm）</w:t>
            </w:r>
          </w:p>
          <w:p w14:paraId="30936B4A">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1.1整体尺寸</w:t>
            </w:r>
            <w:r>
              <w:rPr>
                <w:rFonts w:hint="eastAsia" w:ascii="宋体" w:hAnsi="宋体" w:cs="宋体"/>
                <w:color w:val="auto"/>
                <w:szCs w:val="21"/>
                <w:highlight w:val="none"/>
                <w:lang w:val="en-US" w:eastAsia="zh-CN"/>
              </w:rPr>
              <w:t>W</w:t>
            </w:r>
            <w:r>
              <w:rPr>
                <w:rFonts w:hint="eastAsia" w:ascii="宋体" w:hAnsi="宋体" w:cs="宋体"/>
                <w:color w:val="auto"/>
                <w:szCs w:val="21"/>
                <w:highlight w:val="none"/>
              </w:rPr>
              <w:t>1500*</w:t>
            </w:r>
            <w:r>
              <w:rPr>
                <w:rFonts w:hint="eastAsia" w:ascii="宋体" w:hAnsi="宋体" w:cs="宋体"/>
                <w:color w:val="auto"/>
                <w:szCs w:val="21"/>
                <w:highlight w:val="none"/>
                <w:lang w:val="en-US" w:eastAsia="zh-CN"/>
              </w:rPr>
              <w:t>D</w:t>
            </w:r>
            <w:r>
              <w:rPr>
                <w:rFonts w:hint="eastAsia" w:ascii="宋体" w:hAnsi="宋体" w:cs="宋体"/>
                <w:color w:val="auto"/>
                <w:szCs w:val="21"/>
                <w:highlight w:val="none"/>
              </w:rPr>
              <w:t>600*</w:t>
            </w:r>
            <w:r>
              <w:rPr>
                <w:rFonts w:hint="eastAsia" w:ascii="宋体" w:hAnsi="宋体" w:cs="宋体"/>
                <w:color w:val="auto"/>
                <w:szCs w:val="21"/>
                <w:highlight w:val="none"/>
                <w:lang w:val="en-US" w:eastAsia="zh-CN"/>
              </w:rPr>
              <w:t>H</w:t>
            </w:r>
            <w:r>
              <w:rPr>
                <w:rFonts w:hint="eastAsia" w:ascii="宋体" w:hAnsi="宋体" w:cs="宋体"/>
                <w:color w:val="auto"/>
                <w:szCs w:val="21"/>
                <w:highlight w:val="none"/>
              </w:rPr>
              <w:t>745</w:t>
            </w:r>
            <w:r>
              <w:rPr>
                <w:rFonts w:hint="eastAsia" w:ascii="宋体" w:hAnsi="宋体" w:cs="宋体"/>
                <w:color w:val="auto"/>
                <w:szCs w:val="21"/>
                <w:highlight w:val="none"/>
                <w:lang w:eastAsia="zh-CN"/>
              </w:rPr>
              <w:t>，</w:t>
            </w:r>
            <w:r>
              <w:rPr>
                <w:rFonts w:hint="eastAsia" w:ascii="宋体" w:hAnsi="宋体" w:cs="仿宋"/>
                <w:b/>
                <w:bCs/>
                <w:color w:val="auto"/>
                <w:kern w:val="0"/>
                <w:szCs w:val="21"/>
                <w:highlight w:val="none"/>
              </w:rPr>
              <w:t>偏差控制在±10mm以内</w:t>
            </w:r>
            <w:r>
              <w:rPr>
                <w:rFonts w:hint="eastAsia" w:ascii="宋体" w:hAnsi="宋体" w:cs="仿宋"/>
                <w:b/>
                <w:bCs/>
                <w:color w:val="auto"/>
                <w:kern w:val="0"/>
                <w:szCs w:val="21"/>
                <w:highlight w:val="none"/>
                <w:lang w:eastAsia="zh-CN"/>
              </w:rPr>
              <w:t>；</w:t>
            </w:r>
            <w:r>
              <w:rPr>
                <w:rFonts w:hint="eastAsia" w:ascii="宋体" w:hAnsi="宋体" w:cs="宋体"/>
                <w:color w:val="auto"/>
                <w:szCs w:val="21"/>
                <w:highlight w:val="none"/>
              </w:rPr>
              <w:t xml:space="preserve">                     </w:t>
            </w:r>
          </w:p>
          <w:p w14:paraId="657CEDAF">
            <w:pPr>
              <w:snapToGrid w:val="0"/>
              <w:spacing w:beforeLines="0" w:afterLines="0"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000000"/>
                <w:kern w:val="0"/>
                <w:sz w:val="21"/>
                <w:szCs w:val="21"/>
                <w:highlight w:val="none"/>
                <w:lang w:bidi="ar"/>
              </w:rPr>
              <w:t>会议接待椅（5）</w:t>
            </w:r>
            <w:r>
              <w:rPr>
                <w:rFonts w:hint="eastAsia" w:ascii="宋体" w:hAnsi="宋体" w:eastAsia="宋体" w:cs="宋体"/>
                <w:color w:val="auto"/>
                <w:sz w:val="21"/>
                <w:szCs w:val="21"/>
                <w:highlight w:val="none"/>
              </w:rPr>
              <w:t>（序号19）（单位：mm）</w:t>
            </w:r>
          </w:p>
          <w:p w14:paraId="2FDC027F">
            <w:pPr>
              <w:snapToGrid w:val="0"/>
              <w:spacing w:beforeLines="0" w:afterLines="0" w:line="360" w:lineRule="auto"/>
              <w:jc w:val="left"/>
              <w:rPr>
                <w:rFonts w:hint="eastAsia"/>
                <w:color w:val="auto"/>
                <w:sz w:val="21"/>
                <w:szCs w:val="24"/>
                <w:highlight w:val="none"/>
              </w:rPr>
            </w:pPr>
            <w:r>
              <w:rPr>
                <w:rFonts w:hint="eastAsia" w:ascii="宋体" w:hAnsi="宋体" w:eastAsia="宋体" w:cs="宋体"/>
                <w:color w:val="auto"/>
                <w:sz w:val="21"/>
                <w:szCs w:val="21"/>
                <w:highlight w:val="none"/>
              </w:rPr>
              <w:t>2.1整体尺寸：W690*D740*H985，</w:t>
            </w:r>
            <w:r>
              <w:rPr>
                <w:rFonts w:hint="eastAsia" w:ascii="宋体" w:hAnsi="宋体" w:eastAsia="宋体" w:cs="宋体"/>
                <w:b/>
                <w:bCs/>
                <w:color w:val="auto"/>
                <w:sz w:val="21"/>
                <w:szCs w:val="21"/>
                <w:highlight w:val="none"/>
              </w:rPr>
              <w:t>偏差控制在±10mm以内；</w:t>
            </w:r>
            <w:r>
              <w:rPr>
                <w:rFonts w:hint="eastAsia" w:ascii="宋体" w:hAnsi="宋体" w:eastAsia="宋体" w:cs="宋体"/>
                <w:color w:val="auto"/>
                <w:sz w:val="21"/>
                <w:szCs w:val="21"/>
                <w:highlight w:val="none"/>
              </w:rPr>
              <w:t>（宽度尺寸为椅子两侧扶手外边缘之间的尺寸，深度尺寸为坐垫最前缘到椅背后的距离，高度尺寸为椅子最高点到接触地面的距离）</w:t>
            </w:r>
          </w:p>
          <w:p w14:paraId="26E46D7C">
            <w:pPr>
              <w:pStyle w:val="3"/>
              <w:rPr>
                <w:rFonts w:hint="eastAsia" w:eastAsia="仿宋_GB2312"/>
                <w:color w:val="auto"/>
                <w:highlight w:val="none"/>
                <w:lang w:eastAsia="zh-CN"/>
              </w:rPr>
            </w:pPr>
            <w:r>
              <w:rPr>
                <w:rFonts w:hint="eastAsia" w:asciiTheme="minorEastAsia" w:hAnsiTheme="minorEastAsia" w:eastAsiaTheme="minorEastAsia" w:cstheme="minorEastAsia"/>
                <w:color w:val="000000"/>
                <w:kern w:val="0"/>
                <w:szCs w:val="21"/>
                <w:bdr w:val="single" w:color="000000" w:sz="4" w:space="0"/>
                <w:lang w:bidi="ar"/>
              </w:rPr>
              <w:drawing>
                <wp:inline distT="0" distB="0" distL="0" distR="0">
                  <wp:extent cx="1054735" cy="1700530"/>
                  <wp:effectExtent l="0" t="0" r="12065" b="1270"/>
                  <wp:docPr id="1" name="图片_57"/>
                  <wp:cNvGraphicFramePr/>
                  <a:graphic xmlns:a="http://schemas.openxmlformats.org/drawingml/2006/main">
                    <a:graphicData uri="http://schemas.openxmlformats.org/drawingml/2006/picture">
                      <pic:pic xmlns:pic="http://schemas.openxmlformats.org/drawingml/2006/picture">
                        <pic:nvPicPr>
                          <pic:cNvPr id="1" name="图片_57"/>
                          <pic:cNvPicPr/>
                        </pic:nvPicPr>
                        <pic:blipFill>
                          <a:blip r:embed="rId40">
                            <a:extLst>
                              <a:ext uri="{28A0092B-C50C-407E-A947-70E740481C1C}">
                                <a14:useLocalDpi xmlns:a14="http://schemas.microsoft.com/office/drawing/2010/main" val="0"/>
                              </a:ext>
                            </a:extLst>
                          </a:blip>
                          <a:stretch>
                            <a:fillRect/>
                          </a:stretch>
                        </pic:blipFill>
                        <pic:spPr>
                          <a:xfrm>
                            <a:off x="0" y="0"/>
                            <a:ext cx="1054735" cy="1700530"/>
                          </a:xfrm>
                          <a:prstGeom prst="rect">
                            <a:avLst/>
                          </a:prstGeom>
                          <a:noFill/>
                          <a:ln>
                            <a:noFill/>
                          </a:ln>
                        </pic:spPr>
                      </pic:pic>
                    </a:graphicData>
                  </a:graphic>
                </wp:inline>
              </w:drawing>
            </w:r>
          </w:p>
          <w:p w14:paraId="463AF85F">
            <w:pPr>
              <w:snapToGrid w:val="0"/>
              <w:spacing w:line="360" w:lineRule="auto"/>
              <w:jc w:val="left"/>
              <w:rPr>
                <w:rFonts w:ascii="宋体" w:hAnsi="宋体" w:cs="仿宋"/>
                <w:b/>
                <w:bCs/>
                <w:color w:val="auto"/>
                <w:kern w:val="0"/>
                <w:szCs w:val="21"/>
                <w:highlight w:val="none"/>
              </w:rPr>
            </w:pPr>
            <w:r>
              <w:rPr>
                <w:rFonts w:hint="eastAsia" w:ascii="宋体" w:hAnsi="宋体" w:cs="仿宋"/>
                <w:b/>
                <w:bCs/>
                <w:color w:val="auto"/>
                <w:kern w:val="0"/>
                <w:szCs w:val="21"/>
                <w:highlight w:val="none"/>
              </w:rPr>
              <w:t>二、材料要求（3分）：材质不符合每个扣</w:t>
            </w:r>
            <w:r>
              <w:rPr>
                <w:rFonts w:hint="eastAsia" w:ascii="宋体" w:hAnsi="宋体" w:cs="仿宋"/>
                <w:b/>
                <w:bCs/>
                <w:color w:val="auto"/>
                <w:kern w:val="0"/>
                <w:szCs w:val="21"/>
                <w:highlight w:val="none"/>
                <w:lang w:val="en-US" w:eastAsia="zh-CN"/>
              </w:rPr>
              <w:t>0.5</w:t>
            </w:r>
            <w:r>
              <w:rPr>
                <w:rFonts w:hint="eastAsia" w:ascii="宋体" w:hAnsi="宋体" w:cs="仿宋"/>
                <w:b/>
                <w:bCs/>
                <w:color w:val="auto"/>
                <w:kern w:val="0"/>
                <w:szCs w:val="21"/>
                <w:highlight w:val="none"/>
              </w:rPr>
              <w:t>分，扣完为止。</w:t>
            </w:r>
          </w:p>
          <w:p w14:paraId="1AD720AB">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1.团员活动桌（</w:t>
            </w:r>
            <w:r>
              <w:rPr>
                <w:rFonts w:hint="eastAsia" w:ascii="宋体" w:hAnsi="宋体" w:cs="宋体"/>
                <w:color w:val="auto"/>
                <w:szCs w:val="21"/>
                <w:highlight w:val="none"/>
                <w:lang w:val="en-US" w:eastAsia="zh-CN"/>
              </w:rPr>
              <w:t>序号30</w:t>
            </w:r>
            <w:r>
              <w:rPr>
                <w:rFonts w:hint="eastAsia" w:ascii="宋体" w:hAnsi="宋体" w:cs="宋体"/>
                <w:color w:val="auto"/>
                <w:szCs w:val="21"/>
                <w:highlight w:val="none"/>
              </w:rPr>
              <w:t>）</w:t>
            </w:r>
          </w:p>
          <w:p w14:paraId="6763EEF7">
            <w:pPr>
              <w:snapToGrid w:val="0"/>
              <w:spacing w:line="360" w:lineRule="auto"/>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桌面：基材为</w:t>
            </w:r>
            <w:r>
              <w:rPr>
                <w:rFonts w:hint="eastAsia" w:ascii="宋体" w:hAnsi="宋体" w:cs="宋体"/>
                <w:color w:val="auto"/>
                <w:szCs w:val="21"/>
                <w:highlight w:val="none"/>
              </w:rPr>
              <w:t>多层板</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面板为</w:t>
            </w:r>
            <w:r>
              <w:rPr>
                <w:rFonts w:hint="eastAsia" w:ascii="宋体" w:hAnsi="宋体" w:cs="宋体"/>
                <w:color w:val="auto"/>
                <w:szCs w:val="21"/>
                <w:highlight w:val="none"/>
              </w:rPr>
              <w:t>三聚氰胺饰面板</w:t>
            </w:r>
            <w:r>
              <w:rPr>
                <w:rFonts w:hint="eastAsia" w:ascii="宋体" w:hAnsi="宋体" w:cs="宋体"/>
                <w:color w:val="auto"/>
                <w:szCs w:val="21"/>
                <w:highlight w:val="none"/>
                <w:lang w:eastAsia="zh-CN"/>
              </w:rPr>
              <w:t>；</w:t>
            </w:r>
          </w:p>
          <w:p w14:paraId="77EAF52B">
            <w:pPr>
              <w:snapToGrid w:val="0"/>
              <w:spacing w:line="360" w:lineRule="auto"/>
              <w:jc w:val="left"/>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桌脚：铝合金；</w:t>
            </w:r>
          </w:p>
          <w:p w14:paraId="2FCBB472">
            <w:pPr>
              <w:snapToGrid w:val="0"/>
              <w:spacing w:line="360" w:lineRule="auto"/>
              <w:jc w:val="left"/>
              <w:rPr>
                <w:rFonts w:hint="default"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左右桌架连接管：铝合金</w:t>
            </w:r>
          </w:p>
          <w:p w14:paraId="6BCBB79D">
            <w:pPr>
              <w:snapToGrid w:val="0"/>
              <w:spacing w:beforeLines="0" w:afterLines="0"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000000"/>
                <w:kern w:val="0"/>
                <w:sz w:val="21"/>
                <w:szCs w:val="21"/>
                <w:highlight w:val="none"/>
                <w:lang w:bidi="ar"/>
              </w:rPr>
              <w:t>会议接待椅（5）</w:t>
            </w:r>
            <w:r>
              <w:rPr>
                <w:rFonts w:hint="eastAsia" w:ascii="宋体" w:hAnsi="宋体" w:eastAsia="宋体" w:cs="宋体"/>
                <w:color w:val="auto"/>
                <w:sz w:val="21"/>
                <w:szCs w:val="21"/>
                <w:highlight w:val="none"/>
              </w:rPr>
              <w:t>（序号19）</w:t>
            </w:r>
          </w:p>
          <w:p w14:paraId="2391CFB5">
            <w:pPr>
              <w:spacing w:beforeLines="0" w:afterLines="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框架：</w:t>
            </w:r>
            <w:r>
              <w:rPr>
                <w:rFonts w:hint="eastAsia" w:ascii="宋体" w:hAnsi="宋体" w:eastAsia="宋体" w:cs="宋体"/>
                <w:color w:val="000000"/>
                <w:kern w:val="0"/>
                <w:sz w:val="21"/>
                <w:szCs w:val="21"/>
                <w:highlight w:val="none"/>
                <w:lang w:bidi="ar"/>
              </w:rPr>
              <w:t>白蜡木实木</w:t>
            </w:r>
            <w:r>
              <w:rPr>
                <w:rFonts w:hint="eastAsia" w:ascii="宋体" w:hAnsi="宋体" w:eastAsia="宋体" w:cs="宋体"/>
                <w:color w:val="auto"/>
                <w:sz w:val="21"/>
                <w:szCs w:val="21"/>
                <w:highlight w:val="none"/>
              </w:rPr>
              <w:t>；饰面：</w:t>
            </w:r>
            <w:r>
              <w:rPr>
                <w:rFonts w:hint="eastAsia" w:ascii="宋体" w:hAnsi="宋体" w:eastAsia="宋体" w:cs="宋体"/>
                <w:color w:val="000000"/>
                <w:kern w:val="0"/>
                <w:sz w:val="21"/>
                <w:szCs w:val="21"/>
                <w:highlight w:val="none"/>
                <w:lang w:bidi="ar"/>
              </w:rPr>
              <w:t>头层牛皮</w:t>
            </w:r>
            <w:r>
              <w:rPr>
                <w:rFonts w:hint="eastAsia" w:ascii="宋体" w:hAnsi="宋体" w:eastAsia="宋体" w:cs="宋体"/>
                <w:color w:val="auto"/>
                <w:sz w:val="21"/>
                <w:szCs w:val="21"/>
                <w:highlight w:val="none"/>
              </w:rPr>
              <w:t>；</w:t>
            </w:r>
            <w:r>
              <w:rPr>
                <w:rFonts w:hint="eastAsia" w:ascii="宋体" w:hAnsi="宋体" w:eastAsia="宋体" w:cs="宋体"/>
                <w:color w:val="000000"/>
                <w:kern w:val="0"/>
                <w:sz w:val="21"/>
                <w:szCs w:val="21"/>
                <w:highlight w:val="none"/>
                <w:lang w:bidi="ar"/>
              </w:rPr>
              <w:t>高弹阻燃海绵；水性油漆；</w:t>
            </w:r>
          </w:p>
          <w:p w14:paraId="423C6CDA">
            <w:pPr>
              <w:snapToGrid w:val="0"/>
              <w:spacing w:line="360" w:lineRule="auto"/>
              <w:jc w:val="left"/>
              <w:rPr>
                <w:rFonts w:ascii="宋体" w:hAnsi="宋体" w:cs="仿宋"/>
                <w:b/>
                <w:bCs/>
                <w:color w:val="auto"/>
                <w:kern w:val="0"/>
                <w:szCs w:val="21"/>
                <w:highlight w:val="none"/>
              </w:rPr>
            </w:pPr>
            <w:r>
              <w:rPr>
                <w:rFonts w:hint="eastAsia" w:ascii="宋体" w:hAnsi="宋体" w:cs="仿宋"/>
                <w:b/>
                <w:bCs/>
                <w:color w:val="auto"/>
                <w:kern w:val="0"/>
                <w:szCs w:val="21"/>
                <w:highlight w:val="none"/>
              </w:rPr>
              <w:t>三、功能性要求（3分）：每个不合格项扣</w:t>
            </w:r>
            <w:r>
              <w:rPr>
                <w:rFonts w:hint="eastAsia" w:ascii="宋体" w:hAnsi="宋体" w:cs="仿宋"/>
                <w:b/>
                <w:bCs/>
                <w:color w:val="auto"/>
                <w:kern w:val="0"/>
                <w:szCs w:val="21"/>
                <w:highlight w:val="none"/>
                <w:lang w:val="en-US" w:eastAsia="zh-CN"/>
              </w:rPr>
              <w:t>1</w:t>
            </w:r>
            <w:r>
              <w:rPr>
                <w:rFonts w:hint="eastAsia" w:ascii="宋体" w:hAnsi="宋体" w:cs="仿宋"/>
                <w:b/>
                <w:bCs/>
                <w:color w:val="auto"/>
                <w:kern w:val="0"/>
                <w:szCs w:val="21"/>
                <w:highlight w:val="none"/>
              </w:rPr>
              <w:t>分，扣完为止。</w:t>
            </w:r>
          </w:p>
          <w:p w14:paraId="269EF88C">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1.团员活动桌（</w:t>
            </w:r>
            <w:r>
              <w:rPr>
                <w:rFonts w:hint="eastAsia" w:ascii="宋体" w:hAnsi="宋体" w:cs="宋体"/>
                <w:color w:val="auto"/>
                <w:szCs w:val="21"/>
                <w:highlight w:val="none"/>
                <w:lang w:val="en-US" w:eastAsia="zh-CN"/>
              </w:rPr>
              <w:t>序号30</w:t>
            </w:r>
            <w:r>
              <w:rPr>
                <w:rFonts w:hint="eastAsia" w:ascii="宋体" w:hAnsi="宋体" w:cs="宋体"/>
                <w:color w:val="auto"/>
                <w:szCs w:val="21"/>
                <w:highlight w:val="none"/>
              </w:rPr>
              <w:t>）：</w:t>
            </w:r>
            <w:r>
              <w:rPr>
                <w:rFonts w:hint="eastAsia"/>
                <w:sz w:val="20"/>
                <w:szCs w:val="22"/>
                <w:highlight w:val="none"/>
                <w:lang w:eastAsia="zh-CN"/>
              </w:rPr>
              <w:t>①</w:t>
            </w:r>
            <w:r>
              <w:rPr>
                <w:rFonts w:hint="eastAsia" w:ascii="宋体" w:hAnsi="宋体" w:cs="宋体"/>
                <w:color w:val="auto"/>
                <w:szCs w:val="21"/>
                <w:highlight w:val="none"/>
                <w:lang w:val="en-US" w:eastAsia="zh-CN"/>
              </w:rPr>
              <w:t>万向轮应</w:t>
            </w:r>
            <w:r>
              <w:rPr>
                <w:rFonts w:hint="eastAsia" w:ascii="宋体" w:hAnsi="宋体" w:cs="宋体"/>
                <w:color w:val="auto"/>
                <w:szCs w:val="21"/>
                <w:highlight w:val="none"/>
              </w:rPr>
              <w:t>锁定到位，开启应灵活</w:t>
            </w:r>
            <w:r>
              <w:rPr>
                <w:rFonts w:hint="eastAsia" w:ascii="宋体" w:hAnsi="宋体" w:cs="宋体"/>
                <w:color w:val="auto"/>
                <w:szCs w:val="21"/>
                <w:highlight w:val="none"/>
                <w:lang w:eastAsia="zh-CN"/>
              </w:rPr>
              <w:t>，</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PU静音轮，带刹车定位功能</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②使用旋转卡扣翻转机构，联动翻转。③扳手轻巧用力，台面即翻转为垂直状态</w:t>
            </w:r>
            <w:r>
              <w:rPr>
                <w:rFonts w:hint="eastAsia" w:ascii="宋体" w:hAnsi="宋体" w:cs="宋体"/>
                <w:color w:val="auto"/>
                <w:szCs w:val="21"/>
                <w:highlight w:val="none"/>
                <w:lang w:eastAsia="zh-CN"/>
              </w:rPr>
              <w:t>。</w:t>
            </w:r>
          </w:p>
          <w:p w14:paraId="1B0DC228">
            <w:pPr>
              <w:pageBreakBefore w:val="0"/>
              <w:wordWrap/>
              <w:overflowPunct/>
              <w:topLinePunct w:val="0"/>
              <w:bidi w:val="0"/>
              <w:adjustRightInd w:val="0"/>
              <w:snapToGrid w:val="0"/>
              <w:spacing w:line="360" w:lineRule="auto"/>
              <w:jc w:val="left"/>
              <w:rPr>
                <w:rFonts w:hint="eastAsia" w:ascii="宋体" w:hAnsi="宋体" w:cs="宋体"/>
                <w:strike/>
                <w:dstrike w:val="0"/>
                <w:color w:val="auto"/>
                <w:szCs w:val="21"/>
                <w:highlight w:val="none"/>
                <w:lang w:val="en-US"/>
              </w:rPr>
            </w:pPr>
            <w:r>
              <w:rPr>
                <w:rFonts w:hint="eastAsia" w:ascii="宋体" w:hAnsi="宋体" w:eastAsia="宋体" w:cs="宋体"/>
                <w:color w:val="auto"/>
                <w:sz w:val="21"/>
                <w:szCs w:val="21"/>
                <w:highlight w:val="none"/>
              </w:rPr>
              <w:t>2.</w:t>
            </w:r>
            <w:r>
              <w:rPr>
                <w:rFonts w:hint="eastAsia" w:ascii="宋体" w:hAnsi="宋体" w:eastAsia="宋体" w:cs="宋体"/>
                <w:color w:val="000000"/>
                <w:kern w:val="0"/>
                <w:sz w:val="21"/>
                <w:szCs w:val="21"/>
                <w:highlight w:val="none"/>
                <w:lang w:bidi="ar"/>
              </w:rPr>
              <w:t>会议接待椅（5）</w:t>
            </w:r>
            <w:r>
              <w:rPr>
                <w:rFonts w:hint="eastAsia" w:ascii="宋体" w:hAnsi="宋体" w:eastAsia="宋体" w:cs="宋体"/>
                <w:color w:val="auto"/>
                <w:sz w:val="21"/>
                <w:szCs w:val="21"/>
                <w:highlight w:val="none"/>
              </w:rPr>
              <w:t>（序号19）：④软硬适中、不变形、回弹性好、抗疲劳能力强、坐感舒适；⑤整体操作、使用合理安全；⑥整体符合人机工程要求，用户体验舒适。</w:t>
            </w:r>
          </w:p>
        </w:tc>
        <w:tc>
          <w:tcPr>
            <w:tcW w:w="775" w:type="dxa"/>
            <w:tcBorders>
              <w:top w:val="single" w:color="auto" w:sz="4" w:space="0"/>
              <w:left w:val="single" w:color="auto" w:sz="4" w:space="0"/>
              <w:bottom w:val="single" w:color="auto" w:sz="4" w:space="0"/>
              <w:right w:val="single" w:color="auto" w:sz="4" w:space="0"/>
            </w:tcBorders>
            <w:vAlign w:val="center"/>
          </w:tcPr>
          <w:p w14:paraId="307B7253">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9</w:t>
            </w:r>
          </w:p>
        </w:tc>
        <w:tc>
          <w:tcPr>
            <w:tcW w:w="914" w:type="dxa"/>
            <w:tcBorders>
              <w:top w:val="single" w:color="auto" w:sz="4" w:space="0"/>
              <w:left w:val="single" w:color="auto" w:sz="4" w:space="0"/>
              <w:bottom w:val="single" w:color="auto" w:sz="4" w:space="0"/>
              <w:right w:val="single" w:color="auto" w:sz="4" w:space="0"/>
            </w:tcBorders>
            <w:vAlign w:val="center"/>
          </w:tcPr>
          <w:p w14:paraId="0F23C325">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客观分</w:t>
            </w:r>
          </w:p>
        </w:tc>
        <w:tc>
          <w:tcPr>
            <w:tcW w:w="1228" w:type="dxa"/>
            <w:vMerge w:val="restart"/>
            <w:tcBorders>
              <w:top w:val="single" w:color="auto" w:sz="4" w:space="0"/>
              <w:left w:val="single" w:color="auto" w:sz="4" w:space="0"/>
              <w:right w:val="single" w:color="auto" w:sz="4" w:space="0"/>
            </w:tcBorders>
            <w:vAlign w:val="center"/>
          </w:tcPr>
          <w:p w14:paraId="49DD0332">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样品分</w:t>
            </w:r>
          </w:p>
        </w:tc>
      </w:tr>
      <w:tr w14:paraId="0C466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668" w:type="dxa"/>
            <w:vMerge w:val="continue"/>
            <w:tcBorders>
              <w:left w:val="single" w:color="auto" w:sz="4" w:space="0"/>
              <w:bottom w:val="single" w:color="auto" w:sz="4" w:space="0"/>
              <w:right w:val="single" w:color="auto" w:sz="4" w:space="0"/>
            </w:tcBorders>
            <w:vAlign w:val="center"/>
          </w:tcPr>
          <w:p w14:paraId="4EEE2AF4">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p>
        </w:tc>
        <w:tc>
          <w:tcPr>
            <w:tcW w:w="6175" w:type="dxa"/>
            <w:tcBorders>
              <w:top w:val="single" w:color="auto" w:sz="4" w:space="0"/>
              <w:left w:val="single" w:color="auto" w:sz="4" w:space="0"/>
              <w:bottom w:val="single" w:color="auto" w:sz="4" w:space="0"/>
              <w:right w:val="single" w:color="auto" w:sz="4" w:space="0"/>
            </w:tcBorders>
            <w:vAlign w:val="top"/>
          </w:tcPr>
          <w:p w14:paraId="79B21071">
            <w:pPr>
              <w:pageBreakBefore w:val="0"/>
              <w:wordWrap/>
              <w:overflowPunct/>
              <w:topLinePunct w:val="0"/>
              <w:bidi w:val="0"/>
              <w:adjustRightInd w:val="0"/>
              <w:snapToGrid w:val="0"/>
              <w:spacing w:line="360" w:lineRule="auto"/>
              <w:jc w:val="left"/>
              <w:rPr>
                <w:rFonts w:hint="eastAsia" w:ascii="新宋体" w:hAnsi="新宋体" w:eastAsia="新宋体" w:cs="新宋体"/>
                <w:b/>
                <w:bCs/>
                <w:color w:val="auto"/>
                <w:kern w:val="0"/>
                <w:szCs w:val="21"/>
                <w:highlight w:val="none"/>
              </w:rPr>
            </w:pPr>
            <w:r>
              <w:rPr>
                <w:rFonts w:hint="eastAsia" w:ascii="新宋体" w:hAnsi="新宋体" w:eastAsia="新宋体" w:cs="新宋体"/>
                <w:b/>
                <w:bCs/>
                <w:color w:val="auto"/>
                <w:kern w:val="0"/>
                <w:szCs w:val="21"/>
                <w:highlight w:val="none"/>
              </w:rPr>
              <w:t>四、外观要求（3分）每个不合格项扣1分，扣完为止。</w:t>
            </w:r>
          </w:p>
          <w:p w14:paraId="21A9434E">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1.木制件外观要求：</w:t>
            </w:r>
          </w:p>
          <w:p w14:paraId="4616A64A">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①外表无明显色差；</w:t>
            </w:r>
          </w:p>
          <w:p w14:paraId="6EC30C20">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②外表无鼓泡、龟裂、分层；</w:t>
            </w:r>
          </w:p>
          <w:p w14:paraId="4C0E21FB">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2.五金件外观要求</w:t>
            </w:r>
          </w:p>
          <w:p w14:paraId="2C2B8795">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①镀层表面无锈蚀、毛刺、露底；</w:t>
            </w:r>
          </w:p>
          <w:p w14:paraId="4A24055A">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②镀层表面光滑平整，无起泡、泛黄；</w:t>
            </w:r>
          </w:p>
          <w:p w14:paraId="426B0F0A">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3.软包件外观要求：</w:t>
            </w:r>
          </w:p>
          <w:p w14:paraId="5FC00E1E">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①软面包覆表面：包覆的面料拼接对称完整；不应有明显色差，包覆的面料应无破损、严重划痕、色污、油污，应平服饱满，松紧均匀，不应有明显皱折，对称工艺性皱折应匀称，层次分明；</w:t>
            </w:r>
          </w:p>
          <w:p w14:paraId="283BF289">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②外露泡钉：应排列应整齐，间距基本相等，不应有泡钉明显敲扁或脱漆；</w:t>
            </w:r>
          </w:p>
          <w:p w14:paraId="2CDBDAA8">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③缝纫：线迹间距应均匀，无明显浮线、跳针或外露线头、脱线、开缝、脱胶。</w:t>
            </w:r>
          </w:p>
          <w:p w14:paraId="0B182769">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④整体设计美观。</w:t>
            </w:r>
          </w:p>
          <w:p w14:paraId="1F2FB7AF">
            <w:pPr>
              <w:pageBreakBefore w:val="0"/>
              <w:wordWrap/>
              <w:overflowPunct/>
              <w:topLinePunct w:val="0"/>
              <w:bidi w:val="0"/>
              <w:adjustRightInd w:val="0"/>
              <w:snapToGrid w:val="0"/>
              <w:spacing w:line="360" w:lineRule="auto"/>
              <w:jc w:val="left"/>
              <w:rPr>
                <w:rFonts w:hint="eastAsia" w:ascii="新宋体" w:hAnsi="新宋体" w:eastAsia="新宋体" w:cs="新宋体"/>
                <w:b/>
                <w:bCs/>
                <w:color w:val="auto"/>
                <w:kern w:val="0"/>
                <w:szCs w:val="21"/>
                <w:highlight w:val="none"/>
              </w:rPr>
            </w:pPr>
            <w:r>
              <w:rPr>
                <w:rFonts w:hint="eastAsia" w:ascii="新宋体" w:hAnsi="新宋体" w:eastAsia="新宋体" w:cs="新宋体"/>
                <w:b/>
                <w:bCs/>
                <w:color w:val="auto"/>
                <w:kern w:val="0"/>
                <w:szCs w:val="21"/>
                <w:highlight w:val="none"/>
              </w:rPr>
              <w:t>五、制作工艺（3分）：每有一项不合格扣1分，扣完为止。</w:t>
            </w:r>
          </w:p>
          <w:p w14:paraId="727C7A40">
            <w:pPr>
              <w:pageBreakBefore w:val="0"/>
              <w:wordWrap/>
              <w:overflowPunct/>
              <w:topLinePunct w:val="0"/>
              <w:bidi w:val="0"/>
              <w:adjustRightInd w:val="0"/>
              <w:snapToGrid w:val="0"/>
              <w:spacing w:line="360" w:lineRule="auto"/>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1.</w:t>
            </w:r>
            <w:r>
              <w:rPr>
                <w:rFonts w:hint="eastAsia" w:ascii="新宋体" w:hAnsi="新宋体" w:eastAsia="新宋体" w:cs="新宋体"/>
                <w:color w:val="auto"/>
                <w:szCs w:val="21"/>
                <w:highlight w:val="none"/>
                <w:lang w:val="en-US" w:eastAsia="zh-CN"/>
              </w:rPr>
              <w:t>各</w:t>
            </w:r>
            <w:r>
              <w:rPr>
                <w:rFonts w:hint="eastAsia" w:ascii="新宋体" w:hAnsi="新宋体" w:eastAsia="新宋体" w:cs="新宋体"/>
                <w:color w:val="auto"/>
                <w:szCs w:val="21"/>
                <w:highlight w:val="none"/>
              </w:rPr>
              <w:t>部件的外表应光滑，倒棱、圆角、圆线应均匀一致；</w:t>
            </w:r>
          </w:p>
          <w:p w14:paraId="04A8A84E">
            <w:pPr>
              <w:pageBreakBefore w:val="0"/>
              <w:wordWrap/>
              <w:overflowPunct/>
              <w:topLinePunct w:val="0"/>
              <w:bidi w:val="0"/>
              <w:adjustRightInd w:val="0"/>
              <w:snapToGrid w:val="0"/>
              <w:spacing w:line="360" w:lineRule="auto"/>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lang w:val="en-US" w:eastAsia="zh-CN"/>
              </w:rPr>
              <w:t>2</w:t>
            </w:r>
            <w:r>
              <w:rPr>
                <w:rFonts w:hint="eastAsia" w:ascii="新宋体" w:hAnsi="新宋体" w:eastAsia="新宋体" w:cs="新宋体"/>
                <w:color w:val="auto"/>
                <w:szCs w:val="21"/>
                <w:highlight w:val="none"/>
              </w:rPr>
              <w:t>.零部件的结合应严密、牢固；</w:t>
            </w:r>
          </w:p>
          <w:p w14:paraId="16CC7201">
            <w:pPr>
              <w:pageBreakBefore w:val="0"/>
              <w:wordWrap/>
              <w:overflowPunct/>
              <w:topLinePunct w:val="0"/>
              <w:bidi w:val="0"/>
              <w:adjustRightInd w:val="0"/>
              <w:snapToGrid w:val="0"/>
              <w:spacing w:line="360" w:lineRule="auto"/>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lang w:val="en-US" w:eastAsia="zh-CN"/>
              </w:rPr>
              <w:t>3</w:t>
            </w:r>
            <w:r>
              <w:rPr>
                <w:rFonts w:hint="eastAsia" w:ascii="新宋体" w:hAnsi="新宋体" w:eastAsia="新宋体" w:cs="新宋体"/>
                <w:color w:val="auto"/>
                <w:szCs w:val="21"/>
                <w:highlight w:val="none"/>
              </w:rPr>
              <w:t>.各种配件特别是连接件的安装应严密、平整、端正、牢固，结合处应无开裂或松动；</w:t>
            </w:r>
          </w:p>
          <w:p w14:paraId="25F8869F">
            <w:pPr>
              <w:pageBreakBefore w:val="0"/>
              <w:wordWrap/>
              <w:overflowPunct/>
              <w:topLinePunct w:val="0"/>
              <w:bidi w:val="0"/>
              <w:adjustRightInd w:val="0"/>
              <w:snapToGrid w:val="0"/>
              <w:spacing w:line="360" w:lineRule="auto"/>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lang w:val="en-US" w:eastAsia="zh-CN"/>
              </w:rPr>
              <w:t>4</w:t>
            </w:r>
            <w:r>
              <w:rPr>
                <w:rFonts w:hint="eastAsia" w:ascii="新宋体" w:hAnsi="新宋体" w:eastAsia="新宋体" w:cs="新宋体"/>
                <w:color w:val="auto"/>
                <w:szCs w:val="21"/>
                <w:highlight w:val="none"/>
              </w:rPr>
              <w:t>.板件或部件在接触人体或贮物部位不应有毛刺、刃口或棱角。</w:t>
            </w:r>
          </w:p>
          <w:p w14:paraId="1555F447">
            <w:pPr>
              <w:pStyle w:val="3"/>
              <w:pageBreakBefore w:val="0"/>
              <w:wordWrap/>
              <w:overflowPunct/>
              <w:topLinePunct w:val="0"/>
              <w:bidi w:val="0"/>
              <w:adjustRightInd w:val="0"/>
              <w:snapToGrid w:val="0"/>
              <w:spacing w:line="360" w:lineRule="auto"/>
              <w:rPr>
                <w:rFonts w:hint="eastAsia" w:ascii="新宋体" w:hAnsi="新宋体" w:eastAsia="新宋体" w:cs="新宋体"/>
                <w:color w:val="auto"/>
                <w:highlight w:val="none"/>
              </w:rPr>
            </w:pPr>
            <w:r>
              <w:rPr>
                <w:rFonts w:hint="eastAsia" w:ascii="新宋体" w:hAnsi="新宋体" w:eastAsia="新宋体" w:cs="新宋体"/>
                <w:color w:val="auto"/>
                <w:sz w:val="21"/>
                <w:szCs w:val="21"/>
                <w:highlight w:val="none"/>
              </w:rPr>
              <w:t>投标人不提供样品则视其投标无效。</w:t>
            </w:r>
          </w:p>
        </w:tc>
        <w:tc>
          <w:tcPr>
            <w:tcW w:w="775" w:type="dxa"/>
            <w:tcBorders>
              <w:top w:val="single" w:color="auto" w:sz="4" w:space="0"/>
              <w:left w:val="single" w:color="auto" w:sz="4" w:space="0"/>
              <w:bottom w:val="single" w:color="auto" w:sz="4" w:space="0"/>
              <w:right w:val="single" w:color="auto" w:sz="4" w:space="0"/>
            </w:tcBorders>
            <w:vAlign w:val="center"/>
          </w:tcPr>
          <w:p w14:paraId="0E90A6B4">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6</w:t>
            </w:r>
          </w:p>
        </w:tc>
        <w:tc>
          <w:tcPr>
            <w:tcW w:w="914" w:type="dxa"/>
            <w:tcBorders>
              <w:top w:val="single" w:color="auto" w:sz="4" w:space="0"/>
              <w:left w:val="single" w:color="auto" w:sz="4" w:space="0"/>
              <w:bottom w:val="single" w:color="auto" w:sz="4" w:space="0"/>
              <w:right w:val="single" w:color="auto" w:sz="4" w:space="0"/>
            </w:tcBorders>
            <w:vAlign w:val="center"/>
          </w:tcPr>
          <w:p w14:paraId="2A23C815">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主观分</w:t>
            </w:r>
          </w:p>
        </w:tc>
        <w:tc>
          <w:tcPr>
            <w:tcW w:w="1228" w:type="dxa"/>
            <w:vMerge w:val="continue"/>
            <w:tcBorders>
              <w:left w:val="single" w:color="auto" w:sz="4" w:space="0"/>
              <w:bottom w:val="single" w:color="auto" w:sz="4" w:space="0"/>
              <w:right w:val="single" w:color="auto" w:sz="4" w:space="0"/>
            </w:tcBorders>
            <w:vAlign w:val="center"/>
          </w:tcPr>
          <w:p w14:paraId="1F106450">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p>
        </w:tc>
      </w:tr>
      <w:tr w14:paraId="14BC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trPr>
        <w:tc>
          <w:tcPr>
            <w:tcW w:w="668" w:type="dxa"/>
            <w:tcBorders>
              <w:top w:val="single" w:color="auto" w:sz="4" w:space="0"/>
              <w:left w:val="single" w:color="auto" w:sz="4" w:space="0"/>
              <w:bottom w:val="single" w:color="auto" w:sz="4" w:space="0"/>
              <w:right w:val="single" w:color="auto" w:sz="4" w:space="0"/>
            </w:tcBorders>
            <w:vAlign w:val="center"/>
          </w:tcPr>
          <w:p w14:paraId="7A738030">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2</w:t>
            </w:r>
          </w:p>
        </w:tc>
        <w:tc>
          <w:tcPr>
            <w:tcW w:w="6175" w:type="dxa"/>
            <w:tcBorders>
              <w:top w:val="single" w:color="auto" w:sz="4" w:space="0"/>
              <w:left w:val="single" w:color="auto" w:sz="4" w:space="0"/>
              <w:bottom w:val="single" w:color="auto" w:sz="4" w:space="0"/>
              <w:right w:val="single" w:color="auto" w:sz="4" w:space="0"/>
            </w:tcBorders>
            <w:vAlign w:val="center"/>
          </w:tcPr>
          <w:p w14:paraId="7EC829FC">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成品检测报告：投标人或产品制造商提供具备CMA资质的第三方检测机构出具的成品检测报告，其中核心技术指标评分内容如下：</w:t>
            </w:r>
          </w:p>
          <w:p w14:paraId="46986D0C">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b/>
                <w:bCs/>
                <w:color w:val="auto"/>
                <w:szCs w:val="21"/>
                <w:highlight w:val="none"/>
              </w:rPr>
              <w:t>1.</w:t>
            </w:r>
            <w:r>
              <w:rPr>
                <w:rFonts w:hint="eastAsia"/>
                <w:b/>
                <w:bCs/>
                <w:highlight w:val="none"/>
                <w:lang w:val="en-US" w:eastAsia="zh-CN"/>
              </w:rPr>
              <w:t>条桌</w:t>
            </w:r>
            <w:r>
              <w:rPr>
                <w:rFonts w:hint="eastAsia" w:ascii="新宋体" w:hAnsi="新宋体" w:eastAsia="新宋体" w:cs="新宋体"/>
                <w:b/>
                <w:bCs/>
                <w:color w:val="auto"/>
                <w:szCs w:val="21"/>
                <w:highlight w:val="none"/>
              </w:rPr>
              <w:t>：</w:t>
            </w:r>
            <w:r>
              <w:rPr>
                <w:rFonts w:hint="eastAsia" w:ascii="新宋体" w:hAnsi="新宋体" w:eastAsia="新宋体" w:cs="新宋体"/>
                <w:color w:val="auto"/>
                <w:szCs w:val="21"/>
                <w:highlight w:val="none"/>
              </w:rPr>
              <w:t>①依据GB/T3324-2017检测标准，其中木制件、漆膜外观、漆膜（耐液性、耐湿热、耐干热、附着力）符合要求；                                                         ②依据GB/T 35607-20</w:t>
            </w:r>
            <w:r>
              <w:rPr>
                <w:rFonts w:hint="eastAsia" w:ascii="新宋体" w:hAnsi="新宋体" w:eastAsia="新宋体" w:cs="新宋体"/>
                <w:color w:val="auto"/>
                <w:szCs w:val="21"/>
                <w:highlight w:val="none"/>
                <w:lang w:val="en-US" w:eastAsia="zh-CN"/>
              </w:rPr>
              <w:t>24</w:t>
            </w:r>
            <w:r>
              <w:rPr>
                <w:rFonts w:hint="eastAsia" w:ascii="新宋体" w:hAnsi="新宋体" w:eastAsia="新宋体" w:cs="新宋体"/>
                <w:color w:val="auto"/>
                <w:szCs w:val="21"/>
                <w:highlight w:val="none"/>
              </w:rPr>
              <w:t>检测标准，其中苯≤0.05mg/m³、甲苯≤0.1mg/m³、二甲苯≤0.1mg/m³、苯并【a】芘≤0.5mg/kg；甲醛释放量≤0.05mg/m³、TVOC≤0.3 mg/m³。</w:t>
            </w:r>
          </w:p>
          <w:p w14:paraId="51D2B86D">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b/>
                <w:bCs/>
                <w:color w:val="auto"/>
                <w:szCs w:val="21"/>
                <w:highlight w:val="none"/>
                <w:lang w:val="en-US" w:eastAsia="zh-CN"/>
              </w:rPr>
              <w:t>2.</w:t>
            </w:r>
            <w:r>
              <w:rPr>
                <w:rFonts w:hint="eastAsia" w:ascii="新宋体" w:hAnsi="新宋体" w:eastAsia="新宋体" w:cs="新宋体"/>
                <w:b/>
                <w:bCs/>
                <w:color w:val="auto"/>
                <w:szCs w:val="21"/>
                <w:highlight w:val="none"/>
              </w:rPr>
              <w:t>接待椅：</w:t>
            </w:r>
            <w:r>
              <w:rPr>
                <w:rFonts w:hint="eastAsia" w:ascii="新宋体" w:hAnsi="新宋体" w:eastAsia="新宋体" w:cs="新宋体"/>
                <w:color w:val="auto"/>
                <w:szCs w:val="21"/>
                <w:highlight w:val="none"/>
              </w:rPr>
              <w:t>依据GB/T 35607-20</w:t>
            </w:r>
            <w:r>
              <w:rPr>
                <w:rFonts w:hint="eastAsia" w:ascii="新宋体" w:hAnsi="新宋体" w:eastAsia="新宋体" w:cs="新宋体"/>
                <w:color w:val="auto"/>
                <w:szCs w:val="21"/>
                <w:highlight w:val="none"/>
                <w:lang w:val="en-US" w:eastAsia="zh-CN"/>
              </w:rPr>
              <w:t>24</w:t>
            </w:r>
            <w:r>
              <w:rPr>
                <w:rFonts w:hint="eastAsia" w:ascii="新宋体" w:hAnsi="新宋体" w:eastAsia="新宋体" w:cs="新宋体"/>
                <w:color w:val="auto"/>
                <w:szCs w:val="21"/>
                <w:highlight w:val="none"/>
              </w:rPr>
              <w:t>检测标准，其中甲醛释放量≤0.05mg/m³、苯≤0.05mg/m³、甲苯≤0.1mg/m³、二甲苯≤0.1mg/m³、TVOC≤0.3mg/m³，可分解芳香胺染料未检出。</w:t>
            </w:r>
            <w:r>
              <w:rPr>
                <w:rFonts w:hint="eastAsia" w:ascii="新宋体" w:hAnsi="新宋体" w:eastAsia="新宋体" w:cs="新宋体"/>
                <w:color w:val="auto"/>
                <w:szCs w:val="21"/>
                <w:highlight w:val="none"/>
                <w:lang w:val="en-US" w:eastAsia="zh-CN"/>
              </w:rPr>
              <w:t>依据</w:t>
            </w:r>
            <w:r>
              <w:rPr>
                <w:rFonts w:hint="eastAsia" w:ascii="新宋体" w:hAnsi="新宋体" w:eastAsia="新宋体" w:cs="新宋体"/>
                <w:color w:val="auto"/>
                <w:szCs w:val="21"/>
                <w:highlight w:val="none"/>
              </w:rPr>
              <w:t>QB/T 2280-2016</w:t>
            </w:r>
            <w:r>
              <w:rPr>
                <w:rFonts w:hint="eastAsia"/>
                <w:highlight w:val="none"/>
                <w:lang w:val="en-US" w:eastAsia="zh-CN"/>
              </w:rPr>
              <w:t>检测标准，</w:t>
            </w:r>
            <w:r>
              <w:rPr>
                <w:rFonts w:hint="eastAsia" w:ascii="新宋体" w:hAnsi="新宋体" w:eastAsia="新宋体" w:cs="新宋体"/>
                <w:color w:val="auto"/>
                <w:szCs w:val="21"/>
                <w:highlight w:val="none"/>
              </w:rPr>
              <w:t>包含外观、理化性能、力学性能等检测项目</w:t>
            </w:r>
            <w:r>
              <w:rPr>
                <w:rFonts w:hint="eastAsia" w:ascii="新宋体" w:hAnsi="新宋体" w:eastAsia="新宋体" w:cs="新宋体"/>
                <w:color w:val="auto"/>
                <w:szCs w:val="21"/>
                <w:highlight w:val="none"/>
                <w:lang w:val="en-US" w:eastAsia="zh-CN"/>
              </w:rPr>
              <w:t>符合要求。</w:t>
            </w:r>
          </w:p>
          <w:p w14:paraId="2E75E442">
            <w:pPr>
              <w:pStyle w:val="962"/>
              <w:pageBreakBefore w:val="0"/>
              <w:wordWrap/>
              <w:overflowPunct/>
              <w:topLinePunct w:val="0"/>
              <w:bidi w:val="0"/>
              <w:adjustRightInd w:val="0"/>
              <w:snapToGrid w:val="0"/>
              <w:spacing w:line="360" w:lineRule="auto"/>
              <w:ind w:left="0" w:leftChars="0" w:firstLine="0" w:firstLineChars="0"/>
              <w:rPr>
                <w:rFonts w:hint="eastAsia" w:ascii="新宋体" w:hAnsi="新宋体" w:eastAsia="新宋体" w:cs="新宋体"/>
                <w:color w:val="auto"/>
                <w:kern w:val="2"/>
                <w:sz w:val="21"/>
                <w:szCs w:val="21"/>
                <w:highlight w:val="none"/>
                <w:lang w:val="en-US" w:eastAsia="zh-CN" w:bidi="ar-SA"/>
              </w:rPr>
            </w:pPr>
            <w:r>
              <w:rPr>
                <w:rFonts w:hint="eastAsia" w:ascii="新宋体" w:hAnsi="新宋体" w:eastAsia="新宋体" w:cs="新宋体"/>
                <w:b/>
                <w:bCs/>
                <w:color w:val="auto"/>
                <w:kern w:val="2"/>
                <w:sz w:val="21"/>
                <w:szCs w:val="21"/>
                <w:highlight w:val="none"/>
                <w:lang w:val="en-US" w:eastAsia="zh-CN" w:bidi="ar-SA"/>
              </w:rPr>
              <w:t>3.三人位沙发：</w:t>
            </w:r>
            <w:r>
              <w:rPr>
                <w:rFonts w:hint="eastAsia" w:ascii="新宋体" w:hAnsi="新宋体" w:eastAsia="新宋体" w:cs="新宋体"/>
                <w:color w:val="auto"/>
                <w:kern w:val="2"/>
                <w:sz w:val="21"/>
                <w:szCs w:val="21"/>
                <w:highlight w:val="none"/>
                <w:lang w:val="en-US" w:eastAsia="zh-CN" w:bidi="ar-SA"/>
              </w:rPr>
              <w:t>依据QB/T 1952.1-2023检测标准，力学性能（A级合格）；依据GB/T 35607-2024检测标准，其中苯≤0.05mg/m³、甲苯≤0.1mg/m³、二甲苯≤0.1mg/m³、苯并【a】芘≤0.5mg/kg；甲醛释放量≤0.05mg/m³、TVOC≤0.3 mg/m³，可分解芳香胺染料未检出。</w:t>
            </w:r>
          </w:p>
          <w:p w14:paraId="12761093">
            <w:pPr>
              <w:pageBreakBefore w:val="0"/>
              <w:wordWrap/>
              <w:overflowPunct/>
              <w:topLinePunct w:val="0"/>
              <w:bidi w:val="0"/>
              <w:adjustRightInd w:val="0"/>
              <w:snapToGrid w:val="0"/>
              <w:spacing w:line="360" w:lineRule="auto"/>
              <w:jc w:val="left"/>
              <w:rPr>
                <w:rFonts w:hint="eastAsia" w:ascii="新宋体" w:hAnsi="新宋体" w:eastAsia="新宋体" w:cs="新宋体"/>
                <w:b/>
                <w:bCs/>
                <w:color w:val="auto"/>
                <w:szCs w:val="21"/>
                <w:highlight w:val="none"/>
              </w:rPr>
            </w:pPr>
            <w:r>
              <w:rPr>
                <w:rFonts w:hint="eastAsia" w:ascii="新宋体" w:hAnsi="新宋体" w:eastAsia="新宋体" w:cs="新宋体"/>
                <w:b/>
                <w:bCs/>
                <w:color w:val="auto"/>
                <w:szCs w:val="21"/>
                <w:highlight w:val="none"/>
              </w:rPr>
              <w:t>不提供、缺项、检测结果不符或检测依据不符的不得分，每项完全符合得2分，最多得</w:t>
            </w:r>
            <w:r>
              <w:rPr>
                <w:rFonts w:hint="eastAsia" w:ascii="新宋体" w:hAnsi="新宋体" w:eastAsia="新宋体" w:cs="新宋体"/>
                <w:b/>
                <w:bCs/>
                <w:color w:val="auto"/>
                <w:szCs w:val="21"/>
                <w:highlight w:val="none"/>
                <w:lang w:val="en-US" w:eastAsia="zh-CN"/>
              </w:rPr>
              <w:t>6</w:t>
            </w:r>
            <w:r>
              <w:rPr>
                <w:rFonts w:hint="eastAsia" w:ascii="新宋体" w:hAnsi="新宋体" w:eastAsia="新宋体" w:cs="新宋体"/>
                <w:b/>
                <w:bCs/>
                <w:color w:val="auto"/>
                <w:szCs w:val="21"/>
                <w:highlight w:val="none"/>
              </w:rPr>
              <w:t>分。</w:t>
            </w:r>
          </w:p>
          <w:p w14:paraId="6479722C">
            <w:pPr>
              <w:pageBreakBefore w:val="0"/>
              <w:wordWrap/>
              <w:overflowPunct/>
              <w:topLinePunct w:val="0"/>
              <w:bidi w:val="0"/>
              <w:adjustRightInd w:val="0"/>
              <w:snapToGrid w:val="0"/>
              <w:spacing w:line="360" w:lineRule="auto"/>
              <w:jc w:val="left"/>
              <w:rPr>
                <w:rFonts w:hint="eastAsia" w:ascii="新宋体" w:hAnsi="新宋体" w:eastAsia="新宋体" w:cs="新宋体"/>
                <w:color w:val="auto"/>
                <w:highlight w:val="none"/>
              </w:rPr>
            </w:pPr>
            <w:r>
              <w:rPr>
                <w:rFonts w:hint="eastAsia" w:ascii="新宋体" w:hAnsi="新宋体" w:eastAsia="新宋体" w:cs="新宋体"/>
                <w:b/>
                <w:bCs/>
                <w:color w:val="auto"/>
                <w:szCs w:val="21"/>
                <w:highlight w:val="none"/>
              </w:rPr>
              <w:t>以上检测报告须提供扫描件和全国认证认可信息公共服务平台官网（http://cx.cnca.cn/)查询截图（加盖投标单位公章），不提供的不计分。</w:t>
            </w:r>
          </w:p>
        </w:tc>
        <w:tc>
          <w:tcPr>
            <w:tcW w:w="775" w:type="dxa"/>
            <w:tcBorders>
              <w:top w:val="single" w:color="auto" w:sz="4" w:space="0"/>
              <w:left w:val="single" w:color="auto" w:sz="4" w:space="0"/>
              <w:bottom w:val="single" w:color="auto" w:sz="4" w:space="0"/>
              <w:right w:val="single" w:color="auto" w:sz="4" w:space="0"/>
            </w:tcBorders>
            <w:vAlign w:val="center"/>
          </w:tcPr>
          <w:p w14:paraId="1EDCF336">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lang w:val="en-US" w:eastAsia="zh-CN"/>
              </w:rPr>
            </w:pPr>
            <w:r>
              <w:rPr>
                <w:rFonts w:hint="eastAsia" w:ascii="新宋体" w:hAnsi="新宋体" w:eastAsia="新宋体" w:cs="新宋体"/>
                <w:color w:val="auto"/>
                <w:szCs w:val="21"/>
                <w:highlight w:val="none"/>
                <w:lang w:val="en-US" w:eastAsia="zh-CN"/>
              </w:rPr>
              <w:t>6</w:t>
            </w:r>
          </w:p>
        </w:tc>
        <w:tc>
          <w:tcPr>
            <w:tcW w:w="914" w:type="dxa"/>
            <w:tcBorders>
              <w:top w:val="single" w:color="auto" w:sz="4" w:space="0"/>
              <w:left w:val="single" w:color="auto" w:sz="4" w:space="0"/>
              <w:bottom w:val="single" w:color="auto" w:sz="4" w:space="0"/>
              <w:right w:val="single" w:color="auto" w:sz="4" w:space="0"/>
            </w:tcBorders>
            <w:vAlign w:val="center"/>
          </w:tcPr>
          <w:p w14:paraId="38CB0ADD">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客观分</w:t>
            </w:r>
          </w:p>
        </w:tc>
        <w:tc>
          <w:tcPr>
            <w:tcW w:w="1228" w:type="dxa"/>
            <w:tcBorders>
              <w:top w:val="single" w:color="auto" w:sz="4" w:space="0"/>
              <w:left w:val="single" w:color="auto" w:sz="4" w:space="0"/>
              <w:bottom w:val="single" w:color="auto" w:sz="4" w:space="0"/>
              <w:right w:val="single" w:color="auto" w:sz="4" w:space="0"/>
            </w:tcBorders>
            <w:vAlign w:val="center"/>
          </w:tcPr>
          <w:p w14:paraId="7F92DB29">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成品检测报告</w:t>
            </w:r>
          </w:p>
        </w:tc>
      </w:tr>
      <w:tr w14:paraId="031BC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trPr>
        <w:tc>
          <w:tcPr>
            <w:tcW w:w="668" w:type="dxa"/>
            <w:tcBorders>
              <w:top w:val="single" w:color="auto" w:sz="4" w:space="0"/>
              <w:left w:val="single" w:color="auto" w:sz="4" w:space="0"/>
              <w:bottom w:val="single" w:color="auto" w:sz="4" w:space="0"/>
              <w:right w:val="single" w:color="auto" w:sz="4" w:space="0"/>
            </w:tcBorders>
            <w:vAlign w:val="center"/>
          </w:tcPr>
          <w:p w14:paraId="6A96AC22">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3</w:t>
            </w:r>
          </w:p>
        </w:tc>
        <w:tc>
          <w:tcPr>
            <w:tcW w:w="6175" w:type="dxa"/>
            <w:tcBorders>
              <w:top w:val="single" w:color="auto" w:sz="4" w:space="0"/>
              <w:left w:val="single" w:color="auto" w:sz="4" w:space="0"/>
              <w:bottom w:val="single" w:color="auto" w:sz="4" w:space="0"/>
              <w:right w:val="single" w:color="auto" w:sz="4" w:space="0"/>
            </w:tcBorders>
            <w:vAlign w:val="center"/>
          </w:tcPr>
          <w:p w14:paraId="01BFC79D">
            <w:pPr>
              <w:spacing w:line="400" w:lineRule="exact"/>
              <w:jc w:val="left"/>
              <w:rPr>
                <w:rFonts w:ascii="宋体" w:hAnsi="宋体" w:cs="仿宋"/>
                <w:color w:val="auto"/>
                <w:szCs w:val="21"/>
                <w:highlight w:val="none"/>
              </w:rPr>
            </w:pPr>
            <w:r>
              <w:rPr>
                <w:rFonts w:hint="eastAsia" w:ascii="宋体" w:hAnsi="宋体" w:cs="仿宋"/>
                <w:color w:val="auto"/>
                <w:szCs w:val="21"/>
                <w:highlight w:val="none"/>
              </w:rPr>
              <w:t>原材料检测报告：投标人或产品制造商提供具备CMA资质</w:t>
            </w:r>
            <w:r>
              <w:rPr>
                <w:rFonts w:hint="eastAsia" w:ascii="宋体" w:hAnsi="宋体" w:cs="仿宋"/>
                <w:color w:val="auto"/>
                <w:szCs w:val="21"/>
                <w:highlight w:val="none"/>
                <w:lang w:val="en-US" w:eastAsia="zh-CN"/>
              </w:rPr>
              <w:t>的</w:t>
            </w:r>
            <w:r>
              <w:rPr>
                <w:rFonts w:hint="eastAsia" w:ascii="宋体" w:hAnsi="宋体" w:cs="仿宋"/>
                <w:color w:val="auto"/>
                <w:szCs w:val="21"/>
                <w:highlight w:val="none"/>
              </w:rPr>
              <w:t>第三方检测机构出具的原材料检测报告，材料供应商提供符合以下要求的检测报告也可采用，但必须提供供应商购买对应原材料的发票扫描件，其中核心技术指标评分内容如下：</w:t>
            </w:r>
          </w:p>
          <w:p w14:paraId="27ECEE16">
            <w:pPr>
              <w:numPr>
                <w:ilvl w:val="0"/>
                <w:numId w:val="4"/>
              </w:numPr>
              <w:spacing w:beforeLines="0" w:afterLines="0" w:line="400" w:lineRule="exact"/>
              <w:jc w:val="left"/>
              <w:rPr>
                <w:rFonts w:hint="default" w:ascii="宋体" w:hAnsi="宋体" w:eastAsia="宋体" w:cs="仿宋"/>
                <w:color w:val="auto"/>
                <w:sz w:val="21"/>
                <w:szCs w:val="21"/>
                <w:highlight w:val="none"/>
              </w:rPr>
            </w:pPr>
            <w:r>
              <w:rPr>
                <w:rFonts w:hint="default" w:ascii="宋体" w:hAnsi="宋体" w:eastAsia="宋体" w:cs="仿宋"/>
                <w:b/>
                <w:color w:val="auto"/>
                <w:sz w:val="21"/>
                <w:szCs w:val="21"/>
                <w:highlight w:val="none"/>
              </w:rPr>
              <w:t>油漆：</w:t>
            </w:r>
            <w:r>
              <w:rPr>
                <w:rFonts w:hint="default" w:ascii="宋体" w:hAnsi="宋体" w:eastAsia="宋体" w:cs="仿宋"/>
                <w:color w:val="auto"/>
                <w:sz w:val="21"/>
                <w:szCs w:val="21"/>
                <w:highlight w:val="none"/>
              </w:rPr>
              <w:t>依据GB18581-2020</w:t>
            </w:r>
            <w:r>
              <w:rPr>
                <w:rFonts w:hint="eastAsia" w:ascii="宋体" w:hAnsi="宋体" w:cs="仿宋"/>
                <w:color w:val="auto"/>
                <w:sz w:val="21"/>
                <w:szCs w:val="21"/>
                <w:highlight w:val="none"/>
                <w:lang w:val="en-US" w:eastAsia="zh-CN"/>
              </w:rPr>
              <w:t>或</w:t>
            </w:r>
            <w:r>
              <w:rPr>
                <w:rFonts w:hint="default" w:ascii="宋体" w:hAnsi="宋体" w:eastAsia="宋体" w:cs="仿宋"/>
                <w:color w:val="auto"/>
                <w:sz w:val="21"/>
                <w:szCs w:val="21"/>
                <w:highlight w:val="none"/>
              </w:rPr>
              <w:t>GB/T35602-2017或HJ2537-2014检测标准，其中VOC含量 ≤50g/L、甲醛含量≤10mg/kg、总铅(Pb)含量未检出、可溶性重金属（镉、铬、汞）未检出、乙二醇醚及醚酯总和含量未检出、苯系物总和含量未检出、烷基酚聚氧乙烯醚总和含量未检出；</w:t>
            </w:r>
          </w:p>
          <w:p w14:paraId="30849A96">
            <w:pPr>
              <w:spacing w:line="360" w:lineRule="auto"/>
              <w:outlineLvl w:val="0"/>
              <w:rPr>
                <w:rFonts w:ascii="宋体" w:hAnsi="宋体" w:cs="仿宋"/>
                <w:bCs/>
                <w:color w:val="auto"/>
                <w:szCs w:val="21"/>
                <w:highlight w:val="none"/>
              </w:rPr>
            </w:pPr>
            <w:r>
              <w:rPr>
                <w:rFonts w:hint="eastAsia" w:ascii="宋体" w:hAnsi="宋体" w:cs="仿宋"/>
                <w:b/>
                <w:bCs/>
                <w:color w:val="auto"/>
                <w:szCs w:val="21"/>
                <w:highlight w:val="none"/>
              </w:rPr>
              <w:t>2.多层板：</w:t>
            </w:r>
            <w:r>
              <w:rPr>
                <w:rFonts w:hint="eastAsia" w:ascii="宋体" w:hAnsi="宋体" w:cs="仿宋"/>
                <w:color w:val="auto"/>
                <w:szCs w:val="21"/>
                <w:highlight w:val="none"/>
              </w:rPr>
              <w:t>依据</w:t>
            </w:r>
            <w:r>
              <w:rPr>
                <w:rFonts w:hint="eastAsia" w:ascii="宋体" w:hAnsi="宋体" w:cs="仿宋"/>
                <w:strike w:val="0"/>
                <w:dstrike w:val="0"/>
                <w:color w:val="auto"/>
                <w:szCs w:val="21"/>
                <w:highlight w:val="none"/>
              </w:rPr>
              <w:t>GB/T 35601-2017</w:t>
            </w:r>
            <w:r>
              <w:rPr>
                <w:rFonts w:hint="eastAsia" w:ascii="宋体" w:hAnsi="宋体" w:cs="仿宋"/>
                <w:color w:val="auto"/>
                <w:szCs w:val="21"/>
                <w:highlight w:val="none"/>
              </w:rPr>
              <w:t>检测标准，检测项目包括甲醛释放量、TVOC、苯、甲苯、二甲苯，检测结果均符合标准要求。</w:t>
            </w:r>
          </w:p>
          <w:p w14:paraId="2E5E3500">
            <w:pPr>
              <w:spacing w:line="400" w:lineRule="exact"/>
              <w:jc w:val="left"/>
              <w:rPr>
                <w:rFonts w:ascii="宋体" w:hAnsi="宋体" w:cs="仿宋"/>
                <w:color w:val="auto"/>
                <w:szCs w:val="21"/>
                <w:highlight w:val="none"/>
              </w:rPr>
            </w:pPr>
            <w:r>
              <w:rPr>
                <w:rFonts w:hint="eastAsia" w:ascii="宋体" w:hAnsi="宋体" w:cs="仿宋"/>
                <w:b/>
                <w:bCs/>
                <w:color w:val="auto"/>
                <w:szCs w:val="21"/>
                <w:highlight w:val="none"/>
              </w:rPr>
              <w:t>3.PVC封边条：</w:t>
            </w:r>
            <w:r>
              <w:rPr>
                <w:rFonts w:hint="eastAsia" w:ascii="宋体" w:hAnsi="宋体" w:cs="仿宋"/>
                <w:color w:val="auto"/>
                <w:szCs w:val="21"/>
                <w:highlight w:val="none"/>
              </w:rPr>
              <w:t>依据QB/T4463-2013检测标准，耐干热性应无龟裂、无鼓泡。耐老化性应无开裂，耐冷热循环性应无龟裂、无鼓泡、无变色、无起皱</w:t>
            </w:r>
            <w:r>
              <w:rPr>
                <w:rFonts w:hint="eastAsia" w:ascii="宋体" w:hAnsi="宋体" w:cs="仿宋"/>
                <w:color w:val="auto"/>
                <w:szCs w:val="21"/>
                <w:highlight w:val="none"/>
                <w:lang w:eastAsia="zh-CN"/>
              </w:rPr>
              <w:t>。</w:t>
            </w:r>
            <w:r>
              <w:rPr>
                <w:rFonts w:hint="eastAsia" w:ascii="宋体" w:hAnsi="宋体" w:cs="仿宋"/>
                <w:color w:val="auto"/>
                <w:szCs w:val="21"/>
                <w:highlight w:val="none"/>
              </w:rPr>
              <w:t>甲醛释放量、邻苯二甲酸酯、可迁移元素：铅（Pb），镉（Cd），铬（Cr），汞（Hg），锑（Sb），钡（Ba），硒（Se），砷（As）符合要求。</w:t>
            </w:r>
          </w:p>
          <w:p w14:paraId="58A1E728">
            <w:pPr>
              <w:spacing w:line="400" w:lineRule="exact"/>
              <w:rPr>
                <w:rFonts w:hint="eastAsia" w:ascii="宋体" w:hAnsi="宋体" w:cs="仿宋_GB2312"/>
                <w:color w:val="auto"/>
                <w:szCs w:val="21"/>
                <w:highlight w:val="none"/>
              </w:rPr>
            </w:pPr>
            <w:r>
              <w:rPr>
                <w:rFonts w:hint="eastAsia" w:ascii="宋体" w:hAnsi="宋体" w:cs="仿宋"/>
                <w:b/>
                <w:bCs/>
                <w:color w:val="auto"/>
                <w:szCs w:val="21"/>
                <w:highlight w:val="none"/>
              </w:rPr>
              <w:t>4.网布：</w:t>
            </w:r>
            <w:r>
              <w:rPr>
                <w:rFonts w:ascii="宋体" w:hAnsi="宋体" w:cs="仿宋_GB2312"/>
                <w:color w:val="auto"/>
                <w:szCs w:val="21"/>
                <w:highlight w:val="none"/>
              </w:rPr>
              <w:t>依据GB 18401-2010</w:t>
            </w:r>
            <w:r>
              <w:rPr>
                <w:rFonts w:hint="eastAsia" w:ascii="宋体" w:hAnsi="宋体" w:cs="仿宋"/>
                <w:color w:val="auto"/>
                <w:szCs w:val="21"/>
                <w:highlight w:val="none"/>
              </w:rPr>
              <w:t>检测标准，</w:t>
            </w:r>
            <w:r>
              <w:rPr>
                <w:rFonts w:ascii="宋体" w:hAnsi="宋体" w:cs="仿宋_GB2312"/>
                <w:color w:val="auto"/>
                <w:szCs w:val="21"/>
                <w:highlight w:val="none"/>
              </w:rPr>
              <w:t>染色牢度-耐水色牢度、耐酸汗渍色牢度、耐碱汗渍色牢度、耐干摩擦色牢度≥3级，可分解致癌芳香胺染料未检出，无异味，甲醛含量</w:t>
            </w:r>
            <w:r>
              <w:rPr>
                <w:rFonts w:hint="eastAsia" w:ascii="宋体" w:hAnsi="宋体" w:cs="仿宋_GB2312"/>
                <w:color w:val="auto"/>
                <w:szCs w:val="21"/>
                <w:highlight w:val="none"/>
              </w:rPr>
              <w:t>≤20mg/kg；</w:t>
            </w:r>
          </w:p>
          <w:p w14:paraId="5EF93259">
            <w:pPr>
              <w:spacing w:line="400" w:lineRule="exact"/>
              <w:rPr>
                <w:rFonts w:hint="default" w:ascii="宋体" w:hAnsi="宋体" w:eastAsia="宋体" w:cs="仿宋_GB2312"/>
                <w:color w:val="auto"/>
                <w:szCs w:val="21"/>
                <w:highlight w:val="none"/>
                <w:lang w:val="en-US" w:eastAsia="zh-CN"/>
              </w:rPr>
            </w:pPr>
            <w:r>
              <w:rPr>
                <w:rFonts w:hint="eastAsia" w:ascii="宋体" w:hAnsi="宋体" w:cs="仿宋_GB2312"/>
                <w:b/>
                <w:bCs/>
                <w:color w:val="auto"/>
                <w:szCs w:val="21"/>
                <w:highlight w:val="none"/>
                <w:lang w:val="en-US" w:eastAsia="zh-CN"/>
              </w:rPr>
              <w:t>5.</w:t>
            </w:r>
            <w:r>
              <w:rPr>
                <w:rFonts w:hint="eastAsia" w:ascii="宋体" w:hAnsi="宋体" w:eastAsia="宋体" w:cs="宋体"/>
                <w:b/>
                <w:szCs w:val="21"/>
                <w:lang w:val="en-US" w:eastAsia="zh-CN" w:bidi="ar"/>
              </w:rPr>
              <w:t>胶水</w:t>
            </w:r>
            <w:r>
              <w:rPr>
                <w:rFonts w:hint="eastAsia" w:ascii="宋体" w:hAnsi="宋体" w:eastAsia="宋体" w:cs="宋体"/>
                <w:b/>
                <w:szCs w:val="21"/>
                <w:lang w:bidi="ar"/>
              </w:rPr>
              <w:t>：</w:t>
            </w:r>
            <w:r>
              <w:rPr>
                <w:rFonts w:hint="eastAsia" w:ascii="宋体" w:hAnsi="宋体" w:eastAsia="宋体" w:cs="宋体"/>
                <w:bCs/>
                <w:szCs w:val="21"/>
                <w:lang w:val="en-US" w:eastAsia="zh-CN" w:bidi="ar"/>
              </w:rPr>
              <w:t>依据</w:t>
            </w:r>
            <w:r>
              <w:rPr>
                <w:rFonts w:hint="eastAsia" w:ascii="宋体" w:hAnsi="宋体" w:eastAsia="宋体" w:cs="宋体"/>
                <w:bCs/>
                <w:szCs w:val="21"/>
                <w:lang w:bidi="ar"/>
              </w:rPr>
              <w:t>GB 18583-2008标准的检测内容需符合标准要求。检测内容包含：游离甲醛含量、苯、甲苯、二甲苯含量、总挥发性有机物。</w:t>
            </w:r>
          </w:p>
          <w:p w14:paraId="6F8C64C1">
            <w:pPr>
              <w:spacing w:line="400" w:lineRule="exact"/>
              <w:jc w:val="left"/>
              <w:rPr>
                <w:rFonts w:ascii="宋体" w:hAnsi="宋体" w:cs="仿宋"/>
                <w:b/>
                <w:bCs/>
                <w:color w:val="auto"/>
                <w:szCs w:val="21"/>
                <w:highlight w:val="none"/>
              </w:rPr>
            </w:pPr>
            <w:r>
              <w:rPr>
                <w:rFonts w:hint="eastAsia" w:ascii="宋体" w:hAnsi="宋体" w:cs="仿宋"/>
                <w:b/>
                <w:bCs/>
                <w:color w:val="auto"/>
                <w:szCs w:val="21"/>
                <w:highlight w:val="none"/>
              </w:rPr>
              <w:t>不提供、缺项、检测结果不符或检测依据不符的不得分，每项完全符合得2分，最多得</w:t>
            </w:r>
            <w:r>
              <w:rPr>
                <w:rFonts w:hint="eastAsia" w:ascii="宋体" w:hAnsi="宋体" w:cs="仿宋"/>
                <w:b/>
                <w:bCs/>
                <w:color w:val="auto"/>
                <w:szCs w:val="21"/>
                <w:highlight w:val="none"/>
                <w:lang w:val="en-US" w:eastAsia="zh-CN"/>
              </w:rPr>
              <w:t>10</w:t>
            </w:r>
            <w:r>
              <w:rPr>
                <w:rFonts w:hint="eastAsia" w:ascii="宋体" w:hAnsi="宋体" w:cs="仿宋"/>
                <w:b/>
                <w:bCs/>
                <w:color w:val="auto"/>
                <w:szCs w:val="21"/>
                <w:highlight w:val="none"/>
              </w:rPr>
              <w:t>分。</w:t>
            </w:r>
          </w:p>
          <w:p w14:paraId="51EFBDBA">
            <w:pPr>
              <w:pageBreakBefore w:val="0"/>
              <w:wordWrap/>
              <w:overflowPunct/>
              <w:topLinePunct w:val="0"/>
              <w:bidi w:val="0"/>
              <w:adjustRightInd w:val="0"/>
              <w:snapToGrid w:val="0"/>
              <w:spacing w:line="360" w:lineRule="auto"/>
              <w:jc w:val="left"/>
              <w:rPr>
                <w:rFonts w:hint="eastAsia" w:ascii="新宋体" w:hAnsi="新宋体" w:eastAsia="新宋体" w:cs="新宋体"/>
                <w:color w:val="auto"/>
                <w:highlight w:val="none"/>
              </w:rPr>
            </w:pPr>
            <w:r>
              <w:rPr>
                <w:rFonts w:hint="eastAsia" w:ascii="宋体" w:hAnsi="宋体" w:cs="仿宋"/>
                <w:b/>
                <w:bCs/>
                <w:color w:val="auto"/>
                <w:szCs w:val="21"/>
                <w:highlight w:val="none"/>
              </w:rPr>
              <w:t>以上检测报告须提供扫描件和全国认证认可信息公共服务平台官网（http://cx.cnca.cn/)查询截图（加盖投标单位公章），不提供的不计分。</w:t>
            </w:r>
          </w:p>
        </w:tc>
        <w:tc>
          <w:tcPr>
            <w:tcW w:w="775" w:type="dxa"/>
            <w:tcBorders>
              <w:top w:val="single" w:color="auto" w:sz="4" w:space="0"/>
              <w:left w:val="single" w:color="auto" w:sz="4" w:space="0"/>
              <w:bottom w:val="single" w:color="auto" w:sz="4" w:space="0"/>
              <w:right w:val="single" w:color="auto" w:sz="4" w:space="0"/>
            </w:tcBorders>
            <w:vAlign w:val="center"/>
          </w:tcPr>
          <w:p w14:paraId="3CE6BD0C">
            <w:pPr>
              <w:pageBreakBefore w:val="0"/>
              <w:wordWrap/>
              <w:overflowPunct/>
              <w:topLinePunct w:val="0"/>
              <w:bidi w:val="0"/>
              <w:adjustRightInd w:val="0"/>
              <w:snapToGrid w:val="0"/>
              <w:spacing w:line="360" w:lineRule="auto"/>
              <w:jc w:val="center"/>
              <w:rPr>
                <w:rFonts w:hint="default" w:ascii="新宋体" w:hAnsi="新宋体" w:eastAsia="新宋体" w:cs="新宋体"/>
                <w:color w:val="auto"/>
                <w:szCs w:val="21"/>
                <w:highlight w:val="none"/>
                <w:lang w:val="en-US" w:eastAsia="zh-CN"/>
              </w:rPr>
            </w:pPr>
            <w:r>
              <w:rPr>
                <w:rFonts w:hint="eastAsia" w:ascii="新宋体" w:hAnsi="新宋体" w:eastAsia="新宋体" w:cs="新宋体"/>
                <w:color w:val="auto"/>
                <w:szCs w:val="21"/>
                <w:highlight w:val="none"/>
                <w:lang w:val="en-US" w:eastAsia="zh-CN"/>
              </w:rPr>
              <w:t>10</w:t>
            </w:r>
          </w:p>
        </w:tc>
        <w:tc>
          <w:tcPr>
            <w:tcW w:w="914" w:type="dxa"/>
            <w:tcBorders>
              <w:top w:val="single" w:color="auto" w:sz="4" w:space="0"/>
              <w:left w:val="single" w:color="auto" w:sz="4" w:space="0"/>
              <w:bottom w:val="single" w:color="auto" w:sz="4" w:space="0"/>
              <w:right w:val="single" w:color="auto" w:sz="4" w:space="0"/>
            </w:tcBorders>
            <w:vAlign w:val="center"/>
          </w:tcPr>
          <w:p w14:paraId="230AA972">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客观分</w:t>
            </w:r>
          </w:p>
        </w:tc>
        <w:tc>
          <w:tcPr>
            <w:tcW w:w="1228" w:type="dxa"/>
            <w:tcBorders>
              <w:top w:val="single" w:color="auto" w:sz="4" w:space="0"/>
              <w:left w:val="single" w:color="auto" w:sz="4" w:space="0"/>
              <w:bottom w:val="single" w:color="auto" w:sz="4" w:space="0"/>
              <w:right w:val="single" w:color="auto" w:sz="4" w:space="0"/>
            </w:tcBorders>
            <w:vAlign w:val="center"/>
          </w:tcPr>
          <w:p w14:paraId="0977C125">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原材料检测报告</w:t>
            </w:r>
          </w:p>
        </w:tc>
      </w:tr>
      <w:tr w14:paraId="562D1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8" w:type="dxa"/>
            <w:tcBorders>
              <w:top w:val="single" w:color="auto" w:sz="4" w:space="0"/>
              <w:left w:val="single" w:color="auto" w:sz="4" w:space="0"/>
              <w:bottom w:val="single" w:color="auto" w:sz="4" w:space="0"/>
              <w:right w:val="single" w:color="auto" w:sz="4" w:space="0"/>
            </w:tcBorders>
            <w:vAlign w:val="center"/>
          </w:tcPr>
          <w:p w14:paraId="0471B243">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4</w:t>
            </w:r>
          </w:p>
        </w:tc>
        <w:tc>
          <w:tcPr>
            <w:tcW w:w="6175" w:type="dxa"/>
            <w:tcBorders>
              <w:top w:val="single" w:color="auto" w:sz="4" w:space="0"/>
              <w:left w:val="single" w:color="auto" w:sz="4" w:space="0"/>
              <w:bottom w:val="single" w:color="auto" w:sz="4" w:space="0"/>
              <w:right w:val="single" w:color="auto" w:sz="4" w:space="0"/>
            </w:tcBorders>
            <w:vAlign w:val="top"/>
          </w:tcPr>
          <w:p w14:paraId="27C49C87">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完全响应招标文件采购需求的得</w:t>
            </w:r>
            <w:r>
              <w:rPr>
                <w:rFonts w:hint="eastAsia" w:ascii="新宋体" w:hAnsi="新宋体" w:eastAsia="新宋体" w:cs="新宋体"/>
                <w:color w:val="auto"/>
                <w:szCs w:val="21"/>
                <w:highlight w:val="none"/>
                <w:lang w:val="en-US" w:eastAsia="zh-CN"/>
              </w:rPr>
              <w:t>6</w:t>
            </w:r>
            <w:r>
              <w:rPr>
                <w:rFonts w:hint="eastAsia" w:ascii="新宋体" w:hAnsi="新宋体" w:eastAsia="新宋体" w:cs="新宋体"/>
                <w:color w:val="auto"/>
                <w:szCs w:val="21"/>
                <w:highlight w:val="none"/>
              </w:rPr>
              <w:t>分，有一项不符合扣0.5分，扣完为止。（</w:t>
            </w:r>
            <w:r>
              <w:rPr>
                <w:rFonts w:hint="eastAsia" w:ascii="新宋体" w:hAnsi="新宋体" w:eastAsia="新宋体" w:cs="新宋体"/>
                <w:b/>
                <w:bCs/>
                <w:color w:val="auto"/>
                <w:szCs w:val="21"/>
                <w:highlight w:val="none"/>
              </w:rPr>
              <w:t>样品评分涉及技术参数除外）</w:t>
            </w:r>
          </w:p>
        </w:tc>
        <w:tc>
          <w:tcPr>
            <w:tcW w:w="775" w:type="dxa"/>
            <w:tcBorders>
              <w:top w:val="single" w:color="auto" w:sz="4" w:space="0"/>
              <w:left w:val="single" w:color="auto" w:sz="4" w:space="0"/>
              <w:bottom w:val="single" w:color="auto" w:sz="4" w:space="0"/>
              <w:right w:val="single" w:color="auto" w:sz="4" w:space="0"/>
            </w:tcBorders>
            <w:vAlign w:val="center"/>
          </w:tcPr>
          <w:p w14:paraId="1BE5A734">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lang w:eastAsia="zh-CN"/>
              </w:rPr>
            </w:pPr>
            <w:r>
              <w:rPr>
                <w:rFonts w:hint="eastAsia" w:ascii="新宋体" w:hAnsi="新宋体" w:eastAsia="新宋体" w:cs="新宋体"/>
                <w:color w:val="auto"/>
                <w:szCs w:val="21"/>
                <w:highlight w:val="none"/>
                <w:lang w:val="en-US" w:eastAsia="zh-CN"/>
              </w:rPr>
              <w:t>6</w:t>
            </w:r>
          </w:p>
        </w:tc>
        <w:tc>
          <w:tcPr>
            <w:tcW w:w="914" w:type="dxa"/>
            <w:tcBorders>
              <w:top w:val="single" w:color="auto" w:sz="4" w:space="0"/>
              <w:left w:val="single" w:color="auto" w:sz="4" w:space="0"/>
              <w:bottom w:val="single" w:color="auto" w:sz="4" w:space="0"/>
              <w:right w:val="single" w:color="auto" w:sz="4" w:space="0"/>
            </w:tcBorders>
            <w:vAlign w:val="center"/>
          </w:tcPr>
          <w:p w14:paraId="4577F8C2">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客观分</w:t>
            </w:r>
          </w:p>
        </w:tc>
        <w:tc>
          <w:tcPr>
            <w:tcW w:w="1228" w:type="dxa"/>
            <w:tcBorders>
              <w:top w:val="single" w:color="auto" w:sz="4" w:space="0"/>
              <w:left w:val="single" w:color="auto" w:sz="4" w:space="0"/>
              <w:bottom w:val="single" w:color="auto" w:sz="4" w:space="0"/>
              <w:right w:val="single" w:color="auto" w:sz="4" w:space="0"/>
            </w:tcBorders>
            <w:vAlign w:val="center"/>
          </w:tcPr>
          <w:p w14:paraId="63DC4200">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技术偏离</w:t>
            </w:r>
          </w:p>
        </w:tc>
      </w:tr>
      <w:tr w14:paraId="0C283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68" w:type="dxa"/>
            <w:tcBorders>
              <w:top w:val="single" w:color="auto" w:sz="4" w:space="0"/>
              <w:left w:val="single" w:color="auto" w:sz="4" w:space="0"/>
              <w:bottom w:val="single" w:color="auto" w:sz="4" w:space="0"/>
              <w:right w:val="single" w:color="auto" w:sz="4" w:space="0"/>
            </w:tcBorders>
            <w:vAlign w:val="center"/>
          </w:tcPr>
          <w:p w14:paraId="261005F8">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5</w:t>
            </w:r>
          </w:p>
        </w:tc>
        <w:tc>
          <w:tcPr>
            <w:tcW w:w="6175" w:type="dxa"/>
            <w:tcBorders>
              <w:top w:val="single" w:color="auto" w:sz="4" w:space="0"/>
              <w:left w:val="single" w:color="auto" w:sz="4" w:space="0"/>
              <w:bottom w:val="single" w:color="auto" w:sz="4" w:space="0"/>
              <w:right w:val="single" w:color="auto" w:sz="4" w:space="0"/>
            </w:tcBorders>
            <w:vAlign w:val="center"/>
          </w:tcPr>
          <w:p w14:paraId="6FB20333">
            <w:pPr>
              <w:pageBreakBefore w:val="0"/>
              <w:widowControl/>
              <w:wordWrap/>
              <w:overflowPunct/>
              <w:topLinePunct w:val="0"/>
              <w:bidi w:val="0"/>
              <w:adjustRightInd w:val="0"/>
              <w:snapToGrid w:val="0"/>
              <w:spacing w:line="360" w:lineRule="auto"/>
              <w:jc w:val="left"/>
              <w:textAlignment w:val="center"/>
              <w:rPr>
                <w:rFonts w:hint="eastAsia" w:ascii="新宋体" w:hAnsi="新宋体" w:eastAsia="新宋体" w:cs="新宋体"/>
                <w:color w:val="auto"/>
                <w:spacing w:val="11"/>
                <w:kern w:val="0"/>
                <w:szCs w:val="21"/>
                <w:highlight w:val="none"/>
              </w:rPr>
            </w:pPr>
            <w:r>
              <w:rPr>
                <w:rFonts w:hint="eastAsia" w:ascii="新宋体" w:hAnsi="新宋体" w:eastAsia="新宋体" w:cs="新宋体"/>
                <w:b/>
                <w:bCs/>
                <w:color w:val="auto"/>
                <w:spacing w:val="11"/>
                <w:kern w:val="0"/>
                <w:szCs w:val="21"/>
                <w:highlight w:val="none"/>
                <w:lang w:val="en-US" w:eastAsia="zh-CN"/>
              </w:rPr>
              <w:t>制造商</w:t>
            </w:r>
            <w:r>
              <w:rPr>
                <w:rFonts w:hint="eastAsia" w:ascii="新宋体" w:hAnsi="新宋体" w:eastAsia="新宋体" w:cs="新宋体"/>
                <w:b/>
                <w:bCs/>
                <w:color w:val="auto"/>
                <w:spacing w:val="11"/>
                <w:kern w:val="0"/>
                <w:szCs w:val="21"/>
                <w:highlight w:val="none"/>
              </w:rPr>
              <w:t>具有的能保证制造产品品质所需要的生产设备：</w:t>
            </w:r>
            <w:r>
              <w:rPr>
                <w:rFonts w:hint="eastAsia" w:ascii="新宋体" w:hAnsi="新宋体" w:eastAsia="新宋体" w:cs="新宋体"/>
                <w:color w:val="auto"/>
                <w:spacing w:val="11"/>
                <w:kern w:val="0"/>
                <w:szCs w:val="21"/>
                <w:highlight w:val="none"/>
              </w:rPr>
              <w:t>电子开料锯，木工镂铣床(立式镂铣机)，双端开榫机(卧式双端榫槽机)，数控榫槽机(数控开榫机)，计算机数控多功能加工中心(加工中心)，UV 漆喷涂生产线(包括输送机，流平干燥机)，封边机，数控裁板锯，热压机，数控钻孔中心(智能木工钻铣加工中心)，多排钻，冷压机，拼板机，砂光机，（设备名称允许不同，但设备使用功能需一致</w:t>
            </w:r>
            <w:r>
              <w:rPr>
                <w:rFonts w:hint="eastAsia"/>
                <w:highlight w:val="none"/>
                <w:lang w:eastAsia="zh-CN"/>
              </w:rPr>
              <w:t>，</w:t>
            </w:r>
            <w:r>
              <w:rPr>
                <w:rFonts w:hint="eastAsia"/>
                <w:highlight w:val="none"/>
                <w:lang w:val="en-US" w:eastAsia="zh-CN"/>
              </w:rPr>
              <w:t>并提供使用功能书面说明</w:t>
            </w:r>
            <w:r>
              <w:rPr>
                <w:rFonts w:hint="eastAsia" w:ascii="新宋体" w:hAnsi="新宋体" w:eastAsia="新宋体" w:cs="新宋体"/>
                <w:color w:val="auto"/>
                <w:spacing w:val="11"/>
                <w:kern w:val="0"/>
                <w:szCs w:val="21"/>
                <w:highlight w:val="none"/>
              </w:rPr>
              <w:t>）</w:t>
            </w:r>
          </w:p>
          <w:p w14:paraId="597E95AA">
            <w:pPr>
              <w:pageBreakBefore w:val="0"/>
              <w:widowControl/>
              <w:wordWrap/>
              <w:overflowPunct/>
              <w:topLinePunct w:val="0"/>
              <w:bidi w:val="0"/>
              <w:adjustRightInd w:val="0"/>
              <w:snapToGrid w:val="0"/>
              <w:spacing w:line="360" w:lineRule="auto"/>
              <w:jc w:val="left"/>
              <w:textAlignment w:val="center"/>
              <w:rPr>
                <w:rFonts w:hint="eastAsia" w:ascii="新宋体" w:hAnsi="新宋体" w:eastAsia="新宋体" w:cs="新宋体"/>
                <w:color w:val="auto"/>
                <w:spacing w:val="11"/>
                <w:kern w:val="0"/>
                <w:szCs w:val="21"/>
                <w:highlight w:val="none"/>
              </w:rPr>
            </w:pPr>
            <w:r>
              <w:rPr>
                <w:rFonts w:hint="eastAsia" w:ascii="新宋体" w:hAnsi="新宋体" w:eastAsia="新宋体" w:cs="新宋体"/>
                <w:color w:val="auto"/>
                <w:spacing w:val="11"/>
                <w:kern w:val="0"/>
                <w:szCs w:val="21"/>
                <w:highlight w:val="none"/>
              </w:rPr>
              <w:t>以上生产设备每项设备得0.5分，最高得7分。</w:t>
            </w:r>
          </w:p>
          <w:p w14:paraId="41FDE5F2">
            <w:pPr>
              <w:pageBreakBefore w:val="0"/>
              <w:widowControl/>
              <w:wordWrap/>
              <w:overflowPunct/>
              <w:topLinePunct w:val="0"/>
              <w:bidi w:val="0"/>
              <w:adjustRightInd w:val="0"/>
              <w:snapToGrid w:val="0"/>
              <w:spacing w:line="360" w:lineRule="auto"/>
              <w:jc w:val="left"/>
              <w:textAlignment w:val="center"/>
              <w:rPr>
                <w:rFonts w:hint="eastAsia" w:ascii="新宋体" w:hAnsi="新宋体" w:eastAsia="新宋体" w:cs="新宋体"/>
                <w:color w:val="auto"/>
                <w:szCs w:val="21"/>
                <w:highlight w:val="none"/>
                <w:lang w:eastAsia="zh-CN"/>
              </w:rPr>
            </w:pPr>
            <w:r>
              <w:rPr>
                <w:rFonts w:hint="eastAsia" w:ascii="新宋体" w:hAnsi="新宋体" w:eastAsia="新宋体" w:cs="新宋体"/>
                <w:b/>
                <w:bCs/>
                <w:color w:val="auto"/>
                <w:spacing w:val="11"/>
                <w:kern w:val="0"/>
                <w:szCs w:val="21"/>
                <w:highlight w:val="none"/>
              </w:rPr>
              <w:t>为确保设备已经在投入使用，需提供有效证明材料：提供设备照片及购置发票扫描件（或者租赁协议及发票），材料不提供或不完整视为缺少该项设备</w:t>
            </w:r>
            <w:r>
              <w:rPr>
                <w:rFonts w:hint="eastAsia" w:ascii="新宋体" w:hAnsi="新宋体" w:eastAsia="新宋体" w:cs="新宋体"/>
                <w:b/>
                <w:bCs/>
                <w:color w:val="auto"/>
                <w:spacing w:val="11"/>
                <w:kern w:val="0"/>
                <w:szCs w:val="21"/>
                <w:highlight w:val="none"/>
                <w:lang w:eastAsia="zh-CN"/>
              </w:rPr>
              <w:t>。</w:t>
            </w:r>
          </w:p>
        </w:tc>
        <w:tc>
          <w:tcPr>
            <w:tcW w:w="775" w:type="dxa"/>
            <w:tcBorders>
              <w:top w:val="single" w:color="auto" w:sz="4" w:space="0"/>
              <w:left w:val="single" w:color="auto" w:sz="4" w:space="0"/>
              <w:bottom w:val="single" w:color="auto" w:sz="4" w:space="0"/>
              <w:right w:val="single" w:color="auto" w:sz="4" w:space="0"/>
            </w:tcBorders>
            <w:vAlign w:val="center"/>
          </w:tcPr>
          <w:p w14:paraId="09C2C66B">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7</w:t>
            </w:r>
          </w:p>
        </w:tc>
        <w:tc>
          <w:tcPr>
            <w:tcW w:w="914" w:type="dxa"/>
            <w:tcBorders>
              <w:top w:val="single" w:color="auto" w:sz="4" w:space="0"/>
              <w:left w:val="single" w:color="auto" w:sz="4" w:space="0"/>
              <w:bottom w:val="single" w:color="auto" w:sz="4" w:space="0"/>
              <w:right w:val="single" w:color="auto" w:sz="4" w:space="0"/>
            </w:tcBorders>
            <w:vAlign w:val="center"/>
          </w:tcPr>
          <w:p w14:paraId="4066E369">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客观分</w:t>
            </w:r>
          </w:p>
        </w:tc>
        <w:tc>
          <w:tcPr>
            <w:tcW w:w="1228" w:type="dxa"/>
            <w:tcBorders>
              <w:top w:val="single" w:color="auto" w:sz="4" w:space="0"/>
              <w:left w:val="single" w:color="auto" w:sz="4" w:space="0"/>
              <w:bottom w:val="single" w:color="auto" w:sz="4" w:space="0"/>
              <w:right w:val="single" w:color="auto" w:sz="4" w:space="0"/>
            </w:tcBorders>
            <w:vAlign w:val="center"/>
          </w:tcPr>
          <w:p w14:paraId="0BA76DC7">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核心专业生产设备</w:t>
            </w:r>
          </w:p>
        </w:tc>
      </w:tr>
      <w:tr w14:paraId="3A5A2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2" w:hRule="atLeast"/>
        </w:trPr>
        <w:tc>
          <w:tcPr>
            <w:tcW w:w="668" w:type="dxa"/>
            <w:tcBorders>
              <w:top w:val="single" w:color="auto" w:sz="4" w:space="0"/>
              <w:left w:val="single" w:color="auto" w:sz="4" w:space="0"/>
              <w:bottom w:val="single" w:color="auto" w:sz="4" w:space="0"/>
              <w:right w:val="single" w:color="auto" w:sz="4" w:space="0"/>
            </w:tcBorders>
            <w:vAlign w:val="center"/>
          </w:tcPr>
          <w:p w14:paraId="4A405361">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6</w:t>
            </w:r>
          </w:p>
        </w:tc>
        <w:tc>
          <w:tcPr>
            <w:tcW w:w="6175" w:type="dxa"/>
            <w:tcBorders>
              <w:top w:val="single" w:color="auto" w:sz="4" w:space="0"/>
              <w:left w:val="single" w:color="auto" w:sz="4" w:space="0"/>
              <w:bottom w:val="single" w:color="auto" w:sz="4" w:space="0"/>
              <w:right w:val="single" w:color="auto" w:sz="4" w:space="0"/>
            </w:tcBorders>
            <w:vAlign w:val="top"/>
          </w:tcPr>
          <w:p w14:paraId="1F80560B">
            <w:pPr>
              <w:snapToGrid w:val="0"/>
              <w:spacing w:line="360" w:lineRule="auto"/>
              <w:jc w:val="left"/>
              <w:rPr>
                <w:rFonts w:ascii="宋体" w:hAnsi="宋体" w:cs="仿宋"/>
                <w:color w:val="auto"/>
                <w:szCs w:val="21"/>
                <w:highlight w:val="none"/>
              </w:rPr>
            </w:pPr>
            <w:r>
              <w:rPr>
                <w:rFonts w:hint="eastAsia" w:ascii="宋体" w:hAnsi="宋体" w:cs="仿宋"/>
                <w:color w:val="auto"/>
                <w:szCs w:val="21"/>
                <w:highlight w:val="none"/>
              </w:rPr>
              <w:t>1.投标人需要提供合理的项目整体实施方案，能按照项目分解节点并可跟踪实施，根据内容完整度以及与采购需求的符合程度评分，内容完整详细、针对性强、完全符合采购需求的得2分，内容全面、但针对性一般、符合采购需求的得1分，内容欠缺、无针对性、基本满足采购需求的得0.5分，内容混乱，不满足采购需求的不得分；</w:t>
            </w:r>
          </w:p>
          <w:p w14:paraId="4D513732">
            <w:pPr>
              <w:snapToGrid w:val="0"/>
              <w:spacing w:line="360" w:lineRule="auto"/>
              <w:jc w:val="left"/>
              <w:rPr>
                <w:rFonts w:ascii="宋体" w:hAnsi="宋体" w:cs="仿宋"/>
                <w:color w:val="auto"/>
                <w:szCs w:val="21"/>
                <w:highlight w:val="none"/>
              </w:rPr>
            </w:pPr>
            <w:r>
              <w:rPr>
                <w:rFonts w:hint="eastAsia" w:ascii="宋体" w:hAnsi="宋体" w:cs="仿宋"/>
                <w:color w:val="auto"/>
                <w:szCs w:val="21"/>
                <w:highlight w:val="none"/>
              </w:rPr>
              <w:t>2.投标人需要提供生产实施方案，包括原材料采购、加工制作等各个环节的实施方案，在规定的时间内有计划的完成项目需求产品的生产和装配，根据内容完整度以及与采购需求的符合程度评分，内容完整详细、针对性强、完全符合采购需求的得2分，内容全面、但针对性一般、符合采购需求的得1分，内容欠缺、无针对性、基本满足采购需求的得0.5分，内容混乱，不满足采购需求的不得分；</w:t>
            </w:r>
          </w:p>
          <w:p w14:paraId="2371BA63">
            <w:pPr>
              <w:snapToGrid w:val="0"/>
              <w:spacing w:line="360" w:lineRule="auto"/>
              <w:jc w:val="left"/>
              <w:rPr>
                <w:rFonts w:ascii="宋体" w:hAnsi="宋体" w:cs="仿宋"/>
                <w:color w:val="auto"/>
                <w:szCs w:val="21"/>
                <w:highlight w:val="none"/>
              </w:rPr>
            </w:pPr>
            <w:r>
              <w:rPr>
                <w:rFonts w:hint="eastAsia" w:ascii="宋体" w:hAnsi="宋体" w:cs="仿宋"/>
                <w:color w:val="auto"/>
                <w:szCs w:val="21"/>
                <w:highlight w:val="none"/>
              </w:rPr>
              <w:t>3.投标人需要提供品控管理方案，对产品品质有管理管控过程，有独立品管部门和专门品管人员，确保产品生产过程中的质量控制完善，根据内容完整度以及与采购需求的符合程度评分，内容完整详细、针对性强、完全符合采购需求的得2分，内容全面、但针对性一般、符合采购需求的得1分，内容欠缺、无针对性、基本满足采购需求的得0.5分，内容混乱，不满足采购需求的不得分；</w:t>
            </w:r>
          </w:p>
          <w:p w14:paraId="7B6ACAC2">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lang w:val="en-US" w:eastAsia="zh-CN"/>
              </w:rPr>
            </w:pPr>
            <w:r>
              <w:rPr>
                <w:rFonts w:hint="eastAsia" w:ascii="宋体" w:hAnsi="宋体" w:cs="仿宋"/>
                <w:color w:val="auto"/>
                <w:szCs w:val="21"/>
                <w:highlight w:val="none"/>
              </w:rPr>
              <w:t>4.投标人需要提供安装服务实施方案，根据货物交付时间节点，落实送货安装时间和人员安排，确保按期交付使用，根据内容完整度以及与采购需求的符合程度评分，内容完整详细、针对性强、完全符合采购需求的得2分，内容全面、但针对性一般、符合采购需求的得1分，内容欠缺、无针对性、基本满足采购需求的得0.5分，内容混乱，不满足采购需求的不得分；</w:t>
            </w:r>
          </w:p>
        </w:tc>
        <w:tc>
          <w:tcPr>
            <w:tcW w:w="775" w:type="dxa"/>
            <w:tcBorders>
              <w:top w:val="single" w:color="auto" w:sz="4" w:space="0"/>
              <w:left w:val="single" w:color="auto" w:sz="4" w:space="0"/>
              <w:bottom w:val="single" w:color="auto" w:sz="4" w:space="0"/>
              <w:right w:val="single" w:color="auto" w:sz="4" w:space="0"/>
            </w:tcBorders>
            <w:vAlign w:val="center"/>
          </w:tcPr>
          <w:p w14:paraId="0B86E98B">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lang w:val="en-US" w:eastAsia="zh-CN"/>
              </w:rPr>
            </w:pPr>
            <w:r>
              <w:rPr>
                <w:rFonts w:hint="eastAsia" w:ascii="新宋体" w:hAnsi="新宋体" w:eastAsia="新宋体" w:cs="新宋体"/>
                <w:color w:val="auto"/>
                <w:szCs w:val="21"/>
                <w:highlight w:val="none"/>
                <w:lang w:val="en-US" w:eastAsia="zh-CN"/>
              </w:rPr>
              <w:t>8</w:t>
            </w:r>
          </w:p>
        </w:tc>
        <w:tc>
          <w:tcPr>
            <w:tcW w:w="914" w:type="dxa"/>
            <w:tcBorders>
              <w:top w:val="single" w:color="auto" w:sz="4" w:space="0"/>
              <w:left w:val="single" w:color="auto" w:sz="4" w:space="0"/>
              <w:bottom w:val="single" w:color="auto" w:sz="4" w:space="0"/>
              <w:right w:val="single" w:color="auto" w:sz="4" w:space="0"/>
            </w:tcBorders>
            <w:vAlign w:val="center"/>
          </w:tcPr>
          <w:p w14:paraId="004BC372">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主观分</w:t>
            </w:r>
          </w:p>
        </w:tc>
        <w:tc>
          <w:tcPr>
            <w:tcW w:w="1228" w:type="dxa"/>
            <w:tcBorders>
              <w:top w:val="single" w:color="auto" w:sz="4" w:space="0"/>
              <w:left w:val="single" w:color="auto" w:sz="4" w:space="0"/>
              <w:bottom w:val="single" w:color="auto" w:sz="4" w:space="0"/>
              <w:right w:val="single" w:color="auto" w:sz="4" w:space="0"/>
            </w:tcBorders>
            <w:vAlign w:val="center"/>
          </w:tcPr>
          <w:p w14:paraId="7C54AF42">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方案</w:t>
            </w:r>
          </w:p>
        </w:tc>
      </w:tr>
      <w:tr w14:paraId="1C837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668" w:type="dxa"/>
            <w:tcBorders>
              <w:top w:val="single" w:color="auto" w:sz="4" w:space="0"/>
              <w:left w:val="single" w:color="auto" w:sz="4" w:space="0"/>
              <w:bottom w:val="single" w:color="auto" w:sz="4" w:space="0"/>
              <w:right w:val="single" w:color="auto" w:sz="4" w:space="0"/>
            </w:tcBorders>
            <w:vAlign w:val="center"/>
          </w:tcPr>
          <w:p w14:paraId="20A46282">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7</w:t>
            </w:r>
          </w:p>
        </w:tc>
        <w:tc>
          <w:tcPr>
            <w:tcW w:w="6175" w:type="dxa"/>
            <w:tcBorders>
              <w:top w:val="single" w:color="auto" w:sz="4" w:space="0"/>
              <w:left w:val="single" w:color="auto" w:sz="4" w:space="0"/>
              <w:bottom w:val="single" w:color="auto" w:sz="4" w:space="0"/>
              <w:right w:val="single" w:color="auto" w:sz="4" w:space="0"/>
            </w:tcBorders>
            <w:vAlign w:val="top"/>
          </w:tcPr>
          <w:p w14:paraId="015DCAF7">
            <w:pPr>
              <w:pageBreakBefore w:val="0"/>
              <w:widowControl/>
              <w:tabs>
                <w:tab w:val="left" w:pos="425"/>
              </w:tabs>
              <w:kinsoku w:val="0"/>
              <w:wordWrap/>
              <w:overflowPunct/>
              <w:topLinePunct w:val="0"/>
              <w:autoSpaceDE w:val="0"/>
              <w:autoSpaceDN w:val="0"/>
              <w:bidi w:val="0"/>
              <w:adjustRightInd w:val="0"/>
              <w:snapToGrid w:val="0"/>
              <w:spacing w:before="22" w:line="360" w:lineRule="auto"/>
              <w:textAlignment w:val="baseline"/>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质保期：在满足招标文件质保期5年要求的基础上，每增加1年加</w:t>
            </w:r>
            <w:r>
              <w:rPr>
                <w:rFonts w:hint="eastAsia" w:ascii="新宋体" w:hAnsi="新宋体" w:eastAsia="新宋体" w:cs="新宋体"/>
                <w:color w:val="auto"/>
                <w:szCs w:val="21"/>
                <w:highlight w:val="none"/>
                <w:lang w:val="en-US" w:eastAsia="zh-CN"/>
              </w:rPr>
              <w:t>1</w:t>
            </w:r>
            <w:r>
              <w:rPr>
                <w:rFonts w:hint="eastAsia" w:ascii="新宋体" w:hAnsi="新宋体" w:eastAsia="新宋体" w:cs="新宋体"/>
                <w:color w:val="auto"/>
                <w:szCs w:val="21"/>
                <w:highlight w:val="none"/>
              </w:rPr>
              <w:t>分，最多得</w:t>
            </w:r>
            <w:r>
              <w:rPr>
                <w:rFonts w:hint="eastAsia" w:ascii="新宋体" w:hAnsi="新宋体" w:eastAsia="新宋体" w:cs="新宋体"/>
                <w:color w:val="auto"/>
                <w:szCs w:val="21"/>
                <w:highlight w:val="none"/>
                <w:lang w:val="en-US" w:eastAsia="zh-CN"/>
              </w:rPr>
              <w:t>3</w:t>
            </w:r>
            <w:r>
              <w:rPr>
                <w:rFonts w:hint="eastAsia" w:ascii="新宋体" w:hAnsi="新宋体" w:eastAsia="新宋体" w:cs="新宋体"/>
                <w:color w:val="auto"/>
                <w:szCs w:val="21"/>
                <w:highlight w:val="none"/>
              </w:rPr>
              <w:t>分。</w:t>
            </w:r>
          </w:p>
        </w:tc>
        <w:tc>
          <w:tcPr>
            <w:tcW w:w="775" w:type="dxa"/>
            <w:tcBorders>
              <w:top w:val="single" w:color="auto" w:sz="4" w:space="0"/>
              <w:left w:val="single" w:color="auto" w:sz="4" w:space="0"/>
              <w:bottom w:val="single" w:color="auto" w:sz="4" w:space="0"/>
              <w:right w:val="single" w:color="auto" w:sz="4" w:space="0"/>
            </w:tcBorders>
            <w:vAlign w:val="center"/>
          </w:tcPr>
          <w:p w14:paraId="50D85D81">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lang w:val="en-US" w:eastAsia="zh-CN"/>
              </w:rPr>
              <w:t>3</w:t>
            </w:r>
          </w:p>
        </w:tc>
        <w:tc>
          <w:tcPr>
            <w:tcW w:w="914" w:type="dxa"/>
            <w:tcBorders>
              <w:top w:val="single" w:color="auto" w:sz="4" w:space="0"/>
              <w:left w:val="single" w:color="auto" w:sz="4" w:space="0"/>
              <w:bottom w:val="single" w:color="auto" w:sz="4" w:space="0"/>
              <w:right w:val="single" w:color="auto" w:sz="4" w:space="0"/>
            </w:tcBorders>
            <w:vAlign w:val="center"/>
          </w:tcPr>
          <w:p w14:paraId="0EF8F7D7">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客观分</w:t>
            </w:r>
          </w:p>
        </w:tc>
        <w:tc>
          <w:tcPr>
            <w:tcW w:w="1228" w:type="dxa"/>
            <w:vMerge w:val="restart"/>
            <w:tcBorders>
              <w:top w:val="single" w:color="auto" w:sz="4" w:space="0"/>
              <w:left w:val="single" w:color="auto" w:sz="4" w:space="0"/>
              <w:bottom w:val="single" w:color="auto" w:sz="4" w:space="0"/>
              <w:right w:val="single" w:color="auto" w:sz="4" w:space="0"/>
            </w:tcBorders>
            <w:vAlign w:val="center"/>
          </w:tcPr>
          <w:p w14:paraId="3F525715">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售后服务</w:t>
            </w:r>
          </w:p>
        </w:tc>
      </w:tr>
      <w:tr w14:paraId="1FC59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668" w:type="dxa"/>
            <w:tcBorders>
              <w:top w:val="single" w:color="auto" w:sz="4" w:space="0"/>
              <w:left w:val="single" w:color="auto" w:sz="4" w:space="0"/>
              <w:bottom w:val="single" w:color="auto" w:sz="4" w:space="0"/>
              <w:right w:val="single" w:color="auto" w:sz="4" w:space="0"/>
            </w:tcBorders>
            <w:vAlign w:val="center"/>
          </w:tcPr>
          <w:p w14:paraId="042DCA18">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8</w:t>
            </w:r>
          </w:p>
        </w:tc>
        <w:tc>
          <w:tcPr>
            <w:tcW w:w="6175" w:type="dxa"/>
            <w:tcBorders>
              <w:top w:val="single" w:color="auto" w:sz="4" w:space="0"/>
              <w:left w:val="single" w:color="auto" w:sz="4" w:space="0"/>
              <w:bottom w:val="single" w:color="auto" w:sz="4" w:space="0"/>
              <w:right w:val="single" w:color="auto" w:sz="4" w:space="0"/>
            </w:tcBorders>
            <w:vAlign w:val="top"/>
          </w:tcPr>
          <w:p w14:paraId="228009E6">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供应商应承诺在质保期内，每年寒暑假由专业人员到校进行巡查维修，对家具出现破损的地方进行修复。提供承诺函，格式自拟。</w:t>
            </w:r>
          </w:p>
        </w:tc>
        <w:tc>
          <w:tcPr>
            <w:tcW w:w="775" w:type="dxa"/>
            <w:tcBorders>
              <w:top w:val="single" w:color="auto" w:sz="4" w:space="0"/>
              <w:left w:val="single" w:color="auto" w:sz="4" w:space="0"/>
              <w:bottom w:val="single" w:color="auto" w:sz="4" w:space="0"/>
              <w:right w:val="single" w:color="auto" w:sz="4" w:space="0"/>
            </w:tcBorders>
            <w:vAlign w:val="center"/>
          </w:tcPr>
          <w:p w14:paraId="465D2E42">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1</w:t>
            </w:r>
          </w:p>
        </w:tc>
        <w:tc>
          <w:tcPr>
            <w:tcW w:w="914" w:type="dxa"/>
            <w:tcBorders>
              <w:top w:val="single" w:color="auto" w:sz="4" w:space="0"/>
              <w:left w:val="single" w:color="auto" w:sz="4" w:space="0"/>
              <w:bottom w:val="single" w:color="auto" w:sz="4" w:space="0"/>
              <w:right w:val="single" w:color="auto" w:sz="4" w:space="0"/>
            </w:tcBorders>
            <w:vAlign w:val="center"/>
          </w:tcPr>
          <w:p w14:paraId="446D6269">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客观分</w:t>
            </w:r>
          </w:p>
        </w:tc>
        <w:tc>
          <w:tcPr>
            <w:tcW w:w="1228" w:type="dxa"/>
            <w:vMerge w:val="continue"/>
            <w:tcBorders>
              <w:left w:val="single" w:color="auto" w:sz="4" w:space="0"/>
              <w:right w:val="single" w:color="auto" w:sz="4" w:space="0"/>
            </w:tcBorders>
            <w:vAlign w:val="center"/>
          </w:tcPr>
          <w:p w14:paraId="5DD3DA06">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p>
        </w:tc>
      </w:tr>
      <w:tr w14:paraId="5E499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668" w:type="dxa"/>
            <w:tcBorders>
              <w:top w:val="single" w:color="auto" w:sz="4" w:space="0"/>
              <w:left w:val="single" w:color="auto" w:sz="4" w:space="0"/>
              <w:bottom w:val="single" w:color="auto" w:sz="4" w:space="0"/>
              <w:right w:val="single" w:color="auto" w:sz="4" w:space="0"/>
            </w:tcBorders>
            <w:vAlign w:val="center"/>
          </w:tcPr>
          <w:p w14:paraId="649BB381">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9</w:t>
            </w:r>
          </w:p>
        </w:tc>
        <w:tc>
          <w:tcPr>
            <w:tcW w:w="6175" w:type="dxa"/>
            <w:tcBorders>
              <w:top w:val="single" w:color="auto" w:sz="4" w:space="0"/>
              <w:left w:val="single" w:color="auto" w:sz="4" w:space="0"/>
              <w:bottom w:val="single" w:color="auto" w:sz="4" w:space="0"/>
              <w:right w:val="single" w:color="auto" w:sz="4" w:space="0"/>
            </w:tcBorders>
            <w:vAlign w:val="top"/>
          </w:tcPr>
          <w:p w14:paraId="01675FBF">
            <w:pPr>
              <w:pageBreakBefore w:val="0"/>
              <w:widowControl/>
              <w:tabs>
                <w:tab w:val="left" w:pos="425"/>
              </w:tabs>
              <w:kinsoku w:val="0"/>
              <w:wordWrap/>
              <w:overflowPunct/>
              <w:topLinePunct w:val="0"/>
              <w:autoSpaceDE w:val="0"/>
              <w:autoSpaceDN w:val="0"/>
              <w:bidi w:val="0"/>
              <w:adjustRightInd w:val="0"/>
              <w:snapToGrid w:val="0"/>
              <w:spacing w:before="22" w:line="360" w:lineRule="auto"/>
              <w:textAlignment w:val="baseline"/>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lang w:bidi="zh-CN"/>
              </w:rPr>
              <w:t>投标人提供详细完整的“三包”措施及售后服务措施和方案（包括服务措施、产品质量保证、回访、技术培训等），根据投标人提供的方案能否满足采购需求判定评分，内容完整、措施有效为符合，完全符合得2分，部分符合得1分，不符合得0分。</w:t>
            </w:r>
          </w:p>
        </w:tc>
        <w:tc>
          <w:tcPr>
            <w:tcW w:w="775" w:type="dxa"/>
            <w:tcBorders>
              <w:top w:val="single" w:color="auto" w:sz="4" w:space="0"/>
              <w:left w:val="single" w:color="auto" w:sz="4" w:space="0"/>
              <w:bottom w:val="single" w:color="auto" w:sz="4" w:space="0"/>
              <w:right w:val="single" w:color="auto" w:sz="4" w:space="0"/>
            </w:tcBorders>
            <w:vAlign w:val="center"/>
          </w:tcPr>
          <w:p w14:paraId="51952314">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2</w:t>
            </w:r>
          </w:p>
        </w:tc>
        <w:tc>
          <w:tcPr>
            <w:tcW w:w="914" w:type="dxa"/>
            <w:tcBorders>
              <w:top w:val="single" w:color="auto" w:sz="4" w:space="0"/>
              <w:left w:val="single" w:color="auto" w:sz="4" w:space="0"/>
              <w:bottom w:val="single" w:color="auto" w:sz="4" w:space="0"/>
              <w:right w:val="single" w:color="auto" w:sz="4" w:space="0"/>
            </w:tcBorders>
            <w:vAlign w:val="center"/>
          </w:tcPr>
          <w:p w14:paraId="72E64EF1">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主观分</w:t>
            </w:r>
          </w:p>
        </w:tc>
        <w:tc>
          <w:tcPr>
            <w:tcW w:w="1228" w:type="dxa"/>
            <w:vMerge w:val="continue"/>
            <w:tcBorders>
              <w:top w:val="single" w:color="auto" w:sz="4" w:space="0"/>
              <w:left w:val="single" w:color="auto" w:sz="4" w:space="0"/>
              <w:bottom w:val="single" w:color="auto" w:sz="4" w:space="0"/>
              <w:right w:val="single" w:color="auto" w:sz="4" w:space="0"/>
            </w:tcBorders>
            <w:vAlign w:val="center"/>
          </w:tcPr>
          <w:p w14:paraId="4537722A">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p>
        </w:tc>
      </w:tr>
      <w:tr w14:paraId="5BECB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3" w:hRule="atLeast"/>
        </w:trPr>
        <w:tc>
          <w:tcPr>
            <w:tcW w:w="668" w:type="dxa"/>
            <w:tcBorders>
              <w:top w:val="single" w:color="auto" w:sz="4" w:space="0"/>
              <w:left w:val="single" w:color="auto" w:sz="4" w:space="0"/>
              <w:bottom w:val="single" w:color="auto" w:sz="4" w:space="0"/>
              <w:right w:val="single" w:color="auto" w:sz="4" w:space="0"/>
            </w:tcBorders>
            <w:vAlign w:val="center"/>
          </w:tcPr>
          <w:p w14:paraId="7BF48377">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10</w:t>
            </w:r>
          </w:p>
        </w:tc>
        <w:tc>
          <w:tcPr>
            <w:tcW w:w="6175" w:type="dxa"/>
            <w:tcBorders>
              <w:top w:val="single" w:color="auto" w:sz="4" w:space="0"/>
              <w:left w:val="single" w:color="auto" w:sz="4" w:space="0"/>
              <w:bottom w:val="single" w:color="auto" w:sz="4" w:space="0"/>
              <w:right w:val="single" w:color="auto" w:sz="4" w:space="0"/>
            </w:tcBorders>
            <w:vAlign w:val="top"/>
          </w:tcPr>
          <w:p w14:paraId="2C251AAE">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kern w:val="0"/>
                <w:szCs w:val="21"/>
                <w:highlight w:val="none"/>
              </w:rPr>
              <w:t>1.</w:t>
            </w:r>
            <w:r>
              <w:rPr>
                <w:rFonts w:hint="eastAsia" w:ascii="新宋体" w:hAnsi="新宋体" w:eastAsia="新宋体" w:cs="新宋体"/>
                <w:color w:val="auto"/>
                <w:kern w:val="0"/>
                <w:szCs w:val="21"/>
                <w:highlight w:val="none"/>
                <w:lang w:val="zh-CN"/>
              </w:rPr>
              <w:t>投标人或生产商</w:t>
            </w:r>
            <w:r>
              <w:rPr>
                <w:rFonts w:hint="eastAsia" w:ascii="新宋体" w:hAnsi="新宋体" w:eastAsia="新宋体" w:cs="新宋体"/>
                <w:color w:val="auto"/>
                <w:szCs w:val="21"/>
                <w:highlight w:val="none"/>
              </w:rPr>
              <w:t>具有有效期内的质量管理体系认证证书。（1分）</w:t>
            </w:r>
          </w:p>
          <w:p w14:paraId="125560D1">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kern w:val="0"/>
                <w:szCs w:val="21"/>
                <w:highlight w:val="none"/>
              </w:rPr>
              <w:t>2.</w:t>
            </w:r>
            <w:r>
              <w:rPr>
                <w:rFonts w:hint="eastAsia" w:ascii="新宋体" w:hAnsi="新宋体" w:eastAsia="新宋体" w:cs="新宋体"/>
                <w:color w:val="auto"/>
                <w:kern w:val="0"/>
                <w:szCs w:val="21"/>
                <w:highlight w:val="none"/>
                <w:lang w:val="zh-CN"/>
              </w:rPr>
              <w:t>投标人或生产商</w:t>
            </w:r>
            <w:r>
              <w:rPr>
                <w:rFonts w:hint="eastAsia" w:ascii="新宋体" w:hAnsi="新宋体" w:eastAsia="新宋体" w:cs="新宋体"/>
                <w:color w:val="auto"/>
                <w:szCs w:val="21"/>
                <w:highlight w:val="none"/>
              </w:rPr>
              <w:t>具有有效期内的环境管理体系认证证书。（1分）</w:t>
            </w:r>
          </w:p>
          <w:p w14:paraId="141E1239">
            <w:pPr>
              <w:pageBreakBefore w:val="0"/>
              <w:wordWrap/>
              <w:overflowPunct/>
              <w:topLinePunct w:val="0"/>
              <w:bidi w:val="0"/>
              <w:adjustRightInd w:val="0"/>
              <w:snapToGrid w:val="0"/>
              <w:spacing w:line="360" w:lineRule="auto"/>
              <w:rPr>
                <w:rFonts w:hint="eastAsia" w:ascii="新宋体" w:hAnsi="新宋体" w:eastAsia="新宋体" w:cs="新宋体"/>
                <w:color w:val="auto"/>
                <w:szCs w:val="21"/>
                <w:highlight w:val="none"/>
              </w:rPr>
            </w:pPr>
            <w:r>
              <w:rPr>
                <w:rFonts w:hint="eastAsia" w:ascii="新宋体" w:hAnsi="新宋体" w:eastAsia="新宋体" w:cs="新宋体"/>
                <w:color w:val="auto"/>
                <w:kern w:val="0"/>
                <w:szCs w:val="21"/>
                <w:highlight w:val="none"/>
              </w:rPr>
              <w:t>3.</w:t>
            </w:r>
            <w:r>
              <w:rPr>
                <w:rFonts w:hint="eastAsia" w:ascii="新宋体" w:hAnsi="新宋体" w:eastAsia="新宋体" w:cs="新宋体"/>
                <w:color w:val="auto"/>
                <w:kern w:val="0"/>
                <w:szCs w:val="21"/>
                <w:highlight w:val="none"/>
                <w:lang w:val="zh-CN"/>
              </w:rPr>
              <w:t>投标人或生产商</w:t>
            </w:r>
            <w:r>
              <w:rPr>
                <w:rFonts w:hint="eastAsia" w:ascii="新宋体" w:hAnsi="新宋体" w:eastAsia="新宋体" w:cs="新宋体"/>
                <w:color w:val="auto"/>
                <w:szCs w:val="21"/>
                <w:highlight w:val="none"/>
              </w:rPr>
              <w:t>具有有效期内的职业健康安全管理体系认证证书。（1分）</w:t>
            </w:r>
          </w:p>
          <w:p w14:paraId="66AAD035">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4、投标产品获得国家确定的认证机构出具的有效期内的环境标志产品认证证书，每个产品得0.5分，最高得3分，需提供证书扫描件，否则不得分。</w:t>
            </w:r>
          </w:p>
          <w:p w14:paraId="76135F3E">
            <w:pPr>
              <w:pStyle w:val="3"/>
              <w:pageBreakBefore w:val="0"/>
              <w:widowControl/>
              <w:wordWrap/>
              <w:overflowPunct/>
              <w:topLinePunct w:val="0"/>
              <w:bidi w:val="0"/>
              <w:adjustRightInd w:val="0"/>
              <w:snapToGrid w:val="0"/>
              <w:spacing w:line="360" w:lineRule="auto"/>
              <w:rPr>
                <w:rFonts w:hint="eastAsia" w:ascii="新宋体" w:hAnsi="新宋体" w:eastAsia="新宋体" w:cs="新宋体"/>
                <w:color w:val="auto"/>
                <w:sz w:val="21"/>
                <w:szCs w:val="21"/>
                <w:highlight w:val="none"/>
                <w:lang w:val="en-US"/>
              </w:rPr>
            </w:pPr>
            <w:r>
              <w:rPr>
                <w:rFonts w:hint="eastAsia" w:ascii="新宋体" w:hAnsi="新宋体" w:eastAsia="新宋体" w:cs="新宋体"/>
                <w:color w:val="auto"/>
                <w:sz w:val="21"/>
                <w:szCs w:val="21"/>
                <w:highlight w:val="none"/>
              </w:rPr>
              <w:t>注：在投标文件中提供相应证书扫描件及“全国认证认可信息公共服务平台</w:t>
            </w:r>
            <w:r>
              <w:rPr>
                <w:rFonts w:hint="eastAsia" w:ascii="新宋体" w:hAnsi="新宋体" w:eastAsia="新宋体" w:cs="新宋体"/>
                <w:color w:val="auto"/>
                <w:sz w:val="21"/>
                <w:szCs w:val="21"/>
                <w:highlight w:val="none"/>
                <w:lang w:eastAsia="zh-CN"/>
              </w:rPr>
              <w:t>（http://cx.cnca.cn）</w:t>
            </w:r>
            <w:r>
              <w:rPr>
                <w:rFonts w:hint="eastAsia" w:ascii="新宋体" w:hAnsi="新宋体" w:eastAsia="新宋体" w:cs="新宋体"/>
                <w:color w:val="auto"/>
                <w:sz w:val="21"/>
                <w:szCs w:val="21"/>
                <w:highlight w:val="none"/>
              </w:rPr>
              <w:t>”查询网页截图，否则不得分。</w:t>
            </w:r>
          </w:p>
        </w:tc>
        <w:tc>
          <w:tcPr>
            <w:tcW w:w="775" w:type="dxa"/>
            <w:tcBorders>
              <w:top w:val="single" w:color="auto" w:sz="4" w:space="0"/>
              <w:left w:val="single" w:color="auto" w:sz="4" w:space="0"/>
              <w:bottom w:val="single" w:color="auto" w:sz="4" w:space="0"/>
              <w:right w:val="single" w:color="auto" w:sz="4" w:space="0"/>
            </w:tcBorders>
            <w:vAlign w:val="center"/>
          </w:tcPr>
          <w:p w14:paraId="637F3973">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6</w:t>
            </w:r>
          </w:p>
        </w:tc>
        <w:tc>
          <w:tcPr>
            <w:tcW w:w="914" w:type="dxa"/>
            <w:tcBorders>
              <w:top w:val="single" w:color="auto" w:sz="4" w:space="0"/>
              <w:left w:val="single" w:color="auto" w:sz="4" w:space="0"/>
              <w:bottom w:val="single" w:color="auto" w:sz="4" w:space="0"/>
              <w:right w:val="single" w:color="auto" w:sz="4" w:space="0"/>
            </w:tcBorders>
            <w:vAlign w:val="center"/>
          </w:tcPr>
          <w:p w14:paraId="4265E234">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客观分</w:t>
            </w:r>
          </w:p>
        </w:tc>
        <w:tc>
          <w:tcPr>
            <w:tcW w:w="1228" w:type="dxa"/>
            <w:tcBorders>
              <w:top w:val="single" w:color="auto" w:sz="4" w:space="0"/>
              <w:left w:val="single" w:color="auto" w:sz="4" w:space="0"/>
              <w:bottom w:val="single" w:color="auto" w:sz="4" w:space="0"/>
              <w:right w:val="single" w:color="auto" w:sz="4" w:space="0"/>
            </w:tcBorders>
            <w:vAlign w:val="center"/>
          </w:tcPr>
          <w:p w14:paraId="7214B8BF">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lang w:val="en-US" w:eastAsia="zh-CN"/>
              </w:rPr>
              <w:t>认证</w:t>
            </w:r>
            <w:bookmarkStart w:id="567" w:name="_GoBack"/>
            <w:bookmarkEnd w:id="567"/>
            <w:r>
              <w:rPr>
                <w:rFonts w:hint="eastAsia" w:ascii="新宋体" w:hAnsi="新宋体" w:eastAsia="新宋体" w:cs="新宋体"/>
                <w:color w:val="auto"/>
                <w:szCs w:val="21"/>
                <w:highlight w:val="none"/>
              </w:rPr>
              <w:t>证书</w:t>
            </w:r>
          </w:p>
        </w:tc>
      </w:tr>
      <w:tr w14:paraId="2D55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668" w:type="dxa"/>
            <w:tcBorders>
              <w:top w:val="single" w:color="auto" w:sz="4" w:space="0"/>
              <w:left w:val="single" w:color="auto" w:sz="4" w:space="0"/>
              <w:bottom w:val="single" w:color="auto" w:sz="4" w:space="0"/>
              <w:right w:val="single" w:color="auto" w:sz="4" w:space="0"/>
            </w:tcBorders>
            <w:vAlign w:val="center"/>
          </w:tcPr>
          <w:p w14:paraId="5758186C">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11</w:t>
            </w:r>
          </w:p>
        </w:tc>
        <w:tc>
          <w:tcPr>
            <w:tcW w:w="6175" w:type="dxa"/>
            <w:tcBorders>
              <w:top w:val="single" w:color="auto" w:sz="4" w:space="0"/>
              <w:left w:val="single" w:color="auto" w:sz="4" w:space="0"/>
              <w:bottom w:val="single" w:color="auto" w:sz="4" w:space="0"/>
              <w:right w:val="single" w:color="auto" w:sz="4" w:space="0"/>
            </w:tcBorders>
            <w:vAlign w:val="top"/>
          </w:tcPr>
          <w:p w14:paraId="45D65D6F">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投标人或</w:t>
            </w:r>
            <w:r>
              <w:rPr>
                <w:rFonts w:hint="eastAsia" w:ascii="新宋体" w:hAnsi="新宋体" w:eastAsia="新宋体" w:cs="新宋体"/>
                <w:color w:val="auto"/>
                <w:kern w:val="0"/>
                <w:szCs w:val="21"/>
                <w:highlight w:val="none"/>
                <w:lang w:val="zh-CN"/>
              </w:rPr>
              <w:t>生产商</w:t>
            </w:r>
            <w:r>
              <w:rPr>
                <w:rFonts w:hint="eastAsia" w:ascii="新宋体" w:hAnsi="新宋体" w:eastAsia="新宋体" w:cs="新宋体"/>
                <w:color w:val="auto"/>
                <w:szCs w:val="21"/>
                <w:highlight w:val="none"/>
              </w:rPr>
              <w:t>每提供一项与采购标的相关的外观、 结构、板材、工艺及技术的发明专利得1分，最多得2分；每提供一项与采购标的相关的实用新型专利得0.5分，最多得1分；本项合计最多得3分。</w:t>
            </w:r>
          </w:p>
        </w:tc>
        <w:tc>
          <w:tcPr>
            <w:tcW w:w="775" w:type="dxa"/>
            <w:tcBorders>
              <w:top w:val="single" w:color="auto" w:sz="4" w:space="0"/>
              <w:left w:val="single" w:color="auto" w:sz="4" w:space="0"/>
              <w:bottom w:val="single" w:color="auto" w:sz="4" w:space="0"/>
              <w:right w:val="single" w:color="auto" w:sz="4" w:space="0"/>
            </w:tcBorders>
            <w:vAlign w:val="center"/>
          </w:tcPr>
          <w:p w14:paraId="722DC5F4">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3</w:t>
            </w:r>
          </w:p>
        </w:tc>
        <w:tc>
          <w:tcPr>
            <w:tcW w:w="914" w:type="dxa"/>
            <w:tcBorders>
              <w:top w:val="single" w:color="auto" w:sz="4" w:space="0"/>
              <w:left w:val="single" w:color="auto" w:sz="4" w:space="0"/>
              <w:bottom w:val="single" w:color="auto" w:sz="4" w:space="0"/>
              <w:right w:val="single" w:color="auto" w:sz="4" w:space="0"/>
            </w:tcBorders>
            <w:vAlign w:val="center"/>
          </w:tcPr>
          <w:p w14:paraId="5D18FA58">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客观分</w:t>
            </w:r>
          </w:p>
        </w:tc>
        <w:tc>
          <w:tcPr>
            <w:tcW w:w="1228" w:type="dxa"/>
            <w:tcBorders>
              <w:top w:val="single" w:color="auto" w:sz="4" w:space="0"/>
              <w:left w:val="single" w:color="auto" w:sz="4" w:space="0"/>
              <w:bottom w:val="single" w:color="auto" w:sz="4" w:space="0"/>
              <w:right w:val="single" w:color="auto" w:sz="4" w:space="0"/>
            </w:tcBorders>
            <w:vAlign w:val="center"/>
          </w:tcPr>
          <w:p w14:paraId="3DDC59B3">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证书</w:t>
            </w:r>
          </w:p>
        </w:tc>
      </w:tr>
      <w:tr w14:paraId="06352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668" w:type="dxa"/>
            <w:tcBorders>
              <w:top w:val="single" w:color="auto" w:sz="4" w:space="0"/>
              <w:left w:val="single" w:color="auto" w:sz="4" w:space="0"/>
              <w:bottom w:val="single" w:color="auto" w:sz="4" w:space="0"/>
              <w:right w:val="single" w:color="auto" w:sz="4" w:space="0"/>
            </w:tcBorders>
            <w:vAlign w:val="center"/>
          </w:tcPr>
          <w:p w14:paraId="198423DF">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12</w:t>
            </w:r>
          </w:p>
        </w:tc>
        <w:tc>
          <w:tcPr>
            <w:tcW w:w="6175" w:type="dxa"/>
            <w:tcBorders>
              <w:top w:val="single" w:color="auto" w:sz="4" w:space="0"/>
              <w:left w:val="single" w:color="auto" w:sz="4" w:space="0"/>
              <w:bottom w:val="single" w:color="auto" w:sz="4" w:space="0"/>
              <w:right w:val="single" w:color="auto" w:sz="4" w:space="0"/>
            </w:tcBorders>
            <w:vAlign w:val="top"/>
          </w:tcPr>
          <w:p w14:paraId="7C0F6D78">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投标人自202</w:t>
            </w:r>
            <w:r>
              <w:rPr>
                <w:rFonts w:hint="eastAsia" w:ascii="新宋体" w:hAnsi="新宋体" w:eastAsia="新宋体" w:cs="新宋体"/>
                <w:color w:val="auto"/>
                <w:szCs w:val="21"/>
                <w:highlight w:val="none"/>
                <w:lang w:val="en-US" w:eastAsia="zh-CN"/>
              </w:rPr>
              <w:t>2</w:t>
            </w:r>
            <w:r>
              <w:rPr>
                <w:rFonts w:hint="eastAsia" w:ascii="新宋体" w:hAnsi="新宋体" w:eastAsia="新宋体" w:cs="新宋体"/>
                <w:color w:val="auto"/>
                <w:szCs w:val="21"/>
                <w:highlight w:val="none"/>
              </w:rPr>
              <w:t>年1月1日（含）以来（以合同签订时间为准）承担过类似项目成功案例。须同时提供合同、合格验收报告相关证明材料。每提供一个得1分，最高得3分。</w:t>
            </w:r>
          </w:p>
        </w:tc>
        <w:tc>
          <w:tcPr>
            <w:tcW w:w="775" w:type="dxa"/>
            <w:tcBorders>
              <w:top w:val="single" w:color="auto" w:sz="4" w:space="0"/>
              <w:left w:val="single" w:color="auto" w:sz="4" w:space="0"/>
              <w:bottom w:val="single" w:color="auto" w:sz="4" w:space="0"/>
              <w:right w:val="single" w:color="auto" w:sz="4" w:space="0"/>
            </w:tcBorders>
            <w:vAlign w:val="center"/>
          </w:tcPr>
          <w:p w14:paraId="3E8F6DDB">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3</w:t>
            </w:r>
          </w:p>
        </w:tc>
        <w:tc>
          <w:tcPr>
            <w:tcW w:w="914" w:type="dxa"/>
            <w:tcBorders>
              <w:top w:val="single" w:color="auto" w:sz="4" w:space="0"/>
              <w:left w:val="single" w:color="auto" w:sz="4" w:space="0"/>
              <w:bottom w:val="single" w:color="auto" w:sz="4" w:space="0"/>
              <w:right w:val="single" w:color="auto" w:sz="4" w:space="0"/>
            </w:tcBorders>
            <w:vAlign w:val="center"/>
          </w:tcPr>
          <w:p w14:paraId="089CCB27">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客观分</w:t>
            </w:r>
          </w:p>
        </w:tc>
        <w:tc>
          <w:tcPr>
            <w:tcW w:w="1228" w:type="dxa"/>
            <w:tcBorders>
              <w:top w:val="single" w:color="auto" w:sz="4" w:space="0"/>
              <w:left w:val="single" w:color="auto" w:sz="4" w:space="0"/>
              <w:bottom w:val="single" w:color="auto" w:sz="4" w:space="0"/>
              <w:right w:val="single" w:color="auto" w:sz="4" w:space="0"/>
            </w:tcBorders>
            <w:vAlign w:val="center"/>
          </w:tcPr>
          <w:p w14:paraId="43BC3340">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案例</w:t>
            </w:r>
          </w:p>
        </w:tc>
      </w:tr>
      <w:tr w14:paraId="4EB1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trPr>
        <w:tc>
          <w:tcPr>
            <w:tcW w:w="668" w:type="dxa"/>
            <w:tcBorders>
              <w:top w:val="single" w:color="auto" w:sz="4" w:space="0"/>
              <w:left w:val="single" w:color="auto" w:sz="4" w:space="0"/>
              <w:bottom w:val="single" w:color="auto" w:sz="4" w:space="0"/>
              <w:right w:val="single" w:color="auto" w:sz="4" w:space="0"/>
            </w:tcBorders>
            <w:vAlign w:val="center"/>
          </w:tcPr>
          <w:p w14:paraId="72B4E676">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13</w:t>
            </w:r>
          </w:p>
        </w:tc>
        <w:tc>
          <w:tcPr>
            <w:tcW w:w="6175" w:type="dxa"/>
            <w:tcBorders>
              <w:top w:val="single" w:color="auto" w:sz="4" w:space="0"/>
              <w:left w:val="single" w:color="auto" w:sz="4" w:space="0"/>
              <w:bottom w:val="single" w:color="auto" w:sz="4" w:space="0"/>
              <w:right w:val="single" w:color="auto" w:sz="4" w:space="0"/>
            </w:tcBorders>
            <w:vAlign w:val="top"/>
          </w:tcPr>
          <w:p w14:paraId="7C8B0F10">
            <w:pPr>
              <w:pageBreakBefore w:val="0"/>
              <w:wordWrap/>
              <w:overflowPunct/>
              <w:topLinePunct w:val="0"/>
              <w:bidi w:val="0"/>
              <w:adjustRightInd w:val="0"/>
              <w:snapToGrid w:val="0"/>
              <w:spacing w:line="360" w:lineRule="auto"/>
              <w:outlineLvl w:val="0"/>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有效投标报价的最低价作为评标基准价，其最低报价为满分；按［投标报价得分=（评标基准价/投标报价）*30］的计算公式计算。</w:t>
            </w:r>
          </w:p>
          <w:p w14:paraId="7E02615D">
            <w:pPr>
              <w:pageBreakBefore w:val="0"/>
              <w:widowControl/>
              <w:shd w:val="clear" w:color="auto" w:fill="FFFFFF"/>
              <w:wordWrap/>
              <w:overflowPunct/>
              <w:topLinePunct w:val="0"/>
              <w:bidi w:val="0"/>
              <w:adjustRightInd w:val="0"/>
              <w:snapToGrid w:val="0"/>
              <w:spacing w:after="225" w:line="360" w:lineRule="auto"/>
              <w:ind w:firstLine="420"/>
              <w:jc w:val="left"/>
              <w:rPr>
                <w:rFonts w:hint="eastAsia" w:ascii="新宋体" w:hAnsi="新宋体" w:eastAsia="新宋体" w:cs="新宋体"/>
                <w:color w:val="auto"/>
                <w:szCs w:val="21"/>
                <w:highlight w:val="none"/>
                <w:shd w:val="clear" w:color="auto" w:fill="FFFFFF"/>
              </w:rPr>
            </w:pPr>
            <w:r>
              <w:rPr>
                <w:rFonts w:hint="eastAsia" w:ascii="新宋体" w:hAnsi="新宋体" w:eastAsia="新宋体" w:cs="新宋体"/>
                <w:color w:val="auto"/>
                <w:szCs w:val="21"/>
                <w:highlight w:val="none"/>
                <w:shd w:val="clear" w:color="auto" w:fill="FFFFFF"/>
              </w:rPr>
              <w:t>评标过程中，不得去掉报价中的最高报价和最低报价。</w:t>
            </w:r>
          </w:p>
        </w:tc>
        <w:tc>
          <w:tcPr>
            <w:tcW w:w="775" w:type="dxa"/>
            <w:tcBorders>
              <w:top w:val="single" w:color="auto" w:sz="4" w:space="0"/>
              <w:left w:val="single" w:color="auto" w:sz="4" w:space="0"/>
              <w:bottom w:val="single" w:color="auto" w:sz="4" w:space="0"/>
              <w:right w:val="single" w:color="auto" w:sz="4" w:space="0"/>
            </w:tcBorders>
            <w:vAlign w:val="center"/>
          </w:tcPr>
          <w:p w14:paraId="0B917F83">
            <w:pPr>
              <w:pageBreakBefore w:val="0"/>
              <w:wordWrap/>
              <w:overflowPunct/>
              <w:topLinePunct w:val="0"/>
              <w:bidi w:val="0"/>
              <w:adjustRightInd w:val="0"/>
              <w:snapToGrid w:val="0"/>
              <w:spacing w:line="360" w:lineRule="auto"/>
              <w:jc w:val="center"/>
              <w:outlineLvl w:val="0"/>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30</w:t>
            </w:r>
          </w:p>
        </w:tc>
        <w:tc>
          <w:tcPr>
            <w:tcW w:w="914" w:type="dxa"/>
            <w:tcBorders>
              <w:top w:val="single" w:color="auto" w:sz="4" w:space="0"/>
              <w:left w:val="single" w:color="auto" w:sz="4" w:space="0"/>
              <w:bottom w:val="single" w:color="auto" w:sz="4" w:space="0"/>
              <w:right w:val="single" w:color="auto" w:sz="4" w:space="0"/>
            </w:tcBorders>
            <w:vAlign w:val="center"/>
          </w:tcPr>
          <w:p w14:paraId="3533BAD5">
            <w:pPr>
              <w:pageBreakBefore w:val="0"/>
              <w:wordWrap/>
              <w:overflowPunct/>
              <w:topLinePunct w:val="0"/>
              <w:bidi w:val="0"/>
              <w:adjustRightInd w:val="0"/>
              <w:snapToGrid w:val="0"/>
              <w:spacing w:line="360" w:lineRule="auto"/>
              <w:jc w:val="center"/>
              <w:outlineLvl w:val="0"/>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客观分</w:t>
            </w:r>
          </w:p>
        </w:tc>
        <w:tc>
          <w:tcPr>
            <w:tcW w:w="1228" w:type="dxa"/>
            <w:tcBorders>
              <w:top w:val="single" w:color="auto" w:sz="4" w:space="0"/>
              <w:left w:val="single" w:color="auto" w:sz="4" w:space="0"/>
              <w:bottom w:val="single" w:color="auto" w:sz="4" w:space="0"/>
              <w:right w:val="single" w:color="auto" w:sz="4" w:space="0"/>
            </w:tcBorders>
            <w:vAlign w:val="center"/>
          </w:tcPr>
          <w:p w14:paraId="0FD56855">
            <w:pPr>
              <w:pageBreakBefore w:val="0"/>
              <w:wordWrap/>
              <w:overflowPunct/>
              <w:topLinePunct w:val="0"/>
              <w:bidi w:val="0"/>
              <w:adjustRightInd w:val="0"/>
              <w:snapToGrid w:val="0"/>
              <w:spacing w:line="360" w:lineRule="auto"/>
              <w:jc w:val="center"/>
              <w:outlineLvl w:val="0"/>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w:t>
            </w:r>
          </w:p>
        </w:tc>
      </w:tr>
    </w:tbl>
    <w:p w14:paraId="29D14816"/>
    <w:p w14:paraId="2B2A2B40">
      <w:pPr>
        <w:snapToGrid w:val="0"/>
        <w:spacing w:line="360" w:lineRule="auto"/>
        <w:rPr>
          <w:rFonts w:ascii="宋体" w:hAnsi="宋体" w:cs="宋体"/>
          <w:b/>
          <w:sz w:val="24"/>
        </w:rPr>
      </w:pPr>
      <w:r>
        <w:rPr>
          <w:rFonts w:hint="eastAsia" w:ascii="宋体" w:hAnsi="宋体" w:cs="宋体"/>
          <w:sz w:val="20"/>
          <w:szCs w:val="20"/>
          <w:shd w:val="clear" w:color="auto" w:fill="FFFFFF"/>
        </w:rPr>
        <w:t> *</w:t>
      </w: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p w14:paraId="56A0CA34">
      <w:pPr>
        <w:snapToGrid w:val="0"/>
        <w:spacing w:line="360" w:lineRule="auto"/>
        <w:rPr>
          <w:rFonts w:ascii="宋体" w:hAnsi="宋体" w:cs="宋体"/>
          <w:b/>
          <w:sz w:val="28"/>
          <w:szCs w:val="28"/>
        </w:rPr>
      </w:pPr>
      <w:r>
        <w:rPr>
          <w:rFonts w:hint="eastAsia" w:ascii="宋体" w:hAnsi="宋体" w:cs="宋体"/>
          <w:b/>
          <w:sz w:val="32"/>
        </w:rPr>
        <w:t>一、评标方法</w:t>
      </w:r>
    </w:p>
    <w:p w14:paraId="4EF8E804">
      <w:pPr>
        <w:adjustRightInd/>
        <w:spacing w:line="360" w:lineRule="auto"/>
        <w:ind w:firstLine="472" w:firstLineChars="196"/>
        <w:rPr>
          <w:rFonts w:ascii="宋体" w:hAnsi="宋体" w:cs="宋体"/>
          <w:kern w:val="0"/>
          <w:sz w:val="24"/>
        </w:rPr>
      </w:pPr>
      <w:r>
        <w:rPr>
          <w:rFonts w:hint="eastAsia" w:ascii="宋体" w:hAnsi="宋体" w:cs="宋体"/>
          <w:b/>
          <w:kern w:val="0"/>
          <w:sz w:val="24"/>
        </w:rPr>
        <w:t>1.本项目采用综合评分法。</w:t>
      </w:r>
      <w:r>
        <w:rPr>
          <w:rFonts w:hint="eastAsia" w:ascii="宋体" w:hAnsi="宋体" w:cs="宋体"/>
          <w:kern w:val="0"/>
          <w:sz w:val="24"/>
        </w:rPr>
        <w:t>综合评分法，是指投标文件满足招标文件全部实质性要求，且按照评审因素的量化指标评审得分最高的投标人为中标候选人的评标方法。</w:t>
      </w:r>
    </w:p>
    <w:p w14:paraId="34B22BE9">
      <w:pPr>
        <w:adjustRightInd/>
        <w:spacing w:line="360" w:lineRule="auto"/>
        <w:rPr>
          <w:rFonts w:ascii="宋体" w:hAnsi="宋体" w:cs="宋体"/>
          <w:kern w:val="0"/>
          <w:sz w:val="24"/>
        </w:rPr>
      </w:pPr>
      <w:r>
        <w:rPr>
          <w:rFonts w:hint="eastAsia" w:ascii="宋体" w:hAnsi="宋体" w:cs="宋体"/>
          <w:b/>
          <w:sz w:val="32"/>
        </w:rPr>
        <w:t>二、评标标准</w:t>
      </w:r>
    </w:p>
    <w:p w14:paraId="47644B72">
      <w:pPr>
        <w:spacing w:line="360" w:lineRule="auto"/>
        <w:ind w:firstLine="472" w:firstLineChars="196"/>
        <w:rPr>
          <w:rFonts w:ascii="宋体" w:hAnsi="宋体" w:cs="宋体"/>
          <w:b/>
          <w:sz w:val="24"/>
        </w:rPr>
      </w:pPr>
      <w:r>
        <w:rPr>
          <w:rFonts w:hint="eastAsia" w:ascii="宋体" w:hAnsi="宋体" w:cs="宋体"/>
          <w:b/>
          <w:sz w:val="24"/>
        </w:rPr>
        <w:t>2.</w:t>
      </w:r>
      <w:r>
        <w:rPr>
          <w:rFonts w:hint="eastAsia" w:ascii="宋体" w:hAnsi="宋体" w:cs="宋体"/>
        </w:rPr>
        <w:t xml:space="preserve"> </w:t>
      </w:r>
      <w:r>
        <w:rPr>
          <w:rFonts w:hint="eastAsia" w:ascii="宋体" w:hAnsi="宋体" w:cs="宋体"/>
          <w:b/>
          <w:sz w:val="24"/>
        </w:rPr>
        <w:t>评标标准：</w:t>
      </w:r>
      <w:r>
        <w:rPr>
          <w:rFonts w:hint="eastAsia" w:ascii="宋体" w:hAnsi="宋体" w:cs="宋体"/>
          <w:kern w:val="0"/>
          <w:sz w:val="24"/>
        </w:rPr>
        <w:t>见评标办法前附表。</w:t>
      </w:r>
    </w:p>
    <w:p w14:paraId="618F2F7F">
      <w:pPr>
        <w:spacing w:line="360" w:lineRule="auto"/>
        <w:outlineLvl w:val="0"/>
        <w:rPr>
          <w:rFonts w:ascii="宋体" w:hAnsi="宋体" w:cs="宋体"/>
          <w:b/>
          <w:sz w:val="36"/>
          <w:szCs w:val="36"/>
        </w:rPr>
      </w:pPr>
      <w:r>
        <w:rPr>
          <w:rFonts w:hint="eastAsia" w:ascii="宋体" w:hAnsi="宋体" w:cs="宋体"/>
          <w:b/>
          <w:sz w:val="36"/>
          <w:szCs w:val="36"/>
        </w:rPr>
        <w:t>三、评标程序</w:t>
      </w:r>
    </w:p>
    <w:p w14:paraId="1F43D398">
      <w:pPr>
        <w:spacing w:line="360" w:lineRule="auto"/>
        <w:ind w:firstLine="472" w:firstLineChars="196"/>
        <w:rPr>
          <w:rFonts w:ascii="宋体" w:hAnsi="宋体" w:cs="宋体"/>
          <w:kern w:val="0"/>
          <w:sz w:val="24"/>
        </w:rPr>
      </w:pPr>
      <w:r>
        <w:rPr>
          <w:rFonts w:hint="eastAsia" w:ascii="宋体" w:hAnsi="宋体" w:cs="宋体"/>
          <w:b/>
          <w:kern w:val="0"/>
          <w:sz w:val="24"/>
        </w:rPr>
        <w:t>3.1符合性审查。</w:t>
      </w:r>
      <w:r>
        <w:rPr>
          <w:rFonts w:hint="eastAsia" w:ascii="宋体" w:hAnsi="宋体" w:cs="宋体"/>
          <w:kern w:val="0"/>
          <w:sz w:val="24"/>
        </w:rPr>
        <w:t>评标委员会应当对符合资格的投标人的投标文件进行符合性审查，以确定其是否满足招标文件的实质性要求。不满足招标文件的实质性要求的，投标无效。</w:t>
      </w:r>
    </w:p>
    <w:p w14:paraId="6209DA3F">
      <w:pPr>
        <w:spacing w:line="360" w:lineRule="auto"/>
        <w:ind w:firstLine="472" w:firstLineChars="196"/>
        <w:rPr>
          <w:rFonts w:ascii="宋体" w:hAnsi="宋体" w:cs="宋体"/>
          <w:kern w:val="0"/>
          <w:sz w:val="24"/>
        </w:rPr>
      </w:pPr>
      <w:r>
        <w:rPr>
          <w:rFonts w:hint="eastAsia" w:ascii="宋体" w:hAnsi="宋体" w:cs="宋体"/>
          <w:b/>
          <w:kern w:val="0"/>
          <w:sz w:val="24"/>
        </w:rPr>
        <w:t>3.2 比较与评价。</w:t>
      </w:r>
      <w:r>
        <w:rPr>
          <w:rFonts w:hint="eastAsia" w:ascii="宋体" w:hAnsi="宋体" w:cs="宋体"/>
          <w:kern w:val="0"/>
          <w:sz w:val="24"/>
        </w:rPr>
        <w:t>评标委员会应当按照招标文件中规定的评标方法和标准，对符合性审查合格的投标文件进行商务和技术评估，综合比较与评价。</w:t>
      </w:r>
    </w:p>
    <w:p w14:paraId="3116DE46">
      <w:pPr>
        <w:spacing w:line="360" w:lineRule="auto"/>
        <w:ind w:firstLine="472" w:firstLineChars="196"/>
        <w:rPr>
          <w:rFonts w:ascii="宋体" w:hAnsi="宋体" w:cs="宋体"/>
          <w:kern w:val="0"/>
          <w:sz w:val="24"/>
        </w:rPr>
      </w:pPr>
      <w:r>
        <w:rPr>
          <w:rFonts w:hint="eastAsia" w:ascii="宋体" w:hAnsi="宋体" w:cs="宋体"/>
          <w:b/>
          <w:kern w:val="0"/>
          <w:sz w:val="24"/>
        </w:rPr>
        <w:t>3.3汇总商务技术得分。</w:t>
      </w:r>
      <w:r>
        <w:rPr>
          <w:rFonts w:hint="eastAsia" w:ascii="宋体" w:hAnsi="宋体" w:cs="宋体"/>
          <w:kern w:val="0"/>
          <w:sz w:val="24"/>
        </w:rPr>
        <w:t>评标委员会各成员应当独立对每个投标人的商务和技术文件进行评价，并汇总商务技术得分情况。</w:t>
      </w:r>
    </w:p>
    <w:p w14:paraId="5A2536DD">
      <w:pPr>
        <w:spacing w:line="360" w:lineRule="auto"/>
        <w:ind w:firstLine="472" w:firstLineChars="196"/>
        <w:rPr>
          <w:rFonts w:ascii="宋体" w:hAnsi="宋体" w:cs="宋体"/>
          <w:b/>
          <w:kern w:val="0"/>
          <w:sz w:val="24"/>
        </w:rPr>
      </w:pPr>
      <w:r>
        <w:rPr>
          <w:rFonts w:hint="eastAsia" w:ascii="宋体" w:hAnsi="宋体" w:cs="宋体"/>
          <w:b/>
          <w:kern w:val="0"/>
          <w:sz w:val="24"/>
        </w:rPr>
        <w:t>3.4报价评审。</w:t>
      </w:r>
    </w:p>
    <w:p w14:paraId="601BC5E1">
      <w:pPr>
        <w:pStyle w:val="85"/>
        <w:spacing w:before="0"/>
        <w:ind w:firstLine="508" w:firstLineChars="212"/>
        <w:rPr>
          <w:rFonts w:ascii="宋体" w:hAnsi="宋体" w:cs="宋体"/>
          <w:kern w:val="0"/>
        </w:rPr>
      </w:pPr>
      <w:r>
        <w:rPr>
          <w:rFonts w:hint="eastAsia" w:ascii="宋体" w:hAnsi="宋体" w:cs="宋体"/>
          <w:kern w:val="0"/>
        </w:rPr>
        <w:t>3.4.1投标文件报价出现前后不一致的，按照下列规定修正：</w:t>
      </w:r>
    </w:p>
    <w:p w14:paraId="7B312294">
      <w:pPr>
        <w:pStyle w:val="85"/>
        <w:spacing w:before="0"/>
        <w:ind w:firstLine="480"/>
        <w:rPr>
          <w:rFonts w:ascii="宋体" w:hAnsi="宋体" w:cs="宋体"/>
          <w:kern w:val="0"/>
          <w:szCs w:val="24"/>
        </w:rPr>
      </w:pPr>
      <w:r>
        <w:rPr>
          <w:rFonts w:hint="eastAsia" w:ascii="宋体" w:hAnsi="宋体" w:cs="宋体"/>
          <w:kern w:val="0"/>
          <w:szCs w:val="24"/>
        </w:rPr>
        <w:t>3.4.1.1投标文件中开标一览表</w:t>
      </w:r>
      <w:r>
        <w:rPr>
          <w:rFonts w:hint="eastAsia" w:ascii="宋体" w:hAnsi="宋体" w:cs="宋体"/>
          <w:kern w:val="0"/>
          <w:szCs w:val="24"/>
          <w:lang w:eastAsia="zh-CN"/>
        </w:rPr>
        <w:t>（</w:t>
      </w:r>
      <w:r>
        <w:rPr>
          <w:rFonts w:hint="eastAsia" w:ascii="宋体" w:hAnsi="宋体" w:cs="宋体"/>
          <w:kern w:val="0"/>
          <w:szCs w:val="24"/>
        </w:rPr>
        <w:t>报价表</w:t>
      </w:r>
      <w:r>
        <w:rPr>
          <w:rFonts w:hint="eastAsia" w:ascii="宋体" w:hAnsi="宋体" w:cs="宋体"/>
          <w:kern w:val="0"/>
          <w:szCs w:val="24"/>
          <w:lang w:eastAsia="zh-CN"/>
        </w:rPr>
        <w:t>）</w:t>
      </w:r>
      <w:r>
        <w:rPr>
          <w:rFonts w:hint="eastAsia" w:ascii="宋体" w:hAnsi="宋体" w:cs="宋体"/>
          <w:kern w:val="0"/>
          <w:szCs w:val="24"/>
        </w:rPr>
        <w:t>内容与投标文件中相应内容不一致的，以开标一览表</w:t>
      </w:r>
      <w:r>
        <w:rPr>
          <w:rFonts w:hint="eastAsia" w:ascii="宋体" w:hAnsi="宋体" w:cs="宋体"/>
          <w:kern w:val="0"/>
          <w:szCs w:val="24"/>
          <w:lang w:eastAsia="zh-CN"/>
        </w:rPr>
        <w:t>（</w:t>
      </w:r>
      <w:r>
        <w:rPr>
          <w:rFonts w:hint="eastAsia" w:ascii="宋体" w:hAnsi="宋体" w:cs="宋体"/>
          <w:kern w:val="0"/>
          <w:szCs w:val="24"/>
        </w:rPr>
        <w:t>报价表</w:t>
      </w:r>
      <w:r>
        <w:rPr>
          <w:rFonts w:hint="eastAsia" w:ascii="宋体" w:hAnsi="宋体" w:cs="宋体"/>
          <w:kern w:val="0"/>
          <w:szCs w:val="24"/>
          <w:lang w:eastAsia="zh-CN"/>
        </w:rPr>
        <w:t>）</w:t>
      </w:r>
      <w:r>
        <w:rPr>
          <w:rFonts w:hint="eastAsia" w:ascii="宋体" w:hAnsi="宋体" w:cs="宋体"/>
          <w:kern w:val="0"/>
          <w:szCs w:val="24"/>
        </w:rPr>
        <w:t>为准</w:t>
      </w:r>
      <w:r>
        <w:rPr>
          <w:rFonts w:hint="eastAsia" w:ascii="宋体" w:hAnsi="宋体" w:cs="宋体"/>
          <w:kern w:val="0"/>
          <w:szCs w:val="24"/>
          <w:lang w:eastAsia="zh-CN"/>
        </w:rPr>
        <w:t>；</w:t>
      </w:r>
    </w:p>
    <w:p w14:paraId="3B6EF85F">
      <w:pPr>
        <w:pStyle w:val="85"/>
        <w:spacing w:before="0"/>
        <w:ind w:firstLine="480"/>
        <w:rPr>
          <w:rFonts w:ascii="宋体" w:hAnsi="宋体" w:cs="宋体"/>
          <w:kern w:val="0"/>
          <w:szCs w:val="24"/>
        </w:rPr>
      </w:pPr>
      <w:r>
        <w:rPr>
          <w:rFonts w:hint="eastAsia" w:ascii="宋体" w:hAnsi="宋体" w:cs="宋体"/>
          <w:kern w:val="0"/>
          <w:szCs w:val="24"/>
        </w:rPr>
        <w:t>3.4.1.2大写金额和小写金额不一致的，以大写金额为准</w:t>
      </w:r>
      <w:r>
        <w:rPr>
          <w:rFonts w:hint="eastAsia" w:ascii="宋体" w:hAnsi="宋体" w:cs="宋体"/>
          <w:kern w:val="0"/>
          <w:szCs w:val="24"/>
          <w:lang w:eastAsia="zh-CN"/>
        </w:rPr>
        <w:t>；</w:t>
      </w:r>
    </w:p>
    <w:p w14:paraId="30A32C2D">
      <w:pPr>
        <w:pStyle w:val="85"/>
        <w:spacing w:before="0"/>
        <w:ind w:firstLine="480"/>
        <w:rPr>
          <w:rFonts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r>
        <w:rPr>
          <w:rFonts w:hint="eastAsia" w:ascii="宋体" w:hAnsi="宋体" w:cs="宋体"/>
          <w:kern w:val="0"/>
          <w:szCs w:val="24"/>
          <w:lang w:eastAsia="zh-CN"/>
        </w:rPr>
        <w:t>；</w:t>
      </w:r>
    </w:p>
    <w:p w14:paraId="32D76463">
      <w:pPr>
        <w:pStyle w:val="85"/>
        <w:spacing w:before="0"/>
        <w:ind w:firstLine="480"/>
        <w:rPr>
          <w:rFonts w:ascii="宋体" w:hAnsi="宋体" w:cs="宋体"/>
          <w:kern w:val="0"/>
          <w:szCs w:val="24"/>
        </w:rPr>
      </w:pPr>
      <w:r>
        <w:rPr>
          <w:rFonts w:hint="eastAsia" w:ascii="宋体" w:hAnsi="宋体" w:cs="宋体"/>
          <w:kern w:val="0"/>
          <w:szCs w:val="24"/>
        </w:rPr>
        <w:t>3.4.1.4总价金额与按单价汇总金额不一致的，以单价金额计算结果为准</w:t>
      </w:r>
      <w:r>
        <w:rPr>
          <w:rFonts w:hint="eastAsia" w:ascii="宋体" w:hAnsi="宋体" w:cs="宋体"/>
          <w:kern w:val="0"/>
          <w:szCs w:val="24"/>
          <w:lang w:eastAsia="zh-CN"/>
        </w:rPr>
        <w:t>；</w:t>
      </w:r>
    </w:p>
    <w:p w14:paraId="54CABBE5">
      <w:pPr>
        <w:pStyle w:val="85"/>
        <w:spacing w:before="0"/>
        <w:ind w:firstLine="480"/>
        <w:rPr>
          <w:rFonts w:ascii="宋体" w:hAnsi="宋体" w:cs="宋体"/>
          <w:kern w:val="0"/>
          <w:szCs w:val="24"/>
        </w:rPr>
      </w:pPr>
      <w:r>
        <w:rPr>
          <w:rFonts w:hint="eastAsia" w:ascii="宋体" w:hAnsi="宋体" w:cs="宋体"/>
          <w:kern w:val="0"/>
          <w:szCs w:val="24"/>
        </w:rPr>
        <w:t>3.4.1.5同时出现两种以上不一致的，按照3.4.1规定的顺序修正。修正后的报价按照财政部第87号令《政府采购货物和服务招标投标管理办法》第五十一条第二款的规定经投标人确认后产生约束力。</w:t>
      </w:r>
    </w:p>
    <w:p w14:paraId="05AD2DC3">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3.4.2投标文件出现不是唯一的、有选择性投标报价的，投标无效。</w:t>
      </w:r>
    </w:p>
    <w:p w14:paraId="774AC879">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3.4.3投标报价超过招标文件中规定的预算金额或者最高限价的，投标无效。</w:t>
      </w:r>
    </w:p>
    <w:p w14:paraId="618ACFF1">
      <w:pPr>
        <w:pStyle w:val="85"/>
        <w:spacing w:before="0"/>
        <w:ind w:firstLine="480"/>
        <w:rPr>
          <w:rFonts w:ascii="宋体" w:hAnsi="宋体" w:cs="宋体"/>
          <w:kern w:val="0"/>
          <w:szCs w:val="24"/>
        </w:rPr>
      </w:pPr>
      <w:r>
        <w:rPr>
          <w:rFonts w:hint="eastAsia" w:ascii="宋体" w:hAnsi="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w:t>
      </w:r>
      <w:r>
        <w:rPr>
          <w:rFonts w:hint="eastAsia" w:ascii="宋体" w:hAnsi="宋体" w:cs="宋体"/>
          <w:kern w:val="0"/>
          <w:szCs w:val="24"/>
          <w:lang w:eastAsia="zh-CN"/>
        </w:rPr>
        <w:t>；</w:t>
      </w:r>
      <w:r>
        <w:rPr>
          <w:rFonts w:hint="eastAsia" w:ascii="宋体" w:hAnsi="宋体" w:cs="宋体"/>
          <w:kern w:val="0"/>
          <w:szCs w:val="24"/>
        </w:rPr>
        <w:t>投标人不能证明其报价合理性的，评标委员会应当将其作为无效投标处理。</w:t>
      </w:r>
    </w:p>
    <w:p w14:paraId="6D6EDA5B">
      <w:pPr>
        <w:pStyle w:val="85"/>
        <w:spacing w:before="0"/>
        <w:ind w:firstLine="480"/>
        <w:rPr>
          <w:rFonts w:ascii="宋体" w:hAnsi="宋体" w:cs="宋体"/>
          <w:kern w:val="0"/>
          <w:szCs w:val="24"/>
        </w:rPr>
      </w:pPr>
      <w:r>
        <w:rPr>
          <w:rFonts w:hint="eastAsia" w:ascii="宋体" w:hAnsi="宋体" w:cs="宋体"/>
          <w:kern w:val="0"/>
          <w:szCs w:val="24"/>
        </w:rPr>
        <w:t>3.4.5对于未预留份额专门面向中小企业的政府采购货物项目，以及预留份额政府采购货物项目中的非预留部分标项，对小型和微型企业的投标报价给予10%</w:t>
      </w:r>
      <w:r>
        <w:rPr>
          <w:rFonts w:hint="eastAsia" w:ascii="宋体" w:hAnsi="宋体" w:cs="宋体"/>
          <w:kern w:val="0"/>
          <w:szCs w:val="24"/>
          <w:lang w:eastAsia="zh-CN"/>
        </w:rPr>
        <w:t>—</w:t>
      </w:r>
      <w:r>
        <w:rPr>
          <w:rFonts w:ascii="宋体" w:hAnsi="宋体" w:cs="宋体"/>
          <w:kern w:val="0"/>
          <w:szCs w:val="24"/>
        </w:rPr>
        <w:t>20</w:t>
      </w:r>
      <w:r>
        <w:rPr>
          <w:rFonts w:hint="eastAsia" w:ascii="宋体" w:hAnsi="宋体" w:cs="宋体"/>
          <w:kern w:val="0"/>
          <w:szCs w:val="24"/>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hint="eastAsia" w:ascii="宋体" w:hAnsi="宋体" w:cs="宋体"/>
          <w:kern w:val="0"/>
          <w:szCs w:val="24"/>
          <w:lang w:eastAsia="zh-CN"/>
        </w:rPr>
        <w:t>—</w:t>
      </w:r>
      <w:r>
        <w:rPr>
          <w:rFonts w:ascii="宋体" w:hAnsi="宋体" w:cs="宋体"/>
          <w:kern w:val="0"/>
          <w:szCs w:val="24"/>
        </w:rPr>
        <w:t>6</w:t>
      </w:r>
      <w:r>
        <w:rPr>
          <w:rFonts w:hint="eastAsia" w:ascii="宋体" w:hAnsi="宋体" w:cs="宋体"/>
          <w:kern w:val="0"/>
          <w:szCs w:val="24"/>
        </w:rPr>
        <w:t>%的扣除，用扣除后的价格参加评审。组成联合体或者接受分包的小微企业与联合体内其他企业、分包企业之间存在直接控股、管理关系的，不享受价格扣除优惠政策。</w:t>
      </w:r>
    </w:p>
    <w:p w14:paraId="156270A5">
      <w:pPr>
        <w:spacing w:line="360" w:lineRule="auto"/>
        <w:ind w:firstLine="482" w:firstLineChars="200"/>
        <w:rPr>
          <w:rFonts w:ascii="宋体" w:hAnsi="宋体" w:cs="宋体"/>
          <w:kern w:val="0"/>
          <w:sz w:val="24"/>
        </w:rPr>
      </w:pPr>
      <w:r>
        <w:rPr>
          <w:rFonts w:hint="eastAsia" w:ascii="宋体" w:hAnsi="宋体" w:cs="宋体"/>
          <w:b/>
          <w:kern w:val="0"/>
          <w:sz w:val="24"/>
        </w:rPr>
        <w:t>3.5排序与推荐。</w:t>
      </w:r>
      <w:r>
        <w:rPr>
          <w:rFonts w:hint="eastAsia" w:ascii="宋体" w:hAnsi="宋体" w:cs="宋体"/>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6231EE56">
      <w:pPr>
        <w:spacing w:line="360" w:lineRule="auto"/>
        <w:ind w:firstLine="480" w:firstLineChars="200"/>
        <w:rPr>
          <w:rFonts w:ascii="宋体" w:hAnsi="宋体" w:cs="宋体"/>
          <w:b/>
          <w:kern w:val="0"/>
          <w:sz w:val="24"/>
        </w:rPr>
      </w:pPr>
      <w:r>
        <w:rPr>
          <w:rFonts w:hint="eastAsia" w:ascii="宋体" w:hAnsi="宋体"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2F5380C7">
      <w:pPr>
        <w:spacing w:line="360" w:lineRule="auto"/>
        <w:ind w:firstLine="472" w:firstLineChars="196"/>
        <w:rPr>
          <w:rFonts w:ascii="宋体" w:hAnsi="宋体" w:cs="宋体"/>
          <w:kern w:val="0"/>
          <w:sz w:val="24"/>
        </w:rPr>
      </w:pPr>
      <w:r>
        <w:rPr>
          <w:rFonts w:hint="eastAsia" w:ascii="宋体" w:hAnsi="宋体" w:cs="宋体"/>
          <w:b/>
          <w:kern w:val="0"/>
          <w:sz w:val="24"/>
        </w:rPr>
        <w:t>3.6编写评标报告。</w:t>
      </w:r>
      <w:r>
        <w:rPr>
          <w:rFonts w:hint="eastAsia" w:ascii="宋体" w:hAnsi="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587DDA32">
      <w:pPr>
        <w:widowControl/>
        <w:shd w:val="clear" w:color="auto" w:fill="FFFFFF"/>
        <w:adjustRightInd/>
        <w:spacing w:after="225" w:line="315" w:lineRule="atLeast"/>
        <w:jc w:val="left"/>
        <w:rPr>
          <w:rFonts w:ascii="宋体" w:hAnsi="宋体" w:cs="宋体"/>
          <w:b/>
          <w:sz w:val="32"/>
        </w:rPr>
      </w:pPr>
      <w:r>
        <w:rPr>
          <w:rFonts w:hint="eastAsia" w:ascii="宋体" w:hAnsi="宋体" w:cs="宋体"/>
          <w:b/>
          <w:sz w:val="32"/>
        </w:rPr>
        <w:t>四、评标中的其他事项</w:t>
      </w:r>
    </w:p>
    <w:p w14:paraId="2A76E618">
      <w:pPr>
        <w:pStyle w:val="85"/>
        <w:spacing w:before="0"/>
        <w:ind w:firstLine="472" w:firstLineChars="196"/>
        <w:rPr>
          <w:rFonts w:ascii="宋体" w:hAnsi="宋体" w:cs="宋体"/>
          <w:kern w:val="0"/>
          <w:szCs w:val="24"/>
        </w:rPr>
      </w:pPr>
      <w:r>
        <w:rPr>
          <w:rFonts w:hint="eastAsia" w:ascii="宋体" w:hAnsi="宋体" w:cs="宋体"/>
          <w:b/>
          <w:kern w:val="0"/>
          <w:szCs w:val="24"/>
        </w:rPr>
        <w:t>4.1投标人澄清、说明或者补正。</w:t>
      </w:r>
      <w:r>
        <w:rPr>
          <w:rFonts w:hint="eastAsia" w:ascii="宋体" w:hAnsi="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182700F">
      <w:pPr>
        <w:pStyle w:val="24"/>
        <w:spacing w:line="360" w:lineRule="auto"/>
        <w:ind w:left="954" w:leftChars="226" w:hanging="479" w:firstLineChars="0"/>
        <w:rPr>
          <w:rFonts w:cs="宋体"/>
          <w:szCs w:val="21"/>
        </w:rPr>
      </w:pPr>
      <w:r>
        <w:rPr>
          <w:rFonts w:hint="eastAsia" w:cs="宋体"/>
          <w:b/>
          <w:kern w:val="0"/>
        </w:rPr>
        <w:t>4.2投标无效。</w:t>
      </w:r>
      <w:r>
        <w:rPr>
          <w:rFonts w:hint="eastAsia" w:cs="宋体"/>
          <w:szCs w:val="21"/>
        </w:rPr>
        <w:t>有下列情形之一的，投标无效：</w:t>
      </w:r>
    </w:p>
    <w:p w14:paraId="51A72382">
      <w:pPr>
        <w:spacing w:line="360" w:lineRule="auto"/>
        <w:ind w:firstLine="480" w:firstLineChars="200"/>
        <w:rPr>
          <w:rFonts w:ascii="宋体" w:hAnsi="宋体" w:cs="宋体"/>
          <w:kern w:val="0"/>
          <w:sz w:val="24"/>
        </w:rPr>
      </w:pPr>
      <w:r>
        <w:rPr>
          <w:rFonts w:hint="eastAsia" w:ascii="宋体" w:hAnsi="宋体" w:cs="宋体"/>
          <w:kern w:val="0"/>
          <w:sz w:val="24"/>
        </w:rPr>
        <w:t>4.2.1投标人不具备招标文件中规定的资格要求的（投标人未提供有效的资格文件的，视为投标人不具备招标文件中规定的资格要求）；</w:t>
      </w:r>
    </w:p>
    <w:p w14:paraId="2CCDDFE7">
      <w:pPr>
        <w:spacing w:line="360" w:lineRule="auto"/>
        <w:ind w:firstLine="480" w:firstLineChars="200"/>
        <w:rPr>
          <w:rFonts w:ascii="宋体" w:hAnsi="宋体" w:cs="宋体"/>
          <w:kern w:val="0"/>
          <w:sz w:val="24"/>
        </w:rPr>
      </w:pPr>
      <w:r>
        <w:rPr>
          <w:rFonts w:hint="eastAsia" w:ascii="宋体" w:hAnsi="宋体" w:cs="宋体"/>
          <w:kern w:val="0"/>
          <w:sz w:val="24"/>
        </w:rPr>
        <w:t>4.2.2投标文件未按照招标文件要求签署、盖章的；</w:t>
      </w:r>
    </w:p>
    <w:p w14:paraId="07311634">
      <w:pPr>
        <w:spacing w:line="360" w:lineRule="auto"/>
        <w:ind w:firstLine="480" w:firstLineChars="200"/>
        <w:rPr>
          <w:rFonts w:ascii="宋体" w:hAnsi="宋体" w:cs="宋体"/>
          <w:kern w:val="0"/>
          <w:sz w:val="24"/>
        </w:rPr>
      </w:pPr>
      <w:r>
        <w:rPr>
          <w:rFonts w:hint="eastAsia" w:ascii="宋体" w:hAnsi="宋体" w:cs="宋体"/>
          <w:kern w:val="0"/>
          <w:sz w:val="24"/>
        </w:rPr>
        <w:t>4.2.3采购人拟采购的产品属于政府强制采购的节能产品品目清单范围的，投标人相应的投标产品未获得国家确定的认证机构出具的、处于有效期之内的节能产品认证证书的；</w:t>
      </w:r>
    </w:p>
    <w:p w14:paraId="0DC78287">
      <w:pPr>
        <w:spacing w:line="360" w:lineRule="auto"/>
        <w:ind w:firstLine="480" w:firstLineChars="200"/>
        <w:rPr>
          <w:rFonts w:ascii="宋体" w:hAnsi="宋体" w:cs="宋体"/>
          <w:kern w:val="0"/>
          <w:sz w:val="24"/>
        </w:rPr>
      </w:pPr>
      <w:r>
        <w:rPr>
          <w:rFonts w:hint="eastAsia" w:ascii="宋体" w:hAnsi="宋体" w:cs="宋体"/>
          <w:kern w:val="0"/>
          <w:sz w:val="24"/>
        </w:rPr>
        <w:t>4.2.4投标文件含有采购人不能接受的附加条件的；</w:t>
      </w:r>
    </w:p>
    <w:p w14:paraId="6C8A3D78">
      <w:pPr>
        <w:spacing w:line="360" w:lineRule="auto"/>
        <w:ind w:firstLine="480" w:firstLineChars="200"/>
        <w:rPr>
          <w:rFonts w:ascii="宋体" w:hAnsi="宋体" w:cs="宋体"/>
          <w:kern w:val="0"/>
          <w:sz w:val="24"/>
        </w:rPr>
      </w:pPr>
      <w:r>
        <w:rPr>
          <w:rFonts w:hint="eastAsia" w:ascii="宋体" w:hAnsi="宋体" w:cs="宋体"/>
          <w:kern w:val="0"/>
          <w:sz w:val="24"/>
        </w:rPr>
        <w:t>4.2.5投标文件中承诺的投标有效期少于招标文件中载明的投标有效期的；</w:t>
      </w:r>
    </w:p>
    <w:p w14:paraId="0BB101AE">
      <w:pPr>
        <w:snapToGrid w:val="0"/>
        <w:spacing w:line="360" w:lineRule="auto"/>
        <w:ind w:firstLine="120" w:firstLineChars="50"/>
        <w:jc w:val="left"/>
        <w:rPr>
          <w:rFonts w:ascii="宋体" w:hAnsi="宋体" w:cs="宋体"/>
          <w:kern w:val="0"/>
          <w:sz w:val="24"/>
        </w:rPr>
      </w:pPr>
      <w:r>
        <w:rPr>
          <w:rFonts w:hint="eastAsia" w:ascii="宋体" w:hAnsi="宋体" w:cs="宋体"/>
          <w:kern w:val="0"/>
          <w:sz w:val="24"/>
        </w:rPr>
        <w:t xml:space="preserve">   4.2.6投标文件出现不是唯一的、有选择性投标报价的</w:t>
      </w:r>
      <w:r>
        <w:rPr>
          <w:rFonts w:hint="eastAsia" w:ascii="宋体" w:hAnsi="宋体" w:cs="宋体"/>
          <w:kern w:val="0"/>
          <w:sz w:val="24"/>
          <w:lang w:eastAsia="zh-CN"/>
        </w:rPr>
        <w:t>；</w:t>
      </w:r>
    </w:p>
    <w:p w14:paraId="5791F360">
      <w:pPr>
        <w:spacing w:line="360" w:lineRule="auto"/>
        <w:ind w:firstLine="480" w:firstLineChars="200"/>
        <w:rPr>
          <w:rFonts w:ascii="宋体" w:hAnsi="宋体" w:cs="宋体"/>
          <w:kern w:val="0"/>
          <w:sz w:val="24"/>
        </w:rPr>
      </w:pPr>
      <w:r>
        <w:rPr>
          <w:rFonts w:hint="eastAsia" w:ascii="宋体" w:hAnsi="宋体" w:cs="宋体"/>
          <w:kern w:val="0"/>
          <w:sz w:val="24"/>
        </w:rPr>
        <w:t>4.2.7投标报价超过招标文件中规定的预算金额或者最高限价的</w:t>
      </w:r>
      <w:r>
        <w:rPr>
          <w:rFonts w:hint="eastAsia" w:ascii="宋体" w:hAnsi="宋体" w:cs="宋体"/>
          <w:kern w:val="0"/>
          <w:sz w:val="24"/>
          <w:lang w:eastAsia="zh-CN"/>
        </w:rPr>
        <w:t>；</w:t>
      </w:r>
      <w:r>
        <w:rPr>
          <w:rFonts w:hint="eastAsia" w:ascii="宋体" w:hAnsi="宋体" w:cs="宋体"/>
          <w:color w:val="auto"/>
          <w:kern w:val="0"/>
          <w:sz w:val="24"/>
          <w:highlight w:val="none"/>
        </w:rPr>
        <w:t>投标报价低于项目预算50%，未在报价文件中详细阐述不影响产品质量或者诚信履约的具体原因的；</w:t>
      </w:r>
    </w:p>
    <w:p w14:paraId="5FFA5DC6">
      <w:pPr>
        <w:spacing w:line="360" w:lineRule="auto"/>
        <w:ind w:firstLine="480" w:firstLineChars="200"/>
        <w:rPr>
          <w:rFonts w:hint="eastAsia" w:ascii="宋体" w:hAnsi="宋体" w:cs="宋体"/>
          <w:kern w:val="0"/>
          <w:sz w:val="24"/>
          <w:lang w:eastAsia="zh-CN"/>
        </w:rPr>
      </w:pPr>
      <w:r>
        <w:rPr>
          <w:rFonts w:hint="eastAsia" w:ascii="宋体" w:hAnsi="宋体" w:cs="宋体"/>
          <w:kern w:val="0"/>
          <w:sz w:val="24"/>
        </w:rPr>
        <w:t>4.2.8报价明显低于其他通过符合性审查投标人的报价，有可能影响产品质量或者不能诚信履约的，未能按要求提供书面说明或者提交相关证明材料，不能证明其报价合理性的</w:t>
      </w:r>
      <w:r>
        <w:rPr>
          <w:rFonts w:hint="eastAsia" w:ascii="宋体" w:hAnsi="宋体" w:cs="宋体"/>
          <w:kern w:val="0"/>
          <w:sz w:val="24"/>
          <w:lang w:eastAsia="zh-CN"/>
        </w:rPr>
        <w:t>；</w:t>
      </w:r>
    </w:p>
    <w:p w14:paraId="64DB7B0C">
      <w:pPr>
        <w:spacing w:line="360" w:lineRule="auto"/>
        <w:ind w:firstLine="480" w:firstLineChars="200"/>
        <w:rPr>
          <w:rFonts w:ascii="宋体" w:hAnsi="宋体" w:cs="宋体"/>
          <w:kern w:val="0"/>
          <w:sz w:val="24"/>
        </w:rPr>
      </w:pPr>
      <w:r>
        <w:rPr>
          <w:rFonts w:hint="eastAsia" w:ascii="宋体" w:hAnsi="宋体" w:cs="宋体"/>
          <w:kern w:val="0"/>
          <w:sz w:val="24"/>
        </w:rPr>
        <w:t>4.2.9投标人对根据修正原则修正后的报价不确认的；</w:t>
      </w:r>
    </w:p>
    <w:p w14:paraId="1146A341">
      <w:pPr>
        <w:spacing w:line="360" w:lineRule="auto"/>
        <w:ind w:firstLine="480" w:firstLineChars="200"/>
        <w:rPr>
          <w:rFonts w:ascii="宋体" w:hAnsi="宋体" w:cs="宋体"/>
          <w:kern w:val="0"/>
          <w:sz w:val="24"/>
        </w:rPr>
      </w:pPr>
      <w:r>
        <w:rPr>
          <w:rFonts w:hint="eastAsia" w:ascii="宋体" w:hAnsi="宋体" w:cs="宋体"/>
          <w:kern w:val="0"/>
          <w:sz w:val="24"/>
        </w:rPr>
        <w:t>4.2.10投标人提供虚假材料投标的；</w:t>
      </w:r>
    </w:p>
    <w:p w14:paraId="0A3BC604">
      <w:pPr>
        <w:spacing w:line="360" w:lineRule="auto"/>
        <w:ind w:firstLine="240" w:firstLineChars="100"/>
        <w:rPr>
          <w:rFonts w:ascii="宋体" w:hAnsi="宋体" w:cs="宋体"/>
          <w:kern w:val="0"/>
          <w:sz w:val="24"/>
        </w:rPr>
      </w:pPr>
      <w:r>
        <w:rPr>
          <w:rFonts w:hint="eastAsia" w:ascii="宋体" w:hAnsi="宋体" w:cs="宋体"/>
          <w:kern w:val="0"/>
          <w:sz w:val="24"/>
        </w:rPr>
        <w:t xml:space="preserve">  4.2.11投标人有恶意串通、妨碍其他投标人的竞争行为、损害采购人或者其他投标人的合法权益情形的；</w:t>
      </w:r>
    </w:p>
    <w:p w14:paraId="19ECB98B">
      <w:pPr>
        <w:spacing w:line="360" w:lineRule="auto"/>
        <w:ind w:firstLine="480" w:firstLineChars="200"/>
        <w:rPr>
          <w:rFonts w:hint="eastAsia" w:ascii="宋体" w:hAnsi="宋体" w:cs="宋体"/>
          <w:kern w:val="0"/>
          <w:sz w:val="24"/>
          <w:highlight w:val="none"/>
        </w:rPr>
      </w:pPr>
      <w:r>
        <w:rPr>
          <w:rFonts w:hint="eastAsia" w:ascii="宋体" w:hAnsi="宋体" w:cs="宋体"/>
          <w:kern w:val="0"/>
          <w:sz w:val="24"/>
        </w:rPr>
        <w:t>4.2.12投标人仅提交备份投标文件，未在电子交易平台传输递交投标文件的，投标无效</w:t>
      </w:r>
      <w:r>
        <w:rPr>
          <w:rFonts w:hint="eastAsia" w:ascii="宋体" w:hAnsi="宋体" w:cs="宋体"/>
          <w:kern w:val="0"/>
          <w:sz w:val="24"/>
          <w:highlight w:val="none"/>
        </w:rPr>
        <w:t>；</w:t>
      </w:r>
    </w:p>
    <w:p w14:paraId="57086216">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4.2.13投标人未提供样品或提供的样品不满足采购需求实质性条件的，投标无效；</w:t>
      </w:r>
    </w:p>
    <w:p w14:paraId="73E316C3">
      <w:pPr>
        <w:pStyle w:val="3"/>
        <w:ind w:left="862" w:leftChars="205"/>
        <w:rPr>
          <w:rFonts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4.2.1</w:t>
      </w:r>
      <w:r>
        <w:rPr>
          <w:rFonts w:hint="eastAsia" w:ascii="宋体" w:hAnsi="宋体" w:eastAsia="宋体" w:cs="宋体"/>
          <w:b w:val="0"/>
          <w:bCs w:val="0"/>
          <w:kern w:val="0"/>
          <w:sz w:val="24"/>
          <w:szCs w:val="24"/>
          <w:lang w:val="en-US" w:eastAsia="zh-CN"/>
        </w:rPr>
        <w:t>4</w:t>
      </w:r>
      <w:r>
        <w:rPr>
          <w:rFonts w:hint="eastAsia" w:ascii="宋体" w:hAnsi="宋体" w:eastAsia="宋体" w:cs="宋体"/>
          <w:b w:val="0"/>
          <w:bCs w:val="0"/>
          <w:kern w:val="0"/>
          <w:sz w:val="24"/>
          <w:szCs w:val="24"/>
          <w:lang w:val="en-US"/>
        </w:rPr>
        <w:t xml:space="preserve"> 投标文件不满足招标文件的其它实质性要求的；</w:t>
      </w:r>
    </w:p>
    <w:p w14:paraId="1A97CDB1">
      <w:pPr>
        <w:pStyle w:val="24"/>
        <w:snapToGrid w:val="0"/>
        <w:spacing w:line="360" w:lineRule="auto"/>
        <w:ind w:firstLine="470" w:firstLineChars="196"/>
        <w:rPr>
          <w:rFonts w:hint="eastAsia" w:ascii="宋体" w:hAnsi="宋体" w:cs="宋体"/>
          <w:kern w:val="0"/>
          <w:sz w:val="24"/>
        </w:rPr>
      </w:pPr>
      <w:r>
        <w:rPr>
          <w:rFonts w:hint="eastAsia" w:ascii="宋体" w:hAnsi="宋体" w:cs="宋体"/>
          <w:kern w:val="0"/>
          <w:sz w:val="24"/>
        </w:rPr>
        <w:t>4.2.15</w:t>
      </w:r>
      <w:r>
        <w:rPr>
          <w:rFonts w:hint="eastAsia" w:ascii="宋体" w:hAnsi="宋体" w:cs="宋体"/>
          <w:b/>
          <w:bCs/>
          <w:kern w:val="0"/>
          <w:sz w:val="24"/>
        </w:rPr>
        <w:t>串通投标认定。</w:t>
      </w:r>
      <w:r>
        <w:rPr>
          <w:rFonts w:hint="eastAsia" w:ascii="宋体" w:hAnsi="宋体" w:cs="宋体"/>
          <w:kern w:val="0"/>
          <w:sz w:val="24"/>
        </w:rPr>
        <w:t>有下列情形之一的，视为投标人串通投标，其投标无效：</w:t>
      </w:r>
    </w:p>
    <w:p w14:paraId="3DF5EF19">
      <w:pPr>
        <w:pStyle w:val="24"/>
        <w:snapToGrid w:val="0"/>
        <w:spacing w:line="360" w:lineRule="auto"/>
        <w:ind w:firstLine="470" w:firstLineChars="196"/>
        <w:rPr>
          <w:rFonts w:hint="eastAsia" w:ascii="宋体" w:hAnsi="宋体" w:cs="宋体"/>
          <w:kern w:val="0"/>
          <w:sz w:val="24"/>
        </w:rPr>
      </w:pPr>
      <w:r>
        <w:rPr>
          <w:rFonts w:hint="eastAsia" w:ascii="宋体" w:hAnsi="宋体" w:cs="宋体"/>
          <w:kern w:val="0"/>
          <w:sz w:val="24"/>
        </w:rPr>
        <w:t>4.2.15.1不同投标人的投标文件由同一单位或者个人编制或同一IP地址上传；</w:t>
      </w:r>
    </w:p>
    <w:p w14:paraId="4E6099CD">
      <w:pPr>
        <w:pStyle w:val="24"/>
        <w:snapToGrid w:val="0"/>
        <w:spacing w:line="360" w:lineRule="auto"/>
        <w:ind w:firstLine="470" w:firstLineChars="196"/>
        <w:rPr>
          <w:rFonts w:hint="eastAsia" w:ascii="宋体" w:hAnsi="宋体" w:cs="宋体"/>
          <w:kern w:val="0"/>
          <w:sz w:val="24"/>
        </w:rPr>
      </w:pPr>
      <w:r>
        <w:rPr>
          <w:rFonts w:hint="eastAsia" w:ascii="宋体" w:hAnsi="宋体" w:cs="宋体"/>
          <w:kern w:val="0"/>
          <w:sz w:val="24"/>
        </w:rPr>
        <w:t>4.2.15.2不同投标人委托同一单位或者个人办理投标事宜；</w:t>
      </w:r>
    </w:p>
    <w:p w14:paraId="7689A0E1">
      <w:pPr>
        <w:pStyle w:val="24"/>
        <w:snapToGrid w:val="0"/>
        <w:spacing w:line="360" w:lineRule="auto"/>
        <w:ind w:firstLine="470" w:firstLineChars="196"/>
        <w:rPr>
          <w:rFonts w:hint="eastAsia" w:ascii="宋体" w:hAnsi="宋体" w:cs="宋体"/>
          <w:kern w:val="0"/>
          <w:sz w:val="24"/>
        </w:rPr>
      </w:pPr>
      <w:r>
        <w:rPr>
          <w:rFonts w:hint="eastAsia" w:ascii="宋体" w:hAnsi="宋体" w:cs="宋体"/>
          <w:kern w:val="0"/>
          <w:sz w:val="24"/>
        </w:rPr>
        <w:t>4.2.15.3不同投标人的投标文件载明的项目管理成员或者联系人员为同一人；</w:t>
      </w:r>
    </w:p>
    <w:p w14:paraId="39BAC5C9">
      <w:pPr>
        <w:pStyle w:val="24"/>
        <w:snapToGrid w:val="0"/>
        <w:spacing w:line="360" w:lineRule="auto"/>
        <w:ind w:firstLine="470" w:firstLineChars="196"/>
        <w:rPr>
          <w:rFonts w:hint="eastAsia" w:ascii="宋体" w:hAnsi="宋体" w:cs="宋体"/>
          <w:kern w:val="0"/>
          <w:sz w:val="24"/>
        </w:rPr>
      </w:pPr>
      <w:r>
        <w:rPr>
          <w:rFonts w:hint="eastAsia" w:ascii="宋体" w:hAnsi="宋体" w:cs="宋体"/>
          <w:kern w:val="0"/>
          <w:sz w:val="24"/>
        </w:rPr>
        <w:t>4.2.15.4不同投标人的投标文件异常一致或者投标报价呈规律性差异；</w:t>
      </w:r>
    </w:p>
    <w:p w14:paraId="151121C9">
      <w:pPr>
        <w:pStyle w:val="24"/>
        <w:snapToGrid w:val="0"/>
        <w:spacing w:line="360" w:lineRule="auto"/>
        <w:ind w:firstLine="470" w:firstLineChars="196"/>
        <w:rPr>
          <w:rFonts w:hint="eastAsia" w:ascii="宋体" w:hAnsi="宋体" w:cs="宋体"/>
          <w:kern w:val="0"/>
          <w:sz w:val="24"/>
        </w:rPr>
      </w:pPr>
      <w:r>
        <w:rPr>
          <w:rFonts w:hint="eastAsia" w:ascii="宋体" w:hAnsi="宋体" w:cs="宋体"/>
          <w:kern w:val="0"/>
          <w:sz w:val="24"/>
        </w:rPr>
        <w:t>4.2.15.5不同投标人的投标文件相互混装。</w:t>
      </w:r>
    </w:p>
    <w:p w14:paraId="128B0FBE">
      <w:pPr>
        <w:pStyle w:val="24"/>
        <w:snapToGrid w:val="0"/>
        <w:spacing w:line="360" w:lineRule="auto"/>
        <w:ind w:firstLine="470" w:firstLineChars="196"/>
        <w:rPr>
          <w:rFonts w:hint="eastAsia" w:ascii="宋体" w:hAnsi="宋体" w:cs="宋体"/>
          <w:kern w:val="0"/>
          <w:sz w:val="24"/>
        </w:rPr>
      </w:pPr>
      <w:r>
        <w:rPr>
          <w:rFonts w:hint="eastAsia" w:ascii="宋体" w:hAnsi="宋体" w:cs="宋体"/>
          <w:kern w:val="0"/>
          <w:sz w:val="24"/>
        </w:rPr>
        <w:t>4.2.16法律法规、规章（适用本市的）及省级以上规范性文件（适用本市的）规定的其他无效情形。</w:t>
      </w:r>
    </w:p>
    <w:p w14:paraId="5D099096">
      <w:pPr>
        <w:pStyle w:val="24"/>
        <w:snapToGrid w:val="0"/>
        <w:spacing w:line="360" w:lineRule="auto"/>
        <w:ind w:firstLine="472" w:firstLineChars="196"/>
        <w:rPr>
          <w:rFonts w:cs="宋体"/>
        </w:rPr>
      </w:pPr>
      <w:r>
        <w:rPr>
          <w:rFonts w:hint="eastAsia" w:cs="宋体"/>
          <w:b/>
        </w:rPr>
        <w:t>5.废标。</w:t>
      </w:r>
      <w:r>
        <w:rPr>
          <w:rFonts w:hint="eastAsia" w:cs="宋体"/>
        </w:rPr>
        <w:t>根据《中华人民共和国政府采购法》第三十六条之规定，在采购中，出现下列情形之一的，应予废标：</w:t>
      </w:r>
    </w:p>
    <w:p w14:paraId="44A4832A">
      <w:pPr>
        <w:pStyle w:val="24"/>
        <w:snapToGrid w:val="0"/>
        <w:spacing w:line="360" w:lineRule="auto"/>
        <w:rPr>
          <w:rFonts w:cs="宋体"/>
        </w:rPr>
      </w:pPr>
      <w:r>
        <w:rPr>
          <w:rFonts w:hint="eastAsia" w:cs="宋体"/>
        </w:rPr>
        <w:t>5.1符合专业条件的供应商或者对招标文件作实质响应的供应商不足3家的；</w:t>
      </w:r>
    </w:p>
    <w:p w14:paraId="489BFF76">
      <w:pPr>
        <w:pStyle w:val="24"/>
        <w:snapToGrid w:val="0"/>
        <w:spacing w:line="360" w:lineRule="auto"/>
        <w:rPr>
          <w:rFonts w:cs="宋体"/>
        </w:rPr>
      </w:pPr>
      <w:r>
        <w:rPr>
          <w:rFonts w:hint="eastAsia" w:cs="宋体"/>
        </w:rPr>
        <w:t>5.2出现影响采购公正的违法、违规行为的；</w:t>
      </w:r>
    </w:p>
    <w:p w14:paraId="16634AB6">
      <w:pPr>
        <w:pStyle w:val="24"/>
        <w:snapToGrid w:val="0"/>
        <w:spacing w:line="360" w:lineRule="auto"/>
        <w:rPr>
          <w:rFonts w:cs="宋体"/>
        </w:rPr>
      </w:pPr>
      <w:r>
        <w:rPr>
          <w:rFonts w:hint="eastAsia" w:cs="宋体"/>
        </w:rPr>
        <w:t>5.3投标人的报价均超过了采购预算，采购人不能支付的；</w:t>
      </w:r>
    </w:p>
    <w:p w14:paraId="1F57D69C">
      <w:pPr>
        <w:pStyle w:val="24"/>
        <w:snapToGrid w:val="0"/>
        <w:spacing w:line="360" w:lineRule="auto"/>
        <w:rPr>
          <w:rFonts w:cs="宋体"/>
        </w:rPr>
      </w:pPr>
      <w:r>
        <w:rPr>
          <w:rFonts w:hint="eastAsia" w:cs="宋体"/>
        </w:rPr>
        <w:t>5.4因重大变故，采购任务取消的。</w:t>
      </w:r>
    </w:p>
    <w:p w14:paraId="257AE131">
      <w:pPr>
        <w:pStyle w:val="24"/>
        <w:snapToGrid w:val="0"/>
        <w:spacing w:line="360" w:lineRule="auto"/>
        <w:rPr>
          <w:rFonts w:cs="宋体"/>
        </w:rPr>
      </w:pPr>
      <w:r>
        <w:rPr>
          <w:rFonts w:hint="eastAsia" w:cs="宋体"/>
        </w:rPr>
        <w:t>废标后，</w:t>
      </w:r>
      <w:r>
        <w:rPr>
          <w:rFonts w:hint="eastAsia" w:cs="宋体"/>
          <w:lang w:eastAsia="zh-CN"/>
        </w:rPr>
        <w:t>采购代理机构</w:t>
      </w:r>
      <w:r>
        <w:rPr>
          <w:rFonts w:hint="eastAsia" w:cs="宋体"/>
        </w:rPr>
        <w:t>应当将废标理由通知所有投标人。</w:t>
      </w:r>
    </w:p>
    <w:p w14:paraId="4079B9EC">
      <w:pPr>
        <w:pStyle w:val="24"/>
        <w:snapToGrid w:val="0"/>
        <w:spacing w:line="360" w:lineRule="auto"/>
        <w:ind w:firstLine="590" w:firstLineChars="245"/>
        <w:rPr>
          <w:rFonts w:cs="宋体"/>
        </w:rPr>
      </w:pPr>
      <w:r>
        <w:rPr>
          <w:rFonts w:hint="eastAsia" w:cs="宋体"/>
          <w:b/>
        </w:rPr>
        <w:t>6.修改招标文件，重新组织采购活动。</w:t>
      </w:r>
      <w:r>
        <w:rPr>
          <w:rFonts w:hint="eastAsia" w:cs="宋体"/>
        </w:rPr>
        <w:t>评标委员会发现招标文件存在歧义、重大缺陷导致评标工作无法进行，或者招标文件内容违反国家有关强制性规定的，将停止评标工作，并与采购人、</w:t>
      </w:r>
      <w:r>
        <w:rPr>
          <w:rFonts w:hint="eastAsia" w:cs="宋体"/>
          <w:lang w:eastAsia="zh-CN"/>
        </w:rPr>
        <w:t>采购代理机构</w:t>
      </w:r>
      <w:r>
        <w:rPr>
          <w:rFonts w:hint="eastAsia" w:cs="宋体"/>
        </w:rPr>
        <w:t>沟通并作书面记录。采购人、</w:t>
      </w:r>
      <w:r>
        <w:rPr>
          <w:rFonts w:hint="eastAsia" w:cs="宋体"/>
          <w:lang w:eastAsia="zh-CN"/>
        </w:rPr>
        <w:t>采购代理机构</w:t>
      </w:r>
      <w:r>
        <w:rPr>
          <w:rFonts w:hint="eastAsia" w:cs="宋体"/>
        </w:rPr>
        <w:t>确认后，将修改招标文件，重新组织采购活动。</w:t>
      </w:r>
    </w:p>
    <w:p w14:paraId="57608197">
      <w:pPr>
        <w:pStyle w:val="24"/>
        <w:snapToGrid w:val="0"/>
        <w:spacing w:line="360" w:lineRule="auto"/>
        <w:ind w:firstLine="482"/>
        <w:rPr>
          <w:rFonts w:cs="宋体"/>
        </w:rPr>
      </w:pPr>
      <w:r>
        <w:rPr>
          <w:rFonts w:hint="eastAsia" w:cs="宋体"/>
          <w:b/>
          <w:kern w:val="0"/>
        </w:rPr>
        <w:t>7.重新开展采购。</w:t>
      </w:r>
      <w:r>
        <w:rPr>
          <w:rFonts w:hint="eastAsia" w:cs="宋体"/>
        </w:rPr>
        <w:t>有政府采购法第七十一条、第七十二条规定的违法行为之一，影响或者可能影响中标结果的，依照下列规定处理：</w:t>
      </w:r>
    </w:p>
    <w:p w14:paraId="53320ADB">
      <w:pPr>
        <w:pStyle w:val="24"/>
        <w:snapToGrid w:val="0"/>
        <w:spacing w:line="360" w:lineRule="auto"/>
        <w:rPr>
          <w:rFonts w:cs="宋体"/>
        </w:rPr>
      </w:pPr>
      <w:r>
        <w:rPr>
          <w:rFonts w:hint="eastAsia" w:cs="宋体"/>
        </w:rPr>
        <w:t>7.1未确定中标供应商的，终止本次政府采购活动，重新开展政府采购活动。</w:t>
      </w:r>
    </w:p>
    <w:p w14:paraId="5C61EAA4">
      <w:pPr>
        <w:pStyle w:val="24"/>
        <w:snapToGrid w:val="0"/>
        <w:spacing w:line="360" w:lineRule="auto"/>
        <w:rPr>
          <w:rFonts w:cs="宋体"/>
        </w:rPr>
      </w:pPr>
      <w:r>
        <w:rPr>
          <w:rFonts w:hint="eastAsia" w:cs="宋体"/>
        </w:rPr>
        <w:t>7.2已确定中标供应商但尚未签订政府采购合同的，中标结果无效，从合格的中标候选人中另行确定中标供应商；没有合格的中标候选人的，重新开展政府采购活动。</w:t>
      </w:r>
    </w:p>
    <w:p w14:paraId="2D089C04">
      <w:pPr>
        <w:pStyle w:val="24"/>
        <w:snapToGrid w:val="0"/>
        <w:spacing w:line="360" w:lineRule="auto"/>
        <w:rPr>
          <w:rFonts w:cs="宋体"/>
        </w:rPr>
      </w:pPr>
      <w:r>
        <w:rPr>
          <w:rFonts w:hint="eastAsia" w:cs="宋体"/>
        </w:rPr>
        <w:t>7.3政府采购合同已签订但尚未履行的，撤销合同，从合格的中标候选人中另行确定中标供应商；没有合格的中标候选人的，重新开展政府采购活动。</w:t>
      </w:r>
    </w:p>
    <w:p w14:paraId="7B2B7364">
      <w:pPr>
        <w:pStyle w:val="24"/>
        <w:snapToGrid w:val="0"/>
        <w:spacing w:line="360" w:lineRule="auto"/>
        <w:rPr>
          <w:rFonts w:cs="宋体"/>
        </w:rPr>
      </w:pPr>
      <w:r>
        <w:rPr>
          <w:rFonts w:hint="eastAsia" w:cs="宋体"/>
        </w:rPr>
        <w:t>7.4政府采购合同已经履行，给采购人、供应商造成损失的，由责任人承担赔偿责任。</w:t>
      </w:r>
    </w:p>
    <w:p w14:paraId="176AF81C">
      <w:pPr>
        <w:pStyle w:val="24"/>
        <w:snapToGrid w:val="0"/>
        <w:spacing w:line="360" w:lineRule="auto"/>
        <w:rPr>
          <w:rFonts w:hint="eastAsia" w:cs="宋体"/>
        </w:rPr>
      </w:pPr>
      <w:r>
        <w:rPr>
          <w:rFonts w:hint="eastAsia" w:cs="宋体"/>
        </w:rPr>
        <w:t>7.5政府采购当事人有其他违反政府采购法或者政府采购法实施条例等法律法规规定的行为，经改正后仍然影响或者可能影响中标结果或者依法被认定为中标无效的，依照7.1-7.4规定处理。</w:t>
      </w:r>
      <w:bookmarkEnd w:id="30"/>
      <w:bookmarkStart w:id="397" w:name="第五部分"/>
      <w:bookmarkStart w:id="398" w:name="_Toc86217003"/>
    </w:p>
    <w:p w14:paraId="2BDF96C0">
      <w:pPr>
        <w:pStyle w:val="24"/>
        <w:snapToGrid w:val="0"/>
        <w:spacing w:line="360" w:lineRule="auto"/>
        <w:rPr>
          <w:rFonts w:hint="eastAsia" w:cs="宋体"/>
        </w:rPr>
      </w:pPr>
    </w:p>
    <w:p w14:paraId="57F6AEDE">
      <w:pPr>
        <w:spacing w:line="360" w:lineRule="auto"/>
        <w:ind w:left="720" w:leftChars="343" w:firstLine="1084" w:firstLineChars="300"/>
        <w:outlineLvl w:val="0"/>
        <w:rPr>
          <w:rFonts w:hint="eastAsia" w:ascii="宋体" w:hAnsi="宋体" w:cs="宋体"/>
          <w:b/>
          <w:sz w:val="36"/>
          <w:szCs w:val="36"/>
        </w:rPr>
      </w:pPr>
      <w:r>
        <w:rPr>
          <w:rFonts w:hint="eastAsia" w:ascii="宋体" w:hAnsi="宋体" w:cs="宋体"/>
          <w:b/>
          <w:sz w:val="36"/>
          <w:szCs w:val="36"/>
        </w:rPr>
        <w:br w:type="page"/>
      </w:r>
    </w:p>
    <w:p w14:paraId="5BC50F94">
      <w:pPr>
        <w:spacing w:line="360" w:lineRule="auto"/>
        <w:ind w:left="720" w:leftChars="343" w:firstLine="1084" w:firstLineChars="300"/>
        <w:outlineLvl w:val="0"/>
        <w:rPr>
          <w:rFonts w:ascii="宋体" w:hAnsi="宋体" w:cs="宋体"/>
          <w:b/>
          <w:sz w:val="36"/>
          <w:szCs w:val="36"/>
        </w:rPr>
      </w:pPr>
      <w:r>
        <w:rPr>
          <w:rFonts w:hint="eastAsia" w:ascii="宋体" w:hAnsi="宋体" w:cs="宋体"/>
          <w:b/>
          <w:sz w:val="36"/>
          <w:szCs w:val="36"/>
        </w:rPr>
        <w:t>第五部分 拟签订的合同文本</w:t>
      </w:r>
    </w:p>
    <w:p w14:paraId="5E8C44CB">
      <w:pPr>
        <w:rPr>
          <w:rFonts w:ascii="宋体" w:hAnsi="宋体" w:cs="宋体"/>
          <w:sz w:val="24"/>
          <w:u w:val="single"/>
        </w:rPr>
      </w:pPr>
      <w:r>
        <w:rPr>
          <w:rFonts w:hint="eastAsia" w:ascii="宋体" w:hAnsi="宋体" w:cs="宋体"/>
          <w:sz w:val="24"/>
        </w:rPr>
        <w:t>合同编号：</w:t>
      </w:r>
      <w:r>
        <w:rPr>
          <w:rFonts w:hint="eastAsia" w:ascii="宋体" w:hAnsi="宋体" w:cs="宋体"/>
          <w:sz w:val="24"/>
          <w:u w:val="single"/>
        </w:rPr>
        <w:t xml:space="preserve">           </w:t>
      </w:r>
    </w:p>
    <w:p w14:paraId="50D74220">
      <w:pPr>
        <w:spacing w:line="480" w:lineRule="auto"/>
        <w:jc w:val="center"/>
        <w:rPr>
          <w:rFonts w:ascii="宋体" w:hAnsi="宋体" w:cs="宋体"/>
          <w:b/>
          <w:sz w:val="28"/>
          <w:szCs w:val="28"/>
        </w:rPr>
      </w:pPr>
    </w:p>
    <w:p w14:paraId="24E51CC8">
      <w:pPr>
        <w:spacing w:line="480" w:lineRule="auto"/>
        <w:jc w:val="center"/>
        <w:rPr>
          <w:rFonts w:ascii="宋体" w:hAnsi="宋体" w:cs="宋体"/>
          <w:b/>
          <w:sz w:val="24"/>
        </w:rPr>
      </w:pPr>
    </w:p>
    <w:p w14:paraId="22A7CD14">
      <w:pPr>
        <w:spacing w:line="480" w:lineRule="auto"/>
        <w:jc w:val="center"/>
        <w:rPr>
          <w:rFonts w:ascii="宋体" w:hAnsi="宋体" w:cs="宋体"/>
          <w:b/>
          <w:sz w:val="24"/>
        </w:rPr>
      </w:pPr>
    </w:p>
    <w:p w14:paraId="4FBFC9BE">
      <w:pPr>
        <w:spacing w:line="480" w:lineRule="auto"/>
        <w:jc w:val="center"/>
        <w:rPr>
          <w:rFonts w:ascii="宋体" w:hAnsi="宋体" w:cs="宋体"/>
          <w:b/>
          <w:sz w:val="36"/>
          <w:szCs w:val="36"/>
        </w:rPr>
      </w:pPr>
      <w:r>
        <w:rPr>
          <w:rFonts w:hint="eastAsia" w:ascii="宋体" w:hAnsi="宋体" w:cs="宋体"/>
          <w:b/>
          <w:sz w:val="36"/>
          <w:szCs w:val="36"/>
        </w:rPr>
        <w:t>政府采购合同参考范本</w:t>
      </w:r>
    </w:p>
    <w:p w14:paraId="44FF9CF4">
      <w:pPr>
        <w:spacing w:line="480" w:lineRule="auto"/>
        <w:jc w:val="center"/>
        <w:rPr>
          <w:rFonts w:ascii="宋体" w:hAnsi="宋体" w:cs="宋体"/>
          <w:b/>
          <w:sz w:val="36"/>
          <w:szCs w:val="36"/>
        </w:rPr>
      </w:pPr>
      <w:r>
        <w:rPr>
          <w:rFonts w:hint="eastAsia" w:ascii="宋体" w:hAnsi="宋体" w:cs="宋体"/>
          <w:b/>
          <w:sz w:val="36"/>
          <w:szCs w:val="36"/>
        </w:rPr>
        <w:t>（货物类）</w:t>
      </w:r>
    </w:p>
    <w:p w14:paraId="349D62FA">
      <w:pPr>
        <w:pStyle w:val="384"/>
        <w:rPr>
          <w:rFonts w:ascii="宋体" w:hAnsi="宋体" w:cs="宋体"/>
          <w:szCs w:val="24"/>
        </w:rPr>
      </w:pPr>
    </w:p>
    <w:p w14:paraId="6B8623BD">
      <w:pPr>
        <w:pStyle w:val="384"/>
        <w:rPr>
          <w:rFonts w:ascii="宋体" w:hAnsi="宋体" w:cs="宋体"/>
          <w:szCs w:val="24"/>
        </w:rPr>
      </w:pPr>
    </w:p>
    <w:p w14:paraId="2AE8EE86">
      <w:pPr>
        <w:pStyle w:val="384"/>
        <w:jc w:val="center"/>
        <w:rPr>
          <w:rFonts w:ascii="宋体" w:hAnsi="宋体" w:cs="宋体"/>
          <w:szCs w:val="24"/>
        </w:rPr>
      </w:pPr>
    </w:p>
    <w:p w14:paraId="66BB3F75">
      <w:pPr>
        <w:pStyle w:val="384"/>
        <w:ind w:firstLine="2843" w:firstLineChars="1180"/>
        <w:rPr>
          <w:rFonts w:ascii="宋体" w:hAnsi="宋体" w:cs="宋体"/>
          <w:b/>
          <w:szCs w:val="24"/>
        </w:rPr>
      </w:pPr>
      <w:r>
        <w:rPr>
          <w:rFonts w:hint="eastAsia" w:ascii="宋体" w:hAnsi="宋体" w:cs="宋体"/>
          <w:b/>
          <w:szCs w:val="24"/>
        </w:rPr>
        <w:t>第一部分 合同书</w:t>
      </w:r>
    </w:p>
    <w:p w14:paraId="292619BF">
      <w:pPr>
        <w:pStyle w:val="384"/>
        <w:rPr>
          <w:rFonts w:ascii="宋体" w:hAnsi="宋体" w:cs="宋体"/>
          <w:szCs w:val="24"/>
        </w:rPr>
      </w:pPr>
    </w:p>
    <w:p w14:paraId="195F469A">
      <w:pPr>
        <w:pStyle w:val="384"/>
        <w:rPr>
          <w:rFonts w:ascii="宋体" w:hAnsi="宋体" w:cs="宋体"/>
          <w:szCs w:val="24"/>
        </w:rPr>
      </w:pPr>
    </w:p>
    <w:p w14:paraId="79631826">
      <w:pPr>
        <w:spacing w:before="120" w:line="22" w:lineRule="atLeast"/>
        <w:rPr>
          <w:rFonts w:ascii="宋体" w:hAnsi="宋体" w:cs="宋体"/>
          <w:sz w:val="24"/>
        </w:rPr>
      </w:pPr>
    </w:p>
    <w:p w14:paraId="7C4514A8">
      <w:pPr>
        <w:spacing w:before="120" w:line="22" w:lineRule="atLeast"/>
        <w:ind w:left="960"/>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14:paraId="601F627B">
      <w:pPr>
        <w:pStyle w:val="281"/>
        <w:spacing w:before="120" w:line="22" w:lineRule="atLeast"/>
        <w:rPr>
          <w:rFonts w:ascii="宋体" w:hAnsi="宋体" w:eastAsia="宋体" w:cs="宋体"/>
          <w:szCs w:val="24"/>
        </w:rPr>
      </w:pPr>
    </w:p>
    <w:p w14:paraId="433939A2">
      <w:pPr>
        <w:pStyle w:val="281"/>
        <w:spacing w:before="120" w:line="22" w:lineRule="atLeast"/>
        <w:rPr>
          <w:rFonts w:ascii="宋体" w:hAnsi="宋体" w:eastAsia="宋体" w:cs="宋体"/>
          <w:szCs w:val="24"/>
        </w:rPr>
      </w:pPr>
    </w:p>
    <w:p w14:paraId="12B6AB55">
      <w:pPr>
        <w:rPr>
          <w:rFonts w:ascii="宋体" w:hAnsi="宋体" w:cs="宋体"/>
          <w:sz w:val="24"/>
        </w:rPr>
      </w:pPr>
    </w:p>
    <w:p w14:paraId="6E98FA8D">
      <w:pPr>
        <w:spacing w:before="120" w:line="22" w:lineRule="atLeast"/>
        <w:ind w:left="960"/>
        <w:rPr>
          <w:rFonts w:ascii="宋体" w:hAnsi="宋体" w:cs="宋体"/>
          <w:sz w:val="24"/>
          <w:u w:val="single"/>
        </w:rPr>
      </w:pPr>
      <w:r>
        <w:rPr>
          <w:rFonts w:hint="eastAsia" w:ascii="宋体" w:hAnsi="宋体" w:cs="宋体"/>
          <w:sz w:val="24"/>
        </w:rPr>
        <w:t>甲方：</w:t>
      </w:r>
      <w:r>
        <w:rPr>
          <w:rFonts w:hint="eastAsia" w:ascii="宋体" w:hAnsi="宋体" w:cs="宋体"/>
          <w:sz w:val="24"/>
          <w:u w:val="single"/>
        </w:rPr>
        <w:t xml:space="preserve">                                       </w:t>
      </w:r>
    </w:p>
    <w:p w14:paraId="309DEC5D">
      <w:pPr>
        <w:spacing w:before="120" w:line="22" w:lineRule="atLeast"/>
        <w:rPr>
          <w:rFonts w:ascii="宋体" w:hAnsi="宋体" w:cs="宋体"/>
          <w:sz w:val="24"/>
        </w:rPr>
      </w:pPr>
    </w:p>
    <w:p w14:paraId="03CD4AFD">
      <w:pPr>
        <w:spacing w:before="120" w:line="22" w:lineRule="atLeast"/>
        <w:ind w:left="960"/>
        <w:rPr>
          <w:rFonts w:ascii="宋体" w:hAnsi="宋体" w:cs="宋体"/>
          <w:sz w:val="24"/>
          <w:u w:val="single"/>
        </w:rPr>
      </w:pPr>
      <w:r>
        <w:rPr>
          <w:rFonts w:hint="eastAsia" w:ascii="宋体" w:hAnsi="宋体" w:cs="宋体"/>
          <w:sz w:val="24"/>
        </w:rPr>
        <w:t>乙方：</w:t>
      </w:r>
      <w:r>
        <w:rPr>
          <w:rFonts w:hint="eastAsia" w:ascii="宋体" w:hAnsi="宋体" w:cs="宋体"/>
          <w:sz w:val="24"/>
          <w:u w:val="single"/>
        </w:rPr>
        <w:t xml:space="preserve">                                       </w:t>
      </w:r>
    </w:p>
    <w:p w14:paraId="2F634934">
      <w:pPr>
        <w:spacing w:before="120" w:line="22" w:lineRule="atLeast"/>
        <w:rPr>
          <w:rFonts w:ascii="宋体" w:hAnsi="宋体" w:cs="宋体"/>
          <w:sz w:val="24"/>
        </w:rPr>
      </w:pPr>
    </w:p>
    <w:p w14:paraId="00039D3F">
      <w:pPr>
        <w:spacing w:before="120" w:line="22" w:lineRule="atLeast"/>
        <w:ind w:firstLine="960" w:firstLineChars="400"/>
        <w:rPr>
          <w:rFonts w:ascii="宋体" w:hAnsi="宋体" w:cs="宋体"/>
          <w:sz w:val="24"/>
          <w:u w:val="single"/>
        </w:rPr>
      </w:pPr>
      <w:r>
        <w:rPr>
          <w:rFonts w:hint="eastAsia" w:ascii="宋体" w:hAnsi="宋体" w:cs="宋体"/>
          <w:sz w:val="24"/>
        </w:rPr>
        <w:t>签订地：</w:t>
      </w:r>
      <w:r>
        <w:rPr>
          <w:rFonts w:hint="eastAsia" w:ascii="宋体" w:hAnsi="宋体" w:cs="宋体"/>
          <w:sz w:val="24"/>
          <w:u w:val="single"/>
        </w:rPr>
        <w:t xml:space="preserve">                                     </w:t>
      </w:r>
    </w:p>
    <w:p w14:paraId="480B3AD0">
      <w:pPr>
        <w:spacing w:before="120" w:line="22" w:lineRule="atLeast"/>
        <w:rPr>
          <w:rFonts w:ascii="宋体" w:hAnsi="宋体" w:cs="宋体"/>
          <w:sz w:val="24"/>
        </w:rPr>
      </w:pPr>
    </w:p>
    <w:p w14:paraId="0B7F231E">
      <w:pPr>
        <w:spacing w:before="120" w:line="22" w:lineRule="atLeast"/>
        <w:ind w:firstLine="960" w:firstLineChars="400"/>
        <w:rPr>
          <w:rFonts w:ascii="宋体" w:hAnsi="宋体" w:cs="宋体"/>
          <w:sz w:val="24"/>
          <w:u w:val="single"/>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6EA1C628">
      <w:pPr>
        <w:widowControl/>
        <w:jc w:val="left"/>
        <w:rPr>
          <w:rFonts w:ascii="宋体" w:hAnsi="宋体" w:cs="宋体"/>
          <w:kern w:val="0"/>
          <w:sz w:val="24"/>
        </w:rPr>
        <w:sectPr>
          <w:pgSz w:w="11907" w:h="16840"/>
          <w:pgMar w:top="1134" w:right="1814" w:bottom="1474" w:left="1814" w:header="851" w:footer="851" w:gutter="0"/>
          <w:cols w:space="720" w:num="1"/>
          <w:titlePg/>
          <w:docGrid w:type="lines" w:linePitch="312" w:charSpace="0"/>
        </w:sectPr>
      </w:pPr>
    </w:p>
    <w:p w14:paraId="423D5BA7">
      <w:pPr>
        <w:spacing w:line="560" w:lineRule="exact"/>
        <w:ind w:firstLine="480" w:firstLineChars="200"/>
        <w:rPr>
          <w:rFonts w:ascii="宋体" w:hAnsi="宋体" w:cs="宋体"/>
          <w:color w:val="auto"/>
          <w:sz w:val="24"/>
        </w:rPr>
      </w:pP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color w:val="auto"/>
          <w:sz w:val="24"/>
          <w:u w:val="single"/>
          <w:lang w:eastAsia="zh-CN"/>
        </w:rPr>
        <w:t>杭州师范大学附属未来科技城学校（杭州二中教育集团未来科技城学校）</w:t>
      </w:r>
      <w:r>
        <w:rPr>
          <w:rFonts w:hint="eastAsia" w:ascii="宋体" w:hAnsi="宋体" w:cs="宋体"/>
          <w:color w:val="auto"/>
          <w:sz w:val="24"/>
          <w:u w:val="single"/>
        </w:rPr>
        <w:t xml:space="preserve"> </w:t>
      </w:r>
      <w:r>
        <w:rPr>
          <w:rFonts w:hint="eastAsia" w:ascii="宋体" w:hAnsi="宋体" w:cs="宋体"/>
          <w:color w:val="auto"/>
          <w:sz w:val="24"/>
        </w:rPr>
        <w:t>以</w:t>
      </w:r>
      <w:r>
        <w:rPr>
          <w:rFonts w:hint="eastAsia" w:ascii="宋体" w:hAnsi="宋体"/>
          <w:color w:val="auto"/>
          <w:sz w:val="24"/>
          <w:u w:val="single"/>
          <w:lang w:eastAsia="zh-CN"/>
        </w:rPr>
        <w:t>公开招标方式</w:t>
      </w:r>
      <w:r>
        <w:rPr>
          <w:rFonts w:hint="eastAsia" w:ascii="宋体" w:hAnsi="宋体" w:cs="宋体"/>
          <w:color w:val="auto"/>
          <w:sz w:val="24"/>
        </w:rPr>
        <w:t>对</w:t>
      </w:r>
      <w:r>
        <w:rPr>
          <w:rFonts w:hint="eastAsia" w:ascii="宋体" w:hAnsi="宋体" w:cs="宋体"/>
          <w:color w:val="auto"/>
          <w:sz w:val="24"/>
          <w:u w:val="single"/>
          <w:lang w:eastAsia="zh-CN"/>
        </w:rPr>
        <w:t>杭州师范大学附属未来科技城学校（天元公学西站校区）办公家具（二）采购项目</w:t>
      </w:r>
      <w:r>
        <w:rPr>
          <w:rFonts w:hint="eastAsia" w:ascii="宋体" w:hAnsi="宋体" w:cs="宋体"/>
          <w:color w:val="auto"/>
          <w:sz w:val="24"/>
          <w:u w:val="none" w:color="auto"/>
          <w:lang w:eastAsia="zh-CN"/>
        </w:rPr>
        <w:t>（</w:t>
      </w:r>
      <w:r>
        <w:rPr>
          <w:rFonts w:hint="eastAsia" w:ascii="宋体" w:hAnsi="宋体" w:cs="宋体"/>
          <w:color w:val="auto"/>
          <w:sz w:val="24"/>
          <w:u w:val="single" w:color="auto"/>
          <w:lang w:eastAsia="zh-CN"/>
        </w:rPr>
        <w:t>HZYHZFCG-2025-010</w:t>
      </w:r>
      <w:r>
        <w:rPr>
          <w:rFonts w:hint="eastAsia" w:ascii="宋体" w:hAnsi="宋体" w:cs="宋体"/>
          <w:color w:val="auto"/>
          <w:sz w:val="24"/>
          <w:u w:val="none" w:color="auto"/>
          <w:lang w:eastAsia="zh-CN"/>
        </w:rPr>
        <w:t>）</w:t>
      </w:r>
      <w:r>
        <w:rPr>
          <w:rFonts w:hint="eastAsia" w:ascii="宋体" w:hAnsi="宋体" w:cs="宋体"/>
          <w:color w:val="auto"/>
          <w:sz w:val="24"/>
        </w:rPr>
        <w:t>进行了采购。经</w:t>
      </w:r>
      <w:r>
        <w:rPr>
          <w:rFonts w:hint="eastAsia" w:ascii="宋体" w:hAnsi="宋体" w:cs="宋体"/>
          <w:color w:val="auto"/>
          <w:sz w:val="24"/>
          <w:u w:val="single"/>
        </w:rPr>
        <w:t xml:space="preserve">   （相关评定主体名称）   </w:t>
      </w:r>
      <w:r>
        <w:rPr>
          <w:rFonts w:hint="eastAsia" w:ascii="宋体" w:hAnsi="宋体" w:cs="宋体"/>
          <w:color w:val="auto"/>
          <w:sz w:val="24"/>
        </w:rPr>
        <w:t>评定，</w:t>
      </w:r>
      <w:r>
        <w:rPr>
          <w:rFonts w:hint="eastAsia" w:ascii="宋体" w:hAnsi="宋体" w:cs="宋体"/>
          <w:color w:val="auto"/>
          <w:sz w:val="24"/>
          <w:u w:val="single"/>
        </w:rPr>
        <w:t xml:space="preserve">   （中标供应商名称）</w:t>
      </w:r>
      <w:r>
        <w:rPr>
          <w:rFonts w:hint="eastAsia" w:ascii="宋体" w:hAnsi="宋体" w:cs="宋体"/>
          <w:color w:val="auto"/>
          <w:sz w:val="24"/>
        </w:rPr>
        <w:t>为该项目中标供应商。现于中标通知书发出之日起10个工作日内，按照</w:t>
      </w:r>
      <w:r>
        <w:rPr>
          <w:rFonts w:hint="eastAsia" w:ascii="宋体" w:hAnsi="宋体" w:cs="宋体"/>
          <w:color w:val="auto"/>
          <w:sz w:val="24"/>
          <w:lang w:eastAsia="zh-CN"/>
        </w:rPr>
        <w:t>招标文件</w:t>
      </w:r>
      <w:r>
        <w:rPr>
          <w:rFonts w:hint="eastAsia" w:ascii="宋体" w:hAnsi="宋体" w:cs="宋体"/>
          <w:color w:val="auto"/>
          <w:sz w:val="24"/>
        </w:rPr>
        <w:t>确定的事项签订本合同。</w:t>
      </w:r>
    </w:p>
    <w:p w14:paraId="398B8425">
      <w:pPr>
        <w:spacing w:line="560" w:lineRule="exact"/>
        <w:ind w:firstLine="480" w:firstLineChars="200"/>
        <w:rPr>
          <w:rFonts w:ascii="宋体" w:hAnsi="宋体" w:cs="宋体"/>
          <w:color w:val="auto"/>
          <w:sz w:val="24"/>
        </w:rPr>
      </w:pPr>
      <w:r>
        <w:rPr>
          <w:rFonts w:hint="eastAsia" w:ascii="宋体" w:hAnsi="宋体" w:cs="宋体"/>
          <w:color w:val="auto"/>
          <w:sz w:val="24"/>
          <w:lang w:val="zh-CN"/>
        </w:rPr>
        <w:t>根据《中华人民共和国民法典》《中华人民共和国政府采购法》等相关法律法规之规定，按照平等、自愿、公平、诚实信用和绿色的原则，经</w:t>
      </w:r>
      <w:r>
        <w:rPr>
          <w:rFonts w:hint="eastAsia" w:ascii="宋体" w:hAnsi="宋体" w:cs="宋体"/>
          <w:color w:val="auto"/>
          <w:sz w:val="24"/>
          <w:u w:val="single"/>
          <w:lang w:eastAsia="zh-CN"/>
        </w:rPr>
        <w:t>杭州师范大学附属未来科技城学校（杭州二中教育集团未来科技城学校）</w:t>
      </w:r>
      <w:r>
        <w:rPr>
          <w:rFonts w:hint="eastAsia" w:ascii="宋体" w:hAnsi="宋体" w:cs="宋体"/>
          <w:color w:val="auto"/>
          <w:sz w:val="24"/>
          <w:u w:val="single"/>
        </w:rPr>
        <w:t xml:space="preserve"> </w:t>
      </w:r>
      <w:r>
        <w:rPr>
          <w:rFonts w:hint="eastAsia" w:ascii="宋体" w:hAnsi="宋体" w:cs="宋体"/>
          <w:color w:val="auto"/>
          <w:sz w:val="24"/>
          <w:u w:val="single"/>
          <w:lang w:eastAsia="zh-CN"/>
        </w:rPr>
        <w:t>（</w:t>
      </w:r>
      <w:r>
        <w:rPr>
          <w:rFonts w:hint="eastAsia" w:ascii="宋体" w:hAnsi="宋体" w:cs="宋体"/>
          <w:color w:val="auto"/>
          <w:sz w:val="24"/>
          <w:lang w:val="zh-CN"/>
        </w:rPr>
        <w:t>以下简称：甲方）和</w:t>
      </w:r>
      <w:r>
        <w:rPr>
          <w:rFonts w:hint="eastAsia" w:ascii="宋体" w:hAnsi="宋体" w:cs="宋体"/>
          <w:color w:val="auto"/>
          <w:sz w:val="24"/>
          <w:u w:val="single"/>
        </w:rPr>
        <w:t xml:space="preserve">   （中标供应商名称）   </w:t>
      </w:r>
      <w:r>
        <w:rPr>
          <w:rFonts w:hint="eastAsia" w:ascii="宋体" w:hAnsi="宋体" w:cs="宋体"/>
          <w:color w:val="auto"/>
          <w:sz w:val="24"/>
          <w:u w:val="single"/>
          <w:lang w:eastAsia="zh-CN"/>
        </w:rPr>
        <w:t>（</w:t>
      </w:r>
      <w:r>
        <w:rPr>
          <w:rFonts w:hint="eastAsia" w:ascii="宋体" w:hAnsi="宋体" w:cs="宋体"/>
          <w:color w:val="auto"/>
          <w:sz w:val="24"/>
          <w:lang w:val="zh-CN"/>
        </w:rPr>
        <w:t>以下简称：乙方）协商一致，约定以下合同</w:t>
      </w:r>
      <w:r>
        <w:rPr>
          <w:rFonts w:hint="eastAsia" w:ascii="宋体" w:hAnsi="宋体" w:cs="宋体"/>
          <w:color w:val="auto"/>
          <w:sz w:val="24"/>
        </w:rPr>
        <w:t>条款，以兹共同遵守、全面履行。</w:t>
      </w:r>
    </w:p>
    <w:p w14:paraId="5DB1574F">
      <w:pPr>
        <w:spacing w:line="560" w:lineRule="exact"/>
        <w:ind w:firstLine="482" w:firstLineChars="200"/>
        <w:outlineLvl w:val="0"/>
        <w:rPr>
          <w:rFonts w:ascii="宋体" w:hAnsi="宋体" w:cs="宋体"/>
          <w:b/>
          <w:sz w:val="24"/>
        </w:rPr>
      </w:pPr>
      <w:bookmarkStart w:id="399" w:name="_Toc24059"/>
      <w:bookmarkStart w:id="400" w:name="_Toc2232"/>
      <w:bookmarkStart w:id="401" w:name="_Toc3029"/>
      <w:r>
        <w:rPr>
          <w:rFonts w:hint="eastAsia" w:ascii="宋体" w:hAnsi="宋体" w:cs="宋体"/>
          <w:b/>
          <w:sz w:val="24"/>
        </w:rPr>
        <w:t>1.1 合同组成部分</w:t>
      </w:r>
      <w:bookmarkEnd w:id="399"/>
      <w:bookmarkEnd w:id="400"/>
      <w:bookmarkEnd w:id="401"/>
    </w:p>
    <w:p w14:paraId="3FB1D039">
      <w:pPr>
        <w:spacing w:line="560" w:lineRule="exact"/>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下列文件为本合同的组成部分，并构成一个整体，需综合解释、相互补充。如果下列文件内容出现不一致的情形，那么在保证按照</w:t>
      </w:r>
      <w:r>
        <w:rPr>
          <w:rFonts w:hint="eastAsia" w:ascii="宋体" w:hAnsi="宋体" w:cs="宋体"/>
          <w:sz w:val="24"/>
          <w:lang w:eastAsia="zh-CN"/>
        </w:rPr>
        <w:t>招标文件</w:t>
      </w:r>
      <w:r>
        <w:rPr>
          <w:rFonts w:hint="eastAsia" w:ascii="宋体" w:hAnsi="宋体" w:cs="宋体"/>
          <w:sz w:val="24"/>
        </w:rPr>
        <w:t>确定的事项的前提下，组成本合同的多个文件的优先适用顺序如下：</w:t>
      </w:r>
    </w:p>
    <w:p w14:paraId="1BC08BC0">
      <w:pPr>
        <w:spacing w:line="560" w:lineRule="exact"/>
        <w:ind w:firstLine="480" w:firstLineChars="200"/>
        <w:rPr>
          <w:rFonts w:ascii="宋体" w:hAnsi="宋体" w:cs="宋体"/>
          <w:sz w:val="24"/>
        </w:rPr>
      </w:pPr>
      <w:r>
        <w:rPr>
          <w:rFonts w:hint="eastAsia" w:ascii="宋体" w:hAnsi="宋体" w:cs="宋体"/>
          <w:sz w:val="24"/>
        </w:rPr>
        <w:t>1.1.1 本合同及其补充合同、变更协议；</w:t>
      </w:r>
    </w:p>
    <w:p w14:paraId="63EAC2FF">
      <w:pPr>
        <w:spacing w:line="560" w:lineRule="exact"/>
        <w:ind w:firstLine="480" w:firstLineChars="200"/>
        <w:rPr>
          <w:rFonts w:ascii="宋体" w:hAnsi="宋体" w:cs="宋体"/>
          <w:sz w:val="24"/>
        </w:rPr>
      </w:pPr>
      <w:r>
        <w:rPr>
          <w:rFonts w:hint="eastAsia" w:ascii="宋体" w:hAnsi="宋体" w:cs="宋体"/>
          <w:sz w:val="24"/>
        </w:rPr>
        <w:t>1.1.2 中标通知书；</w:t>
      </w:r>
    </w:p>
    <w:p w14:paraId="5A467D01">
      <w:pPr>
        <w:spacing w:line="560" w:lineRule="exact"/>
        <w:ind w:firstLine="480" w:firstLineChars="200"/>
        <w:rPr>
          <w:rFonts w:ascii="宋体" w:hAnsi="宋体" w:cs="宋体"/>
          <w:sz w:val="24"/>
        </w:rPr>
      </w:pPr>
      <w:r>
        <w:rPr>
          <w:rFonts w:hint="eastAsia" w:ascii="宋体" w:hAnsi="宋体" w:cs="宋体"/>
          <w:sz w:val="24"/>
        </w:rPr>
        <w:t>1.1.3 投标文件（含澄清或者说明文件）；</w:t>
      </w:r>
    </w:p>
    <w:p w14:paraId="589241E7">
      <w:pPr>
        <w:spacing w:line="560" w:lineRule="exact"/>
        <w:ind w:firstLine="480" w:firstLineChars="200"/>
        <w:rPr>
          <w:rFonts w:ascii="宋体" w:hAnsi="宋体" w:cs="宋体"/>
          <w:sz w:val="24"/>
        </w:rPr>
      </w:pPr>
      <w:r>
        <w:rPr>
          <w:rFonts w:hint="eastAsia" w:ascii="宋体" w:hAnsi="宋体" w:cs="宋体"/>
          <w:sz w:val="24"/>
        </w:rPr>
        <w:t>1.1.4 招标文件（含澄清或者修改文件）；</w:t>
      </w:r>
    </w:p>
    <w:p w14:paraId="53685C25">
      <w:pPr>
        <w:spacing w:line="560" w:lineRule="exact"/>
        <w:ind w:firstLine="480" w:firstLineChars="200"/>
        <w:rPr>
          <w:rFonts w:ascii="宋体" w:hAnsi="宋体" w:cs="宋体"/>
          <w:sz w:val="24"/>
        </w:rPr>
      </w:pPr>
      <w:r>
        <w:rPr>
          <w:rFonts w:hint="eastAsia" w:ascii="宋体" w:hAnsi="宋体" w:cs="宋体"/>
          <w:sz w:val="24"/>
        </w:rPr>
        <w:t>1.1.5 其他相关采购文件。</w:t>
      </w:r>
    </w:p>
    <w:p w14:paraId="115054BF">
      <w:pPr>
        <w:spacing w:line="560" w:lineRule="exact"/>
        <w:ind w:firstLine="482" w:firstLineChars="200"/>
        <w:outlineLvl w:val="0"/>
        <w:rPr>
          <w:rFonts w:ascii="宋体" w:hAnsi="宋体" w:cs="宋体"/>
          <w:b/>
          <w:sz w:val="24"/>
        </w:rPr>
      </w:pPr>
      <w:bookmarkStart w:id="402" w:name="_Toc21295"/>
      <w:bookmarkStart w:id="403" w:name="_Toc24300"/>
      <w:bookmarkStart w:id="404" w:name="_Toc27126"/>
      <w:r>
        <w:rPr>
          <w:rFonts w:hint="eastAsia" w:ascii="宋体" w:hAnsi="宋体" w:cs="宋体"/>
          <w:b/>
          <w:sz w:val="24"/>
        </w:rPr>
        <w:t>1.2 货物</w:t>
      </w:r>
      <w:bookmarkEnd w:id="402"/>
      <w:bookmarkEnd w:id="403"/>
      <w:bookmarkEnd w:id="404"/>
    </w:p>
    <w:p w14:paraId="3E21B0EA">
      <w:pPr>
        <w:spacing w:line="560" w:lineRule="exact"/>
        <w:ind w:firstLine="480" w:firstLineChars="200"/>
        <w:rPr>
          <w:rFonts w:ascii="宋体" w:hAnsi="宋体" w:cs="宋体"/>
          <w:sz w:val="24"/>
          <w:u w:val="single"/>
        </w:rPr>
      </w:pPr>
      <w:r>
        <w:rPr>
          <w:rFonts w:hint="eastAsia" w:ascii="宋体" w:hAnsi="宋体" w:cs="宋体"/>
          <w:sz w:val="24"/>
        </w:rPr>
        <w:t>1.2.1 货物名称：</w:t>
      </w:r>
      <w:r>
        <w:rPr>
          <w:rFonts w:hint="eastAsia" w:ascii="宋体" w:hAnsi="宋体" w:cs="宋体"/>
          <w:sz w:val="24"/>
          <w:u w:val="single"/>
        </w:rPr>
        <w:t xml:space="preserve">                                                </w:t>
      </w:r>
      <w:r>
        <w:rPr>
          <w:rFonts w:hint="eastAsia" w:ascii="宋体" w:hAnsi="宋体" w:cs="宋体"/>
          <w:sz w:val="24"/>
        </w:rPr>
        <w:t>；</w:t>
      </w:r>
    </w:p>
    <w:p w14:paraId="48967A90">
      <w:pPr>
        <w:spacing w:line="560" w:lineRule="exact"/>
        <w:ind w:firstLine="480" w:firstLineChars="200"/>
        <w:rPr>
          <w:rFonts w:ascii="宋体" w:hAnsi="宋体" w:cs="宋体"/>
          <w:sz w:val="24"/>
          <w:u w:val="single"/>
        </w:rPr>
      </w:pPr>
      <w:r>
        <w:rPr>
          <w:rFonts w:hint="eastAsia" w:ascii="宋体" w:hAnsi="宋体" w:cs="宋体"/>
          <w:sz w:val="24"/>
        </w:rPr>
        <w:t>1.2.2 货物数量：</w:t>
      </w:r>
      <w:r>
        <w:rPr>
          <w:rFonts w:hint="eastAsia" w:ascii="宋体" w:hAnsi="宋体" w:cs="宋体"/>
          <w:sz w:val="24"/>
          <w:u w:val="single"/>
        </w:rPr>
        <w:t xml:space="preserve">                                                </w:t>
      </w:r>
      <w:r>
        <w:rPr>
          <w:rFonts w:hint="eastAsia" w:ascii="宋体" w:hAnsi="宋体" w:cs="宋体"/>
          <w:sz w:val="24"/>
        </w:rPr>
        <w:t>；</w:t>
      </w:r>
    </w:p>
    <w:p w14:paraId="3ECD9B99">
      <w:pPr>
        <w:spacing w:line="560" w:lineRule="exact"/>
        <w:ind w:firstLine="480" w:firstLineChars="200"/>
        <w:rPr>
          <w:rFonts w:ascii="宋体" w:hAnsi="宋体" w:cs="宋体"/>
          <w:sz w:val="24"/>
        </w:rPr>
      </w:pPr>
      <w:r>
        <w:rPr>
          <w:rFonts w:hint="eastAsia" w:ascii="宋体" w:hAnsi="宋体" w:cs="宋体"/>
          <w:sz w:val="24"/>
        </w:rPr>
        <w:t>1.2.3 货物质量：</w:t>
      </w:r>
      <w:r>
        <w:rPr>
          <w:rFonts w:hint="eastAsia" w:ascii="宋体" w:hAnsi="宋体" w:cs="宋体"/>
          <w:sz w:val="24"/>
          <w:u w:val="single"/>
        </w:rPr>
        <w:t xml:space="preserve">　　　　　　　　　                      　      </w:t>
      </w:r>
      <w:r>
        <w:rPr>
          <w:rFonts w:hint="eastAsia" w:ascii="宋体" w:hAnsi="宋体" w:cs="宋体"/>
          <w:sz w:val="24"/>
        </w:rPr>
        <w:t>。</w:t>
      </w:r>
    </w:p>
    <w:p w14:paraId="7C52F560">
      <w:pPr>
        <w:spacing w:line="560" w:lineRule="exact"/>
        <w:ind w:firstLine="482" w:firstLineChars="200"/>
        <w:outlineLvl w:val="0"/>
        <w:rPr>
          <w:rFonts w:ascii="宋体" w:hAnsi="宋体" w:cs="宋体"/>
          <w:b/>
          <w:color w:val="auto"/>
          <w:sz w:val="24"/>
          <w:highlight w:val="none"/>
        </w:rPr>
      </w:pPr>
      <w:bookmarkStart w:id="405" w:name="_Toc21631"/>
      <w:bookmarkStart w:id="406" w:name="_Toc21551"/>
      <w:bookmarkStart w:id="407" w:name="_Toc23292"/>
      <w:r>
        <w:rPr>
          <w:rFonts w:hint="eastAsia" w:ascii="宋体" w:hAnsi="宋体" w:cs="宋体"/>
          <w:b/>
          <w:color w:val="auto"/>
          <w:sz w:val="24"/>
          <w:highlight w:val="none"/>
        </w:rPr>
        <w:t>1.3 价款</w:t>
      </w:r>
      <w:bookmarkEnd w:id="405"/>
      <w:bookmarkEnd w:id="406"/>
      <w:bookmarkEnd w:id="407"/>
    </w:p>
    <w:p w14:paraId="5643BBB1">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本合同总价为：￥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元人民币）。</w:t>
      </w:r>
    </w:p>
    <w:p w14:paraId="49FFBB31">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E0A4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64B559A">
            <w:pPr>
              <w:pStyle w:val="105"/>
              <w:spacing w:line="560" w:lineRule="exact"/>
              <w:jc w:val="center"/>
              <w:rPr>
                <w:rFonts w:hAnsi="宋体" w:cs="宋体"/>
                <w:color w:val="auto"/>
                <w:sz w:val="24"/>
                <w:szCs w:val="24"/>
                <w:highlight w:val="none"/>
              </w:rPr>
            </w:pPr>
            <w:r>
              <w:rPr>
                <w:rFonts w:hint="eastAsia" w:hAnsi="宋体" w:cs="宋体"/>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7E90CD28">
            <w:pPr>
              <w:pStyle w:val="105"/>
              <w:spacing w:line="560" w:lineRule="exact"/>
              <w:ind w:firstLine="200"/>
              <w:jc w:val="center"/>
              <w:rPr>
                <w:rFonts w:hAnsi="宋体" w:cs="宋体"/>
                <w:color w:val="auto"/>
                <w:sz w:val="24"/>
                <w:szCs w:val="24"/>
                <w:highlight w:val="none"/>
              </w:rPr>
            </w:pPr>
            <w:r>
              <w:rPr>
                <w:rFonts w:hint="eastAsia" w:hAnsi="宋体" w:cs="宋体"/>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6667708B">
            <w:pPr>
              <w:pStyle w:val="105"/>
              <w:spacing w:line="560" w:lineRule="exact"/>
              <w:jc w:val="center"/>
              <w:rPr>
                <w:rFonts w:hAnsi="宋体" w:cs="宋体"/>
                <w:color w:val="auto"/>
                <w:sz w:val="24"/>
                <w:szCs w:val="24"/>
                <w:highlight w:val="none"/>
              </w:rPr>
            </w:pPr>
            <w:r>
              <w:rPr>
                <w:rFonts w:hint="eastAsia" w:hAnsi="宋体" w:cs="宋体"/>
                <w:color w:val="auto"/>
                <w:sz w:val="24"/>
                <w:szCs w:val="24"/>
                <w:highlight w:val="none"/>
              </w:rPr>
              <w:t>分项价格</w:t>
            </w:r>
          </w:p>
        </w:tc>
      </w:tr>
      <w:tr w14:paraId="21A20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9B7640C">
            <w:pPr>
              <w:pStyle w:val="105"/>
              <w:spacing w:line="560" w:lineRule="exact"/>
              <w:ind w:firstLine="200"/>
              <w:jc w:val="center"/>
              <w:rPr>
                <w:rFonts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526CC5CA">
            <w:pPr>
              <w:pStyle w:val="105"/>
              <w:spacing w:line="560" w:lineRule="exact"/>
              <w:ind w:firstLine="200"/>
              <w:jc w:val="center"/>
              <w:rPr>
                <w:rFonts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75F04B6">
            <w:pPr>
              <w:pStyle w:val="105"/>
              <w:spacing w:line="560" w:lineRule="exact"/>
              <w:ind w:firstLine="200"/>
              <w:jc w:val="center"/>
              <w:rPr>
                <w:rFonts w:hAnsi="宋体" w:cs="宋体"/>
                <w:color w:val="auto"/>
                <w:sz w:val="24"/>
                <w:szCs w:val="24"/>
                <w:highlight w:val="none"/>
              </w:rPr>
            </w:pPr>
          </w:p>
        </w:tc>
      </w:tr>
      <w:tr w14:paraId="4755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71A13EB">
            <w:pPr>
              <w:pStyle w:val="105"/>
              <w:spacing w:line="560" w:lineRule="exact"/>
              <w:ind w:firstLine="200"/>
              <w:jc w:val="center"/>
              <w:rPr>
                <w:rFonts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083371D">
            <w:pPr>
              <w:pStyle w:val="105"/>
              <w:spacing w:line="560" w:lineRule="exact"/>
              <w:ind w:firstLine="200"/>
              <w:jc w:val="center"/>
              <w:rPr>
                <w:rFonts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BE5090C">
            <w:pPr>
              <w:pStyle w:val="105"/>
              <w:spacing w:line="560" w:lineRule="exact"/>
              <w:ind w:firstLine="200"/>
              <w:jc w:val="center"/>
              <w:rPr>
                <w:rFonts w:hAnsi="宋体" w:cs="宋体"/>
                <w:color w:val="auto"/>
                <w:sz w:val="24"/>
                <w:szCs w:val="24"/>
                <w:highlight w:val="none"/>
              </w:rPr>
            </w:pPr>
          </w:p>
        </w:tc>
      </w:tr>
      <w:tr w14:paraId="2E65B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77F1903">
            <w:pPr>
              <w:pStyle w:val="105"/>
              <w:spacing w:line="560" w:lineRule="exact"/>
              <w:ind w:firstLine="200"/>
              <w:jc w:val="center"/>
              <w:rPr>
                <w:rFonts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64ECCF1">
            <w:pPr>
              <w:pStyle w:val="105"/>
              <w:spacing w:line="560" w:lineRule="exact"/>
              <w:ind w:firstLine="200"/>
              <w:jc w:val="center"/>
              <w:rPr>
                <w:rFonts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1718C845">
            <w:pPr>
              <w:pStyle w:val="105"/>
              <w:spacing w:line="560" w:lineRule="exact"/>
              <w:ind w:firstLine="200"/>
              <w:jc w:val="center"/>
              <w:rPr>
                <w:rFonts w:hAnsi="宋体" w:cs="宋体"/>
                <w:color w:val="auto"/>
                <w:sz w:val="24"/>
                <w:szCs w:val="24"/>
                <w:highlight w:val="none"/>
              </w:rPr>
            </w:pPr>
          </w:p>
        </w:tc>
      </w:tr>
      <w:tr w14:paraId="379F4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16A782D">
            <w:pPr>
              <w:pStyle w:val="105"/>
              <w:spacing w:line="560" w:lineRule="exact"/>
              <w:ind w:firstLine="200"/>
              <w:jc w:val="center"/>
              <w:rPr>
                <w:rFonts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4FB9B16">
            <w:pPr>
              <w:pStyle w:val="105"/>
              <w:spacing w:line="560" w:lineRule="exact"/>
              <w:ind w:firstLine="200"/>
              <w:jc w:val="center"/>
              <w:rPr>
                <w:rFonts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D7F9F93">
            <w:pPr>
              <w:pStyle w:val="105"/>
              <w:spacing w:line="560" w:lineRule="exact"/>
              <w:ind w:firstLine="200"/>
              <w:jc w:val="center"/>
              <w:rPr>
                <w:rFonts w:hAnsi="宋体" w:cs="宋体"/>
                <w:color w:val="auto"/>
                <w:sz w:val="24"/>
                <w:szCs w:val="24"/>
                <w:highlight w:val="none"/>
              </w:rPr>
            </w:pPr>
          </w:p>
        </w:tc>
      </w:tr>
      <w:tr w14:paraId="5EEE1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07BCC497">
            <w:pPr>
              <w:pStyle w:val="105"/>
              <w:spacing w:line="560" w:lineRule="exact"/>
              <w:ind w:firstLine="200"/>
              <w:jc w:val="center"/>
              <w:rPr>
                <w:rFonts w:hAnsi="宋体" w:cs="宋体"/>
                <w:color w:val="auto"/>
                <w:sz w:val="24"/>
                <w:szCs w:val="24"/>
                <w:highlight w:val="none"/>
              </w:rPr>
            </w:pPr>
            <w:r>
              <w:rPr>
                <w:rFonts w:hint="eastAsia" w:hAnsi="宋体" w:cs="宋体"/>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2691F5F7">
            <w:pPr>
              <w:pStyle w:val="105"/>
              <w:spacing w:line="560" w:lineRule="exact"/>
              <w:ind w:firstLine="200"/>
              <w:jc w:val="center"/>
              <w:rPr>
                <w:rFonts w:hAnsi="宋体" w:cs="宋体"/>
                <w:color w:val="auto"/>
                <w:sz w:val="24"/>
                <w:szCs w:val="24"/>
                <w:highlight w:val="none"/>
              </w:rPr>
            </w:pPr>
          </w:p>
        </w:tc>
      </w:tr>
    </w:tbl>
    <w:p w14:paraId="2FB33517">
      <w:pPr>
        <w:spacing w:line="560" w:lineRule="exact"/>
        <w:ind w:firstLine="482" w:firstLineChars="200"/>
        <w:outlineLvl w:val="0"/>
        <w:rPr>
          <w:rFonts w:ascii="宋体" w:hAnsi="宋体" w:cs="宋体"/>
          <w:b/>
          <w:color w:val="auto"/>
          <w:sz w:val="24"/>
          <w:highlight w:val="none"/>
        </w:rPr>
      </w:pPr>
      <w:bookmarkStart w:id="408" w:name="_Toc22618"/>
      <w:bookmarkStart w:id="409" w:name="_Toc10340"/>
      <w:bookmarkStart w:id="410" w:name="_Toc1814"/>
      <w:r>
        <w:rPr>
          <w:rFonts w:hint="eastAsia" w:ascii="宋体" w:hAnsi="宋体" w:cs="宋体"/>
          <w:b/>
          <w:color w:val="auto"/>
          <w:sz w:val="24"/>
          <w:highlight w:val="none"/>
        </w:rPr>
        <w:t>1.4 付款</w:t>
      </w:r>
      <w:bookmarkEnd w:id="408"/>
      <w:bookmarkEnd w:id="409"/>
      <w:bookmarkEnd w:id="410"/>
      <w:r>
        <w:rPr>
          <w:rFonts w:hint="eastAsia" w:ascii="宋体" w:hAnsi="宋体" w:cs="宋体"/>
          <w:b/>
          <w:color w:val="auto"/>
          <w:sz w:val="24"/>
          <w:highlight w:val="none"/>
        </w:rPr>
        <w:t>方式、时间和条件</w:t>
      </w:r>
    </w:p>
    <w:p w14:paraId="62B62EB7">
      <w:pPr>
        <w:pStyle w:val="616"/>
        <w:spacing w:before="0" w:beforeAutospacing="0" w:after="0" w:afterAutospacing="0" w:line="360" w:lineRule="auto"/>
        <w:ind w:firstLine="480"/>
        <w:rPr>
          <w:color w:val="auto"/>
          <w:highlight w:val="none"/>
        </w:rPr>
      </w:pPr>
      <w:r>
        <w:rPr>
          <w:rFonts w:hint="eastAsia"/>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B76F83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1.4.2合同预付款比例为合同金额的40％；项目分年安排预算的，每年预付款比例为项目年度计划支付资金额的40％；采购项目实施以人工投入为主的，预付款比例为合同金额的20%。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乙方可登录政采云前台大厅选择金融服务 - 【保函保险服务】出具预付款保函，具体步骤：选择产品—填写供应商信息—选择中标项目—确认信息—等待保险/保函受理—确认保单—支付保费—成功出单。政采云金融专线400-903-9583。</w:t>
      </w:r>
    </w:p>
    <w:p w14:paraId="6C5E888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14:paraId="54EF8F38">
      <w:pPr>
        <w:spacing w:line="56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1.4.4资金支付的方式、时间和条件详见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299A70C6">
      <w:pPr>
        <w:spacing w:line="56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1.4.5</w:t>
      </w:r>
      <w:r>
        <w:rPr>
          <w:rFonts w:hint="eastAsia" w:ascii="宋体" w:hAnsi="宋体" w:cs="宋体"/>
          <w:color w:val="auto"/>
          <w:kern w:val="0"/>
          <w:sz w:val="24"/>
          <w:highlight w:val="none"/>
        </w:rPr>
        <w:t>对于满足合同约定的采购资金支付条件的，乙方可通过政采云平台提起在线支付申请、查询支付结果，路径为政采云-我的工作台-合同管理-支付管理。对于乙方提起在线支付申请的，甲方应当按规定做好审核并完成支付。</w:t>
      </w:r>
    </w:p>
    <w:p w14:paraId="76847F13">
      <w:pPr>
        <w:spacing w:line="560" w:lineRule="exact"/>
        <w:ind w:firstLine="482" w:firstLineChars="200"/>
        <w:outlineLvl w:val="0"/>
        <w:rPr>
          <w:rFonts w:ascii="宋体" w:hAnsi="宋体" w:cs="宋体"/>
          <w:b/>
          <w:color w:val="auto"/>
          <w:sz w:val="24"/>
          <w:highlight w:val="none"/>
        </w:rPr>
      </w:pPr>
      <w:bookmarkStart w:id="411" w:name="_Toc2846"/>
      <w:bookmarkStart w:id="412" w:name="_Toc32071"/>
      <w:bookmarkStart w:id="413" w:name="_Toc19304"/>
      <w:r>
        <w:rPr>
          <w:rFonts w:hint="eastAsia" w:ascii="宋体" w:hAnsi="宋体" w:cs="宋体"/>
          <w:b/>
          <w:color w:val="auto"/>
          <w:sz w:val="24"/>
          <w:highlight w:val="none"/>
        </w:rPr>
        <w:t>1.5 货物交付期限、地点和方式</w:t>
      </w:r>
      <w:bookmarkEnd w:id="411"/>
      <w:bookmarkEnd w:id="412"/>
      <w:bookmarkEnd w:id="413"/>
    </w:p>
    <w:p w14:paraId="5AB1451E">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1.5.1 交付期限：详见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73836EB9">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1.5.2 交付地点：</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41412279">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1.5.3 交付方式：</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179E8FF4">
      <w:pPr>
        <w:spacing w:line="560" w:lineRule="exact"/>
        <w:ind w:firstLine="482" w:firstLineChars="200"/>
        <w:outlineLvl w:val="0"/>
        <w:rPr>
          <w:rFonts w:ascii="宋体" w:hAnsi="宋体" w:cs="宋体"/>
          <w:b/>
          <w:color w:val="auto"/>
          <w:sz w:val="24"/>
          <w:highlight w:val="none"/>
        </w:rPr>
      </w:pPr>
      <w:bookmarkStart w:id="414" w:name="_Toc27250"/>
      <w:bookmarkStart w:id="415" w:name="_Toc21423"/>
      <w:bookmarkStart w:id="416" w:name="_Toc19554"/>
      <w:r>
        <w:rPr>
          <w:rFonts w:hint="eastAsia" w:ascii="宋体" w:hAnsi="宋体" w:cs="宋体"/>
          <w:b/>
          <w:color w:val="auto"/>
          <w:sz w:val="24"/>
          <w:highlight w:val="none"/>
        </w:rPr>
        <w:t>1.6 违约责任</w:t>
      </w:r>
      <w:bookmarkEnd w:id="414"/>
      <w:bookmarkEnd w:id="415"/>
      <w:bookmarkEnd w:id="416"/>
    </w:p>
    <w:p w14:paraId="73D6244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color w:val="auto"/>
          <w:sz w:val="24"/>
          <w:highlight w:val="none"/>
          <w:u w:val="single"/>
        </w:rPr>
        <w:t xml:space="preserve">  0.05  </w:t>
      </w:r>
      <w:r>
        <w:rPr>
          <w:rFonts w:hint="eastAsia" w:ascii="宋体" w:hAnsi="宋体" w:cs="宋体"/>
          <w:color w:val="auto"/>
          <w:sz w:val="24"/>
          <w:highlight w:val="none"/>
        </w:rPr>
        <w:t>%计算，最高限额为本合同价的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%；迟延交付货物的违约金计算数额达到前述最高限额之日起，甲方有权在要求乙方支付违约金的同时，书面通知乙方解除本合同；</w:t>
      </w:r>
    </w:p>
    <w:p w14:paraId="45CA238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1.6.2 除不可抗力外，如果甲方没有按照本合同约定的付款方式付款，那么乙方可要求甲方支付违约金，违约金按每迟延付款一日的应付而未付款的</w:t>
      </w:r>
      <w:r>
        <w:rPr>
          <w:rFonts w:hint="eastAsia" w:ascii="宋体" w:hAnsi="宋体" w:cs="宋体"/>
          <w:color w:val="auto"/>
          <w:sz w:val="24"/>
          <w:highlight w:val="none"/>
          <w:u w:val="single"/>
        </w:rPr>
        <w:t xml:space="preserve">  0.05  </w:t>
      </w:r>
      <w:r>
        <w:rPr>
          <w:rFonts w:hint="eastAsia" w:ascii="宋体" w:hAnsi="宋体" w:cs="宋体"/>
          <w:color w:val="auto"/>
          <w:sz w:val="24"/>
          <w:highlight w:val="none"/>
        </w:rPr>
        <w:t>%计算，最高限额为本合同价的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%；迟延付款的违约金计算数额达到前述最高限额之日起，乙方有权在要求甲方支付违约金的同时，书面通知甲方解除本合同；</w:t>
      </w:r>
    </w:p>
    <w:p w14:paraId="3E18535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FAAB454">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1D3EC971">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680A881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14:paraId="0F487D88">
      <w:pPr>
        <w:spacing w:line="560" w:lineRule="exact"/>
        <w:ind w:left="-420" w:leftChars="-200" w:right="-420" w:rightChars="-200" w:firstLine="960" w:firstLineChars="400"/>
        <w:rPr>
          <w:rFonts w:ascii="宋体" w:hAnsi="宋体" w:cs="宋体"/>
          <w:color w:val="auto"/>
          <w:highlight w:val="none"/>
        </w:rPr>
      </w:pPr>
      <w:r>
        <w:rPr>
          <w:rFonts w:hint="eastAsia" w:ascii="宋体" w:hAnsi="宋体" w:cs="宋体"/>
          <w:color w:val="auto"/>
          <w:sz w:val="24"/>
          <w:highlight w:val="none"/>
        </w:rPr>
        <w:t>1.6.7违约责任</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另有约定的，从其约定。</w:t>
      </w:r>
    </w:p>
    <w:p w14:paraId="0D68A43B">
      <w:pPr>
        <w:spacing w:line="560" w:lineRule="exact"/>
        <w:ind w:firstLine="482" w:firstLineChars="200"/>
        <w:outlineLvl w:val="0"/>
        <w:rPr>
          <w:rFonts w:ascii="宋体" w:hAnsi="宋体" w:cs="宋体"/>
          <w:b/>
          <w:color w:val="auto"/>
          <w:sz w:val="24"/>
          <w:highlight w:val="none"/>
        </w:rPr>
      </w:pPr>
      <w:bookmarkStart w:id="417" w:name="_Toc16021"/>
      <w:bookmarkStart w:id="418" w:name="_Toc28375"/>
      <w:bookmarkStart w:id="419" w:name="_Toc15583"/>
      <w:r>
        <w:rPr>
          <w:rFonts w:hint="eastAsia" w:ascii="宋体" w:hAnsi="宋体" w:cs="宋体"/>
          <w:b/>
          <w:color w:val="auto"/>
          <w:sz w:val="24"/>
          <w:highlight w:val="none"/>
        </w:rPr>
        <w:t>1.7 合同争议的解决</w:t>
      </w:r>
      <w:bookmarkEnd w:id="417"/>
      <w:bookmarkEnd w:id="418"/>
      <w:bookmarkEnd w:id="419"/>
    </w:p>
    <w:p w14:paraId="2359D491">
      <w:pPr>
        <w:spacing w:line="560" w:lineRule="exact"/>
        <w:ind w:left="-61" w:leftChars="-29" w:right="-420" w:rightChars="-200" w:firstLine="240" w:firstLineChars="100"/>
        <w:rPr>
          <w:rFonts w:ascii="宋体" w:hAnsi="宋体" w:cs="宋体"/>
          <w:color w:val="auto"/>
          <w:sz w:val="24"/>
          <w:highlight w:val="none"/>
        </w:rPr>
      </w:pPr>
      <w:r>
        <w:rPr>
          <w:rFonts w:hint="eastAsia" w:ascii="宋体" w:hAnsi="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cs="宋体"/>
          <w:b/>
          <w:i/>
          <w:color w:val="auto"/>
          <w:sz w:val="24"/>
          <w:highlight w:val="none"/>
          <w:u w:val="single"/>
        </w:rPr>
        <w:t xml:space="preserve"> 合同专用条款  </w:t>
      </w:r>
      <w:r>
        <w:rPr>
          <w:rFonts w:hint="eastAsia" w:ascii="宋体" w:hAnsi="宋体" w:cs="宋体"/>
          <w:color w:val="auto"/>
          <w:sz w:val="24"/>
          <w:highlight w:val="none"/>
        </w:rPr>
        <w:t>条款规定的方式解决：</w:t>
      </w:r>
    </w:p>
    <w:p w14:paraId="40A34898">
      <w:pPr>
        <w:spacing w:line="560" w:lineRule="exact"/>
        <w:ind w:left="-420" w:leftChars="-200" w:right="-420" w:rightChars="-200" w:firstLine="600" w:firstLineChars="250"/>
        <w:rPr>
          <w:rFonts w:ascii="宋体" w:hAnsi="宋体" w:cs="宋体"/>
          <w:color w:val="auto"/>
          <w:sz w:val="24"/>
          <w:highlight w:val="none"/>
        </w:rPr>
      </w:pPr>
      <w:r>
        <w:rPr>
          <w:rFonts w:hint="eastAsia" w:ascii="宋体" w:hAnsi="宋体" w:cs="宋体"/>
          <w:color w:val="auto"/>
          <w:sz w:val="24"/>
          <w:highlight w:val="none"/>
        </w:rPr>
        <w:t>1.7.1 将争议提交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仲裁委员会依申请仲裁时其现行有效的仲裁规则裁决；</w:t>
      </w:r>
    </w:p>
    <w:p w14:paraId="27E5F02C">
      <w:pPr>
        <w:spacing w:line="560" w:lineRule="exact"/>
        <w:ind w:left="-420" w:leftChars="-200" w:right="-420" w:rightChars="-200" w:firstLine="600" w:firstLineChars="250"/>
        <w:rPr>
          <w:rFonts w:ascii="宋体" w:hAnsi="宋体" w:cs="宋体"/>
          <w:color w:val="auto"/>
          <w:sz w:val="24"/>
          <w:highlight w:val="none"/>
        </w:rPr>
      </w:pPr>
      <w:r>
        <w:rPr>
          <w:rFonts w:hint="eastAsia" w:ascii="宋体" w:hAnsi="宋体" w:cs="宋体"/>
          <w:color w:val="auto"/>
          <w:sz w:val="24"/>
          <w:highlight w:val="none"/>
        </w:rPr>
        <w:t>1.7.2 向</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人民法院起诉。</w:t>
      </w:r>
    </w:p>
    <w:p w14:paraId="4B36BCC9">
      <w:pPr>
        <w:spacing w:line="560" w:lineRule="exact"/>
        <w:ind w:firstLine="482" w:firstLineChars="200"/>
        <w:outlineLvl w:val="0"/>
        <w:rPr>
          <w:rFonts w:ascii="宋体" w:hAnsi="宋体" w:cs="宋体"/>
          <w:b/>
          <w:color w:val="auto"/>
          <w:sz w:val="24"/>
          <w:highlight w:val="none"/>
        </w:rPr>
      </w:pPr>
      <w:bookmarkStart w:id="420" w:name="_Toc11173"/>
      <w:bookmarkStart w:id="421" w:name="_Toc15322"/>
      <w:bookmarkStart w:id="422" w:name="_Toc7245"/>
      <w:r>
        <w:rPr>
          <w:rFonts w:hint="eastAsia" w:ascii="宋体" w:hAnsi="宋体" w:cs="宋体"/>
          <w:b/>
          <w:color w:val="auto"/>
          <w:sz w:val="24"/>
          <w:highlight w:val="none"/>
        </w:rPr>
        <w:t>1.8 合同生效</w:t>
      </w:r>
      <w:bookmarkEnd w:id="420"/>
      <w:bookmarkEnd w:id="421"/>
      <w:bookmarkEnd w:id="422"/>
    </w:p>
    <w:p w14:paraId="03C1B564">
      <w:pPr>
        <w:spacing w:line="56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本合同自双方当事人盖章或者签字时生效。</w:t>
      </w:r>
    </w:p>
    <w:p w14:paraId="3CAE9DCD">
      <w:pPr>
        <w:autoSpaceDE w:val="0"/>
        <w:autoSpaceDN w:val="0"/>
        <w:spacing w:line="560" w:lineRule="exact"/>
        <w:rPr>
          <w:rFonts w:ascii="宋体" w:hAnsi="宋体" w:cs="宋体"/>
          <w:color w:val="auto"/>
          <w:sz w:val="24"/>
          <w:highlight w:val="none"/>
          <w:lang w:val="zh-CN"/>
        </w:rPr>
      </w:pPr>
    </w:p>
    <w:p w14:paraId="2F78FF1A">
      <w:pPr>
        <w:autoSpaceDE w:val="0"/>
        <w:autoSpaceDN w:val="0"/>
        <w:spacing w:line="560" w:lineRule="exact"/>
        <w:rPr>
          <w:rFonts w:ascii="宋体" w:hAnsi="宋体" w:cs="宋体"/>
          <w:color w:val="auto"/>
          <w:sz w:val="24"/>
          <w:highlight w:val="none"/>
          <w:lang w:val="zh-CN"/>
        </w:rPr>
      </w:pPr>
      <w:r>
        <w:rPr>
          <w:rFonts w:hint="eastAsia" w:ascii="宋体" w:hAnsi="宋体" w:cs="宋体"/>
          <w:b/>
          <w:color w:val="auto"/>
          <w:sz w:val="24"/>
          <w:highlight w:val="none"/>
          <w:lang w:val="zh-CN"/>
        </w:rPr>
        <w:t>甲方</w:t>
      </w:r>
      <w:r>
        <w:rPr>
          <w:rFonts w:hint="eastAsia" w:ascii="宋体" w:hAnsi="宋体" w:cs="宋体"/>
          <w:color w:val="auto"/>
          <w:sz w:val="24"/>
          <w:highlight w:val="none"/>
          <w:lang w:val="zh-CN"/>
        </w:rPr>
        <w:t xml:space="preserve">：                             </w:t>
      </w:r>
      <w:r>
        <w:rPr>
          <w:rFonts w:hint="eastAsia" w:ascii="宋体" w:hAnsi="宋体" w:cs="宋体"/>
          <w:b/>
          <w:color w:val="auto"/>
          <w:sz w:val="24"/>
          <w:highlight w:val="none"/>
          <w:lang w:val="zh-CN"/>
        </w:rPr>
        <w:t xml:space="preserve">      乙方</w:t>
      </w:r>
      <w:r>
        <w:rPr>
          <w:rFonts w:hint="eastAsia" w:ascii="宋体" w:hAnsi="宋体" w:cs="宋体"/>
          <w:color w:val="auto"/>
          <w:sz w:val="24"/>
          <w:highlight w:val="none"/>
          <w:lang w:val="zh-CN"/>
        </w:rPr>
        <w:t>：</w:t>
      </w:r>
    </w:p>
    <w:p w14:paraId="4BA61E4C">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统一社会信用代码：                        统一社会信用代码或身份证号码：</w:t>
      </w:r>
    </w:p>
    <w:p w14:paraId="231FCBC1">
      <w:pPr>
        <w:autoSpaceDE w:val="0"/>
        <w:autoSpaceDN w:val="0"/>
        <w:spacing w:line="560" w:lineRule="exact"/>
        <w:rPr>
          <w:rFonts w:ascii="宋体" w:hAnsi="宋体" w:cs="宋体"/>
          <w:color w:val="auto"/>
          <w:sz w:val="24"/>
          <w:highlight w:val="none"/>
          <w:lang w:val="zh-CN"/>
        </w:rPr>
      </w:pPr>
    </w:p>
    <w:p w14:paraId="489A40CB">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住所：                                   住所：</w:t>
      </w:r>
    </w:p>
    <w:p w14:paraId="56BD1A61">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法定代表人或                             法定代表人</w:t>
      </w:r>
    </w:p>
    <w:p w14:paraId="5E74D292">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 xml:space="preserve">授权代表（签字）：                        或授权代表（签字）： </w:t>
      </w:r>
    </w:p>
    <w:p w14:paraId="5E4FF34C">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联系人：                                 联系人：</w:t>
      </w:r>
    </w:p>
    <w:p w14:paraId="4B2E8B19">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约定送达地址：                           约定送达地址：</w:t>
      </w:r>
    </w:p>
    <w:p w14:paraId="2BA02C4F">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邮政编码：                               邮政编码：</w:t>
      </w:r>
    </w:p>
    <w:p w14:paraId="11A2077F">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 xml:space="preserve">电话：                                    电话： </w:t>
      </w:r>
    </w:p>
    <w:p w14:paraId="50867201">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传真：                                    传真：</w:t>
      </w:r>
    </w:p>
    <w:p w14:paraId="240ED8CC">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lang w:val="zh-CN"/>
        </w:rPr>
        <w:t>电子邮箱：                               电子邮箱：</w:t>
      </w:r>
    </w:p>
    <w:p w14:paraId="33E3F359">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rPr>
        <w:t xml:space="preserve">开户银行：                               开户银行： </w:t>
      </w:r>
    </w:p>
    <w:p w14:paraId="79DF7166">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rPr>
        <w:t xml:space="preserve">开户名称：                               开户名称： </w:t>
      </w:r>
    </w:p>
    <w:p w14:paraId="2A1AC7C8">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rPr>
        <w:t>开户账号：</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开户账号：</w:t>
      </w:r>
    </w:p>
    <w:p w14:paraId="0A73F70D">
      <w:pPr>
        <w:widowControl/>
        <w:spacing w:line="560" w:lineRule="exact"/>
        <w:jc w:val="left"/>
        <w:rPr>
          <w:rFonts w:ascii="宋体" w:hAnsi="宋体" w:cs="宋体"/>
          <w:b/>
          <w:color w:val="auto"/>
          <w:sz w:val="24"/>
          <w:highlight w:val="none"/>
        </w:rPr>
      </w:pPr>
      <w:bookmarkStart w:id="423" w:name="_Toc331685783"/>
    </w:p>
    <w:p w14:paraId="40BCAA06">
      <w:pPr>
        <w:widowControl/>
        <w:adjustRightInd/>
        <w:jc w:val="left"/>
        <w:rPr>
          <w:rFonts w:ascii="宋体" w:hAnsi="宋体" w:cs="宋体"/>
          <w:b/>
          <w:color w:val="auto"/>
          <w:sz w:val="24"/>
          <w:highlight w:val="none"/>
        </w:rPr>
      </w:pPr>
      <w:r>
        <w:rPr>
          <w:rFonts w:ascii="宋体" w:hAnsi="宋体" w:cs="宋体"/>
          <w:b/>
          <w:color w:val="auto"/>
          <w:highlight w:val="none"/>
        </w:rPr>
        <w:br w:type="page"/>
      </w:r>
    </w:p>
    <w:p w14:paraId="7F175036">
      <w:pPr>
        <w:pStyle w:val="384"/>
        <w:spacing w:line="560" w:lineRule="exact"/>
        <w:ind w:firstLine="482"/>
        <w:jc w:val="center"/>
        <w:rPr>
          <w:rFonts w:ascii="宋体" w:hAnsi="宋体" w:cs="宋体"/>
          <w:b/>
          <w:color w:val="auto"/>
          <w:szCs w:val="24"/>
          <w:highlight w:val="none"/>
        </w:rPr>
      </w:pPr>
      <w:r>
        <w:rPr>
          <w:rFonts w:hint="eastAsia" w:ascii="宋体" w:hAnsi="宋体" w:cs="宋体"/>
          <w:b/>
          <w:color w:val="auto"/>
          <w:szCs w:val="24"/>
          <w:highlight w:val="none"/>
        </w:rPr>
        <w:t>第二部分 合同一般条款</w:t>
      </w:r>
      <w:bookmarkEnd w:id="423"/>
    </w:p>
    <w:p w14:paraId="790D50C6">
      <w:pPr>
        <w:spacing w:line="560" w:lineRule="exact"/>
        <w:ind w:firstLine="482" w:firstLineChars="200"/>
        <w:outlineLvl w:val="0"/>
        <w:rPr>
          <w:rFonts w:ascii="宋体" w:hAnsi="宋体" w:cs="宋体"/>
          <w:b/>
          <w:color w:val="auto"/>
          <w:sz w:val="24"/>
          <w:highlight w:val="none"/>
        </w:rPr>
      </w:pPr>
      <w:bookmarkStart w:id="424" w:name="_Ref467378404"/>
      <w:bookmarkStart w:id="425" w:name="_Toc279701240"/>
      <w:bookmarkStart w:id="426" w:name="_Ref467379205"/>
      <w:bookmarkStart w:id="427" w:name="_Ref467379214"/>
      <w:bookmarkStart w:id="428" w:name="_Ref467379101"/>
      <w:bookmarkStart w:id="429" w:name="_Ref467379225"/>
      <w:bookmarkStart w:id="430" w:name="_Ref467379094"/>
      <w:bookmarkStart w:id="431" w:name="_Ref467378463"/>
      <w:bookmarkStart w:id="432" w:name="_Toc19614"/>
      <w:bookmarkStart w:id="433" w:name="_Ref467379195"/>
      <w:bookmarkStart w:id="434" w:name="_Toc16917"/>
      <w:bookmarkStart w:id="435" w:name="_Toc259093669"/>
      <w:bookmarkStart w:id="436" w:name="_Toc28763"/>
      <w:bookmarkStart w:id="437" w:name="_Toc487900349"/>
      <w:bookmarkStart w:id="438" w:name="_Ref467378499"/>
      <w:bookmarkStart w:id="439" w:name="_Ref467379109"/>
      <w:r>
        <w:rPr>
          <w:rFonts w:hint="eastAsia" w:ascii="宋体" w:hAnsi="宋体" w:cs="宋体"/>
          <w:b/>
          <w:color w:val="auto"/>
          <w:sz w:val="24"/>
          <w:highlight w:val="none"/>
        </w:rPr>
        <w:t>2.1 定义</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362026C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本合同中的下列词语应按以下内容进行解释：</w:t>
      </w:r>
    </w:p>
    <w:p w14:paraId="0A85EFD6">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2.1.1 “合同”系指采购人和中标供应商签订的载明双方当事人所达成的协议，并包括所有的附件、附录和构成合同的其他文件。</w:t>
      </w:r>
    </w:p>
    <w:p w14:paraId="5F1D46A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 “合同价”系指根据合同约定，中标供应商在完全履行合同义务后，采购人应支付给中标供应商的价格。</w:t>
      </w:r>
    </w:p>
    <w:p w14:paraId="4953AB5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14:paraId="3F7E09B2">
      <w:pPr>
        <w:spacing w:line="560" w:lineRule="exact"/>
        <w:ind w:firstLine="480" w:firstLineChars="200"/>
        <w:rPr>
          <w:rFonts w:ascii="宋体" w:hAnsi="宋体" w:cs="宋体"/>
          <w:color w:val="auto"/>
          <w:sz w:val="24"/>
          <w:highlight w:val="none"/>
        </w:rPr>
      </w:pPr>
      <w:bookmarkStart w:id="440" w:name="_Ref467378840"/>
      <w:r>
        <w:rPr>
          <w:rFonts w:hint="eastAsia" w:ascii="宋体" w:hAnsi="宋体" w:cs="宋体"/>
          <w:color w:val="auto"/>
          <w:sz w:val="24"/>
          <w:highlight w:val="none"/>
        </w:rPr>
        <w:t>2.1.4 “甲方”系指与中标供应商签署合同的采购人</w:t>
      </w:r>
      <w:bookmarkEnd w:id="440"/>
      <w:r>
        <w:rPr>
          <w:rFonts w:hint="eastAsia" w:ascii="宋体" w:hAnsi="宋体" w:cs="宋体"/>
          <w:color w:val="auto"/>
          <w:sz w:val="24"/>
          <w:highlight w:val="none"/>
        </w:rPr>
        <w:t>；采购人委托采购代理机构代表其与乙方签订合同的，采购人的授权委托书作为合同附件。</w:t>
      </w:r>
    </w:p>
    <w:p w14:paraId="1FF3BEDF">
      <w:pPr>
        <w:spacing w:line="560" w:lineRule="exact"/>
        <w:ind w:firstLine="480" w:firstLineChars="200"/>
        <w:rPr>
          <w:rFonts w:ascii="宋体" w:hAnsi="宋体" w:cs="宋体"/>
          <w:color w:val="auto"/>
          <w:sz w:val="24"/>
          <w:highlight w:val="none"/>
        </w:rPr>
      </w:pPr>
      <w:bookmarkStart w:id="441" w:name="_Ref467379400"/>
      <w:r>
        <w:rPr>
          <w:rFonts w:hint="eastAsia" w:ascii="宋体" w:hAnsi="宋体" w:cs="宋体"/>
          <w:color w:val="auto"/>
          <w:sz w:val="24"/>
          <w:highlight w:val="none"/>
        </w:rPr>
        <w:t>2.1.5 “乙方”系指根据合同约定交付货物的中标供应商</w:t>
      </w:r>
      <w:bookmarkEnd w:id="441"/>
      <w:r>
        <w:rPr>
          <w:rFonts w:hint="eastAsia" w:ascii="宋体" w:hAnsi="宋体" w:cs="宋体"/>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1A2D0F47">
      <w:pPr>
        <w:spacing w:line="560" w:lineRule="exact"/>
        <w:ind w:firstLine="480" w:firstLineChars="200"/>
        <w:rPr>
          <w:rFonts w:ascii="宋体" w:hAnsi="宋体" w:cs="宋体"/>
          <w:color w:val="auto"/>
          <w:sz w:val="24"/>
          <w:highlight w:val="none"/>
        </w:rPr>
      </w:pPr>
      <w:bookmarkStart w:id="442" w:name="_Ref467379436"/>
      <w:r>
        <w:rPr>
          <w:rFonts w:hint="eastAsia" w:ascii="宋体" w:hAnsi="宋体" w:cs="宋体"/>
          <w:color w:val="auto"/>
          <w:sz w:val="24"/>
          <w:highlight w:val="none"/>
        </w:rPr>
        <w:t>2.1.6 “现场”系指合同约定货物将要运至或者安装的地点。</w:t>
      </w:r>
      <w:bookmarkEnd w:id="442"/>
    </w:p>
    <w:p w14:paraId="702B8519">
      <w:pPr>
        <w:spacing w:line="560" w:lineRule="exact"/>
        <w:ind w:firstLine="482" w:firstLineChars="200"/>
        <w:outlineLvl w:val="0"/>
        <w:rPr>
          <w:rFonts w:ascii="宋体" w:hAnsi="宋体" w:cs="宋体"/>
          <w:b/>
          <w:color w:val="auto"/>
          <w:sz w:val="24"/>
          <w:highlight w:val="none"/>
        </w:rPr>
      </w:pPr>
      <w:bookmarkStart w:id="443" w:name="_Toc487900350"/>
      <w:bookmarkStart w:id="444" w:name="_Toc279701241"/>
      <w:bookmarkStart w:id="445" w:name="_Toc259093670"/>
      <w:bookmarkStart w:id="446" w:name="_Toc27635"/>
      <w:bookmarkStart w:id="447" w:name="_Toc13336"/>
      <w:bookmarkStart w:id="448" w:name="_Toc32504"/>
      <w:r>
        <w:rPr>
          <w:rFonts w:hint="eastAsia" w:ascii="宋体" w:hAnsi="宋体" w:cs="宋体"/>
          <w:b/>
          <w:color w:val="auto"/>
          <w:sz w:val="24"/>
          <w:highlight w:val="none"/>
        </w:rPr>
        <w:t>2.2 技术规范</w:t>
      </w:r>
      <w:bookmarkEnd w:id="443"/>
      <w:bookmarkEnd w:id="444"/>
      <w:bookmarkEnd w:id="445"/>
      <w:bookmarkEnd w:id="446"/>
      <w:bookmarkEnd w:id="447"/>
      <w:bookmarkEnd w:id="448"/>
    </w:p>
    <w:p w14:paraId="70B704E3">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货物所应遵守的技术规范应与招标文件规定的技术规范和技术规范附件（如果有的话）及其技术规范偏差表（如果被甲方接受的话）相一致；如果招标文件中没有技术规范的相应说明，那么应以国家有关部门最新颁布的相应标准和规范为准。</w:t>
      </w:r>
    </w:p>
    <w:p w14:paraId="70066565">
      <w:pPr>
        <w:spacing w:line="560" w:lineRule="exact"/>
        <w:ind w:firstLine="482" w:firstLineChars="200"/>
        <w:outlineLvl w:val="0"/>
        <w:rPr>
          <w:rFonts w:ascii="宋体" w:hAnsi="宋体" w:cs="宋体"/>
          <w:b/>
          <w:color w:val="auto"/>
          <w:sz w:val="24"/>
          <w:highlight w:val="none"/>
        </w:rPr>
      </w:pPr>
      <w:bookmarkStart w:id="449" w:name="_Toc279701242"/>
      <w:bookmarkStart w:id="450" w:name="_Toc31634"/>
      <w:bookmarkStart w:id="451" w:name="_Toc27853"/>
      <w:bookmarkStart w:id="452" w:name="_Toc9829"/>
      <w:bookmarkStart w:id="453" w:name="_Toc259093671"/>
      <w:bookmarkStart w:id="454" w:name="_Toc487900351"/>
      <w:r>
        <w:rPr>
          <w:rFonts w:hint="eastAsia" w:ascii="宋体" w:hAnsi="宋体" w:cs="宋体"/>
          <w:b/>
          <w:color w:val="auto"/>
          <w:sz w:val="24"/>
          <w:highlight w:val="none"/>
        </w:rPr>
        <w:t>2.3 知识产权</w:t>
      </w:r>
      <w:bookmarkEnd w:id="449"/>
      <w:bookmarkEnd w:id="450"/>
      <w:bookmarkEnd w:id="451"/>
      <w:bookmarkEnd w:id="452"/>
      <w:bookmarkEnd w:id="453"/>
      <w:bookmarkEnd w:id="454"/>
    </w:p>
    <w:p w14:paraId="037020D6">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54CF05AA">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2.3.2具有知识产权的计算机软件等货物的知识产权归属，详见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2FA89AD2">
      <w:pPr>
        <w:spacing w:line="560" w:lineRule="exact"/>
        <w:ind w:firstLine="482" w:firstLineChars="200"/>
        <w:outlineLvl w:val="0"/>
        <w:rPr>
          <w:rFonts w:ascii="宋体" w:hAnsi="宋体" w:cs="宋体"/>
          <w:b/>
          <w:color w:val="auto"/>
          <w:sz w:val="24"/>
          <w:highlight w:val="none"/>
        </w:rPr>
      </w:pPr>
      <w:bookmarkStart w:id="455" w:name="_Toc4194"/>
      <w:bookmarkStart w:id="456" w:name="_Toc11932"/>
      <w:bookmarkStart w:id="457" w:name="_Toc29149"/>
      <w:r>
        <w:rPr>
          <w:rFonts w:hint="eastAsia" w:ascii="宋体" w:hAnsi="宋体" w:cs="宋体"/>
          <w:b/>
          <w:color w:val="auto"/>
          <w:sz w:val="24"/>
          <w:highlight w:val="none"/>
        </w:rPr>
        <w:t>2.4 包装和装运</w:t>
      </w:r>
      <w:bookmarkEnd w:id="455"/>
      <w:bookmarkEnd w:id="456"/>
      <w:bookmarkEnd w:id="457"/>
    </w:p>
    <w:p w14:paraId="07750F62">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2.4.1除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5CB7765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77D6673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2.4.3 装运货物的要求和通知，详见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7C13CC23">
      <w:pPr>
        <w:spacing w:line="560" w:lineRule="exact"/>
        <w:ind w:firstLine="482" w:firstLineChars="200"/>
        <w:outlineLvl w:val="0"/>
        <w:rPr>
          <w:rFonts w:ascii="宋体" w:hAnsi="宋体" w:cs="宋体"/>
          <w:b/>
          <w:color w:val="auto"/>
          <w:sz w:val="24"/>
          <w:highlight w:val="none"/>
        </w:rPr>
      </w:pPr>
      <w:bookmarkStart w:id="458" w:name="_Ref467379542"/>
      <w:bookmarkStart w:id="459" w:name="_Toc487900354"/>
      <w:bookmarkStart w:id="460" w:name="_Ref467378541"/>
      <w:bookmarkStart w:id="461" w:name="_Ref467379536"/>
      <w:bookmarkStart w:id="462" w:name="_Ref467379527"/>
      <w:bookmarkStart w:id="463" w:name="_Ref467378591"/>
      <w:bookmarkStart w:id="464" w:name="_Toc279701245"/>
      <w:bookmarkStart w:id="465" w:name="_Toc259093674"/>
      <w:bookmarkStart w:id="466" w:name="_Toc26182"/>
      <w:bookmarkStart w:id="467" w:name="_Toc19074"/>
      <w:bookmarkStart w:id="468" w:name="_Toc30272"/>
      <w:r>
        <w:rPr>
          <w:rFonts w:hint="eastAsia" w:ascii="宋体" w:hAnsi="宋体" w:cs="宋体"/>
          <w:b/>
          <w:color w:val="auto"/>
          <w:sz w:val="24"/>
          <w:highlight w:val="none"/>
        </w:rPr>
        <w:t>2.</w:t>
      </w:r>
      <w:bookmarkEnd w:id="458"/>
      <w:bookmarkEnd w:id="459"/>
      <w:bookmarkEnd w:id="460"/>
      <w:bookmarkEnd w:id="461"/>
      <w:bookmarkEnd w:id="462"/>
      <w:bookmarkEnd w:id="463"/>
      <w:bookmarkEnd w:id="464"/>
      <w:bookmarkEnd w:id="465"/>
      <w:r>
        <w:rPr>
          <w:rFonts w:hint="eastAsia" w:ascii="宋体" w:hAnsi="宋体" w:cs="宋体"/>
          <w:b/>
          <w:color w:val="auto"/>
          <w:sz w:val="24"/>
          <w:highlight w:val="none"/>
        </w:rPr>
        <w:t>5 履约检查和问题反馈</w:t>
      </w:r>
      <w:bookmarkEnd w:id="466"/>
      <w:bookmarkEnd w:id="467"/>
      <w:bookmarkEnd w:id="468"/>
    </w:p>
    <w:p w14:paraId="6591A836">
      <w:pPr>
        <w:spacing w:line="560" w:lineRule="exact"/>
        <w:ind w:firstLine="480" w:firstLineChars="200"/>
        <w:rPr>
          <w:rFonts w:ascii="宋体" w:hAnsi="宋体" w:cs="宋体"/>
          <w:color w:val="auto"/>
          <w:sz w:val="24"/>
          <w:highlight w:val="none"/>
        </w:rPr>
      </w:pPr>
      <w:bookmarkStart w:id="469" w:name="_Ref467379657"/>
      <w:r>
        <w:rPr>
          <w:rFonts w:hint="eastAsia" w:ascii="宋体" w:hAnsi="宋体" w:cs="宋体"/>
          <w:color w:val="auto"/>
          <w:sz w:val="24"/>
          <w:highlight w:val="none"/>
        </w:rPr>
        <w:t>2.5.1</w:t>
      </w:r>
      <w:bookmarkEnd w:id="469"/>
      <w:bookmarkStart w:id="470" w:name="_Toc186431854"/>
      <w:bookmarkStart w:id="471" w:name="_Toc487900357"/>
      <w:bookmarkStart w:id="472" w:name="_Ref467379793"/>
      <w:bookmarkStart w:id="473" w:name="_Toc279701247"/>
      <w:bookmarkStart w:id="474" w:name="_Toc259093676"/>
      <w:bookmarkStart w:id="475" w:name="_Ref467379807"/>
      <w:r>
        <w:rPr>
          <w:rFonts w:hint="eastAsia" w:ascii="宋体" w:hAnsi="宋体" w:cs="宋体"/>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70D5146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2.5.2 合同履行期间，甲方有权将履行过程中出现的问题反馈给乙方，双方当事人应以书面形式约定需要完善和改进的内容</w:t>
      </w:r>
      <w:bookmarkEnd w:id="470"/>
      <w:bookmarkStart w:id="476" w:name="_Toc186431855"/>
      <w:r>
        <w:rPr>
          <w:rFonts w:hint="eastAsia" w:ascii="宋体" w:hAnsi="宋体" w:cs="宋体"/>
          <w:color w:val="auto"/>
          <w:sz w:val="24"/>
          <w:highlight w:val="none"/>
        </w:rPr>
        <w:t>。</w:t>
      </w:r>
    </w:p>
    <w:bookmarkEnd w:id="471"/>
    <w:bookmarkEnd w:id="472"/>
    <w:bookmarkEnd w:id="473"/>
    <w:bookmarkEnd w:id="474"/>
    <w:bookmarkEnd w:id="475"/>
    <w:bookmarkEnd w:id="476"/>
    <w:p w14:paraId="6A8A0B92">
      <w:pPr>
        <w:spacing w:line="560" w:lineRule="exact"/>
        <w:ind w:firstLine="482" w:firstLineChars="200"/>
        <w:outlineLvl w:val="0"/>
        <w:rPr>
          <w:rFonts w:ascii="宋体" w:hAnsi="宋体" w:cs="宋体"/>
          <w:b/>
          <w:color w:val="auto"/>
          <w:sz w:val="24"/>
          <w:highlight w:val="none"/>
        </w:rPr>
      </w:pPr>
      <w:bookmarkStart w:id="477" w:name="_Toc279701248"/>
      <w:bookmarkStart w:id="478" w:name="_Ref467379923"/>
      <w:bookmarkStart w:id="479" w:name="_Ref467379852"/>
      <w:bookmarkStart w:id="480" w:name="_Toc487900358"/>
      <w:bookmarkStart w:id="481" w:name="_Toc259093677"/>
      <w:bookmarkStart w:id="482" w:name="_Ref467379863"/>
      <w:bookmarkStart w:id="483" w:name="_Toc774"/>
      <w:bookmarkStart w:id="484" w:name="_Toc16110"/>
      <w:bookmarkStart w:id="485" w:name="_Toc3225"/>
      <w:r>
        <w:rPr>
          <w:rFonts w:hint="eastAsia" w:ascii="宋体" w:hAnsi="宋体" w:cs="宋体"/>
          <w:b/>
          <w:color w:val="auto"/>
          <w:sz w:val="24"/>
          <w:highlight w:val="none"/>
        </w:rPr>
        <w:t>2.6 技术资料</w:t>
      </w:r>
      <w:bookmarkEnd w:id="477"/>
      <w:bookmarkEnd w:id="478"/>
      <w:bookmarkEnd w:id="479"/>
      <w:bookmarkEnd w:id="480"/>
      <w:bookmarkEnd w:id="481"/>
      <w:bookmarkEnd w:id="482"/>
      <w:r>
        <w:rPr>
          <w:rFonts w:hint="eastAsia" w:ascii="宋体" w:hAnsi="宋体" w:cs="宋体"/>
          <w:b/>
          <w:color w:val="auto"/>
          <w:sz w:val="24"/>
          <w:highlight w:val="none"/>
        </w:rPr>
        <w:t>和保密义务</w:t>
      </w:r>
      <w:bookmarkEnd w:id="483"/>
      <w:bookmarkEnd w:id="484"/>
      <w:bookmarkEnd w:id="485"/>
    </w:p>
    <w:p w14:paraId="78E0A0C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2.6.1 乙方有权依据合同约定和项目需要，向甲方了解有关情况，调阅有关资料等，甲方应予积极配合；</w:t>
      </w:r>
    </w:p>
    <w:p w14:paraId="3FF0BACF">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2.6.2 乙方有义务妥善保管和保护由甲方提供的前款信息和资料等；</w:t>
      </w:r>
    </w:p>
    <w:p w14:paraId="1409018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555D283">
      <w:pPr>
        <w:spacing w:line="560" w:lineRule="exact"/>
        <w:ind w:firstLine="482" w:firstLineChars="200"/>
        <w:outlineLvl w:val="0"/>
        <w:rPr>
          <w:rFonts w:ascii="宋体" w:hAnsi="宋体" w:cs="宋体"/>
          <w:b/>
          <w:color w:val="auto"/>
          <w:sz w:val="24"/>
          <w:highlight w:val="none"/>
        </w:rPr>
      </w:pPr>
      <w:bookmarkStart w:id="486" w:name="_Toc7860"/>
      <w:r>
        <w:rPr>
          <w:rFonts w:hint="eastAsia" w:ascii="宋体" w:hAnsi="宋体" w:cs="宋体"/>
          <w:b/>
          <w:color w:val="auto"/>
          <w:sz w:val="24"/>
          <w:highlight w:val="none"/>
        </w:rPr>
        <w:t>2.7 质量保证</w:t>
      </w:r>
      <w:bookmarkEnd w:id="486"/>
    </w:p>
    <w:p w14:paraId="3226A8D3">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2.7.1 乙方应建立和完善履行合同的内部质量保证体系，并提供相关内部规章制度给甲方，以便甲方进行监督检查；</w:t>
      </w:r>
    </w:p>
    <w:p w14:paraId="0C50C37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2.7.2 乙方应保证履行合同的人员数量和素质、软件和硬件设备的配置、场地、环境和设施等满足全面履行合同的要求，并应接受甲方的监督检查。</w:t>
      </w:r>
    </w:p>
    <w:p w14:paraId="5109194F">
      <w:pPr>
        <w:spacing w:line="560" w:lineRule="exact"/>
        <w:ind w:firstLine="482" w:firstLineChars="200"/>
        <w:outlineLvl w:val="0"/>
        <w:rPr>
          <w:rFonts w:ascii="宋体" w:hAnsi="宋体" w:cs="宋体"/>
          <w:b/>
          <w:color w:val="auto"/>
          <w:sz w:val="24"/>
          <w:highlight w:val="none"/>
        </w:rPr>
      </w:pPr>
      <w:bookmarkStart w:id="487" w:name="_Toc17244"/>
      <w:bookmarkStart w:id="488" w:name="_Toc487900362"/>
      <w:bookmarkStart w:id="489" w:name="_Toc259093681"/>
      <w:bookmarkStart w:id="490" w:name="_Toc279701252"/>
      <w:r>
        <w:rPr>
          <w:rFonts w:hint="eastAsia" w:ascii="宋体" w:hAnsi="宋体" w:cs="宋体"/>
          <w:b/>
          <w:color w:val="auto"/>
          <w:sz w:val="24"/>
          <w:highlight w:val="none"/>
        </w:rPr>
        <w:t>2.8 货物的风险负担</w:t>
      </w:r>
      <w:bookmarkEnd w:id="487"/>
    </w:p>
    <w:p w14:paraId="433DB51B">
      <w:pPr>
        <w:spacing w:line="56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货物或者在途货物或者交付给第一承运人后的货物毁损、灭失的风险负担详见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61CBBFA2">
      <w:pPr>
        <w:spacing w:line="560" w:lineRule="exact"/>
        <w:ind w:firstLine="482" w:firstLineChars="200"/>
        <w:outlineLvl w:val="0"/>
        <w:rPr>
          <w:rFonts w:ascii="宋体" w:hAnsi="宋体" w:cs="宋体"/>
          <w:b/>
          <w:color w:val="auto"/>
          <w:sz w:val="24"/>
          <w:highlight w:val="none"/>
        </w:rPr>
      </w:pPr>
      <w:bookmarkStart w:id="491" w:name="_Toc14055"/>
      <w:r>
        <w:rPr>
          <w:rFonts w:hint="eastAsia" w:ascii="宋体" w:hAnsi="宋体" w:cs="宋体"/>
          <w:b/>
          <w:color w:val="auto"/>
          <w:sz w:val="24"/>
          <w:highlight w:val="none"/>
        </w:rPr>
        <w:t>2.9 延迟交货</w:t>
      </w:r>
      <w:bookmarkEnd w:id="488"/>
      <w:bookmarkEnd w:id="489"/>
      <w:bookmarkEnd w:id="490"/>
      <w:bookmarkEnd w:id="491"/>
    </w:p>
    <w:p w14:paraId="7C6081B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29BB5EAD">
      <w:pPr>
        <w:spacing w:line="560" w:lineRule="exact"/>
        <w:ind w:firstLine="482" w:firstLineChars="200"/>
        <w:outlineLvl w:val="0"/>
        <w:rPr>
          <w:rFonts w:ascii="宋体" w:hAnsi="宋体" w:cs="宋体"/>
          <w:b/>
          <w:color w:val="auto"/>
          <w:sz w:val="24"/>
          <w:highlight w:val="none"/>
        </w:rPr>
      </w:pPr>
      <w:bookmarkStart w:id="492" w:name="_Toc7502"/>
      <w:bookmarkStart w:id="493" w:name="_Toc487900364"/>
      <w:bookmarkStart w:id="494" w:name="_Toc279701254"/>
      <w:bookmarkStart w:id="495" w:name="_Toc259093683"/>
      <w:bookmarkStart w:id="496" w:name="_Ref467378121"/>
      <w:r>
        <w:rPr>
          <w:rFonts w:hint="eastAsia" w:ascii="宋体" w:hAnsi="宋体" w:cs="宋体"/>
          <w:b/>
          <w:color w:val="auto"/>
          <w:sz w:val="24"/>
          <w:highlight w:val="none"/>
        </w:rPr>
        <w:t>2.10 合同变更</w:t>
      </w:r>
      <w:bookmarkEnd w:id="492"/>
    </w:p>
    <w:p w14:paraId="023DD1C2">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497" w:name="_Toc279701259"/>
      <w:bookmarkStart w:id="498" w:name="_Toc259093688"/>
      <w:bookmarkStart w:id="499" w:name="_Toc487900369"/>
    </w:p>
    <w:p w14:paraId="1E71D32D">
      <w:pPr>
        <w:spacing w:line="560" w:lineRule="exact"/>
        <w:ind w:firstLine="482" w:firstLineChars="200"/>
        <w:outlineLvl w:val="0"/>
        <w:rPr>
          <w:rFonts w:ascii="宋体" w:hAnsi="宋体" w:cs="宋体"/>
          <w:b/>
          <w:color w:val="auto"/>
          <w:sz w:val="24"/>
          <w:highlight w:val="none"/>
        </w:rPr>
      </w:pPr>
      <w:bookmarkStart w:id="500" w:name="_Toc10366"/>
      <w:bookmarkStart w:id="501" w:name="_Toc15237"/>
      <w:bookmarkStart w:id="502" w:name="_Toc22955"/>
      <w:r>
        <w:rPr>
          <w:rFonts w:hint="eastAsia" w:ascii="宋体" w:hAnsi="宋体" w:cs="宋体"/>
          <w:b/>
          <w:color w:val="auto"/>
          <w:sz w:val="24"/>
          <w:highlight w:val="none"/>
        </w:rPr>
        <w:t>2.11 合同转让</w:t>
      </w:r>
      <w:bookmarkEnd w:id="497"/>
      <w:bookmarkEnd w:id="498"/>
      <w:bookmarkEnd w:id="499"/>
      <w:r>
        <w:rPr>
          <w:rFonts w:hint="eastAsia" w:ascii="宋体" w:hAnsi="宋体" w:cs="宋体"/>
          <w:b/>
          <w:color w:val="auto"/>
          <w:sz w:val="24"/>
          <w:highlight w:val="none"/>
        </w:rPr>
        <w:t>和分包</w:t>
      </w:r>
      <w:bookmarkEnd w:id="500"/>
      <w:bookmarkEnd w:id="501"/>
      <w:bookmarkEnd w:id="502"/>
    </w:p>
    <w:p w14:paraId="2E8C539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F1268F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2.11.2乙方采取分包方式履行合同的，甲方可直接向分包供应商支付款项。</w:t>
      </w:r>
    </w:p>
    <w:p w14:paraId="315E0A5B">
      <w:pPr>
        <w:spacing w:line="560" w:lineRule="exact"/>
        <w:ind w:firstLine="482" w:firstLineChars="200"/>
        <w:outlineLvl w:val="0"/>
        <w:rPr>
          <w:rFonts w:ascii="宋体" w:hAnsi="宋体" w:cs="宋体"/>
          <w:b/>
          <w:color w:val="auto"/>
          <w:sz w:val="24"/>
          <w:highlight w:val="none"/>
        </w:rPr>
      </w:pPr>
      <w:bookmarkStart w:id="503" w:name="_Toc16508"/>
      <w:bookmarkStart w:id="504" w:name="_Toc14066"/>
      <w:bookmarkStart w:id="505" w:name="_Toc13566"/>
      <w:r>
        <w:rPr>
          <w:rFonts w:hint="eastAsia" w:ascii="宋体" w:hAnsi="宋体" w:cs="宋体"/>
          <w:b/>
          <w:color w:val="auto"/>
          <w:sz w:val="24"/>
          <w:highlight w:val="none"/>
        </w:rPr>
        <w:t>2.12 不可抗力</w:t>
      </w:r>
      <w:bookmarkEnd w:id="503"/>
      <w:bookmarkEnd w:id="504"/>
      <w:bookmarkEnd w:id="505"/>
    </w:p>
    <w:p w14:paraId="5644540A">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2.12.1如果任何一方遭遇法律规定的不可抗力，致使合同履行受阻时，履行合同的期限应予延长，延长的期限应相当于不可抗力所影响的时间；</w:t>
      </w:r>
    </w:p>
    <w:p w14:paraId="796A917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2.12.2 因不可抗力致使不能实现合同目的的，当事人可以解除合同；</w:t>
      </w:r>
    </w:p>
    <w:p w14:paraId="75888AF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2.12.3 因不可抗力致使合同有变更必要的，双方当事人应在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约定时间内以书面形式变更合同；</w:t>
      </w:r>
    </w:p>
    <w:p w14:paraId="3AA01611">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2.12.4受不可抗力影响的一方在不可抗力发生后，应在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约定时间内以书面形式通知对方当事人，并在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约定时间内，将有关部门出具的证明文件送达对方当事人。</w:t>
      </w:r>
    </w:p>
    <w:p w14:paraId="4B25C4FE">
      <w:pPr>
        <w:spacing w:line="560" w:lineRule="exact"/>
        <w:ind w:firstLine="482" w:firstLineChars="200"/>
        <w:outlineLvl w:val="0"/>
        <w:rPr>
          <w:rFonts w:ascii="宋体" w:hAnsi="宋体" w:cs="宋体"/>
          <w:b/>
          <w:color w:val="auto"/>
          <w:sz w:val="24"/>
          <w:highlight w:val="none"/>
        </w:rPr>
      </w:pPr>
      <w:bookmarkStart w:id="506" w:name="_Toc259093684"/>
      <w:bookmarkStart w:id="507" w:name="_Toc6969"/>
      <w:bookmarkStart w:id="508" w:name="_Toc30676"/>
      <w:bookmarkStart w:id="509" w:name="_Toc487900365"/>
      <w:bookmarkStart w:id="510" w:name="_Toc279701255"/>
      <w:bookmarkStart w:id="511" w:name="_Toc689"/>
      <w:r>
        <w:rPr>
          <w:rFonts w:hint="eastAsia" w:ascii="宋体" w:hAnsi="宋体" w:cs="宋体"/>
          <w:b/>
          <w:color w:val="auto"/>
          <w:sz w:val="24"/>
          <w:highlight w:val="none"/>
        </w:rPr>
        <w:t>2.13 税费</w:t>
      </w:r>
      <w:bookmarkEnd w:id="506"/>
      <w:bookmarkEnd w:id="507"/>
      <w:bookmarkEnd w:id="508"/>
      <w:bookmarkEnd w:id="509"/>
      <w:bookmarkEnd w:id="510"/>
      <w:bookmarkEnd w:id="511"/>
    </w:p>
    <w:p w14:paraId="4BFD7FAD">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与合同有关的一切税费，均按照中华人民共和国法律的相关规定。</w:t>
      </w:r>
    </w:p>
    <w:p w14:paraId="3DB0ED65">
      <w:pPr>
        <w:spacing w:line="560" w:lineRule="exact"/>
        <w:ind w:firstLine="482" w:firstLineChars="200"/>
        <w:outlineLvl w:val="0"/>
        <w:rPr>
          <w:rFonts w:ascii="宋体" w:hAnsi="宋体" w:cs="宋体"/>
          <w:b/>
          <w:color w:val="auto"/>
          <w:sz w:val="24"/>
          <w:highlight w:val="none"/>
        </w:rPr>
      </w:pPr>
      <w:bookmarkStart w:id="512" w:name="_Toc16959"/>
      <w:bookmarkStart w:id="513" w:name="_Toc259093687"/>
      <w:bookmarkStart w:id="514" w:name="_Toc8298"/>
      <w:bookmarkStart w:id="515" w:name="_Toc7102"/>
      <w:bookmarkStart w:id="516" w:name="_Toc487900368"/>
      <w:bookmarkStart w:id="517" w:name="_Toc279701258"/>
      <w:r>
        <w:rPr>
          <w:rFonts w:hint="eastAsia" w:ascii="宋体" w:hAnsi="宋体" w:cs="宋体"/>
          <w:b/>
          <w:color w:val="auto"/>
          <w:sz w:val="24"/>
          <w:highlight w:val="none"/>
        </w:rPr>
        <w:t>2.14乙方破产</w:t>
      </w:r>
      <w:bookmarkEnd w:id="512"/>
      <w:bookmarkEnd w:id="513"/>
      <w:bookmarkEnd w:id="514"/>
      <w:bookmarkEnd w:id="515"/>
      <w:bookmarkEnd w:id="516"/>
      <w:bookmarkEnd w:id="517"/>
    </w:p>
    <w:p w14:paraId="1FB3EFCF">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C9A4B29">
      <w:pPr>
        <w:spacing w:line="560" w:lineRule="exact"/>
        <w:ind w:firstLine="482" w:firstLineChars="200"/>
        <w:outlineLvl w:val="0"/>
        <w:rPr>
          <w:rFonts w:ascii="宋体" w:hAnsi="宋体" w:cs="宋体"/>
          <w:b/>
          <w:color w:val="auto"/>
          <w:sz w:val="24"/>
          <w:highlight w:val="none"/>
        </w:rPr>
      </w:pPr>
      <w:bookmarkStart w:id="518" w:name="_Toc29333"/>
      <w:bookmarkStart w:id="519" w:name="_Toc6134"/>
      <w:bookmarkStart w:id="520" w:name="_Toc15387"/>
      <w:r>
        <w:rPr>
          <w:rFonts w:hint="eastAsia" w:ascii="宋体" w:hAnsi="宋体" w:cs="宋体"/>
          <w:b/>
          <w:color w:val="auto"/>
          <w:sz w:val="24"/>
          <w:highlight w:val="none"/>
        </w:rPr>
        <w:t>2.15 合同中止、终止</w:t>
      </w:r>
      <w:bookmarkEnd w:id="518"/>
      <w:bookmarkEnd w:id="519"/>
      <w:bookmarkEnd w:id="520"/>
    </w:p>
    <w:p w14:paraId="50B7A58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2.15.1 双方当事人不得擅自中止或者终止合同；</w:t>
      </w:r>
    </w:p>
    <w:p w14:paraId="30B3006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40D38169">
      <w:pPr>
        <w:spacing w:line="560" w:lineRule="exact"/>
        <w:ind w:firstLine="482" w:firstLineChars="200"/>
        <w:outlineLvl w:val="0"/>
        <w:rPr>
          <w:rFonts w:ascii="宋体" w:hAnsi="宋体" w:cs="宋体"/>
          <w:b/>
          <w:color w:val="auto"/>
          <w:sz w:val="24"/>
          <w:highlight w:val="none"/>
        </w:rPr>
      </w:pPr>
      <w:bookmarkStart w:id="521" w:name="_Toc1125"/>
      <w:bookmarkStart w:id="522" w:name="_Toc6596"/>
      <w:bookmarkStart w:id="523" w:name="_Toc14563"/>
      <w:r>
        <w:rPr>
          <w:rFonts w:hint="eastAsia" w:ascii="宋体" w:hAnsi="宋体" w:cs="宋体"/>
          <w:b/>
          <w:color w:val="auto"/>
          <w:sz w:val="24"/>
          <w:highlight w:val="none"/>
        </w:rPr>
        <w:t>2.16检验和验收</w:t>
      </w:r>
      <w:bookmarkEnd w:id="521"/>
      <w:bookmarkEnd w:id="522"/>
      <w:bookmarkEnd w:id="523"/>
    </w:p>
    <w:p w14:paraId="3615AB7C">
      <w:pPr>
        <w:tabs>
          <w:tab w:val="left" w:pos="360"/>
          <w:tab w:val="left" w:pos="540"/>
          <w:tab w:val="left" w:pos="108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2.16.1货物交付前，乙方应对货物的质量、数量等方面进行详细、全面地检验，并向甲方出具证明货物符合合同约定的文件；货物交付时，甲方在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约定时间内组织验收，并可依法邀请相关方参加，验收应出具验收书。</w:t>
      </w:r>
    </w:p>
    <w:p w14:paraId="689D9F1B">
      <w:pPr>
        <w:tabs>
          <w:tab w:val="left" w:pos="360"/>
          <w:tab w:val="left" w:pos="540"/>
          <w:tab w:val="left" w:pos="108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77ED974">
      <w:pPr>
        <w:tabs>
          <w:tab w:val="left" w:pos="360"/>
          <w:tab w:val="left" w:pos="540"/>
          <w:tab w:val="left" w:pos="108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2.16.3 检验和验收标准、程序等具体内容以及前述验收书的效力详见</w:t>
      </w:r>
      <w:r>
        <w:rPr>
          <w:rFonts w:hint="eastAsia" w:ascii="宋体" w:hAnsi="宋体" w:cs="宋体"/>
          <w:b/>
          <w:i/>
          <w:color w:val="auto"/>
          <w:sz w:val="24"/>
          <w:highlight w:val="none"/>
          <w:u w:val="single"/>
        </w:rPr>
        <w:t>合同专用条款</w:t>
      </w:r>
      <w:r>
        <w:rPr>
          <w:rFonts w:hint="eastAsia" w:ascii="宋体" w:hAnsi="宋体" w:cs="宋体"/>
          <w:i/>
          <w:color w:val="auto"/>
          <w:sz w:val="24"/>
          <w:highlight w:val="none"/>
        </w:rPr>
        <w:t>。</w:t>
      </w:r>
    </w:p>
    <w:bookmarkEnd w:id="493"/>
    <w:bookmarkEnd w:id="494"/>
    <w:bookmarkEnd w:id="495"/>
    <w:bookmarkEnd w:id="496"/>
    <w:p w14:paraId="178EB00A">
      <w:pPr>
        <w:spacing w:line="560" w:lineRule="exact"/>
        <w:ind w:firstLine="482" w:firstLineChars="200"/>
        <w:outlineLvl w:val="0"/>
        <w:rPr>
          <w:rFonts w:ascii="宋体" w:hAnsi="宋体" w:cs="宋体"/>
          <w:b/>
          <w:color w:val="auto"/>
          <w:sz w:val="24"/>
          <w:highlight w:val="none"/>
        </w:rPr>
      </w:pPr>
      <w:bookmarkStart w:id="524" w:name="_Toc279701261"/>
      <w:bookmarkStart w:id="525" w:name="_Toc487900371"/>
      <w:bookmarkStart w:id="526" w:name="_Toc259093690"/>
      <w:bookmarkStart w:id="527" w:name="_Toc11284"/>
      <w:bookmarkStart w:id="528" w:name="_Toc25182"/>
      <w:bookmarkStart w:id="529" w:name="_Toc19604"/>
      <w:r>
        <w:rPr>
          <w:rFonts w:hint="eastAsia" w:ascii="宋体" w:hAnsi="宋体" w:cs="宋体"/>
          <w:b/>
          <w:color w:val="auto"/>
          <w:sz w:val="24"/>
          <w:highlight w:val="none"/>
        </w:rPr>
        <w:t>2.17 通知</w:t>
      </w:r>
      <w:bookmarkEnd w:id="524"/>
      <w:bookmarkEnd w:id="525"/>
      <w:bookmarkEnd w:id="526"/>
      <w:r>
        <w:rPr>
          <w:rFonts w:hint="eastAsia" w:ascii="宋体" w:hAnsi="宋体" w:cs="宋体"/>
          <w:b/>
          <w:color w:val="auto"/>
          <w:sz w:val="24"/>
          <w:highlight w:val="none"/>
        </w:rPr>
        <w:t>和送达</w:t>
      </w:r>
      <w:bookmarkEnd w:id="527"/>
      <w:bookmarkEnd w:id="528"/>
      <w:bookmarkEnd w:id="529"/>
    </w:p>
    <w:p w14:paraId="563FC021">
      <w:pPr>
        <w:spacing w:line="560" w:lineRule="exact"/>
        <w:ind w:firstLine="480" w:firstLineChars="200"/>
        <w:rPr>
          <w:rFonts w:ascii="宋体" w:hAnsi="宋体" w:cs="宋体"/>
          <w:color w:val="auto"/>
          <w:sz w:val="24"/>
          <w:highlight w:val="none"/>
        </w:rPr>
      </w:pPr>
      <w:bookmarkStart w:id="530" w:name="_Toc3135"/>
      <w:bookmarkStart w:id="531" w:name="_Toc6698"/>
      <w:bookmarkStart w:id="532" w:name="_Toc259093691"/>
      <w:bookmarkStart w:id="533" w:name="_Toc279701262"/>
      <w:bookmarkStart w:id="534" w:name="_Toc487900372"/>
      <w:r>
        <w:rPr>
          <w:rFonts w:hint="eastAsia" w:ascii="宋体" w:hAnsi="宋体" w:cs="宋体"/>
          <w:color w:val="auto"/>
          <w:sz w:val="24"/>
          <w:highlight w:val="none"/>
        </w:rPr>
        <w:t xml:space="preserve">2.17.1任何一方因履行合同而以合同第一部分尾部所列明的传真或电子邮件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发出的所有通知、文件、材料，均视为已向对方当事人送达；任何一方变更上述送达方式或者地址的，应于</w:t>
      </w:r>
      <w:r>
        <w:rPr>
          <w:rFonts w:hint="eastAsia" w:ascii="宋体" w:hAnsi="宋体" w:cs="宋体"/>
          <w:color w:val="auto"/>
          <w:sz w:val="24"/>
          <w:highlight w:val="none"/>
          <w:u w:val="single"/>
        </w:rPr>
        <w:t>3</w:t>
      </w:r>
      <w:r>
        <w:rPr>
          <w:rFonts w:hint="eastAsia" w:ascii="宋体" w:hAnsi="宋体" w:cs="宋体"/>
          <w:color w:val="auto"/>
          <w:sz w:val="24"/>
          <w:highlight w:val="none"/>
        </w:rPr>
        <w:t>个工作日内书面通知对方当事人，在对方当事人收到有关变更通知之前，变更前的约定送达方式或者地址仍视为有效。</w:t>
      </w:r>
      <w:bookmarkEnd w:id="530"/>
      <w:bookmarkEnd w:id="531"/>
    </w:p>
    <w:p w14:paraId="464C1A12">
      <w:pPr>
        <w:spacing w:line="560" w:lineRule="exact"/>
        <w:ind w:firstLine="480" w:firstLineChars="200"/>
        <w:rPr>
          <w:rFonts w:ascii="宋体" w:hAnsi="宋体" w:cs="宋体"/>
          <w:color w:val="auto"/>
          <w:sz w:val="24"/>
          <w:highlight w:val="none"/>
        </w:rPr>
      </w:pPr>
      <w:bookmarkStart w:id="535" w:name="_Toc23294"/>
      <w:bookmarkStart w:id="536" w:name="_Toc23128"/>
      <w:r>
        <w:rPr>
          <w:rFonts w:hint="eastAsia" w:ascii="宋体" w:hAnsi="宋体" w:cs="宋体"/>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5"/>
      <w:bookmarkEnd w:id="536"/>
    </w:p>
    <w:p w14:paraId="283EEF10">
      <w:pPr>
        <w:spacing w:line="560" w:lineRule="exact"/>
        <w:ind w:firstLine="482" w:firstLineChars="200"/>
        <w:outlineLvl w:val="0"/>
        <w:rPr>
          <w:rFonts w:ascii="宋体" w:hAnsi="宋体" w:cs="宋体"/>
          <w:b/>
          <w:color w:val="auto"/>
          <w:sz w:val="24"/>
          <w:highlight w:val="none"/>
        </w:rPr>
      </w:pPr>
      <w:bookmarkStart w:id="537" w:name="_Toc4355"/>
      <w:bookmarkStart w:id="538" w:name="_Toc30599"/>
      <w:bookmarkStart w:id="539" w:name="_Toc18540"/>
      <w:r>
        <w:rPr>
          <w:rFonts w:hint="eastAsia" w:ascii="宋体" w:hAnsi="宋体" w:cs="宋体"/>
          <w:b/>
          <w:color w:val="auto"/>
          <w:sz w:val="24"/>
          <w:highlight w:val="none"/>
        </w:rPr>
        <w:t>2.18 计量单位</w:t>
      </w:r>
      <w:bookmarkEnd w:id="532"/>
      <w:bookmarkEnd w:id="533"/>
      <w:bookmarkEnd w:id="534"/>
      <w:bookmarkEnd w:id="537"/>
      <w:bookmarkEnd w:id="538"/>
      <w:bookmarkEnd w:id="539"/>
    </w:p>
    <w:p w14:paraId="0B1B56A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除技术规范中另有规定外，合同的计量单位均使用国家法定计量单位。</w:t>
      </w:r>
    </w:p>
    <w:p w14:paraId="41FA00FD">
      <w:pPr>
        <w:spacing w:line="560" w:lineRule="exact"/>
        <w:ind w:firstLine="482" w:firstLineChars="200"/>
        <w:outlineLvl w:val="0"/>
        <w:rPr>
          <w:rFonts w:ascii="宋体" w:hAnsi="宋体" w:cs="宋体"/>
          <w:b/>
          <w:color w:val="auto"/>
          <w:sz w:val="24"/>
          <w:highlight w:val="none"/>
        </w:rPr>
      </w:pPr>
      <w:bookmarkStart w:id="540" w:name="_Toc10330"/>
      <w:bookmarkStart w:id="541" w:name="_Toc279701263"/>
      <w:bookmarkStart w:id="542" w:name="_Toc487900373"/>
      <w:bookmarkStart w:id="543" w:name="_Toc18567"/>
      <w:bookmarkStart w:id="544" w:name="_Toc259093692"/>
      <w:bookmarkStart w:id="545" w:name="_Toc12773"/>
      <w:r>
        <w:rPr>
          <w:rFonts w:hint="eastAsia" w:ascii="宋体" w:hAnsi="宋体" w:cs="宋体"/>
          <w:b/>
          <w:color w:val="auto"/>
          <w:sz w:val="24"/>
          <w:highlight w:val="none"/>
        </w:rPr>
        <w:t>2.19 合同使用的文字和适用的法律</w:t>
      </w:r>
      <w:bookmarkEnd w:id="540"/>
      <w:bookmarkEnd w:id="541"/>
      <w:bookmarkEnd w:id="542"/>
      <w:bookmarkEnd w:id="543"/>
      <w:bookmarkEnd w:id="544"/>
      <w:bookmarkEnd w:id="545"/>
    </w:p>
    <w:p w14:paraId="4E6677E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2.19.1 合同使用汉语书就、变更和解释；</w:t>
      </w:r>
    </w:p>
    <w:p w14:paraId="319CEBA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2.19.2 合同适用中华人民共和国法律。</w:t>
      </w:r>
    </w:p>
    <w:p w14:paraId="64BB79DF">
      <w:pPr>
        <w:spacing w:line="560" w:lineRule="exact"/>
        <w:ind w:firstLine="482" w:firstLineChars="200"/>
        <w:outlineLvl w:val="0"/>
        <w:rPr>
          <w:rFonts w:ascii="宋体" w:hAnsi="宋体" w:cs="宋体"/>
          <w:b/>
          <w:color w:val="auto"/>
          <w:sz w:val="24"/>
          <w:highlight w:val="none"/>
        </w:rPr>
      </w:pPr>
      <w:bookmarkStart w:id="546" w:name="_Toc12004"/>
      <w:bookmarkStart w:id="547" w:name="_Toc279701264"/>
      <w:bookmarkStart w:id="548" w:name="_Toc16673"/>
      <w:bookmarkStart w:id="549" w:name="_Toc3148"/>
      <w:bookmarkStart w:id="550" w:name="_Toc259093693"/>
      <w:bookmarkStart w:id="551" w:name="_Toc487900374"/>
      <w:r>
        <w:rPr>
          <w:rFonts w:hint="eastAsia" w:ascii="宋体" w:hAnsi="宋体" w:cs="宋体"/>
          <w:b/>
          <w:color w:val="auto"/>
          <w:sz w:val="24"/>
          <w:highlight w:val="none"/>
        </w:rPr>
        <w:t>2.20 履约保证金</w:t>
      </w:r>
      <w:bookmarkEnd w:id="546"/>
      <w:bookmarkEnd w:id="547"/>
      <w:bookmarkEnd w:id="548"/>
      <w:bookmarkEnd w:id="549"/>
      <w:bookmarkEnd w:id="550"/>
    </w:p>
    <w:p w14:paraId="6BB36B53">
      <w:pPr>
        <w:pStyle w:val="616"/>
        <w:spacing w:before="0" w:beforeAutospacing="0" w:after="0" w:afterAutospacing="0" w:line="360" w:lineRule="auto"/>
        <w:ind w:firstLine="420"/>
        <w:rPr>
          <w:color w:val="auto"/>
          <w:highlight w:val="none"/>
        </w:rPr>
      </w:pPr>
      <w:r>
        <w:rPr>
          <w:rFonts w:hint="eastAsia"/>
          <w:color w:val="auto"/>
          <w:highlight w:val="none"/>
        </w:rPr>
        <w:t>2.20.1 招标文件要求乙方提交履约保证金的，乙方应按</w:t>
      </w:r>
      <w:r>
        <w:rPr>
          <w:rFonts w:hint="eastAsia"/>
          <w:b/>
          <w:i/>
          <w:color w:val="auto"/>
          <w:highlight w:val="none"/>
          <w:u w:val="single"/>
        </w:rPr>
        <w:t>合同专用条款</w:t>
      </w:r>
      <w:r>
        <w:rPr>
          <w:rFonts w:hint="eastAsia"/>
          <w:color w:val="auto"/>
          <w:highlight w:val="none"/>
        </w:rPr>
        <w:t>约定的方式，以支票、汇票、本票或者金融机构、担保机构出具的保函等非现金形式，提交不超过合同金额</w:t>
      </w:r>
      <w:r>
        <w:rPr>
          <w:color w:val="auto"/>
          <w:highlight w:val="none"/>
        </w:rPr>
        <w:t>1%</w:t>
      </w:r>
      <w:r>
        <w:rPr>
          <w:rFonts w:hint="eastAsia"/>
          <w:color w:val="auto"/>
          <w:highlight w:val="none"/>
        </w:rPr>
        <w:t>的履约保证金；鼓励和支持乙方以银行、保险公司出具的保函形式提供履约保证，乙方以银行、保险公司出具保函形式提交履约保证金的，甲方不得拒收。</w:t>
      </w:r>
    </w:p>
    <w:p w14:paraId="406C5E41">
      <w:pPr>
        <w:spacing w:line="560" w:lineRule="exact"/>
        <w:ind w:firstLine="480" w:firstLineChars="200"/>
        <w:rPr>
          <w:rFonts w:ascii="宋体" w:hAnsi="宋体" w:cs="宋体"/>
          <w:color w:val="auto"/>
          <w:sz w:val="24"/>
          <w:highlight w:val="none"/>
        </w:rPr>
      </w:pPr>
      <w:r>
        <w:rPr>
          <w:rFonts w:ascii="宋体" w:hAnsi="宋体" w:cs="宋体"/>
          <w:color w:val="auto"/>
          <w:sz w:val="24"/>
          <w:highlight w:val="none"/>
        </w:rPr>
        <w:t xml:space="preserve">2.20.2  </w:t>
      </w:r>
      <w:r>
        <w:rPr>
          <w:rFonts w:hint="eastAsia" w:ascii="宋体" w:hAnsi="宋体" w:cs="宋体"/>
          <w:color w:val="auto"/>
          <w:sz w:val="24"/>
          <w:highlight w:val="none"/>
        </w:rPr>
        <w:t>甲方在项目验收结束后及时退还履约保证金。甲方在项目通过验收之日起</w:t>
      </w:r>
      <w:r>
        <w:rPr>
          <w:rFonts w:hint="eastAsia" w:ascii="宋体" w:hAnsi="宋体" w:cs="宋体"/>
          <w:color w:val="auto"/>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个工作日内将履约保证金退还乙方，逾期退还的，乙方可要求甲方支付违约金，违约金按每迟延退还一日的应退还而未退还金额的</w:t>
      </w:r>
      <w:r>
        <w:rPr>
          <w:rFonts w:hint="eastAsia" w:ascii="宋体" w:hAnsi="宋体" w:cs="宋体"/>
          <w:color w:val="auto"/>
          <w:sz w:val="24"/>
          <w:highlight w:val="none"/>
          <w:u w:val="single"/>
        </w:rPr>
        <w:t xml:space="preserve">  0.05  </w:t>
      </w:r>
      <w:r>
        <w:rPr>
          <w:rFonts w:hint="eastAsia" w:ascii="宋体" w:hAnsi="宋体" w:cs="宋体"/>
          <w:color w:val="auto"/>
          <w:sz w:val="24"/>
          <w:highlight w:val="none"/>
        </w:rPr>
        <w:t>%计算，最高限额为本合同履约保证金的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 xml:space="preserve">%； </w:t>
      </w:r>
    </w:p>
    <w:p w14:paraId="6B65D64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12635C2">
      <w:pPr>
        <w:spacing w:line="560" w:lineRule="exact"/>
        <w:ind w:firstLine="480" w:firstLineChars="200"/>
        <w:rPr>
          <w:rFonts w:ascii="宋体" w:hAnsi="宋体" w:cs="宋体"/>
          <w:color w:val="auto"/>
          <w:highlight w:val="none"/>
        </w:rPr>
      </w:pPr>
      <w:r>
        <w:rPr>
          <w:rFonts w:hint="eastAsia" w:ascii="宋体" w:hAnsi="宋体" w:cs="宋体"/>
          <w:color w:val="auto"/>
          <w:sz w:val="24"/>
          <w:highlight w:val="none"/>
        </w:rPr>
        <w:t>2.20.4甲方在乙方履行完合同约定义务事项后及时退还，延迟退还的，应当按照合同约定和法律规定承担相应的赔偿责任。</w:t>
      </w:r>
    </w:p>
    <w:p w14:paraId="0A4A1A0F">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2.21对于因甲方原因导致变更、中止或者终止政府采购合同的，甲方应当依照合同约定对供应商受到的损失予以赔偿或者补偿。</w:t>
      </w:r>
    </w:p>
    <w:bookmarkEnd w:id="551"/>
    <w:p w14:paraId="3E63A46D">
      <w:pPr>
        <w:spacing w:line="560" w:lineRule="exact"/>
        <w:ind w:firstLine="482" w:firstLineChars="200"/>
        <w:outlineLvl w:val="0"/>
        <w:rPr>
          <w:rFonts w:ascii="宋体" w:hAnsi="宋体" w:cs="宋体"/>
          <w:b/>
          <w:color w:val="auto"/>
          <w:sz w:val="24"/>
          <w:highlight w:val="none"/>
        </w:rPr>
      </w:pPr>
      <w:bookmarkStart w:id="552" w:name="_Toc19890"/>
      <w:bookmarkStart w:id="553" w:name="_Toc14001"/>
      <w:bookmarkStart w:id="554" w:name="_Toc6885"/>
      <w:r>
        <w:rPr>
          <w:rFonts w:hint="eastAsia" w:ascii="宋体" w:hAnsi="宋体" w:cs="宋体"/>
          <w:b/>
          <w:color w:val="auto"/>
          <w:sz w:val="24"/>
          <w:highlight w:val="none"/>
        </w:rPr>
        <w:t>2.22合同份数</w:t>
      </w:r>
      <w:bookmarkEnd w:id="552"/>
      <w:bookmarkEnd w:id="553"/>
      <w:bookmarkEnd w:id="554"/>
    </w:p>
    <w:p w14:paraId="5D117C62">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合同份数按</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规定，每份均具有同等法律效力。</w:t>
      </w:r>
    </w:p>
    <w:p w14:paraId="440FA783">
      <w:pPr>
        <w:adjustRightInd/>
        <w:spacing w:line="360" w:lineRule="auto"/>
        <w:ind w:firstLine="2513" w:firstLineChars="1197"/>
        <w:outlineLvl w:val="0"/>
        <w:rPr>
          <w:rFonts w:ascii="宋体" w:hAnsi="宋体" w:cs="宋体"/>
          <w:b/>
          <w:color w:val="auto"/>
          <w:highlight w:val="none"/>
        </w:rPr>
      </w:pPr>
      <w:r>
        <w:rPr>
          <w:rFonts w:hint="eastAsia" w:ascii="宋体" w:hAnsi="宋体" w:cs="宋体"/>
          <w:color w:val="auto"/>
          <w:kern w:val="0"/>
          <w:highlight w:val="none"/>
        </w:rPr>
        <w:br w:type="page"/>
      </w:r>
      <w:bookmarkStart w:id="555" w:name="_Toc331685784"/>
      <w:r>
        <w:rPr>
          <w:rFonts w:hint="eastAsia" w:ascii="宋体" w:hAnsi="宋体" w:cs="宋体"/>
          <w:b/>
          <w:color w:val="auto"/>
          <w:sz w:val="32"/>
          <w:szCs w:val="20"/>
          <w:highlight w:val="none"/>
        </w:rPr>
        <w:t xml:space="preserve"> </w:t>
      </w:r>
      <w:bookmarkEnd w:id="555"/>
      <w:r>
        <w:rPr>
          <w:rFonts w:hint="eastAsia" w:ascii="宋体" w:hAnsi="宋体" w:cs="宋体"/>
          <w:b/>
          <w:color w:val="auto"/>
          <w:sz w:val="32"/>
          <w:szCs w:val="20"/>
          <w:highlight w:val="none"/>
        </w:rPr>
        <w:t>第三部分  合同专用条款</w:t>
      </w:r>
    </w:p>
    <w:p w14:paraId="6917BCE5">
      <w:pPr>
        <w:spacing w:line="560" w:lineRule="exact"/>
        <w:ind w:left="-420" w:leftChars="-200" w:right="-420" w:rightChars="-200" w:firstLine="480" w:firstLineChars="200"/>
        <w:rPr>
          <w:rFonts w:ascii="宋体" w:hAnsi="宋体" w:cs="宋体"/>
          <w:color w:val="auto"/>
          <w:sz w:val="24"/>
          <w:highlight w:val="none"/>
        </w:rPr>
      </w:pPr>
      <w:r>
        <w:rPr>
          <w:rFonts w:hint="eastAsia" w:ascii="宋体" w:hAnsi="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7B7A28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0" w:hRule="atLeast"/>
        </w:trPr>
        <w:tc>
          <w:tcPr>
            <w:tcW w:w="851" w:type="dxa"/>
            <w:tcBorders>
              <w:left w:val="single" w:color="auto" w:sz="4" w:space="0"/>
            </w:tcBorders>
            <w:vAlign w:val="center"/>
          </w:tcPr>
          <w:p w14:paraId="0B0215F7">
            <w:pPr>
              <w:spacing w:line="480" w:lineRule="auto"/>
              <w:jc w:val="center"/>
              <w:rPr>
                <w:rFonts w:ascii="宋体" w:hAnsi="宋体" w:cs="宋体"/>
                <w:b/>
                <w:color w:val="auto"/>
                <w:sz w:val="24"/>
                <w:highlight w:val="none"/>
              </w:rPr>
            </w:pPr>
            <w:r>
              <w:rPr>
                <w:rFonts w:hint="eastAsia" w:ascii="宋体" w:hAnsi="宋体" w:cs="宋体"/>
                <w:b/>
                <w:color w:val="auto"/>
                <w:sz w:val="24"/>
                <w:highlight w:val="none"/>
              </w:rPr>
              <w:t>条款号</w:t>
            </w:r>
          </w:p>
        </w:tc>
        <w:tc>
          <w:tcPr>
            <w:tcW w:w="8275" w:type="dxa"/>
            <w:vAlign w:val="center"/>
          </w:tcPr>
          <w:p w14:paraId="74CD73B3">
            <w:pPr>
              <w:spacing w:line="480" w:lineRule="auto"/>
              <w:jc w:val="center"/>
              <w:rPr>
                <w:rFonts w:ascii="宋体" w:hAnsi="宋体" w:cs="宋体"/>
                <w:b/>
                <w:color w:val="auto"/>
                <w:sz w:val="24"/>
                <w:highlight w:val="none"/>
              </w:rPr>
            </w:pPr>
            <w:r>
              <w:rPr>
                <w:rFonts w:hint="eastAsia" w:ascii="宋体" w:hAnsi="宋体" w:cs="宋体"/>
                <w:b/>
                <w:color w:val="auto"/>
                <w:sz w:val="24"/>
                <w:highlight w:val="none"/>
              </w:rPr>
              <w:t>约定内容</w:t>
            </w:r>
          </w:p>
        </w:tc>
      </w:tr>
      <w:tr w14:paraId="520D3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8C885CA">
            <w:pPr>
              <w:spacing w:line="360" w:lineRule="exact"/>
              <w:rPr>
                <w:rFonts w:ascii="宋体" w:hAnsi="宋体" w:cs="宋体"/>
                <w:color w:val="auto"/>
                <w:sz w:val="24"/>
                <w:highlight w:val="none"/>
              </w:rPr>
            </w:pPr>
            <w:r>
              <w:rPr>
                <w:rFonts w:hint="eastAsia" w:ascii="宋体" w:hAnsi="宋体" w:cs="宋体"/>
                <w:color w:val="auto"/>
                <w:sz w:val="24"/>
                <w:highlight w:val="none"/>
              </w:rPr>
              <w:t>1.4.4</w:t>
            </w:r>
          </w:p>
        </w:tc>
        <w:tc>
          <w:tcPr>
            <w:tcW w:w="8275" w:type="dxa"/>
            <w:vAlign w:val="center"/>
          </w:tcPr>
          <w:p w14:paraId="60011253">
            <w:pPr>
              <w:spacing w:line="360" w:lineRule="auto"/>
              <w:rPr>
                <w:rFonts w:ascii="宋体" w:hAnsi="宋体" w:cs="宋体"/>
                <w:color w:val="auto"/>
                <w:sz w:val="24"/>
                <w:highlight w:val="none"/>
              </w:rPr>
            </w:pPr>
            <w:r>
              <w:rPr>
                <w:rFonts w:hint="eastAsia" w:ascii="宋体" w:hAnsi="宋体"/>
                <w:color w:val="auto"/>
                <w:sz w:val="24"/>
                <w:highlight w:val="none"/>
              </w:rPr>
              <w:t>资金支付的方式、时间和条件：合同签订后</w:t>
            </w:r>
            <w:r>
              <w:rPr>
                <w:rFonts w:hint="eastAsia" w:ascii="宋体" w:hAnsi="宋体"/>
                <w:color w:val="auto"/>
                <w:sz w:val="24"/>
                <w:highlight w:val="none"/>
                <w:lang w:val="en-US" w:eastAsia="zh-CN"/>
              </w:rPr>
              <w:t>5</w:t>
            </w:r>
            <w:r>
              <w:rPr>
                <w:rFonts w:hint="eastAsia" w:ascii="宋体" w:hAnsi="宋体"/>
                <w:color w:val="auto"/>
                <w:sz w:val="24"/>
                <w:highlight w:val="none"/>
              </w:rPr>
              <w:t>个工作日内甲方向乙方支付预付款为合同总价的50%预付款，在供应商根据合同规定将货物交付、根据余财采〔2020〕14号《关于转发&lt;杭州市政府采购履约验收暂行办法&gt;的通知》精神，组织验收，验收合格收到发票后7个工作日内采购人支付剩余50%货款。</w:t>
            </w:r>
          </w:p>
        </w:tc>
      </w:tr>
      <w:tr w14:paraId="6C9B39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1F4FD55">
            <w:pPr>
              <w:spacing w:line="360" w:lineRule="exact"/>
              <w:rPr>
                <w:rFonts w:ascii="宋体" w:hAnsi="宋体" w:cs="宋体"/>
                <w:color w:val="auto"/>
                <w:sz w:val="24"/>
                <w:highlight w:val="none"/>
              </w:rPr>
            </w:pPr>
            <w:r>
              <w:rPr>
                <w:rFonts w:hint="eastAsia" w:ascii="宋体" w:hAnsi="宋体" w:cs="宋体"/>
                <w:color w:val="auto"/>
                <w:sz w:val="24"/>
                <w:highlight w:val="none"/>
              </w:rPr>
              <w:t xml:space="preserve">1.5.1 </w:t>
            </w:r>
          </w:p>
        </w:tc>
        <w:tc>
          <w:tcPr>
            <w:tcW w:w="8275" w:type="dxa"/>
            <w:vAlign w:val="center"/>
          </w:tcPr>
          <w:p w14:paraId="47048CED">
            <w:pPr>
              <w:spacing w:line="360" w:lineRule="auto"/>
              <w:rPr>
                <w:rFonts w:ascii="宋体" w:hAnsi="宋体" w:cs="宋体"/>
                <w:color w:val="auto"/>
                <w:sz w:val="24"/>
                <w:highlight w:val="none"/>
              </w:rPr>
            </w:pPr>
            <w:r>
              <w:rPr>
                <w:rFonts w:hint="eastAsia" w:ascii="宋体" w:hAnsi="宋体"/>
                <w:color w:val="auto"/>
                <w:sz w:val="24"/>
                <w:highlight w:val="none"/>
              </w:rPr>
              <w:t>交付期限：合同签订后50天内完成供货、安装调试及验收。</w:t>
            </w:r>
          </w:p>
        </w:tc>
      </w:tr>
      <w:tr w14:paraId="2B2D4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98AD274">
            <w:pPr>
              <w:spacing w:line="360" w:lineRule="exact"/>
              <w:rPr>
                <w:rFonts w:ascii="宋体" w:hAnsi="宋体" w:cs="宋体"/>
                <w:color w:val="auto"/>
                <w:sz w:val="24"/>
                <w:highlight w:val="none"/>
              </w:rPr>
            </w:pPr>
            <w:r>
              <w:rPr>
                <w:rFonts w:hint="eastAsia" w:ascii="宋体" w:hAnsi="宋体" w:cs="宋体"/>
                <w:color w:val="auto"/>
                <w:sz w:val="24"/>
                <w:highlight w:val="none"/>
              </w:rPr>
              <w:t>1.5.2</w:t>
            </w:r>
          </w:p>
        </w:tc>
        <w:tc>
          <w:tcPr>
            <w:tcW w:w="8275" w:type="dxa"/>
            <w:vAlign w:val="center"/>
          </w:tcPr>
          <w:p w14:paraId="44AAE7F6">
            <w:pPr>
              <w:spacing w:line="360" w:lineRule="auto"/>
              <w:rPr>
                <w:rFonts w:ascii="宋体" w:hAnsi="宋体" w:cs="宋体"/>
                <w:color w:val="auto"/>
                <w:sz w:val="24"/>
                <w:highlight w:val="none"/>
              </w:rPr>
            </w:pPr>
            <w:r>
              <w:rPr>
                <w:rFonts w:hint="eastAsia" w:ascii="宋体" w:hAnsi="宋体" w:cs="宋体"/>
                <w:color w:val="auto"/>
                <w:sz w:val="24"/>
                <w:highlight w:val="none"/>
              </w:rPr>
              <w:t>交货地点：</w:t>
            </w:r>
            <w:r>
              <w:rPr>
                <w:rFonts w:hint="eastAsia" w:ascii="宋体" w:hAnsi="宋体" w:cs="宋体"/>
                <w:color w:val="auto"/>
                <w:sz w:val="24"/>
                <w:highlight w:val="none"/>
                <w:u w:val="single"/>
              </w:rPr>
              <w:t>浙江省杭州市余杭区天元公学西站校区景腾北路和仓兴街交叉口</w:t>
            </w:r>
            <w:r>
              <w:rPr>
                <w:rFonts w:hint="eastAsia" w:ascii="宋体" w:hAnsi="宋体" w:cs="宋体"/>
                <w:color w:val="auto"/>
                <w:sz w:val="24"/>
                <w:highlight w:val="none"/>
              </w:rPr>
              <w:t>。</w:t>
            </w:r>
          </w:p>
        </w:tc>
      </w:tr>
      <w:tr w14:paraId="643A7E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B9FA709">
            <w:pPr>
              <w:spacing w:line="360" w:lineRule="exact"/>
              <w:rPr>
                <w:rFonts w:ascii="宋体" w:hAnsi="宋体" w:cs="宋体"/>
                <w:color w:val="auto"/>
                <w:sz w:val="24"/>
                <w:highlight w:val="none"/>
              </w:rPr>
            </w:pPr>
            <w:r>
              <w:rPr>
                <w:rFonts w:hint="eastAsia" w:ascii="宋体" w:hAnsi="宋体" w:cs="宋体"/>
                <w:color w:val="auto"/>
                <w:sz w:val="24"/>
                <w:highlight w:val="none"/>
              </w:rPr>
              <w:t xml:space="preserve">1.5.3 </w:t>
            </w:r>
          </w:p>
        </w:tc>
        <w:tc>
          <w:tcPr>
            <w:tcW w:w="8275" w:type="dxa"/>
            <w:vAlign w:val="center"/>
          </w:tcPr>
          <w:p w14:paraId="7C3649A7">
            <w:pPr>
              <w:spacing w:line="360" w:lineRule="auto"/>
              <w:rPr>
                <w:rFonts w:ascii="宋体" w:hAnsi="宋体" w:cs="宋体"/>
                <w:color w:val="auto"/>
                <w:sz w:val="24"/>
                <w:highlight w:val="none"/>
              </w:rPr>
            </w:pPr>
            <w:r>
              <w:rPr>
                <w:rFonts w:hint="eastAsia" w:ascii="宋体" w:hAnsi="宋体"/>
                <w:color w:val="auto"/>
                <w:sz w:val="24"/>
                <w:highlight w:val="none"/>
              </w:rPr>
              <w:t>现场交付</w:t>
            </w:r>
          </w:p>
        </w:tc>
      </w:tr>
      <w:tr w14:paraId="7092A5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97B505B">
            <w:pPr>
              <w:spacing w:line="360" w:lineRule="exact"/>
              <w:rPr>
                <w:rFonts w:ascii="宋体" w:hAnsi="宋体" w:cs="宋体"/>
                <w:color w:val="auto"/>
                <w:sz w:val="24"/>
                <w:highlight w:val="none"/>
              </w:rPr>
            </w:pPr>
            <w:r>
              <w:rPr>
                <w:rFonts w:hint="eastAsia" w:ascii="宋体" w:hAnsi="宋体" w:cs="宋体"/>
                <w:color w:val="auto"/>
                <w:sz w:val="24"/>
                <w:highlight w:val="none"/>
              </w:rPr>
              <w:t>1.6.7</w:t>
            </w:r>
          </w:p>
        </w:tc>
        <w:tc>
          <w:tcPr>
            <w:tcW w:w="8275" w:type="dxa"/>
            <w:vAlign w:val="center"/>
          </w:tcPr>
          <w:p w14:paraId="0361D318">
            <w:pPr>
              <w:spacing w:line="360" w:lineRule="auto"/>
              <w:rPr>
                <w:rFonts w:ascii="宋体" w:hAnsi="宋体" w:cs="宋体"/>
                <w:color w:val="auto"/>
                <w:sz w:val="24"/>
                <w:highlight w:val="none"/>
              </w:rPr>
            </w:pPr>
            <w:r>
              <w:rPr>
                <w:rFonts w:hint="eastAsia" w:ascii="宋体" w:hAnsi="宋体" w:cs="宋体"/>
                <w:color w:val="auto"/>
                <w:sz w:val="24"/>
                <w:highlight w:val="none"/>
              </w:rPr>
              <w:t>违约责任详见条款</w:t>
            </w:r>
            <w:r>
              <w:rPr>
                <w:rFonts w:hint="eastAsia" w:ascii="宋体" w:hAnsi="宋体" w:cs="宋体"/>
                <w:b/>
                <w:color w:val="auto"/>
                <w:sz w:val="24"/>
                <w:highlight w:val="none"/>
              </w:rPr>
              <w:t>1.6违约责任</w:t>
            </w:r>
          </w:p>
        </w:tc>
      </w:tr>
      <w:tr w14:paraId="1FA7F0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E7B6942">
            <w:pPr>
              <w:spacing w:line="360" w:lineRule="exact"/>
              <w:rPr>
                <w:rFonts w:ascii="宋体" w:hAnsi="宋体" w:cs="宋体"/>
                <w:color w:val="auto"/>
                <w:sz w:val="24"/>
                <w:highlight w:val="none"/>
              </w:rPr>
            </w:pPr>
            <w:r>
              <w:rPr>
                <w:rFonts w:hint="eastAsia" w:ascii="宋体" w:hAnsi="宋体" w:cs="宋体"/>
                <w:color w:val="auto"/>
                <w:sz w:val="24"/>
                <w:highlight w:val="none"/>
              </w:rPr>
              <w:t>1.7</w:t>
            </w:r>
          </w:p>
        </w:tc>
        <w:tc>
          <w:tcPr>
            <w:tcW w:w="8275" w:type="dxa"/>
            <w:vAlign w:val="center"/>
          </w:tcPr>
          <w:p w14:paraId="204EAA4A">
            <w:pPr>
              <w:spacing w:line="360" w:lineRule="auto"/>
              <w:rPr>
                <w:rFonts w:ascii="宋体" w:hAnsi="宋体" w:cs="宋体"/>
                <w:color w:val="auto"/>
                <w:sz w:val="24"/>
                <w:highlight w:val="none"/>
              </w:rPr>
            </w:pPr>
            <w:r>
              <w:rPr>
                <w:rFonts w:hint="eastAsia" w:ascii="宋体" w:hAnsi="宋体"/>
                <w:color w:val="auto"/>
                <w:sz w:val="24"/>
                <w:highlight w:val="none"/>
              </w:rPr>
              <w:t>合同争议的解决：本合同履行过程中发生的任何争议，双方当事人均可通过和解或者调解解决；</w:t>
            </w:r>
          </w:p>
        </w:tc>
      </w:tr>
      <w:tr w14:paraId="5D66A9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52BE1E2">
            <w:pPr>
              <w:spacing w:line="360" w:lineRule="exact"/>
              <w:rPr>
                <w:rFonts w:ascii="宋体" w:hAnsi="宋体" w:cs="宋体"/>
                <w:color w:val="auto"/>
                <w:sz w:val="24"/>
                <w:highlight w:val="none"/>
              </w:rPr>
            </w:pPr>
            <w:r>
              <w:rPr>
                <w:rFonts w:hint="eastAsia" w:ascii="宋体" w:hAnsi="宋体" w:cs="宋体"/>
                <w:color w:val="auto"/>
                <w:sz w:val="24"/>
                <w:highlight w:val="none"/>
              </w:rPr>
              <w:t>1.7.1</w:t>
            </w:r>
          </w:p>
        </w:tc>
        <w:tc>
          <w:tcPr>
            <w:tcW w:w="8275" w:type="dxa"/>
            <w:vAlign w:val="center"/>
          </w:tcPr>
          <w:p w14:paraId="3A8861C6">
            <w:pPr>
              <w:spacing w:line="360" w:lineRule="auto"/>
              <w:rPr>
                <w:rFonts w:ascii="宋体" w:hAnsi="宋体" w:cs="宋体"/>
                <w:color w:val="auto"/>
                <w:sz w:val="24"/>
                <w:highlight w:val="none"/>
              </w:rPr>
            </w:pPr>
            <w:r>
              <w:rPr>
                <w:rFonts w:hint="eastAsia" w:ascii="宋体" w:hAnsi="宋体" w:cs="宋体"/>
                <w:color w:val="auto"/>
                <w:sz w:val="24"/>
                <w:highlight w:val="none"/>
              </w:rPr>
              <w:t>不愿和解、调解或者和解、调解不成的，可以选择将争议提交余杭区仲裁委员会依申请仲裁时其现行有效的仲裁规则裁决：</w:t>
            </w:r>
          </w:p>
        </w:tc>
      </w:tr>
      <w:tr w14:paraId="0E5145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B2E28BA">
            <w:pPr>
              <w:spacing w:line="360" w:lineRule="exact"/>
              <w:rPr>
                <w:rFonts w:ascii="宋体" w:hAnsi="宋体" w:cs="宋体"/>
                <w:color w:val="auto"/>
                <w:sz w:val="24"/>
                <w:highlight w:val="none"/>
              </w:rPr>
            </w:pPr>
            <w:r>
              <w:rPr>
                <w:rFonts w:hint="eastAsia" w:ascii="宋体" w:hAnsi="宋体" w:cs="宋体"/>
                <w:color w:val="auto"/>
                <w:sz w:val="24"/>
                <w:highlight w:val="none"/>
              </w:rPr>
              <w:t>1.7.2</w:t>
            </w:r>
          </w:p>
        </w:tc>
        <w:tc>
          <w:tcPr>
            <w:tcW w:w="8275" w:type="dxa"/>
            <w:vAlign w:val="center"/>
          </w:tcPr>
          <w:p w14:paraId="551CF891">
            <w:pPr>
              <w:spacing w:line="360" w:lineRule="auto"/>
              <w:rPr>
                <w:rFonts w:ascii="宋体" w:hAnsi="宋体" w:cs="宋体"/>
                <w:color w:val="auto"/>
                <w:sz w:val="24"/>
                <w:highlight w:val="none"/>
              </w:rPr>
            </w:pPr>
            <w:r>
              <w:rPr>
                <w:rFonts w:hint="eastAsia" w:ascii="宋体" w:hAnsi="宋体" w:cs="宋体"/>
                <w:color w:val="auto"/>
                <w:sz w:val="24"/>
                <w:highlight w:val="none"/>
              </w:rPr>
              <w:t>杭州市或项目所在地</w:t>
            </w:r>
          </w:p>
        </w:tc>
      </w:tr>
      <w:tr w14:paraId="1048C9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940D5BC">
            <w:pPr>
              <w:spacing w:line="360" w:lineRule="exact"/>
              <w:rPr>
                <w:rFonts w:ascii="宋体" w:hAnsi="宋体" w:cs="宋体"/>
                <w:color w:val="auto"/>
                <w:sz w:val="24"/>
                <w:highlight w:val="none"/>
              </w:rPr>
            </w:pPr>
            <w:r>
              <w:rPr>
                <w:rFonts w:hint="eastAsia" w:ascii="宋体" w:hAnsi="宋体" w:cs="宋体"/>
                <w:color w:val="auto"/>
                <w:sz w:val="24"/>
                <w:highlight w:val="none"/>
              </w:rPr>
              <w:t>2.3.2</w:t>
            </w:r>
          </w:p>
        </w:tc>
        <w:tc>
          <w:tcPr>
            <w:tcW w:w="8275" w:type="dxa"/>
            <w:vAlign w:val="center"/>
          </w:tcPr>
          <w:p w14:paraId="7FA7744E">
            <w:pPr>
              <w:spacing w:line="360" w:lineRule="auto"/>
              <w:rPr>
                <w:rFonts w:ascii="宋体" w:hAnsi="宋体" w:cs="宋体"/>
                <w:color w:val="auto"/>
                <w:sz w:val="24"/>
                <w:highlight w:val="none"/>
              </w:rPr>
            </w:pPr>
            <w:r>
              <w:rPr>
                <w:rFonts w:hint="eastAsia" w:ascii="宋体" w:hAnsi="宋体"/>
                <w:color w:val="auto"/>
                <w:sz w:val="24"/>
                <w:highlight w:val="none"/>
              </w:rPr>
              <w:t>具有知识产权的货物的知识产权归属：归采购人所有</w:t>
            </w:r>
          </w:p>
        </w:tc>
      </w:tr>
      <w:tr w14:paraId="7E2722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071F6CB">
            <w:pPr>
              <w:spacing w:line="360" w:lineRule="exact"/>
              <w:rPr>
                <w:rFonts w:ascii="宋体" w:hAnsi="宋体" w:cs="宋体"/>
                <w:color w:val="auto"/>
                <w:sz w:val="24"/>
                <w:highlight w:val="none"/>
              </w:rPr>
            </w:pPr>
            <w:r>
              <w:rPr>
                <w:rFonts w:hint="eastAsia" w:ascii="宋体" w:hAnsi="宋体" w:cs="宋体"/>
                <w:color w:val="auto"/>
                <w:sz w:val="24"/>
                <w:highlight w:val="none"/>
              </w:rPr>
              <w:t>2.4.1</w:t>
            </w:r>
          </w:p>
        </w:tc>
        <w:tc>
          <w:tcPr>
            <w:tcW w:w="8275" w:type="dxa"/>
            <w:vAlign w:val="center"/>
          </w:tcPr>
          <w:p w14:paraId="68D34770">
            <w:pPr>
              <w:spacing w:line="360" w:lineRule="auto"/>
              <w:rPr>
                <w:rFonts w:ascii="宋体" w:hAnsi="宋体" w:cs="宋体"/>
                <w:color w:val="auto"/>
                <w:sz w:val="24"/>
                <w:highlight w:val="none"/>
              </w:rPr>
            </w:pPr>
            <w:r>
              <w:rPr>
                <w:rFonts w:hint="eastAsia" w:ascii="宋体" w:hAnsi="宋体"/>
                <w:color w:val="auto"/>
                <w:sz w:val="24"/>
                <w:highlight w:val="none"/>
              </w:rPr>
              <w:t>包装和装运： 符合国家、省、市、区和采购人等要求</w:t>
            </w:r>
          </w:p>
        </w:tc>
      </w:tr>
      <w:tr w14:paraId="6BA0C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22C9928">
            <w:pPr>
              <w:spacing w:line="360" w:lineRule="exact"/>
              <w:rPr>
                <w:rFonts w:ascii="宋体" w:hAnsi="宋体" w:cs="宋体"/>
                <w:color w:val="auto"/>
                <w:sz w:val="24"/>
                <w:highlight w:val="none"/>
              </w:rPr>
            </w:pPr>
            <w:r>
              <w:rPr>
                <w:rFonts w:hint="eastAsia" w:ascii="宋体" w:hAnsi="宋体" w:cs="宋体"/>
                <w:color w:val="auto"/>
                <w:sz w:val="24"/>
                <w:highlight w:val="none"/>
              </w:rPr>
              <w:t>2.4.3</w:t>
            </w:r>
          </w:p>
        </w:tc>
        <w:tc>
          <w:tcPr>
            <w:tcW w:w="8275" w:type="dxa"/>
            <w:vAlign w:val="center"/>
          </w:tcPr>
          <w:p w14:paraId="7F7C1BD8">
            <w:pPr>
              <w:spacing w:line="360" w:lineRule="auto"/>
              <w:jc w:val="left"/>
              <w:rPr>
                <w:rFonts w:ascii="宋体" w:hAnsi="宋体" w:cs="宋体"/>
                <w:color w:val="auto"/>
                <w:sz w:val="24"/>
                <w:highlight w:val="none"/>
              </w:rPr>
            </w:pPr>
            <w:r>
              <w:rPr>
                <w:rFonts w:hint="eastAsia" w:ascii="宋体" w:hAnsi="宋体" w:cs="宋体"/>
                <w:color w:val="auto"/>
                <w:sz w:val="24"/>
                <w:highlight w:val="none"/>
              </w:rPr>
              <w:t>装运货物的要求和通知：</w:t>
            </w:r>
            <w:r>
              <w:rPr>
                <w:rFonts w:hint="eastAsia" w:ascii="宋体" w:hAnsi="宋体"/>
                <w:color w:val="auto"/>
                <w:sz w:val="24"/>
                <w:highlight w:val="none"/>
              </w:rPr>
              <w:t>接到甲方发货通知后，</w:t>
            </w:r>
            <w:r>
              <w:rPr>
                <w:rFonts w:hint="eastAsia" w:ascii="宋体" w:hAnsi="宋体"/>
                <w:color w:val="auto"/>
                <w:sz w:val="24"/>
                <w:highlight w:val="none"/>
                <w:lang w:val="en-US" w:eastAsia="zh-CN"/>
              </w:rPr>
              <w:t>50</w:t>
            </w:r>
            <w:r>
              <w:rPr>
                <w:rFonts w:hint="eastAsia" w:ascii="宋体" w:hAnsi="宋体"/>
                <w:color w:val="auto"/>
                <w:sz w:val="24"/>
                <w:highlight w:val="none"/>
              </w:rPr>
              <w:t>天内将货物运输安装调试完毕交付甲方正常使用，地点由甲方指定。</w:t>
            </w:r>
          </w:p>
        </w:tc>
      </w:tr>
      <w:tr w14:paraId="74B271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top"/>
          </w:tcPr>
          <w:p w14:paraId="5A20D075">
            <w:pPr>
              <w:spacing w:line="360" w:lineRule="exact"/>
              <w:rPr>
                <w:rFonts w:ascii="宋体" w:hAnsi="宋体" w:cs="宋体"/>
                <w:color w:val="auto"/>
                <w:sz w:val="24"/>
                <w:highlight w:val="none"/>
              </w:rPr>
            </w:pPr>
            <w:r>
              <w:rPr>
                <w:rFonts w:hint="eastAsia" w:ascii="宋体" w:hAnsi="宋体" w:cs="宋体"/>
                <w:color w:val="auto"/>
                <w:sz w:val="24"/>
                <w:highlight w:val="none"/>
              </w:rPr>
              <w:t xml:space="preserve">2.8 </w:t>
            </w:r>
          </w:p>
        </w:tc>
        <w:tc>
          <w:tcPr>
            <w:tcW w:w="8275" w:type="dxa"/>
            <w:vAlign w:val="center"/>
          </w:tcPr>
          <w:p w14:paraId="1D0C81B6">
            <w:pPr>
              <w:spacing w:line="560" w:lineRule="exact"/>
              <w:outlineLvl w:val="0"/>
              <w:rPr>
                <w:rFonts w:ascii="宋体" w:hAnsi="宋体" w:cs="宋体"/>
                <w:color w:val="auto"/>
                <w:sz w:val="24"/>
                <w:highlight w:val="none"/>
              </w:rPr>
            </w:pPr>
            <w:r>
              <w:rPr>
                <w:rFonts w:hint="eastAsia" w:ascii="宋体" w:hAnsi="宋体" w:cs="宋体"/>
                <w:b/>
                <w:color w:val="auto"/>
                <w:sz w:val="24"/>
                <w:highlight w:val="none"/>
              </w:rPr>
              <w:t>货物的风险负担：</w:t>
            </w:r>
            <w:r>
              <w:rPr>
                <w:rFonts w:hint="eastAsia" w:ascii="宋体" w:hAnsi="宋体"/>
                <w:color w:val="auto"/>
                <w:sz w:val="24"/>
                <w:highlight w:val="none"/>
              </w:rPr>
              <w:t>货物或者在途货物或者交付给第一承运人后的货物毁损、灭失的风险由乙方承担一切责任并赔偿甲方损失。</w:t>
            </w:r>
          </w:p>
        </w:tc>
      </w:tr>
      <w:tr w14:paraId="5DCFE9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E5955EC">
            <w:pPr>
              <w:spacing w:line="360" w:lineRule="exact"/>
              <w:rPr>
                <w:rFonts w:ascii="宋体" w:hAnsi="宋体" w:cs="宋体"/>
                <w:color w:val="auto"/>
                <w:sz w:val="24"/>
                <w:highlight w:val="none"/>
              </w:rPr>
            </w:pPr>
            <w:r>
              <w:rPr>
                <w:rFonts w:hint="eastAsia" w:ascii="宋体" w:hAnsi="宋体" w:cs="宋体"/>
                <w:color w:val="auto"/>
                <w:sz w:val="24"/>
                <w:highlight w:val="none"/>
              </w:rPr>
              <w:t>2.12.3</w:t>
            </w:r>
          </w:p>
        </w:tc>
        <w:tc>
          <w:tcPr>
            <w:tcW w:w="8275" w:type="dxa"/>
            <w:vAlign w:val="center"/>
          </w:tcPr>
          <w:p w14:paraId="78F380D3">
            <w:pPr>
              <w:spacing w:line="360" w:lineRule="auto"/>
              <w:rPr>
                <w:rFonts w:ascii="宋体" w:hAnsi="宋体" w:cs="宋体"/>
                <w:color w:val="auto"/>
                <w:sz w:val="24"/>
                <w:highlight w:val="none"/>
              </w:rPr>
            </w:pPr>
            <w:r>
              <w:rPr>
                <w:rFonts w:hint="eastAsia" w:ascii="宋体" w:hAnsi="宋体" w:cs="宋体"/>
                <w:color w:val="auto"/>
                <w:sz w:val="24"/>
                <w:highlight w:val="none"/>
              </w:rPr>
              <w:t>因不可抗力致使合同有变更必要的，</w:t>
            </w:r>
            <w:r>
              <w:rPr>
                <w:rFonts w:hint="eastAsia" w:ascii="宋体" w:hAnsi="宋体"/>
                <w:color w:val="auto"/>
                <w:sz w:val="24"/>
                <w:highlight w:val="none"/>
              </w:rPr>
              <w:t>双方当事人应在3个工作日内以书面形式变更合同；</w:t>
            </w:r>
          </w:p>
        </w:tc>
      </w:tr>
      <w:tr w14:paraId="1206B2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B9F46DA">
            <w:pPr>
              <w:spacing w:line="360" w:lineRule="exact"/>
              <w:rPr>
                <w:rFonts w:ascii="宋体" w:hAnsi="宋体" w:cs="宋体"/>
                <w:color w:val="auto"/>
                <w:sz w:val="24"/>
                <w:highlight w:val="none"/>
              </w:rPr>
            </w:pPr>
            <w:r>
              <w:rPr>
                <w:rFonts w:hint="eastAsia" w:ascii="宋体" w:hAnsi="宋体" w:cs="宋体"/>
                <w:color w:val="auto"/>
                <w:sz w:val="24"/>
                <w:highlight w:val="none"/>
              </w:rPr>
              <w:t>2.12.4</w:t>
            </w:r>
          </w:p>
        </w:tc>
        <w:tc>
          <w:tcPr>
            <w:tcW w:w="8275" w:type="dxa"/>
            <w:vAlign w:val="top"/>
          </w:tcPr>
          <w:p w14:paraId="78CEFAF5">
            <w:pPr>
              <w:spacing w:line="360" w:lineRule="auto"/>
              <w:rPr>
                <w:rFonts w:ascii="宋体" w:hAnsi="宋体" w:cs="宋体"/>
                <w:color w:val="auto"/>
                <w:sz w:val="24"/>
                <w:highlight w:val="none"/>
              </w:rPr>
            </w:pPr>
            <w:r>
              <w:rPr>
                <w:rFonts w:hint="eastAsia" w:ascii="宋体" w:hAnsi="宋体"/>
                <w:color w:val="auto"/>
                <w:sz w:val="24"/>
                <w:highlight w:val="none"/>
              </w:rPr>
              <w:t>受不可抗力影响的一方在不可抗力发生后，应在1个工作日内以书面形式通知对方当事人，并在3个工作日内，将有关部门出具的证明文件送达对方当事人。</w:t>
            </w:r>
          </w:p>
        </w:tc>
      </w:tr>
      <w:tr w14:paraId="09CA37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B462498">
            <w:pPr>
              <w:spacing w:line="360" w:lineRule="exact"/>
              <w:rPr>
                <w:rFonts w:ascii="宋体" w:hAnsi="宋体" w:cs="宋体"/>
                <w:color w:val="auto"/>
                <w:sz w:val="24"/>
                <w:highlight w:val="none"/>
              </w:rPr>
            </w:pPr>
            <w:r>
              <w:rPr>
                <w:rFonts w:hint="eastAsia" w:ascii="宋体" w:hAnsi="宋体" w:cs="宋体"/>
                <w:color w:val="auto"/>
                <w:sz w:val="24"/>
                <w:highlight w:val="none"/>
              </w:rPr>
              <w:t>2.16.1</w:t>
            </w:r>
          </w:p>
        </w:tc>
        <w:tc>
          <w:tcPr>
            <w:tcW w:w="8275" w:type="dxa"/>
            <w:vAlign w:val="center"/>
          </w:tcPr>
          <w:p w14:paraId="38B23C11">
            <w:pPr>
              <w:spacing w:line="360" w:lineRule="auto"/>
              <w:rPr>
                <w:rFonts w:ascii="宋体" w:hAnsi="宋体" w:cs="宋体"/>
                <w:color w:val="auto"/>
                <w:sz w:val="24"/>
                <w:highlight w:val="none"/>
              </w:rPr>
            </w:pPr>
            <w:r>
              <w:rPr>
                <w:rFonts w:hint="eastAsia" w:ascii="宋体" w:hAnsi="宋体"/>
                <w:color w:val="auto"/>
                <w:sz w:val="24"/>
                <w:highlight w:val="none"/>
              </w:rPr>
              <w:t>货物交付前，乙方应对货物的质量、数量等方面进行详细、全面的检验，并向甲方出具证明货物符合合同约定的文件；货物交付后，乙方在10个工作日内组织验收，并可依法邀请相关方参加，验收应出具验收书。</w:t>
            </w:r>
          </w:p>
        </w:tc>
      </w:tr>
      <w:tr w14:paraId="0A6E17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14:paraId="013486D2">
            <w:pPr>
              <w:spacing w:line="360" w:lineRule="exact"/>
              <w:rPr>
                <w:rFonts w:ascii="宋体" w:hAnsi="宋体" w:cs="宋体"/>
                <w:color w:val="auto"/>
                <w:sz w:val="24"/>
                <w:highlight w:val="none"/>
              </w:rPr>
            </w:pPr>
            <w:r>
              <w:rPr>
                <w:rFonts w:hint="eastAsia" w:ascii="宋体" w:hAnsi="宋体" w:cs="宋体"/>
                <w:color w:val="auto"/>
                <w:sz w:val="24"/>
                <w:highlight w:val="none"/>
              </w:rPr>
              <w:t>2.16.3</w:t>
            </w:r>
          </w:p>
        </w:tc>
        <w:tc>
          <w:tcPr>
            <w:tcW w:w="8275" w:type="dxa"/>
            <w:vAlign w:val="center"/>
          </w:tcPr>
          <w:p w14:paraId="0A2D069F">
            <w:pPr>
              <w:spacing w:line="360" w:lineRule="auto"/>
              <w:rPr>
                <w:rFonts w:ascii="宋体" w:hAnsi="宋体" w:cs="宋体"/>
                <w:color w:val="auto"/>
                <w:sz w:val="24"/>
                <w:highlight w:val="none"/>
              </w:rPr>
            </w:pPr>
            <w:r>
              <w:rPr>
                <w:rFonts w:hint="eastAsia" w:ascii="宋体" w:hAnsi="宋体"/>
                <w:color w:val="auto"/>
                <w:sz w:val="24"/>
                <w:highlight w:val="none"/>
              </w:rPr>
              <w:t>检验和验收标准、程序等具体内容以及前述验收书的效力，采用本行业通用标准。</w:t>
            </w:r>
          </w:p>
        </w:tc>
      </w:tr>
      <w:tr w14:paraId="515A6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top"/>
          </w:tcPr>
          <w:p w14:paraId="7592750E">
            <w:pPr>
              <w:spacing w:line="360" w:lineRule="exact"/>
              <w:rPr>
                <w:rFonts w:ascii="宋体" w:hAnsi="宋体" w:cs="宋体"/>
                <w:color w:val="auto"/>
                <w:sz w:val="24"/>
                <w:highlight w:val="none"/>
              </w:rPr>
            </w:pPr>
            <w:r>
              <w:rPr>
                <w:rFonts w:hint="eastAsia" w:ascii="宋体" w:hAnsi="宋体" w:cs="宋体"/>
                <w:color w:val="auto"/>
                <w:sz w:val="24"/>
                <w:highlight w:val="none"/>
              </w:rPr>
              <w:t>2.20.1</w:t>
            </w:r>
          </w:p>
        </w:tc>
        <w:tc>
          <w:tcPr>
            <w:tcW w:w="8275" w:type="dxa"/>
            <w:vAlign w:val="top"/>
          </w:tcPr>
          <w:p w14:paraId="04C5D299">
            <w:pPr>
              <w:spacing w:line="360" w:lineRule="auto"/>
              <w:rPr>
                <w:rFonts w:ascii="宋体" w:hAnsi="宋体" w:cs="宋体"/>
                <w:color w:val="auto"/>
                <w:sz w:val="24"/>
                <w:highlight w:val="none"/>
              </w:rPr>
            </w:pPr>
            <w:r>
              <w:rPr>
                <w:rFonts w:hint="eastAsia" w:ascii="宋体" w:hAnsi="宋体"/>
                <w:color w:val="auto"/>
                <w:sz w:val="24"/>
                <w:highlight w:val="none"/>
              </w:rPr>
              <w:t>采购文件要求乙方提交履约保证金的，乙方应提交不超过合同价 1 %的履约保证金约定的方式，以支票、汇票、本票或者金融机构、担保机构出具的保函等非现金形式。</w:t>
            </w:r>
          </w:p>
        </w:tc>
      </w:tr>
      <w:tr w14:paraId="713893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35F68834">
            <w:pPr>
              <w:spacing w:line="360" w:lineRule="exact"/>
              <w:rPr>
                <w:rFonts w:ascii="宋体" w:hAnsi="宋体" w:cs="宋体"/>
                <w:color w:val="auto"/>
                <w:sz w:val="24"/>
                <w:highlight w:val="none"/>
              </w:rPr>
            </w:pPr>
            <w:r>
              <w:rPr>
                <w:rFonts w:hint="eastAsia" w:ascii="宋体" w:hAnsi="宋体" w:cs="宋体"/>
                <w:color w:val="auto"/>
                <w:sz w:val="24"/>
                <w:highlight w:val="none"/>
              </w:rPr>
              <w:t xml:space="preserve">2.20.2 </w:t>
            </w:r>
          </w:p>
        </w:tc>
        <w:tc>
          <w:tcPr>
            <w:tcW w:w="8275" w:type="dxa"/>
            <w:vAlign w:val="center"/>
          </w:tcPr>
          <w:p w14:paraId="3F5E4C8B">
            <w:pPr>
              <w:spacing w:line="360" w:lineRule="auto"/>
              <w:rPr>
                <w:rFonts w:ascii="宋体" w:hAnsi="宋体" w:cs="宋体"/>
                <w:color w:val="auto"/>
                <w:sz w:val="24"/>
                <w:highlight w:val="none"/>
              </w:rPr>
            </w:pPr>
            <w:r>
              <w:rPr>
                <w:rFonts w:hint="eastAsia" w:ascii="宋体" w:hAnsi="宋体"/>
                <w:color w:val="auto"/>
                <w:sz w:val="24"/>
                <w:highlight w:val="none"/>
              </w:rPr>
              <w:t>履约保证金在合同约定期间内不予退还。乙方在前述约定期间届满前能履行完合同约定义务事项的，甲方在前述约定期间届满之日起7个工作日内，将履约保证金无息退还乙方，逾期退还的，乙方可要求甲方支付违约金，违约金按每迟延退还一日的应退还而未退还金额的0.05  %计算，最高限额为本合同履约保证金的1%。项目验收结束后，甲方应及时退还。</w:t>
            </w:r>
          </w:p>
        </w:tc>
      </w:tr>
      <w:tr w14:paraId="23948C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2B240DF5">
            <w:pPr>
              <w:spacing w:line="360" w:lineRule="exact"/>
              <w:ind w:left="-420" w:leftChars="-200" w:right="-420" w:rightChars="-200" w:firstLine="480" w:firstLineChars="200"/>
              <w:outlineLvl w:val="0"/>
              <w:rPr>
                <w:rFonts w:ascii="宋体" w:hAnsi="宋体" w:cs="宋体"/>
                <w:color w:val="auto"/>
                <w:sz w:val="24"/>
                <w:highlight w:val="none"/>
              </w:rPr>
            </w:pPr>
            <w:r>
              <w:rPr>
                <w:rFonts w:hint="eastAsia" w:ascii="宋体" w:hAnsi="宋体" w:cs="宋体"/>
                <w:color w:val="auto"/>
                <w:sz w:val="24"/>
                <w:highlight w:val="none"/>
              </w:rPr>
              <w:t xml:space="preserve">2.22 </w:t>
            </w:r>
          </w:p>
        </w:tc>
        <w:tc>
          <w:tcPr>
            <w:tcW w:w="8275" w:type="dxa"/>
            <w:vAlign w:val="center"/>
          </w:tcPr>
          <w:p w14:paraId="63CB1E00">
            <w:pPr>
              <w:spacing w:line="360" w:lineRule="auto"/>
              <w:rPr>
                <w:rFonts w:ascii="宋体" w:hAnsi="宋体" w:cs="宋体"/>
                <w:color w:val="auto"/>
                <w:sz w:val="24"/>
                <w:highlight w:val="none"/>
              </w:rPr>
            </w:pPr>
            <w:r>
              <w:rPr>
                <w:rFonts w:hint="eastAsia" w:ascii="宋体" w:hAnsi="宋体"/>
                <w:color w:val="auto"/>
                <w:sz w:val="24"/>
                <w:highlight w:val="none"/>
              </w:rPr>
              <w:t>合同</w:t>
            </w:r>
            <w:r>
              <w:rPr>
                <w:rFonts w:hint="eastAsia" w:ascii="宋体" w:hAnsi="宋体"/>
                <w:color w:val="auto"/>
                <w:sz w:val="24"/>
                <w:highlight w:val="none"/>
                <w:u w:val="single"/>
              </w:rPr>
              <w:t xml:space="preserve"> 捌</w:t>
            </w:r>
            <w:r>
              <w:rPr>
                <w:rFonts w:hint="eastAsia" w:ascii="宋体" w:hAnsi="宋体"/>
                <w:color w:val="auto"/>
                <w:sz w:val="24"/>
                <w:highlight w:val="none"/>
              </w:rPr>
              <w:t xml:space="preserve">份数，每份均具有同等法律效力。 </w:t>
            </w:r>
          </w:p>
        </w:tc>
      </w:tr>
    </w:tbl>
    <w:p w14:paraId="741EAC88">
      <w:pPr>
        <w:spacing w:line="360" w:lineRule="auto"/>
        <w:ind w:left="-420" w:leftChars="-200" w:right="-420" w:rightChars="-200" w:firstLine="480" w:firstLineChars="200"/>
        <w:rPr>
          <w:rFonts w:ascii="宋体" w:hAnsi="宋体" w:cs="宋体"/>
          <w:sz w:val="24"/>
        </w:rPr>
      </w:pPr>
    </w:p>
    <w:p w14:paraId="5F21F327">
      <w:pPr>
        <w:spacing w:line="360" w:lineRule="auto"/>
        <w:ind w:left="-420" w:leftChars="-200" w:right="-420" w:rightChars="-200"/>
        <w:rPr>
          <w:rFonts w:ascii="宋体" w:hAnsi="宋体" w:cs="宋体"/>
          <w:sz w:val="24"/>
        </w:rPr>
      </w:pPr>
    </w:p>
    <w:p w14:paraId="78DD33EB">
      <w:pPr>
        <w:pStyle w:val="3"/>
      </w:pPr>
    </w:p>
    <w:p w14:paraId="03589E5D"/>
    <w:p w14:paraId="1F5843AD">
      <w:pPr>
        <w:spacing w:line="360" w:lineRule="auto"/>
        <w:ind w:left="720" w:firstLine="723" w:firstLineChars="200"/>
        <w:outlineLvl w:val="0"/>
        <w:rPr>
          <w:rFonts w:hint="eastAsia" w:ascii="宋体" w:hAnsi="宋体" w:cs="宋体"/>
          <w:b/>
          <w:sz w:val="36"/>
          <w:szCs w:val="20"/>
        </w:rPr>
      </w:pPr>
      <w:r>
        <w:rPr>
          <w:rFonts w:hint="eastAsia" w:ascii="宋体" w:hAnsi="宋体" w:cs="宋体"/>
          <w:b/>
          <w:sz w:val="36"/>
          <w:szCs w:val="20"/>
        </w:rPr>
        <w:br w:type="page"/>
      </w:r>
    </w:p>
    <w:p w14:paraId="14FBF5B2">
      <w:pPr>
        <w:spacing w:line="360" w:lineRule="auto"/>
        <w:ind w:left="720" w:firstLine="723" w:firstLineChars="200"/>
        <w:outlineLvl w:val="0"/>
        <w:rPr>
          <w:rFonts w:ascii="宋体" w:hAnsi="宋体" w:cs="宋体"/>
          <w:b/>
          <w:sz w:val="36"/>
          <w:szCs w:val="20"/>
        </w:rPr>
      </w:pPr>
      <w:r>
        <w:rPr>
          <w:rFonts w:hint="eastAsia" w:ascii="宋体" w:hAnsi="宋体" w:cs="宋体"/>
          <w:b/>
          <w:sz w:val="36"/>
          <w:szCs w:val="20"/>
        </w:rPr>
        <w:t>第六部分</w:t>
      </w:r>
      <w:bookmarkEnd w:id="397"/>
      <w:r>
        <w:rPr>
          <w:rFonts w:hint="eastAsia" w:ascii="宋体" w:hAnsi="宋体" w:cs="宋体"/>
          <w:b/>
          <w:sz w:val="36"/>
          <w:szCs w:val="20"/>
        </w:rPr>
        <w:t xml:space="preserve"> </w:t>
      </w:r>
      <w:bookmarkEnd w:id="398"/>
      <w:r>
        <w:rPr>
          <w:rFonts w:hint="eastAsia" w:ascii="宋体" w:hAnsi="宋体" w:cs="宋体"/>
          <w:b/>
          <w:sz w:val="36"/>
          <w:szCs w:val="20"/>
        </w:rPr>
        <w:t>应提交的有关格式范例</w:t>
      </w:r>
    </w:p>
    <w:p w14:paraId="43CFE03D">
      <w:pPr>
        <w:spacing w:line="360" w:lineRule="auto"/>
        <w:jc w:val="center"/>
        <w:outlineLvl w:val="0"/>
        <w:rPr>
          <w:rFonts w:ascii="宋体" w:hAnsi="宋体" w:cs="宋体"/>
          <w:b/>
          <w:kern w:val="0"/>
          <w:sz w:val="36"/>
          <w:szCs w:val="36"/>
        </w:rPr>
      </w:pPr>
    </w:p>
    <w:p w14:paraId="4DB06D01">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资格文件部分</w:t>
      </w:r>
    </w:p>
    <w:p w14:paraId="5EE4A7F4">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6F21B742">
      <w:pPr>
        <w:spacing w:line="360" w:lineRule="auto"/>
        <w:jc w:val="center"/>
        <w:outlineLvl w:val="0"/>
        <w:rPr>
          <w:rFonts w:ascii="宋体" w:hAnsi="宋体" w:cs="宋体"/>
          <w:b/>
          <w:kern w:val="0"/>
          <w:sz w:val="36"/>
          <w:szCs w:val="36"/>
        </w:rPr>
      </w:pPr>
    </w:p>
    <w:p w14:paraId="2F49EB68">
      <w:pPr>
        <w:snapToGrid w:val="0"/>
        <w:spacing w:line="360" w:lineRule="auto"/>
        <w:rPr>
          <w:rFonts w:ascii="宋体" w:hAnsi="宋体" w:cs="宋体"/>
          <w:sz w:val="24"/>
        </w:rPr>
      </w:pPr>
      <w:r>
        <w:rPr>
          <w:rFonts w:hint="eastAsia" w:ascii="宋体" w:hAnsi="宋体" w:cs="宋体"/>
          <w:sz w:val="24"/>
        </w:rPr>
        <w:t>（1）符合参加政府采购活动应当具备的一般条件的承诺函……………（页码）</w:t>
      </w:r>
    </w:p>
    <w:p w14:paraId="71158618">
      <w:pPr>
        <w:snapToGrid w:val="0"/>
        <w:spacing w:line="360" w:lineRule="auto"/>
        <w:rPr>
          <w:rFonts w:ascii="宋体" w:hAnsi="宋体" w:cs="宋体"/>
          <w:sz w:val="24"/>
        </w:rPr>
      </w:pPr>
      <w:r>
        <w:rPr>
          <w:rFonts w:hint="eastAsia" w:ascii="宋体" w:hAnsi="宋体" w:cs="宋体"/>
          <w:snapToGrid w:val="0"/>
          <w:kern w:val="28"/>
          <w:sz w:val="24"/>
          <w:szCs w:val="20"/>
        </w:rPr>
        <w:t>（2）联合协议</w:t>
      </w:r>
      <w:r>
        <w:rPr>
          <w:rFonts w:hint="eastAsia" w:ascii="宋体" w:hAnsi="宋体" w:cs="宋体"/>
          <w:sz w:val="24"/>
        </w:rPr>
        <w:t>………………………………………………………………（页码）</w:t>
      </w:r>
    </w:p>
    <w:p w14:paraId="4B615D11">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）落实政府采购政策需满足的资格要求………………………………（页码）</w:t>
      </w:r>
    </w:p>
    <w:p w14:paraId="158F83FD">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）本项目的特定资格要求………………………………………………（页码）</w:t>
      </w:r>
    </w:p>
    <w:p w14:paraId="0D4205C2">
      <w:pPr>
        <w:snapToGrid w:val="0"/>
        <w:spacing w:line="360" w:lineRule="auto"/>
        <w:ind w:firstLine="480" w:firstLineChars="200"/>
        <w:rPr>
          <w:rFonts w:ascii="宋体" w:hAnsi="宋体" w:cs="宋体"/>
          <w:sz w:val="24"/>
        </w:rPr>
      </w:pPr>
    </w:p>
    <w:p w14:paraId="4E23993B">
      <w:pPr>
        <w:spacing w:line="360" w:lineRule="auto"/>
        <w:ind w:firstLine="480" w:firstLineChars="200"/>
        <w:rPr>
          <w:rFonts w:ascii="宋体" w:hAnsi="宋体" w:cs="宋体"/>
          <w:sz w:val="24"/>
        </w:rPr>
      </w:pPr>
    </w:p>
    <w:p w14:paraId="772746BE">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kern w:val="0"/>
          <w:sz w:val="24"/>
        </w:rPr>
        <w:br w:type="page"/>
      </w:r>
      <w:r>
        <w:rPr>
          <w:rFonts w:hint="eastAsia" w:ascii="宋体" w:hAnsi="宋体" w:cs="宋体"/>
          <w:b/>
          <w:kern w:val="0"/>
          <w:sz w:val="32"/>
          <w:szCs w:val="32"/>
        </w:rPr>
        <w:t xml:space="preserve">  一、 符合参加</w:t>
      </w:r>
      <w:r>
        <w:rPr>
          <w:rFonts w:hint="eastAsia" w:ascii="宋体" w:hAnsi="宋体" w:cs="宋体"/>
          <w:b/>
          <w:color w:val="auto"/>
          <w:kern w:val="0"/>
          <w:sz w:val="32"/>
          <w:szCs w:val="32"/>
          <w:highlight w:val="none"/>
        </w:rPr>
        <w:t>政府采购活动应当具备的一般条件的承诺函</w:t>
      </w:r>
    </w:p>
    <w:p w14:paraId="7EFBC9CF">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杭州师范大学附属未来科技城学校（杭州二中教育集团未来科技城学校）</w:t>
      </w:r>
      <w:r>
        <w:rPr>
          <w:rFonts w:hint="eastAsia" w:ascii="宋体" w:hAnsi="宋体" w:cs="宋体"/>
          <w:color w:val="auto"/>
          <w:sz w:val="24"/>
          <w:highlight w:val="none"/>
        </w:rPr>
        <w:t>、</w:t>
      </w:r>
      <w:r>
        <w:rPr>
          <w:rFonts w:hint="eastAsia" w:ascii="宋体" w:hAnsi="宋体" w:cs="宋体"/>
          <w:color w:val="auto"/>
          <w:sz w:val="24"/>
          <w:highlight w:val="none"/>
          <w:lang w:eastAsia="zh-CN"/>
        </w:rPr>
        <w:t>杭州市公共资源交易中心余杭分中心</w:t>
      </w:r>
      <w:r>
        <w:rPr>
          <w:rFonts w:hint="eastAsia" w:ascii="宋体" w:hAnsi="宋体" w:cs="宋体"/>
          <w:color w:val="auto"/>
          <w:sz w:val="24"/>
          <w:highlight w:val="none"/>
        </w:rPr>
        <w:t>：</w:t>
      </w:r>
    </w:p>
    <w:p w14:paraId="06E6A5F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w:t>
      </w:r>
      <w:r>
        <w:rPr>
          <w:rFonts w:hint="eastAsia" w:ascii="宋体" w:hAnsi="宋体" w:cs="宋体"/>
          <w:color w:val="auto"/>
          <w:sz w:val="24"/>
          <w:highlight w:val="none"/>
          <w:lang w:eastAsia="zh-CN"/>
        </w:rPr>
        <w:t>杭州师范大学附属未来科技城学校（天元公学西站校区）办公家具（二）采购项目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HZYHZFCG-2025-010</w:t>
      </w:r>
      <w:r>
        <w:rPr>
          <w:rFonts w:hint="eastAsia" w:ascii="宋体" w:hAnsi="宋体" w:cs="宋体"/>
          <w:color w:val="auto"/>
          <w:sz w:val="24"/>
          <w:highlight w:val="none"/>
        </w:rPr>
        <w:t>】政府采购活动，郑重承诺：</w:t>
      </w:r>
    </w:p>
    <w:p w14:paraId="1DA49622">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6F85FE0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4365E67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335DF42C">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652C171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012016D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6426FF8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34D87E0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w:t>
      </w:r>
      <w:r>
        <w:rPr>
          <w:rFonts w:hint="eastAsia" w:ascii="宋体" w:hAnsi="宋体" w:cs="宋体"/>
          <w:color w:val="auto"/>
          <w:sz w:val="24"/>
          <w:highlight w:val="none"/>
          <w:lang w:eastAsia="zh-CN"/>
        </w:rPr>
        <w:t>）</w:t>
      </w:r>
      <w:r>
        <w:rPr>
          <w:rFonts w:hint="eastAsia" w:ascii="宋体" w:hAnsi="宋体" w:cs="宋体"/>
          <w:color w:val="auto"/>
          <w:sz w:val="24"/>
          <w:highlight w:val="none"/>
        </w:rPr>
        <w:t>、中国政府采购网（www.ccgp.gov.cn）列入失信被执行人、重大税收违法案件当事人名单、政府采购严重违法失信行为记录名单。</w:t>
      </w:r>
    </w:p>
    <w:p w14:paraId="208D10A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40627E1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6B1F66F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52B60EE7">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5DBDD098">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24DE5E51">
      <w:pPr>
        <w:snapToGrid w:val="0"/>
        <w:spacing w:line="360" w:lineRule="auto"/>
        <w:ind w:right="480"/>
        <w:jc w:val="center"/>
        <w:rPr>
          <w:rFonts w:ascii="宋体" w:hAnsi="宋体" w:cs="宋体"/>
          <w:b/>
          <w:color w:val="auto"/>
          <w:kern w:val="0"/>
          <w:sz w:val="32"/>
          <w:szCs w:val="32"/>
          <w:highlight w:val="none"/>
        </w:rPr>
      </w:pPr>
    </w:p>
    <w:p w14:paraId="3E12A771">
      <w:pPr>
        <w:snapToGrid w:val="0"/>
        <w:spacing w:line="360" w:lineRule="auto"/>
        <w:ind w:right="480" w:firstLine="559" w:firstLineChars="233"/>
        <w:jc w:val="left"/>
        <w:rPr>
          <w:rFonts w:ascii="宋体" w:hAnsi="宋体" w:cs="宋体"/>
          <w:b/>
          <w:color w:val="auto"/>
          <w:kern w:val="0"/>
          <w:sz w:val="32"/>
          <w:szCs w:val="32"/>
          <w:highlight w:val="none"/>
        </w:rPr>
      </w:pPr>
      <w:r>
        <w:rPr>
          <w:rFonts w:hint="eastAsia" w:ascii="宋体" w:hAnsi="宋体" w:eastAsia="宋体" w:cs="仿宋_GB2312"/>
          <w:color w:val="auto"/>
          <w:sz w:val="24"/>
          <w:highlight w:val="none"/>
        </w:rPr>
        <w:t>注：根据《</w:t>
      </w:r>
      <w:r>
        <w:rPr>
          <w:rFonts w:ascii="宋体" w:hAnsi="宋体" w:eastAsia="宋体" w:cs="仿宋_GB2312"/>
          <w:color w:val="auto"/>
          <w:sz w:val="24"/>
          <w:highlight w:val="none"/>
        </w:rPr>
        <w:t>关于规范政府采购供应商资格设定及资格审查的通知</w:t>
      </w:r>
      <w:r>
        <w:rPr>
          <w:rFonts w:hint="eastAsia" w:ascii="宋体" w:hAnsi="宋体" w:eastAsia="宋体" w:cs="仿宋_GB2312"/>
          <w:color w:val="auto"/>
          <w:sz w:val="24"/>
          <w:highlight w:val="none"/>
        </w:rPr>
        <w:t>》（</w:t>
      </w:r>
      <w:r>
        <w:rPr>
          <w:rFonts w:ascii="宋体" w:hAnsi="宋体" w:eastAsia="宋体" w:cs="仿宋_GB2312"/>
          <w:color w:val="auto"/>
          <w:sz w:val="24"/>
          <w:highlight w:val="none"/>
        </w:rPr>
        <w:t>浙财采监[2013]24号</w:t>
      </w:r>
      <w:r>
        <w:rPr>
          <w:rFonts w:hint="eastAsia" w:ascii="宋体" w:hAnsi="宋体" w:eastAsia="宋体" w:cs="仿宋_GB2312"/>
          <w:color w:val="auto"/>
          <w:sz w:val="24"/>
          <w:highlight w:val="none"/>
        </w:rPr>
        <w:t>）的相关规定，金融、保险、通讯等特定行业的全国性企业所设立的区域性分支机构，以及个体工商户、个人独资企业、合伙企业，参与政府采购活动，如果已经依法办理了工商、税务和社保登记手续，</w:t>
      </w:r>
      <w:r>
        <w:rPr>
          <w:rFonts w:hint="eastAsia" w:ascii="宋体" w:hAnsi="宋体" w:eastAsia="宋体" w:cs="仿宋_GB2312"/>
          <w:b/>
          <w:color w:val="auto"/>
          <w:sz w:val="24"/>
          <w:highlight w:val="none"/>
          <w:u w:val="single"/>
        </w:rPr>
        <w:t>除提供上述《符合参加政府采购活动应当具备的一般条件的承诺函》外，还需提供下列材料：总公司（总机构）的授权书或提供房产权证或其他有效财产证明材料，证明其具备实际承担责任的能力和法定的缔结合同能力，可以独立参加政府采购活动，由单位负责人签署相关文件材料。</w:t>
      </w:r>
    </w:p>
    <w:p w14:paraId="278EDA71">
      <w:pPr>
        <w:widowControl/>
        <w:spacing w:line="360" w:lineRule="auto"/>
        <w:ind w:firstLine="643" w:firstLineChars="200"/>
        <w:jc w:val="center"/>
        <w:rPr>
          <w:rFonts w:ascii="宋体" w:hAnsi="宋体" w:cs="宋体"/>
          <w:b/>
          <w:color w:val="auto"/>
          <w:kern w:val="0"/>
          <w:sz w:val="32"/>
          <w:szCs w:val="32"/>
          <w:highlight w:val="none"/>
        </w:rPr>
      </w:pPr>
    </w:p>
    <w:p w14:paraId="7F924D6B">
      <w:pPr>
        <w:widowControl/>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14:paraId="014D337B">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14:paraId="318F4873">
      <w:pPr>
        <w:snapToGrid w:val="0"/>
        <w:spacing w:line="360" w:lineRule="auto"/>
        <w:ind w:right="480"/>
        <w:jc w:val="center"/>
        <w:rPr>
          <w:rFonts w:ascii="宋体" w:hAnsi="宋体" w:cs="宋体"/>
          <w:b/>
          <w:color w:val="auto"/>
          <w:kern w:val="0"/>
          <w:sz w:val="32"/>
          <w:szCs w:val="32"/>
          <w:highlight w:val="none"/>
        </w:rPr>
      </w:pPr>
    </w:p>
    <w:p w14:paraId="79D39CE8">
      <w:pPr>
        <w:snapToGrid w:val="0"/>
        <w:spacing w:line="360" w:lineRule="auto"/>
        <w:ind w:right="480"/>
        <w:jc w:val="center"/>
        <w:rPr>
          <w:rFonts w:ascii="宋体" w:hAnsi="宋体" w:cs="宋体"/>
          <w:b/>
          <w:color w:val="auto"/>
          <w:kern w:val="0"/>
          <w:sz w:val="32"/>
          <w:szCs w:val="32"/>
          <w:highlight w:val="none"/>
        </w:rPr>
      </w:pPr>
    </w:p>
    <w:p w14:paraId="7BE1FBCB">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14:paraId="5AF842F0">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5673150A">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.专门面向中小企业，货物全部由符合政策要求的中小企业（或小微企业）制造的，提供相应的中小企业声明函（附件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14:paraId="1EA09406">
      <w:pPr>
        <w:widowControl/>
        <w:spacing w:line="360" w:lineRule="auto"/>
        <w:ind w:firstLine="480"/>
        <w:jc w:val="left"/>
        <w:rPr>
          <w:rFonts w:ascii="宋体" w:hAnsi="宋体" w:cs="宋体"/>
          <w:color w:val="auto"/>
          <w:sz w:val="24"/>
          <w:highlight w:val="none"/>
        </w:rPr>
      </w:pPr>
    </w:p>
    <w:p w14:paraId="42C09DEB">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14:paraId="384998C2">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14:paraId="3632D32C">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013DA3AF">
      <w:pPr>
        <w:widowControl/>
        <w:spacing w:line="360" w:lineRule="auto"/>
        <w:ind w:left="150"/>
        <w:jc w:val="center"/>
        <w:rPr>
          <w:rFonts w:ascii="宋体" w:hAnsi="宋体" w:cs="宋体"/>
          <w:b/>
          <w:color w:val="auto"/>
          <w:kern w:val="0"/>
          <w:sz w:val="32"/>
          <w:szCs w:val="32"/>
          <w:highlight w:val="none"/>
        </w:rPr>
      </w:pPr>
    </w:p>
    <w:p w14:paraId="53ABD50A">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四、本项目的特定资格要求（如果有）</w:t>
      </w:r>
    </w:p>
    <w:p w14:paraId="689C4A2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3A125D57">
      <w:pPr>
        <w:rPr>
          <w:rFonts w:ascii="宋体" w:hAnsi="宋体" w:cs="宋体"/>
          <w:color w:val="auto"/>
          <w:highlight w:val="none"/>
        </w:rPr>
      </w:pPr>
    </w:p>
    <w:p w14:paraId="7EE32DD8">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2F2B9E94">
      <w:pPr>
        <w:spacing w:line="360" w:lineRule="auto"/>
        <w:ind w:right="420" w:firstLine="3614" w:firstLineChars="100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4EEF1419">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765BB59E">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14:paraId="193AD40F">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14:paraId="49DC7983">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14:paraId="4DF43DDE">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14:paraId="3C068071">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076830C6">
      <w:pPr>
        <w:snapToGrid w:val="0"/>
        <w:spacing w:line="360" w:lineRule="auto"/>
        <w:jc w:val="center"/>
        <w:rPr>
          <w:rFonts w:ascii="宋体" w:hAnsi="宋体" w:cs="宋体"/>
          <w:b/>
          <w:color w:val="auto"/>
          <w:kern w:val="0"/>
          <w:sz w:val="32"/>
          <w:szCs w:val="32"/>
          <w:highlight w:val="none"/>
          <w:lang w:val="zh-CN"/>
        </w:rPr>
      </w:pPr>
    </w:p>
    <w:p w14:paraId="2855A130">
      <w:pPr>
        <w:snapToGrid w:val="0"/>
        <w:spacing w:line="360" w:lineRule="auto"/>
        <w:jc w:val="center"/>
        <w:rPr>
          <w:rFonts w:ascii="宋体" w:hAnsi="宋体" w:cs="宋体"/>
          <w:b/>
          <w:color w:val="auto"/>
          <w:kern w:val="0"/>
          <w:sz w:val="32"/>
          <w:szCs w:val="32"/>
          <w:highlight w:val="none"/>
          <w:lang w:val="zh-CN"/>
        </w:rPr>
      </w:pPr>
    </w:p>
    <w:p w14:paraId="191AA845">
      <w:pPr>
        <w:snapToGrid w:val="0"/>
        <w:spacing w:line="360" w:lineRule="auto"/>
        <w:jc w:val="center"/>
        <w:rPr>
          <w:rFonts w:ascii="宋体" w:hAnsi="宋体" w:cs="宋体"/>
          <w:b/>
          <w:color w:val="auto"/>
          <w:kern w:val="0"/>
          <w:sz w:val="32"/>
          <w:szCs w:val="32"/>
          <w:highlight w:val="none"/>
          <w:lang w:val="zh-CN"/>
        </w:rPr>
      </w:pPr>
    </w:p>
    <w:p w14:paraId="2F6718A7">
      <w:pPr>
        <w:snapToGrid w:val="0"/>
        <w:spacing w:line="360" w:lineRule="auto"/>
        <w:jc w:val="center"/>
        <w:rPr>
          <w:rFonts w:ascii="宋体" w:hAnsi="宋体" w:cs="宋体"/>
          <w:b/>
          <w:color w:val="auto"/>
          <w:kern w:val="0"/>
          <w:sz w:val="32"/>
          <w:szCs w:val="32"/>
          <w:highlight w:val="none"/>
          <w:lang w:val="zh-CN"/>
        </w:rPr>
      </w:pPr>
    </w:p>
    <w:p w14:paraId="2DACB084">
      <w:pPr>
        <w:snapToGrid w:val="0"/>
        <w:spacing w:line="360" w:lineRule="auto"/>
        <w:jc w:val="center"/>
        <w:rPr>
          <w:rFonts w:ascii="宋体" w:hAnsi="宋体" w:cs="宋体"/>
          <w:b/>
          <w:color w:val="auto"/>
          <w:kern w:val="0"/>
          <w:sz w:val="32"/>
          <w:szCs w:val="32"/>
          <w:highlight w:val="none"/>
          <w:lang w:val="zh-CN"/>
        </w:rPr>
      </w:pPr>
    </w:p>
    <w:p w14:paraId="5E267B44">
      <w:pPr>
        <w:snapToGrid w:val="0"/>
        <w:spacing w:line="360" w:lineRule="auto"/>
        <w:jc w:val="center"/>
        <w:outlineLvl w:val="0"/>
        <w:rPr>
          <w:rFonts w:ascii="宋体" w:hAnsi="宋体" w:cs="宋体"/>
          <w:b/>
          <w:color w:val="auto"/>
          <w:kern w:val="0"/>
          <w:sz w:val="32"/>
          <w:szCs w:val="32"/>
          <w:highlight w:val="none"/>
        </w:rPr>
      </w:pPr>
    </w:p>
    <w:p w14:paraId="712C96CD">
      <w:pPr>
        <w:snapToGrid w:val="0"/>
        <w:spacing w:line="360" w:lineRule="auto"/>
        <w:jc w:val="center"/>
        <w:outlineLvl w:val="0"/>
        <w:rPr>
          <w:rFonts w:ascii="宋体" w:hAnsi="宋体" w:cs="宋体"/>
          <w:b/>
          <w:color w:val="auto"/>
          <w:kern w:val="0"/>
          <w:sz w:val="32"/>
          <w:szCs w:val="32"/>
          <w:highlight w:val="none"/>
        </w:rPr>
      </w:pPr>
    </w:p>
    <w:p w14:paraId="207C4448">
      <w:pPr>
        <w:rPr>
          <w:rFonts w:ascii="宋体" w:hAnsi="宋体" w:cs="宋体"/>
          <w:color w:val="auto"/>
          <w:highlight w:val="none"/>
        </w:rPr>
      </w:pPr>
    </w:p>
    <w:p w14:paraId="10C882D7">
      <w:pPr>
        <w:snapToGrid w:val="0"/>
        <w:spacing w:line="360" w:lineRule="auto"/>
        <w:jc w:val="center"/>
        <w:outlineLvl w:val="0"/>
        <w:rPr>
          <w:rFonts w:ascii="宋体" w:hAnsi="宋体" w:cs="宋体"/>
          <w:b/>
          <w:color w:val="auto"/>
          <w:kern w:val="0"/>
          <w:sz w:val="32"/>
          <w:szCs w:val="32"/>
          <w:highlight w:val="none"/>
        </w:rPr>
      </w:pPr>
    </w:p>
    <w:p w14:paraId="1222160F">
      <w:pPr>
        <w:snapToGrid w:val="0"/>
        <w:spacing w:line="360" w:lineRule="auto"/>
        <w:jc w:val="center"/>
        <w:outlineLvl w:val="0"/>
        <w:rPr>
          <w:rFonts w:ascii="宋体" w:hAnsi="宋体" w:cs="宋体"/>
          <w:b/>
          <w:color w:val="auto"/>
          <w:kern w:val="0"/>
          <w:sz w:val="32"/>
          <w:szCs w:val="32"/>
          <w:highlight w:val="none"/>
        </w:rPr>
      </w:pPr>
    </w:p>
    <w:p w14:paraId="63AA740A">
      <w:pPr>
        <w:pStyle w:val="3"/>
        <w:rPr>
          <w:color w:val="auto"/>
          <w:highlight w:val="none"/>
          <w:lang w:val="en-US"/>
        </w:rPr>
      </w:pPr>
    </w:p>
    <w:p w14:paraId="4CD5374D">
      <w:pPr>
        <w:rPr>
          <w:color w:val="auto"/>
          <w:highlight w:val="none"/>
        </w:rPr>
      </w:pPr>
    </w:p>
    <w:p w14:paraId="078C2ED5">
      <w:pPr>
        <w:snapToGrid w:val="0"/>
        <w:spacing w:line="360" w:lineRule="auto"/>
        <w:ind w:firstLine="3855" w:firstLineChars="1200"/>
        <w:outlineLvl w:val="0"/>
        <w:rPr>
          <w:rFonts w:ascii="宋体" w:hAnsi="宋体" w:cs="宋体"/>
          <w:b/>
          <w:color w:val="auto"/>
          <w:kern w:val="0"/>
          <w:sz w:val="32"/>
          <w:szCs w:val="32"/>
          <w:highlight w:val="none"/>
        </w:rPr>
      </w:pPr>
    </w:p>
    <w:p w14:paraId="64F69A70">
      <w:pPr>
        <w:snapToGrid w:val="0"/>
        <w:spacing w:line="360" w:lineRule="auto"/>
        <w:ind w:firstLine="3855" w:firstLineChars="1200"/>
        <w:outlineLvl w:val="0"/>
        <w:rPr>
          <w:rFonts w:ascii="宋体" w:hAnsi="宋体" w:cs="宋体"/>
          <w:b/>
          <w:color w:val="auto"/>
          <w:kern w:val="0"/>
          <w:sz w:val="32"/>
          <w:szCs w:val="32"/>
          <w:highlight w:val="none"/>
        </w:rPr>
      </w:pPr>
    </w:p>
    <w:p w14:paraId="7BF0C1B2">
      <w:pPr>
        <w:snapToGrid w:val="0"/>
        <w:spacing w:line="360" w:lineRule="auto"/>
        <w:ind w:firstLine="3855" w:firstLineChars="1200"/>
        <w:outlineLvl w:val="0"/>
        <w:rPr>
          <w:rFonts w:ascii="宋体" w:hAnsi="宋体" w:cs="宋体"/>
          <w:b/>
          <w:color w:val="auto"/>
          <w:kern w:val="0"/>
          <w:sz w:val="32"/>
          <w:szCs w:val="32"/>
          <w:highlight w:val="none"/>
        </w:rPr>
      </w:pPr>
    </w:p>
    <w:p w14:paraId="71A3DB10">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5A360D81">
      <w:pPr>
        <w:snapToGrid w:val="0"/>
        <w:spacing w:line="360" w:lineRule="auto"/>
        <w:ind w:firstLine="3855" w:firstLineChars="1200"/>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3151EDB3">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杭州师范大学附属未来科技城学校（杭州二中教育集团未来科技城学校）</w:t>
      </w:r>
      <w:r>
        <w:rPr>
          <w:rFonts w:hint="eastAsia" w:ascii="宋体" w:hAnsi="宋体" w:cs="宋体"/>
          <w:color w:val="auto"/>
          <w:sz w:val="24"/>
          <w:highlight w:val="none"/>
        </w:rPr>
        <w:t>、</w:t>
      </w:r>
      <w:r>
        <w:rPr>
          <w:rFonts w:hint="eastAsia" w:ascii="宋体" w:hAnsi="宋体" w:cs="宋体"/>
          <w:color w:val="auto"/>
          <w:sz w:val="24"/>
          <w:highlight w:val="none"/>
          <w:lang w:eastAsia="zh-CN"/>
        </w:rPr>
        <w:t>杭州市公共资源交易中心余杭分中心</w:t>
      </w:r>
      <w:r>
        <w:rPr>
          <w:rFonts w:hint="eastAsia" w:ascii="宋体" w:hAnsi="宋体" w:cs="宋体"/>
          <w:color w:val="auto"/>
          <w:sz w:val="24"/>
          <w:highlight w:val="none"/>
        </w:rPr>
        <w:t>：</w:t>
      </w:r>
    </w:p>
    <w:p w14:paraId="5E42846D">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w:t>
      </w:r>
      <w:r>
        <w:rPr>
          <w:rFonts w:hint="eastAsia" w:ascii="宋体" w:hAnsi="宋体" w:cs="宋体"/>
          <w:color w:val="auto"/>
          <w:sz w:val="24"/>
          <w:highlight w:val="none"/>
          <w:lang w:eastAsia="zh-CN"/>
        </w:rPr>
        <w:t>杭州师范大学附属未来科技城学校（天元公学西站校区）办公家具（二）采购项目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HZYHZFCG-2025-010</w:t>
      </w:r>
      <w:r>
        <w:rPr>
          <w:rFonts w:hint="eastAsia" w:ascii="宋体" w:hAnsi="宋体" w:cs="宋体"/>
          <w:color w:val="auto"/>
          <w:sz w:val="24"/>
          <w:highlight w:val="none"/>
        </w:rPr>
        <w:t>】招标的有关活动，并对此项目进行投标。为此：</w:t>
      </w:r>
    </w:p>
    <w:p w14:paraId="26A959B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11DEB5A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14:paraId="6C8C7E48">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76BE7C89">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14:paraId="6A889A4A">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w:t>
      </w:r>
    </w:p>
    <w:p w14:paraId="5F88A618">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6B5D39B8">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40846620">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5DC9729C">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53A58B09">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66B40282">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6BA4D01D">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30C0AF43">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4BD438BD">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14:paraId="00BCA355">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28F56365">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2A43B45D">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13AAE941">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2.3.1开标一览表（报价表）；</w:t>
      </w:r>
    </w:p>
    <w:p w14:paraId="42BDBBA5">
      <w:pPr>
        <w:snapToGrid w:val="0"/>
        <w:spacing w:line="360" w:lineRule="auto"/>
        <w:ind w:left="420" w:leftChars="200"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2.3.2 报价情况说明（如果有）；</w:t>
      </w:r>
    </w:p>
    <w:p w14:paraId="6399A158">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中小企业声明函（如果有）。</w:t>
      </w:r>
    </w:p>
    <w:p w14:paraId="1A35C20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3、我方承诺除商务技术偏离表列出的偏离外，我方响应招标文件的全部要求。</w:t>
      </w:r>
      <w:r>
        <w:rPr>
          <w:rFonts w:hint="eastAsia" w:ascii="宋体" w:hAnsi="宋体" w:eastAsia="宋体" w:cs="宋体"/>
          <w:color w:val="auto"/>
          <w:sz w:val="24"/>
          <w:highlight w:val="none"/>
        </w:rPr>
        <w:t>对投标文件中材料的真实性、合法性负责。</w:t>
      </w:r>
    </w:p>
    <w:p w14:paraId="31D254D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14:paraId="1D761EEF">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297B7228">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2502365D">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7243C2F2">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06F2B89A">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5、其他补充说明</w:t>
      </w:r>
      <w:r>
        <w:rPr>
          <w:rFonts w:hint="eastAsia" w:ascii="宋体" w:hAnsi="宋体" w:cs="宋体"/>
          <w:color w:val="auto"/>
          <w:sz w:val="24"/>
          <w:highlight w:val="none"/>
          <w:lang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243E8F58">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26E6FD4C">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0AA00094">
      <w:pPr>
        <w:snapToGrid w:val="0"/>
        <w:spacing w:line="360" w:lineRule="auto"/>
        <w:ind w:left="420" w:leftChars="200" w:firstLine="4200" w:firstLineChars="1750"/>
        <w:rPr>
          <w:rFonts w:ascii="宋体" w:hAnsi="宋体" w:cs="宋体"/>
          <w:color w:val="auto"/>
          <w:kern w:val="0"/>
          <w:sz w:val="24"/>
          <w:highlight w:val="none"/>
          <w:u w:val="single"/>
        </w:rPr>
      </w:pPr>
    </w:p>
    <w:p w14:paraId="7DCC7318">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35382A30">
      <w:pPr>
        <w:snapToGrid w:val="0"/>
        <w:spacing w:line="360" w:lineRule="auto"/>
        <w:jc w:val="center"/>
        <w:rPr>
          <w:rFonts w:ascii="宋体" w:hAnsi="宋体" w:cs="宋体"/>
          <w:b/>
          <w:kern w:val="0"/>
          <w:sz w:val="32"/>
          <w:szCs w:val="32"/>
        </w:rPr>
      </w:pPr>
    </w:p>
    <w:p w14:paraId="00B456C2">
      <w:pPr>
        <w:snapToGrid w:val="0"/>
        <w:spacing w:line="360" w:lineRule="auto"/>
        <w:rPr>
          <w:rFonts w:ascii="宋体" w:hAnsi="宋体" w:cs="宋体"/>
          <w:sz w:val="24"/>
        </w:rPr>
      </w:pPr>
    </w:p>
    <w:p w14:paraId="34243310">
      <w:pPr>
        <w:jc w:val="center"/>
        <w:rPr>
          <w:rFonts w:ascii="宋体" w:hAnsi="宋体" w:cs="宋体"/>
          <w:b/>
          <w:kern w:val="0"/>
          <w:sz w:val="32"/>
          <w:szCs w:val="32"/>
        </w:rPr>
      </w:pPr>
    </w:p>
    <w:p w14:paraId="5A526689">
      <w:pPr>
        <w:jc w:val="center"/>
        <w:rPr>
          <w:rFonts w:ascii="宋体" w:hAnsi="宋体" w:cs="宋体"/>
          <w:b/>
          <w:kern w:val="0"/>
          <w:sz w:val="32"/>
          <w:szCs w:val="32"/>
        </w:rPr>
      </w:pPr>
    </w:p>
    <w:p w14:paraId="3FEEB81D">
      <w:pPr>
        <w:jc w:val="center"/>
        <w:rPr>
          <w:rFonts w:ascii="宋体" w:hAnsi="宋体" w:cs="宋体"/>
          <w:b/>
          <w:kern w:val="0"/>
          <w:sz w:val="32"/>
          <w:szCs w:val="32"/>
        </w:rPr>
      </w:pPr>
    </w:p>
    <w:p w14:paraId="5D584983">
      <w:pPr>
        <w:jc w:val="center"/>
        <w:rPr>
          <w:rFonts w:ascii="宋体" w:hAnsi="宋体" w:cs="宋体"/>
          <w:b/>
          <w:kern w:val="0"/>
          <w:sz w:val="32"/>
          <w:szCs w:val="32"/>
        </w:rPr>
      </w:pPr>
    </w:p>
    <w:p w14:paraId="1731294E">
      <w:pPr>
        <w:jc w:val="center"/>
        <w:rPr>
          <w:rFonts w:ascii="宋体" w:hAnsi="宋体" w:cs="宋体"/>
          <w:b/>
          <w:kern w:val="0"/>
          <w:sz w:val="32"/>
          <w:szCs w:val="32"/>
        </w:rPr>
      </w:pPr>
    </w:p>
    <w:p w14:paraId="0696E77F">
      <w:pPr>
        <w:jc w:val="center"/>
        <w:rPr>
          <w:rFonts w:ascii="宋体" w:hAnsi="宋体" w:cs="宋体"/>
          <w:b/>
          <w:kern w:val="0"/>
          <w:sz w:val="32"/>
          <w:szCs w:val="32"/>
        </w:rPr>
      </w:pPr>
    </w:p>
    <w:p w14:paraId="4868D6DC">
      <w:pPr>
        <w:jc w:val="center"/>
        <w:rPr>
          <w:rFonts w:ascii="宋体" w:hAnsi="宋体" w:cs="宋体"/>
          <w:b/>
          <w:kern w:val="0"/>
          <w:sz w:val="32"/>
          <w:szCs w:val="32"/>
        </w:rPr>
      </w:pPr>
    </w:p>
    <w:p w14:paraId="5B71083A">
      <w:pPr>
        <w:jc w:val="center"/>
        <w:rPr>
          <w:rFonts w:ascii="宋体" w:hAnsi="宋体" w:cs="宋体"/>
          <w:b/>
          <w:kern w:val="0"/>
          <w:sz w:val="32"/>
          <w:szCs w:val="32"/>
        </w:rPr>
      </w:pPr>
    </w:p>
    <w:p w14:paraId="34F26D93">
      <w:pPr>
        <w:jc w:val="center"/>
        <w:rPr>
          <w:rFonts w:ascii="宋体" w:hAnsi="宋体" w:cs="宋体"/>
          <w:b/>
          <w:kern w:val="0"/>
          <w:sz w:val="32"/>
          <w:szCs w:val="32"/>
        </w:rPr>
      </w:pPr>
    </w:p>
    <w:p w14:paraId="4B1EA560">
      <w:pPr>
        <w:jc w:val="center"/>
        <w:rPr>
          <w:rFonts w:ascii="宋体" w:hAnsi="宋体" w:cs="宋体"/>
          <w:b/>
          <w:kern w:val="0"/>
          <w:sz w:val="32"/>
          <w:szCs w:val="32"/>
        </w:rPr>
      </w:pPr>
    </w:p>
    <w:p w14:paraId="0C7E7B8F">
      <w:pPr>
        <w:jc w:val="center"/>
        <w:rPr>
          <w:rFonts w:ascii="宋体" w:hAnsi="宋体" w:cs="宋体"/>
          <w:b/>
          <w:kern w:val="0"/>
          <w:sz w:val="32"/>
          <w:szCs w:val="32"/>
        </w:rPr>
      </w:pPr>
    </w:p>
    <w:p w14:paraId="6731AA97">
      <w:pPr>
        <w:jc w:val="center"/>
        <w:rPr>
          <w:rFonts w:ascii="宋体" w:hAnsi="宋体" w:cs="宋体"/>
          <w:b/>
          <w:kern w:val="0"/>
          <w:sz w:val="32"/>
          <w:szCs w:val="32"/>
        </w:rPr>
      </w:pPr>
    </w:p>
    <w:p w14:paraId="157CAE25">
      <w:pPr>
        <w:jc w:val="center"/>
        <w:rPr>
          <w:rFonts w:ascii="宋体" w:hAnsi="宋体" w:cs="宋体"/>
          <w:b/>
          <w:kern w:val="0"/>
          <w:sz w:val="32"/>
          <w:szCs w:val="32"/>
        </w:rPr>
      </w:pPr>
    </w:p>
    <w:p w14:paraId="77AC204A">
      <w:pPr>
        <w:jc w:val="center"/>
        <w:rPr>
          <w:rFonts w:ascii="宋体" w:hAnsi="宋体" w:cs="宋体"/>
          <w:b/>
          <w:kern w:val="0"/>
          <w:sz w:val="32"/>
          <w:szCs w:val="32"/>
        </w:rPr>
      </w:pPr>
    </w:p>
    <w:p w14:paraId="173B7B84">
      <w:pPr>
        <w:jc w:val="center"/>
        <w:rPr>
          <w:rFonts w:ascii="宋体" w:hAnsi="宋体" w:cs="宋体"/>
          <w:b/>
          <w:kern w:val="0"/>
          <w:sz w:val="32"/>
          <w:szCs w:val="32"/>
        </w:rPr>
      </w:pPr>
    </w:p>
    <w:p w14:paraId="7BF256C8">
      <w:pPr>
        <w:jc w:val="center"/>
        <w:rPr>
          <w:rFonts w:ascii="宋体" w:hAnsi="宋体" w:cs="宋体"/>
          <w:b/>
          <w:kern w:val="0"/>
          <w:sz w:val="32"/>
          <w:szCs w:val="32"/>
        </w:rPr>
      </w:pPr>
    </w:p>
    <w:p w14:paraId="6A1DEF5B">
      <w:pPr>
        <w:jc w:val="center"/>
        <w:rPr>
          <w:rFonts w:ascii="宋体" w:hAnsi="宋体" w:cs="宋体"/>
          <w:b/>
          <w:kern w:val="0"/>
          <w:sz w:val="32"/>
          <w:szCs w:val="32"/>
        </w:rPr>
      </w:pPr>
    </w:p>
    <w:p w14:paraId="6853F332">
      <w:pPr>
        <w:jc w:val="center"/>
        <w:rPr>
          <w:rFonts w:ascii="宋体" w:hAnsi="宋体" w:cs="宋体"/>
          <w:b/>
          <w:kern w:val="0"/>
          <w:sz w:val="32"/>
          <w:szCs w:val="32"/>
        </w:rPr>
      </w:pPr>
    </w:p>
    <w:p w14:paraId="43638265">
      <w:pPr>
        <w:jc w:val="center"/>
        <w:rPr>
          <w:rFonts w:ascii="宋体" w:hAnsi="宋体" w:cs="宋体"/>
          <w:b/>
          <w:kern w:val="0"/>
          <w:sz w:val="32"/>
          <w:szCs w:val="32"/>
        </w:rPr>
      </w:pPr>
    </w:p>
    <w:p w14:paraId="6EFB2FC3">
      <w:pPr>
        <w:jc w:val="center"/>
        <w:rPr>
          <w:rFonts w:ascii="宋体" w:hAnsi="宋体" w:cs="宋体"/>
          <w:b/>
          <w:kern w:val="0"/>
          <w:sz w:val="32"/>
          <w:szCs w:val="32"/>
        </w:rPr>
      </w:pPr>
    </w:p>
    <w:p w14:paraId="3E6E6641">
      <w:pPr>
        <w:jc w:val="center"/>
        <w:rPr>
          <w:rFonts w:ascii="宋体" w:hAnsi="宋体" w:cs="宋体"/>
          <w:b/>
          <w:kern w:val="0"/>
          <w:sz w:val="32"/>
          <w:szCs w:val="32"/>
        </w:rPr>
      </w:pPr>
    </w:p>
    <w:p w14:paraId="27F67FA8">
      <w:pPr>
        <w:widowControl/>
        <w:adjustRightInd/>
        <w:jc w:val="left"/>
        <w:rPr>
          <w:rFonts w:ascii="宋体" w:hAnsi="宋体" w:cs="宋体"/>
          <w:b/>
          <w:kern w:val="0"/>
          <w:sz w:val="32"/>
          <w:szCs w:val="32"/>
        </w:rPr>
      </w:pPr>
      <w:r>
        <w:rPr>
          <w:rFonts w:ascii="宋体" w:hAnsi="宋体" w:cs="宋体"/>
          <w:b/>
          <w:kern w:val="0"/>
          <w:sz w:val="32"/>
          <w:szCs w:val="32"/>
        </w:rPr>
        <w:br w:type="page"/>
      </w:r>
    </w:p>
    <w:p w14:paraId="60294494">
      <w:pPr>
        <w:jc w:val="center"/>
        <w:rPr>
          <w:rFonts w:ascii="宋体" w:hAnsi="宋体" w:cs="宋体"/>
          <w:b/>
          <w:kern w:val="0"/>
          <w:sz w:val="32"/>
          <w:szCs w:val="32"/>
          <w:lang w:val="zh-CN"/>
        </w:rPr>
      </w:pPr>
      <w:r>
        <w:rPr>
          <w:rFonts w:hint="eastAsia" w:ascii="宋体" w:hAnsi="宋体" w:cs="宋体"/>
          <w:b/>
          <w:kern w:val="0"/>
          <w:sz w:val="32"/>
          <w:szCs w:val="32"/>
          <w:lang w:val="zh-CN"/>
        </w:rPr>
        <w:t>二、授权委托书或法定代表人（单位负责人、自然人本人）身份证明</w:t>
      </w:r>
    </w:p>
    <w:p w14:paraId="2FD28FFC">
      <w:pPr>
        <w:snapToGrid w:val="0"/>
        <w:spacing w:line="360" w:lineRule="auto"/>
        <w:rPr>
          <w:rFonts w:ascii="宋体" w:hAnsi="宋体" w:cs="宋体"/>
          <w:sz w:val="24"/>
        </w:rPr>
      </w:pPr>
      <w:r>
        <w:rPr>
          <w:rFonts w:hint="eastAsia" w:ascii="宋体" w:hAnsi="宋体" w:cs="宋体"/>
          <w:sz w:val="24"/>
        </w:rPr>
        <w:t xml:space="preserve">                                </w:t>
      </w:r>
    </w:p>
    <w:p w14:paraId="4D4A8C14">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14:paraId="31A2C2A8">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杭州师范大学附属未来科技城学校（杭州二中教育集团未来科技城学校）</w:t>
      </w:r>
      <w:r>
        <w:rPr>
          <w:rFonts w:hint="eastAsia" w:ascii="宋体" w:hAnsi="宋体" w:cs="宋体"/>
          <w:color w:val="auto"/>
          <w:sz w:val="24"/>
          <w:highlight w:val="none"/>
        </w:rPr>
        <w:t>、</w:t>
      </w:r>
      <w:r>
        <w:rPr>
          <w:rFonts w:hint="eastAsia" w:ascii="宋体" w:hAnsi="宋体" w:cs="宋体"/>
          <w:color w:val="auto"/>
          <w:sz w:val="24"/>
          <w:highlight w:val="none"/>
          <w:lang w:eastAsia="zh-CN"/>
        </w:rPr>
        <w:t>杭州市公共资源交易中心余杭分中心</w:t>
      </w:r>
      <w:r>
        <w:rPr>
          <w:rFonts w:hint="eastAsia" w:ascii="宋体" w:hAnsi="宋体" w:cs="宋体"/>
          <w:color w:val="auto"/>
          <w:kern w:val="0"/>
          <w:sz w:val="24"/>
          <w:highlight w:val="none"/>
          <w:lang w:val="zh-CN"/>
        </w:rPr>
        <w:t>：</w:t>
      </w:r>
    </w:p>
    <w:p w14:paraId="1BB84CBB">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杭州师范大学附属未来科技城学校（天元公学西站校区）办公家具（二）采购项目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HZYHZFCG-2025-010</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112A9102">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54E4F353">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3AF12579">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319096A3">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47605EA5">
      <w:pPr>
        <w:snapToGrid w:val="0"/>
        <w:spacing w:line="360" w:lineRule="auto"/>
        <w:rPr>
          <w:rFonts w:ascii="宋体" w:hAnsi="宋体" w:cs="宋体"/>
          <w:color w:val="auto"/>
          <w:sz w:val="24"/>
          <w:highlight w:val="none"/>
        </w:rPr>
      </w:pPr>
    </w:p>
    <w:p w14:paraId="6AE55DD8">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14:paraId="2C5E0A6E">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杭州师范大学附属未来科技城学校（杭州二中教育集团未来科技城学校）</w:t>
      </w:r>
      <w:r>
        <w:rPr>
          <w:rFonts w:hint="eastAsia" w:ascii="宋体" w:hAnsi="宋体" w:cs="宋体"/>
          <w:color w:val="auto"/>
          <w:sz w:val="24"/>
          <w:highlight w:val="none"/>
        </w:rPr>
        <w:t>、</w:t>
      </w:r>
      <w:r>
        <w:rPr>
          <w:rFonts w:hint="eastAsia" w:ascii="宋体" w:hAnsi="宋体" w:cs="宋体"/>
          <w:color w:val="auto"/>
          <w:sz w:val="24"/>
          <w:highlight w:val="none"/>
          <w:lang w:eastAsia="zh-CN"/>
        </w:rPr>
        <w:t>杭州市公共资源交易中心余杭分中心</w:t>
      </w:r>
      <w:r>
        <w:rPr>
          <w:rFonts w:hint="eastAsia" w:ascii="宋体" w:hAnsi="宋体" w:cs="宋体"/>
          <w:color w:val="auto"/>
          <w:kern w:val="0"/>
          <w:sz w:val="24"/>
          <w:highlight w:val="none"/>
          <w:lang w:val="zh-CN"/>
        </w:rPr>
        <w:t>：</w:t>
      </w:r>
    </w:p>
    <w:p w14:paraId="4213BB1E">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杭州师范大学附属未来科技城学校（天元公学西站校区）办公家具（二）采购项目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HZYHZFCG-2025-010</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3C59CF93">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7C69C9F6">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5F01D381">
      <w:pPr>
        <w:rPr>
          <w:rFonts w:ascii="宋体" w:hAnsi="宋体" w:cs="宋体"/>
          <w:color w:val="auto"/>
          <w:highlight w:val="none"/>
        </w:rPr>
      </w:pPr>
    </w:p>
    <w:p w14:paraId="20343663">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48360C17">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00F77331">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3B697575">
      <w:pPr>
        <w:snapToGrid w:val="0"/>
        <w:spacing w:line="360" w:lineRule="auto"/>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5A3C003C">
      <w:pPr>
        <w:snapToGrid w:val="0"/>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注：▲供应商委派不在本单位缴纳社保的人员作为授权代表（代理人）的，应当在投标（响应）文件中，说明具体原因、授权代表缴纳社保的单位，并附列该授权代表缴纳社保清单。</w:t>
      </w:r>
    </w:p>
    <w:p w14:paraId="22432935">
      <w:pPr>
        <w:pStyle w:val="3"/>
        <w:rPr>
          <w:rFonts w:hint="eastAsia"/>
          <w:lang w:val="zh-CN"/>
        </w:rPr>
      </w:pPr>
    </w:p>
    <w:p w14:paraId="0CE06967">
      <w:pPr>
        <w:pStyle w:val="3"/>
        <w:rPr>
          <w:lang w:val="zh-CN"/>
        </w:rPr>
      </w:pPr>
    </w:p>
    <w:p w14:paraId="06FA4456">
      <w:pPr>
        <w:autoSpaceDE w:val="0"/>
        <w:autoSpaceDN w:val="0"/>
        <w:spacing w:line="360" w:lineRule="auto"/>
        <w:jc w:val="center"/>
        <w:rPr>
          <w:rFonts w:ascii="宋体" w:hAnsi="宋体" w:cs="宋体"/>
          <w:b/>
          <w:sz w:val="24"/>
        </w:rPr>
      </w:pPr>
      <w:r>
        <w:rPr>
          <w:rFonts w:hint="eastAsia" w:ascii="宋体" w:hAnsi="宋体" w:cs="宋体"/>
          <w:b/>
          <w:kern w:val="0"/>
          <w:sz w:val="32"/>
          <w:szCs w:val="32"/>
          <w:lang w:val="zh-CN"/>
        </w:rPr>
        <w:t>法定代表人、单位负责人或自然人本人</w:t>
      </w:r>
      <w:r>
        <w:rPr>
          <w:rFonts w:hint="eastAsia" w:ascii="宋体" w:hAnsi="宋体" w:cs="宋体"/>
          <w:b/>
          <w:sz w:val="30"/>
          <w:szCs w:val="30"/>
        </w:rPr>
        <w:t>的身份证明（适用于法定代表人、单位负责人或者自然人本人代表投标人参加投标）</w:t>
      </w:r>
    </w:p>
    <w:p w14:paraId="30CF54E7">
      <w:pPr>
        <w:pStyle w:val="87"/>
        <w:spacing w:line="360" w:lineRule="auto"/>
        <w:rPr>
          <w:rFonts w:hAnsi="宋体" w:cs="宋体"/>
          <w:bCs/>
          <w:sz w:val="24"/>
        </w:rPr>
      </w:pPr>
      <w:r>
        <w:rPr>
          <w:rFonts w:hint="eastAsia" w:hAnsi="宋体" w:cs="宋体"/>
          <w:bCs/>
          <w:sz w:val="24"/>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30449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vAlign w:val="top"/>
          </w:tcPr>
          <w:p w14:paraId="20663E05">
            <w:pPr>
              <w:pStyle w:val="87"/>
              <w:adjustRightInd w:val="0"/>
              <w:spacing w:line="360" w:lineRule="auto"/>
              <w:rPr>
                <w:rFonts w:hAnsi="宋体" w:cs="宋体"/>
                <w:bCs/>
                <w:sz w:val="24"/>
              </w:rPr>
            </w:pPr>
            <w:r>
              <w:rPr>
                <w:rFonts w:hint="eastAsia" w:hAnsi="宋体" w:cs="宋体"/>
                <w:bCs/>
                <w:sz w:val="24"/>
              </w:rPr>
              <w:t>正面：                                 反面：</w:t>
            </w:r>
          </w:p>
          <w:p w14:paraId="5931788C">
            <w:pPr>
              <w:pStyle w:val="87"/>
              <w:adjustRightInd w:val="0"/>
              <w:spacing w:line="360" w:lineRule="auto"/>
              <w:rPr>
                <w:rFonts w:hAnsi="宋体" w:cs="宋体"/>
                <w:bCs/>
                <w:sz w:val="24"/>
              </w:rPr>
            </w:pPr>
          </w:p>
        </w:tc>
      </w:tr>
    </w:tbl>
    <w:p w14:paraId="130DDBCB">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w:t>
      </w:r>
    </w:p>
    <w:p w14:paraId="4E835F67">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投标人名称（电子签名）：                              </w:t>
      </w:r>
    </w:p>
    <w:p w14:paraId="28DA7AAD">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4183D30A">
      <w:pPr>
        <w:jc w:val="center"/>
        <w:rPr>
          <w:rFonts w:ascii="宋体" w:hAnsi="宋体" w:cs="宋体"/>
          <w:b/>
          <w:kern w:val="0"/>
          <w:sz w:val="32"/>
          <w:szCs w:val="32"/>
        </w:rPr>
      </w:pPr>
    </w:p>
    <w:p w14:paraId="5FE5DDFB">
      <w:pPr>
        <w:jc w:val="center"/>
        <w:rPr>
          <w:rFonts w:ascii="宋体" w:hAnsi="宋体" w:cs="宋体"/>
          <w:b/>
          <w:kern w:val="0"/>
          <w:sz w:val="32"/>
          <w:szCs w:val="32"/>
        </w:rPr>
      </w:pPr>
    </w:p>
    <w:p w14:paraId="2F29CE6F">
      <w:pPr>
        <w:jc w:val="center"/>
        <w:rPr>
          <w:rFonts w:ascii="宋体" w:hAnsi="宋体" w:cs="宋体"/>
          <w:b/>
          <w:kern w:val="0"/>
          <w:sz w:val="32"/>
          <w:szCs w:val="32"/>
        </w:rPr>
      </w:pPr>
    </w:p>
    <w:p w14:paraId="29142F3D">
      <w:pPr>
        <w:jc w:val="center"/>
        <w:rPr>
          <w:rFonts w:ascii="宋体" w:hAnsi="宋体" w:cs="宋体"/>
          <w:b/>
          <w:kern w:val="0"/>
          <w:sz w:val="32"/>
          <w:szCs w:val="32"/>
        </w:rPr>
      </w:pPr>
    </w:p>
    <w:p w14:paraId="56CD813E">
      <w:pPr>
        <w:jc w:val="center"/>
        <w:rPr>
          <w:rFonts w:ascii="宋体" w:hAnsi="宋体" w:cs="宋体"/>
          <w:b/>
          <w:kern w:val="0"/>
          <w:sz w:val="32"/>
          <w:szCs w:val="32"/>
        </w:rPr>
      </w:pPr>
    </w:p>
    <w:p w14:paraId="60C5F8F9">
      <w:pPr>
        <w:jc w:val="center"/>
        <w:rPr>
          <w:rFonts w:ascii="宋体" w:hAnsi="宋体" w:cs="宋体"/>
          <w:b/>
          <w:kern w:val="0"/>
          <w:sz w:val="32"/>
          <w:szCs w:val="32"/>
        </w:rPr>
      </w:pPr>
    </w:p>
    <w:p w14:paraId="0EC37FDB">
      <w:pPr>
        <w:jc w:val="center"/>
        <w:rPr>
          <w:rFonts w:ascii="宋体" w:hAnsi="宋体" w:cs="宋体"/>
          <w:b/>
          <w:kern w:val="0"/>
          <w:sz w:val="32"/>
          <w:szCs w:val="32"/>
        </w:rPr>
      </w:pPr>
    </w:p>
    <w:p w14:paraId="47CDEBD6">
      <w:pPr>
        <w:jc w:val="center"/>
        <w:rPr>
          <w:rFonts w:ascii="宋体" w:hAnsi="宋体" w:cs="宋体"/>
          <w:b/>
          <w:kern w:val="0"/>
          <w:sz w:val="32"/>
          <w:szCs w:val="32"/>
        </w:rPr>
      </w:pPr>
    </w:p>
    <w:p w14:paraId="0121FC49">
      <w:pPr>
        <w:jc w:val="center"/>
        <w:rPr>
          <w:rFonts w:ascii="宋体" w:hAnsi="宋体" w:cs="宋体"/>
          <w:b/>
          <w:kern w:val="0"/>
          <w:sz w:val="32"/>
          <w:szCs w:val="32"/>
        </w:rPr>
      </w:pPr>
    </w:p>
    <w:p w14:paraId="4880A805">
      <w:pPr>
        <w:jc w:val="center"/>
        <w:rPr>
          <w:rFonts w:ascii="宋体" w:hAnsi="宋体" w:cs="宋体"/>
          <w:b/>
          <w:kern w:val="0"/>
          <w:sz w:val="32"/>
          <w:szCs w:val="32"/>
        </w:rPr>
      </w:pPr>
    </w:p>
    <w:p w14:paraId="16D11915">
      <w:pPr>
        <w:snapToGrid w:val="0"/>
        <w:spacing w:line="360" w:lineRule="auto"/>
        <w:ind w:right="480"/>
        <w:rPr>
          <w:rFonts w:ascii="宋体" w:hAnsi="宋体" w:cs="宋体"/>
          <w:b/>
          <w:kern w:val="0"/>
          <w:sz w:val="32"/>
          <w:szCs w:val="32"/>
        </w:rPr>
        <w:sectPr>
          <w:pgSz w:w="11906" w:h="16838"/>
          <w:pgMar w:top="1276" w:right="1418" w:bottom="1247" w:left="1418" w:header="851" w:footer="992" w:gutter="0"/>
          <w:cols w:space="720" w:num="1"/>
          <w:titlePg/>
          <w:docGrid w:linePitch="312" w:charSpace="0"/>
        </w:sectPr>
      </w:pPr>
    </w:p>
    <w:p w14:paraId="463163DA">
      <w:pPr>
        <w:snapToGrid w:val="0"/>
        <w:spacing w:line="360" w:lineRule="auto"/>
        <w:jc w:val="center"/>
        <w:rPr>
          <w:rFonts w:ascii="宋体" w:hAnsi="宋体" w:cs="宋体"/>
          <w:b/>
          <w:color w:val="auto"/>
          <w:kern w:val="0"/>
          <w:sz w:val="32"/>
          <w:szCs w:val="32"/>
        </w:rPr>
      </w:pPr>
      <w:r>
        <w:rPr>
          <w:rFonts w:hint="eastAsia" w:ascii="宋体" w:hAnsi="宋体" w:cs="宋体"/>
          <w:b/>
          <w:kern w:val="0"/>
          <w:sz w:val="32"/>
          <w:szCs w:val="32"/>
        </w:rPr>
        <w:t>三、分包意向</w:t>
      </w:r>
      <w:r>
        <w:rPr>
          <w:rFonts w:hint="eastAsia" w:ascii="宋体" w:hAnsi="宋体" w:cs="宋体"/>
          <w:b/>
          <w:color w:val="auto"/>
          <w:kern w:val="0"/>
          <w:sz w:val="32"/>
          <w:szCs w:val="32"/>
        </w:rPr>
        <w:t>协议（如果有）</w:t>
      </w:r>
    </w:p>
    <w:p w14:paraId="77AABC44">
      <w:pPr>
        <w:widowControl/>
        <w:spacing w:line="360" w:lineRule="auto"/>
        <w:ind w:firstLine="120" w:firstLineChars="50"/>
        <w:jc w:val="left"/>
        <w:rPr>
          <w:rFonts w:ascii="宋体" w:hAnsi="宋体" w:cs="宋体"/>
          <w:color w:val="auto"/>
          <w:sz w:val="24"/>
        </w:rPr>
      </w:pPr>
      <w:bookmarkStart w:id="556" w:name="_Hlk101169080"/>
      <w:r>
        <w:rPr>
          <w:rFonts w:hint="eastAsia" w:ascii="宋体" w:hAnsi="宋体" w:cs="宋体"/>
          <w:color w:val="auto"/>
          <w:sz w:val="24"/>
        </w:rPr>
        <w:t>[</w:t>
      </w:r>
      <w:r>
        <w:rPr>
          <w:rFonts w:hint="eastAsia" w:ascii="宋体" w:hAnsi="宋体" w:cs="宋体"/>
          <w:b/>
          <w:color w:val="auto"/>
          <w:sz w:val="24"/>
        </w:rPr>
        <w:t>中标后以分包方式履行合同的，提供分包意向协议</w:t>
      </w:r>
      <w:r>
        <w:rPr>
          <w:rFonts w:hint="eastAsia" w:ascii="宋体" w:hAnsi="宋体" w:cs="宋体"/>
          <w:b/>
          <w:color w:val="auto"/>
          <w:sz w:val="24"/>
          <w:lang w:eastAsia="zh-CN"/>
        </w:rPr>
        <w:t>（</w:t>
      </w:r>
      <w:r>
        <w:rPr>
          <w:rFonts w:hint="eastAsia" w:ascii="宋体" w:hAnsi="宋体" w:cs="宋体"/>
          <w:b/>
          <w:color w:val="auto"/>
          <w:sz w:val="24"/>
        </w:rPr>
        <w:t>附件6</w:t>
      </w:r>
      <w:r>
        <w:rPr>
          <w:rFonts w:hint="eastAsia" w:ascii="宋体" w:hAnsi="宋体" w:cs="宋体"/>
          <w:b/>
          <w:color w:val="auto"/>
          <w:sz w:val="24"/>
          <w:lang w:eastAsia="zh-CN"/>
        </w:rPr>
        <w:t>）</w:t>
      </w:r>
      <w:r>
        <w:rPr>
          <w:rFonts w:hint="eastAsia" w:ascii="宋体" w:hAnsi="宋体" w:cs="宋体"/>
          <w:b/>
          <w:color w:val="auto"/>
          <w:sz w:val="24"/>
        </w:rPr>
        <w:t>；采购人不同意分包或者投标人中标后不以分包方式履行合同的，则不需要提供。</w:t>
      </w:r>
      <w:r>
        <w:rPr>
          <w:rFonts w:hint="eastAsia" w:ascii="宋体" w:hAnsi="宋体" w:cs="宋体"/>
          <w:color w:val="auto"/>
          <w:sz w:val="24"/>
        </w:rPr>
        <w:t>]</w:t>
      </w:r>
    </w:p>
    <w:bookmarkEnd w:id="556"/>
    <w:p w14:paraId="60A1C246">
      <w:pPr>
        <w:snapToGrid w:val="0"/>
        <w:spacing w:line="360" w:lineRule="auto"/>
        <w:rPr>
          <w:rFonts w:ascii="宋体" w:hAnsi="宋体" w:cs="宋体"/>
          <w:color w:val="auto"/>
          <w:kern w:val="0"/>
          <w:sz w:val="24"/>
        </w:rPr>
      </w:pPr>
    </w:p>
    <w:p w14:paraId="1B410810">
      <w:pPr>
        <w:jc w:val="center"/>
        <w:rPr>
          <w:rFonts w:ascii="宋体" w:hAnsi="宋体" w:cs="宋体"/>
          <w:b/>
          <w:color w:val="auto"/>
          <w:kern w:val="0"/>
          <w:sz w:val="32"/>
          <w:szCs w:val="32"/>
        </w:rPr>
      </w:pPr>
    </w:p>
    <w:p w14:paraId="1A2D7366">
      <w:pPr>
        <w:pStyle w:val="3"/>
        <w:rPr>
          <w:color w:val="auto"/>
          <w:lang w:val="en-US"/>
        </w:rPr>
      </w:pPr>
    </w:p>
    <w:p w14:paraId="5C7C09EB">
      <w:pPr>
        <w:rPr>
          <w:color w:val="auto"/>
        </w:rPr>
      </w:pPr>
    </w:p>
    <w:p w14:paraId="3603BFC5">
      <w:pPr>
        <w:pStyle w:val="3"/>
        <w:rPr>
          <w:color w:val="auto"/>
          <w:lang w:val="en-US"/>
        </w:rPr>
      </w:pPr>
    </w:p>
    <w:p w14:paraId="3F1CC834">
      <w:pPr>
        <w:jc w:val="center"/>
        <w:rPr>
          <w:rFonts w:ascii="宋体" w:hAnsi="宋体" w:cs="宋体"/>
          <w:b/>
          <w:color w:val="auto"/>
          <w:kern w:val="0"/>
          <w:sz w:val="32"/>
          <w:szCs w:val="32"/>
        </w:rPr>
      </w:pPr>
    </w:p>
    <w:p w14:paraId="66C4E2FB">
      <w:pPr>
        <w:jc w:val="center"/>
        <w:rPr>
          <w:rFonts w:ascii="宋体" w:hAnsi="宋体" w:cs="宋体"/>
          <w:b/>
          <w:color w:val="auto"/>
          <w:kern w:val="0"/>
          <w:sz w:val="32"/>
          <w:szCs w:val="32"/>
        </w:rPr>
      </w:pPr>
      <w:r>
        <w:rPr>
          <w:rFonts w:hint="eastAsia" w:ascii="宋体" w:hAnsi="宋体" w:cs="宋体"/>
          <w:b/>
          <w:color w:val="auto"/>
          <w:kern w:val="0"/>
          <w:sz w:val="32"/>
          <w:szCs w:val="32"/>
        </w:rPr>
        <w:t>四、符合性审查资料</w:t>
      </w:r>
    </w:p>
    <w:p w14:paraId="3F01E995">
      <w:pPr>
        <w:jc w:val="center"/>
        <w:rPr>
          <w:rFonts w:ascii="宋体" w:hAnsi="宋体" w:cs="宋体"/>
          <w:b/>
          <w:color w:val="auto"/>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1644B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2137C8F7">
            <w:pPr>
              <w:snapToGrid w:val="0"/>
              <w:spacing w:line="240" w:lineRule="atLeast"/>
              <w:jc w:val="center"/>
              <w:rPr>
                <w:rFonts w:ascii="宋体" w:hAnsi="宋体" w:cs="宋体"/>
                <w:b/>
                <w:color w:val="auto"/>
                <w:sz w:val="24"/>
              </w:rPr>
            </w:pPr>
            <w:r>
              <w:rPr>
                <w:rFonts w:hint="eastAsia" w:ascii="宋体" w:hAnsi="宋体" w:cs="宋体"/>
                <w:b/>
                <w:color w:val="auto"/>
                <w:sz w:val="24"/>
              </w:rPr>
              <w:t>序号</w:t>
            </w:r>
          </w:p>
        </w:tc>
        <w:tc>
          <w:tcPr>
            <w:tcW w:w="4991" w:type="dxa"/>
            <w:vAlign w:val="center"/>
          </w:tcPr>
          <w:p w14:paraId="03F0C585">
            <w:pPr>
              <w:snapToGrid w:val="0"/>
              <w:spacing w:line="240" w:lineRule="atLeast"/>
              <w:jc w:val="center"/>
              <w:rPr>
                <w:rFonts w:ascii="宋体" w:hAnsi="宋体" w:cs="宋体"/>
                <w:b/>
                <w:color w:val="auto"/>
                <w:sz w:val="24"/>
              </w:rPr>
            </w:pPr>
            <w:r>
              <w:rPr>
                <w:rFonts w:hint="eastAsia" w:ascii="宋体" w:hAnsi="宋体" w:cs="宋体"/>
                <w:b/>
                <w:color w:val="auto"/>
                <w:sz w:val="24"/>
              </w:rPr>
              <w:t>实质性要求</w:t>
            </w:r>
          </w:p>
        </w:tc>
        <w:tc>
          <w:tcPr>
            <w:tcW w:w="2551" w:type="dxa"/>
            <w:vAlign w:val="center"/>
          </w:tcPr>
          <w:p w14:paraId="13E6437C">
            <w:pPr>
              <w:snapToGrid w:val="0"/>
              <w:spacing w:line="240" w:lineRule="atLeast"/>
              <w:jc w:val="center"/>
              <w:rPr>
                <w:rFonts w:ascii="宋体" w:hAnsi="宋体" w:cs="宋体"/>
                <w:b/>
                <w:color w:val="auto"/>
                <w:sz w:val="24"/>
              </w:rPr>
            </w:pPr>
            <w:r>
              <w:rPr>
                <w:rFonts w:hint="eastAsia" w:ascii="宋体" w:hAnsi="宋体" w:cs="宋体"/>
                <w:b/>
                <w:color w:val="auto"/>
                <w:sz w:val="24"/>
              </w:rPr>
              <w:t>需要提供的符合性审查资料</w:t>
            </w:r>
          </w:p>
        </w:tc>
        <w:tc>
          <w:tcPr>
            <w:tcW w:w="1418" w:type="dxa"/>
            <w:vAlign w:val="center"/>
          </w:tcPr>
          <w:p w14:paraId="11F94562">
            <w:pPr>
              <w:snapToGrid w:val="0"/>
              <w:spacing w:line="240" w:lineRule="atLeast"/>
              <w:jc w:val="center"/>
              <w:rPr>
                <w:rFonts w:ascii="宋体" w:hAnsi="宋体" w:cs="宋体"/>
                <w:b/>
                <w:color w:val="auto"/>
                <w:sz w:val="24"/>
              </w:rPr>
            </w:pPr>
            <w:r>
              <w:rPr>
                <w:rFonts w:hint="eastAsia" w:ascii="宋体" w:hAnsi="宋体" w:cs="宋体"/>
                <w:b/>
                <w:color w:val="auto"/>
                <w:sz w:val="24"/>
              </w:rPr>
              <w:t>投标文件中的</w:t>
            </w:r>
          </w:p>
          <w:p w14:paraId="630B1BE7">
            <w:pPr>
              <w:snapToGrid w:val="0"/>
              <w:spacing w:line="240" w:lineRule="atLeast"/>
              <w:jc w:val="center"/>
              <w:rPr>
                <w:rFonts w:ascii="宋体" w:hAnsi="宋体" w:cs="宋体"/>
                <w:b/>
                <w:color w:val="auto"/>
                <w:sz w:val="24"/>
              </w:rPr>
            </w:pPr>
            <w:r>
              <w:rPr>
                <w:rFonts w:hint="eastAsia" w:ascii="宋体" w:hAnsi="宋体" w:cs="宋体"/>
                <w:b/>
                <w:color w:val="auto"/>
                <w:sz w:val="24"/>
              </w:rPr>
              <w:t>页码位置</w:t>
            </w:r>
          </w:p>
        </w:tc>
      </w:tr>
      <w:tr w14:paraId="4CA3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FB5216B">
            <w:pPr>
              <w:jc w:val="center"/>
              <w:rPr>
                <w:rFonts w:ascii="宋体" w:hAnsi="宋体" w:cs="宋体"/>
                <w:color w:val="auto"/>
                <w:sz w:val="24"/>
              </w:rPr>
            </w:pPr>
            <w:r>
              <w:rPr>
                <w:rFonts w:hint="eastAsia" w:ascii="宋体" w:hAnsi="宋体" w:cs="宋体"/>
                <w:color w:val="auto"/>
                <w:sz w:val="24"/>
              </w:rPr>
              <w:t>1</w:t>
            </w:r>
          </w:p>
        </w:tc>
        <w:tc>
          <w:tcPr>
            <w:tcW w:w="4991" w:type="dxa"/>
            <w:vAlign w:val="top"/>
          </w:tcPr>
          <w:p w14:paraId="6112EB86">
            <w:pPr>
              <w:spacing w:line="360" w:lineRule="auto"/>
              <w:rPr>
                <w:rFonts w:ascii="宋体" w:hAnsi="宋体" w:cs="宋体"/>
                <w:color w:val="auto"/>
                <w:sz w:val="24"/>
              </w:rPr>
            </w:pPr>
            <w:r>
              <w:rPr>
                <w:rFonts w:hint="eastAsia" w:ascii="宋体" w:hAnsi="宋体" w:cs="宋体"/>
                <w:color w:val="auto"/>
                <w:sz w:val="24"/>
              </w:rPr>
              <w:t>投标文件按照招标文件要求签署、盖章。</w:t>
            </w:r>
          </w:p>
        </w:tc>
        <w:tc>
          <w:tcPr>
            <w:tcW w:w="2551" w:type="dxa"/>
            <w:vAlign w:val="center"/>
          </w:tcPr>
          <w:p w14:paraId="1AD9AC80">
            <w:pPr>
              <w:rPr>
                <w:rFonts w:ascii="宋体" w:hAnsi="宋体" w:cs="宋体"/>
                <w:color w:val="auto"/>
                <w:sz w:val="24"/>
              </w:rPr>
            </w:pPr>
            <w:r>
              <w:rPr>
                <w:rFonts w:hint="eastAsia" w:ascii="宋体" w:hAnsi="宋体" w:cs="宋体"/>
                <w:color w:val="auto"/>
                <w:sz w:val="24"/>
              </w:rPr>
              <w:t>需要使用电子签名或者签字盖章的投标文件的组成部分</w:t>
            </w:r>
          </w:p>
        </w:tc>
        <w:tc>
          <w:tcPr>
            <w:tcW w:w="1418" w:type="dxa"/>
            <w:vAlign w:val="top"/>
          </w:tcPr>
          <w:p w14:paraId="6366F319">
            <w:pPr>
              <w:rPr>
                <w:rFonts w:ascii="宋体" w:hAnsi="宋体" w:cs="宋体"/>
                <w:color w:val="auto"/>
                <w:sz w:val="24"/>
              </w:rPr>
            </w:pPr>
          </w:p>
          <w:p w14:paraId="7EFF3B86">
            <w:pPr>
              <w:rPr>
                <w:rFonts w:ascii="宋体" w:hAnsi="宋体" w:cs="宋体"/>
                <w:color w:val="auto"/>
                <w:sz w:val="24"/>
              </w:rPr>
            </w:pPr>
            <w:r>
              <w:rPr>
                <w:rFonts w:hint="eastAsia" w:ascii="宋体" w:hAnsi="宋体" w:cs="宋体"/>
                <w:color w:val="auto"/>
                <w:sz w:val="24"/>
              </w:rPr>
              <w:t>见投标文件</w:t>
            </w:r>
          </w:p>
          <w:p w14:paraId="0E9A93FA">
            <w:pPr>
              <w:rPr>
                <w:rFonts w:ascii="宋体" w:hAnsi="宋体" w:cs="宋体"/>
                <w:color w:val="auto"/>
              </w:rPr>
            </w:pPr>
            <w:r>
              <w:rPr>
                <w:rFonts w:hint="eastAsia" w:ascii="宋体" w:hAnsi="宋体" w:cs="宋体"/>
                <w:color w:val="auto"/>
                <w:sz w:val="24"/>
              </w:rPr>
              <w:t>第</w:t>
            </w:r>
            <w:r>
              <w:rPr>
                <w:rFonts w:hint="eastAsia" w:ascii="宋体" w:hAnsi="宋体" w:cs="宋体"/>
                <w:color w:val="auto"/>
                <w:sz w:val="24"/>
                <w:u w:val="single"/>
              </w:rPr>
              <w:t xml:space="preserve">  </w:t>
            </w:r>
            <w:r>
              <w:rPr>
                <w:rFonts w:hint="eastAsia" w:ascii="宋体" w:hAnsi="宋体" w:cs="宋体"/>
                <w:color w:val="auto"/>
                <w:sz w:val="24"/>
              </w:rPr>
              <w:t>页</w:t>
            </w:r>
          </w:p>
        </w:tc>
      </w:tr>
      <w:tr w14:paraId="0E5D1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2BA3BB6">
            <w:pPr>
              <w:jc w:val="center"/>
              <w:rPr>
                <w:rFonts w:ascii="宋体" w:hAnsi="宋体" w:cs="宋体"/>
                <w:color w:val="auto"/>
                <w:sz w:val="24"/>
              </w:rPr>
            </w:pPr>
            <w:r>
              <w:rPr>
                <w:rFonts w:hint="eastAsia" w:ascii="宋体" w:hAnsi="宋体" w:cs="宋体"/>
                <w:color w:val="auto"/>
                <w:sz w:val="24"/>
              </w:rPr>
              <w:t>2</w:t>
            </w:r>
          </w:p>
        </w:tc>
        <w:tc>
          <w:tcPr>
            <w:tcW w:w="4991" w:type="dxa"/>
            <w:vAlign w:val="top"/>
          </w:tcPr>
          <w:p w14:paraId="2B8AB5F1">
            <w:pPr>
              <w:spacing w:line="360" w:lineRule="auto"/>
              <w:rPr>
                <w:rFonts w:ascii="宋体" w:hAnsi="宋体" w:cs="宋体"/>
                <w:color w:val="auto"/>
                <w:sz w:val="24"/>
              </w:rPr>
            </w:pPr>
            <w:r>
              <w:rPr>
                <w:rFonts w:hint="eastAsia" w:ascii="宋体" w:hAnsi="宋体" w:cs="宋体"/>
                <w:color w:val="auto"/>
                <w:sz w:val="24"/>
              </w:rPr>
              <w:t>投标文件中承诺的投标有效期不少于招标文件中载明的投标有效期。</w:t>
            </w:r>
          </w:p>
        </w:tc>
        <w:tc>
          <w:tcPr>
            <w:tcW w:w="2551" w:type="dxa"/>
            <w:vAlign w:val="center"/>
          </w:tcPr>
          <w:p w14:paraId="57AB4C9E">
            <w:pPr>
              <w:rPr>
                <w:rFonts w:ascii="宋体" w:hAnsi="宋体" w:cs="宋体"/>
                <w:color w:val="auto"/>
                <w:sz w:val="24"/>
              </w:rPr>
            </w:pPr>
            <w:r>
              <w:rPr>
                <w:rFonts w:hint="eastAsia" w:ascii="宋体" w:hAnsi="宋体" w:cs="宋体"/>
                <w:color w:val="auto"/>
                <w:sz w:val="24"/>
              </w:rPr>
              <w:t>投标函</w:t>
            </w:r>
          </w:p>
        </w:tc>
        <w:tc>
          <w:tcPr>
            <w:tcW w:w="1418" w:type="dxa"/>
            <w:vAlign w:val="top"/>
          </w:tcPr>
          <w:p w14:paraId="10261911">
            <w:pPr>
              <w:rPr>
                <w:rFonts w:ascii="宋体" w:hAnsi="宋体" w:cs="宋体"/>
                <w:color w:val="auto"/>
              </w:rPr>
            </w:pPr>
            <w:r>
              <w:rPr>
                <w:rFonts w:hint="eastAsia" w:ascii="宋体" w:hAnsi="宋体" w:cs="宋体"/>
                <w:color w:val="auto"/>
                <w:sz w:val="24"/>
              </w:rPr>
              <w:t>见投标文件第</w:t>
            </w:r>
            <w:r>
              <w:rPr>
                <w:rFonts w:hint="eastAsia" w:ascii="宋体" w:hAnsi="宋体" w:cs="宋体"/>
                <w:color w:val="auto"/>
                <w:sz w:val="24"/>
                <w:u w:val="single"/>
              </w:rPr>
              <w:t xml:space="preserve">  </w:t>
            </w:r>
            <w:r>
              <w:rPr>
                <w:rFonts w:hint="eastAsia" w:ascii="宋体" w:hAnsi="宋体" w:cs="宋体"/>
                <w:color w:val="auto"/>
                <w:sz w:val="24"/>
              </w:rPr>
              <w:t>页</w:t>
            </w:r>
          </w:p>
        </w:tc>
      </w:tr>
      <w:tr w14:paraId="20B9C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0F0EA4F">
            <w:pPr>
              <w:jc w:val="center"/>
              <w:rPr>
                <w:rFonts w:ascii="宋体" w:hAnsi="宋体" w:cs="宋体"/>
                <w:sz w:val="24"/>
              </w:rPr>
            </w:pPr>
            <w:r>
              <w:rPr>
                <w:rFonts w:hint="eastAsia" w:ascii="宋体" w:hAnsi="宋体" w:cs="宋体"/>
                <w:sz w:val="24"/>
              </w:rPr>
              <w:t>3</w:t>
            </w:r>
          </w:p>
        </w:tc>
        <w:tc>
          <w:tcPr>
            <w:tcW w:w="4991" w:type="dxa"/>
            <w:vAlign w:val="top"/>
          </w:tcPr>
          <w:p w14:paraId="3EC73336">
            <w:pPr>
              <w:spacing w:line="360" w:lineRule="auto"/>
              <w:rPr>
                <w:rFonts w:ascii="宋体" w:hAnsi="宋体" w:cs="宋体"/>
                <w:sz w:val="24"/>
              </w:rPr>
            </w:pPr>
            <w:r>
              <w:rPr>
                <w:rFonts w:hint="eastAsia" w:ascii="宋体" w:hAnsi="宋体" w:cs="宋体"/>
                <w:sz w:val="24"/>
              </w:rPr>
              <w:t>投标文件满足招标文件的其它实质性要求。</w:t>
            </w:r>
          </w:p>
        </w:tc>
        <w:tc>
          <w:tcPr>
            <w:tcW w:w="2551" w:type="dxa"/>
            <w:vAlign w:val="center"/>
          </w:tcPr>
          <w:p w14:paraId="53AA29D5">
            <w:pPr>
              <w:rPr>
                <w:rFonts w:ascii="宋体" w:hAnsi="宋体" w:cs="宋体"/>
                <w:sz w:val="24"/>
              </w:rPr>
            </w:pPr>
            <w:r>
              <w:rPr>
                <w:rFonts w:hint="eastAsia" w:ascii="宋体" w:hAnsi="宋体" w:cs="宋体"/>
                <w:kern w:val="0"/>
                <w:sz w:val="24"/>
              </w:rPr>
              <w:t>招标文件其它实质性要求相应的材料（“▲” 系指实质性要求条款，招标文件无其它实质性要求的，无需提供）</w:t>
            </w:r>
          </w:p>
        </w:tc>
        <w:tc>
          <w:tcPr>
            <w:tcW w:w="1418" w:type="dxa"/>
            <w:vAlign w:val="top"/>
          </w:tcPr>
          <w:p w14:paraId="770E7757">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bl>
    <w:p w14:paraId="3FED6E99">
      <w:pPr>
        <w:spacing w:line="360" w:lineRule="auto"/>
        <w:ind w:right="420"/>
        <w:rPr>
          <w:rFonts w:ascii="宋体" w:hAnsi="宋体" w:cs="宋体"/>
          <w:sz w:val="24"/>
        </w:rPr>
      </w:pPr>
      <w:r>
        <w:rPr>
          <w:rFonts w:hint="eastAsia" w:ascii="宋体" w:hAnsi="宋体" w:cs="宋体"/>
          <w:sz w:val="24"/>
        </w:rPr>
        <w:t>注：按本格式和要求提供。</w:t>
      </w:r>
    </w:p>
    <w:p w14:paraId="52ECB2C6">
      <w:pPr>
        <w:jc w:val="center"/>
        <w:rPr>
          <w:rFonts w:ascii="宋体" w:hAnsi="宋体" w:cs="宋体"/>
          <w:b/>
          <w:kern w:val="0"/>
          <w:sz w:val="32"/>
          <w:szCs w:val="32"/>
        </w:rPr>
      </w:pPr>
    </w:p>
    <w:p w14:paraId="3D739077">
      <w:pPr>
        <w:jc w:val="center"/>
        <w:rPr>
          <w:rFonts w:ascii="宋体" w:hAnsi="宋体" w:cs="宋体"/>
          <w:b/>
          <w:kern w:val="0"/>
          <w:sz w:val="32"/>
          <w:szCs w:val="32"/>
        </w:rPr>
      </w:pPr>
      <w:r>
        <w:rPr>
          <w:rFonts w:hint="eastAsia" w:ascii="宋体" w:hAnsi="宋体" w:cs="宋体"/>
          <w:b/>
          <w:kern w:val="0"/>
          <w:sz w:val="32"/>
          <w:szCs w:val="32"/>
        </w:rPr>
        <w:t xml:space="preserve">            </w:t>
      </w:r>
    </w:p>
    <w:p w14:paraId="0A07D16A">
      <w:pPr>
        <w:jc w:val="center"/>
        <w:rPr>
          <w:rFonts w:ascii="宋体" w:hAnsi="宋体" w:cs="宋体"/>
          <w:b/>
          <w:kern w:val="0"/>
          <w:sz w:val="32"/>
          <w:szCs w:val="32"/>
        </w:rPr>
      </w:pPr>
    </w:p>
    <w:p w14:paraId="18BA7078">
      <w:pPr>
        <w:jc w:val="center"/>
        <w:rPr>
          <w:rFonts w:ascii="宋体" w:hAnsi="宋体" w:cs="宋体"/>
          <w:b/>
          <w:kern w:val="0"/>
          <w:sz w:val="32"/>
          <w:szCs w:val="32"/>
        </w:rPr>
      </w:pPr>
    </w:p>
    <w:p w14:paraId="3FBFB6B0">
      <w:pPr>
        <w:jc w:val="center"/>
        <w:rPr>
          <w:rFonts w:ascii="宋体" w:hAnsi="宋体" w:cs="宋体"/>
          <w:b/>
          <w:kern w:val="0"/>
          <w:sz w:val="32"/>
          <w:szCs w:val="32"/>
        </w:rPr>
      </w:pPr>
    </w:p>
    <w:p w14:paraId="437A35B8">
      <w:pPr>
        <w:jc w:val="center"/>
        <w:rPr>
          <w:rFonts w:ascii="宋体" w:hAnsi="宋体" w:cs="宋体"/>
          <w:b/>
          <w:kern w:val="0"/>
          <w:sz w:val="32"/>
          <w:szCs w:val="32"/>
        </w:rPr>
      </w:pPr>
    </w:p>
    <w:p w14:paraId="6726884C">
      <w:pPr>
        <w:widowControl/>
        <w:adjustRightInd/>
        <w:jc w:val="left"/>
        <w:rPr>
          <w:rFonts w:ascii="宋体" w:hAnsi="宋体" w:cs="宋体"/>
          <w:b/>
          <w:kern w:val="0"/>
          <w:sz w:val="32"/>
          <w:szCs w:val="32"/>
        </w:rPr>
      </w:pPr>
      <w:r>
        <w:rPr>
          <w:rFonts w:ascii="宋体" w:hAnsi="宋体" w:cs="宋体"/>
          <w:b/>
          <w:kern w:val="0"/>
          <w:sz w:val="32"/>
          <w:szCs w:val="32"/>
        </w:rPr>
        <w:br w:type="page"/>
      </w:r>
    </w:p>
    <w:p w14:paraId="0BCCFD38">
      <w:pPr>
        <w:jc w:val="center"/>
        <w:rPr>
          <w:rFonts w:ascii="宋体" w:hAnsi="宋体" w:cs="宋体"/>
        </w:rPr>
      </w:pPr>
      <w:r>
        <w:rPr>
          <w:rFonts w:hint="eastAsia" w:ascii="宋体" w:hAnsi="宋体" w:cs="宋体"/>
          <w:b/>
          <w:kern w:val="0"/>
          <w:sz w:val="32"/>
          <w:szCs w:val="32"/>
        </w:rPr>
        <w:t>五、评标标准相应的商务技术资料</w:t>
      </w:r>
    </w:p>
    <w:p w14:paraId="1E12E97F">
      <w:pPr>
        <w:snapToGrid w:val="0"/>
        <w:spacing w:line="360" w:lineRule="auto"/>
        <w:jc w:val="left"/>
        <w:rPr>
          <w:rFonts w:ascii="宋体" w:hAnsi="宋体" w:cs="宋体"/>
          <w:b/>
          <w:sz w:val="24"/>
        </w:rPr>
      </w:pPr>
      <w:r>
        <w:rPr>
          <w:rFonts w:hint="eastAsia" w:ascii="宋体" w:hAnsi="宋体" w:cs="宋体"/>
          <w:b/>
          <w:sz w:val="24"/>
        </w:rPr>
        <w:t>（按招标文件第四部分评标办法前附表中“投标文件中评标标准相应的商务技术资料目录”提供资料。）</w:t>
      </w:r>
    </w:p>
    <w:p w14:paraId="62B80D43">
      <w:pPr>
        <w:jc w:val="center"/>
        <w:rPr>
          <w:rFonts w:ascii="宋体" w:hAnsi="宋体" w:cs="宋体"/>
          <w:b/>
          <w:kern w:val="0"/>
          <w:sz w:val="32"/>
          <w:szCs w:val="32"/>
        </w:rPr>
      </w:pPr>
    </w:p>
    <w:p w14:paraId="0B5E00DB">
      <w:pPr>
        <w:jc w:val="center"/>
        <w:rPr>
          <w:rFonts w:ascii="宋体" w:hAnsi="宋体" w:cs="宋体"/>
          <w:b/>
          <w:kern w:val="0"/>
          <w:sz w:val="32"/>
          <w:szCs w:val="32"/>
        </w:rPr>
      </w:pPr>
    </w:p>
    <w:p w14:paraId="4C7B3DCE">
      <w:pPr>
        <w:jc w:val="center"/>
        <w:rPr>
          <w:rFonts w:ascii="宋体" w:hAnsi="宋体" w:cs="宋体"/>
          <w:b/>
          <w:kern w:val="0"/>
          <w:sz w:val="32"/>
          <w:szCs w:val="32"/>
        </w:rPr>
      </w:pPr>
    </w:p>
    <w:p w14:paraId="14F1DBF3">
      <w:pPr>
        <w:ind w:firstLine="2891" w:firstLineChars="900"/>
        <w:rPr>
          <w:rFonts w:ascii="宋体" w:hAnsi="宋体" w:cs="宋体"/>
          <w:b/>
          <w:kern w:val="0"/>
          <w:sz w:val="32"/>
          <w:szCs w:val="32"/>
        </w:rPr>
      </w:pPr>
      <w:r>
        <w:rPr>
          <w:rFonts w:hint="eastAsia" w:ascii="宋体" w:hAnsi="宋体" w:cs="宋体"/>
          <w:b/>
          <w:kern w:val="0"/>
          <w:sz w:val="32"/>
          <w:szCs w:val="32"/>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0AB4A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3E026E1">
            <w:pPr>
              <w:spacing w:line="360" w:lineRule="auto"/>
              <w:jc w:val="center"/>
              <w:rPr>
                <w:rFonts w:ascii="宋体" w:hAnsi="宋体" w:cs="宋体"/>
                <w:b/>
                <w:sz w:val="24"/>
              </w:rPr>
            </w:pPr>
            <w:r>
              <w:rPr>
                <w:rFonts w:hint="eastAsia" w:ascii="宋体" w:hAnsi="宋体" w:cs="宋体"/>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611A94C5">
            <w:pPr>
              <w:spacing w:line="360" w:lineRule="auto"/>
              <w:jc w:val="center"/>
              <w:rPr>
                <w:rFonts w:ascii="宋体" w:hAnsi="宋体" w:cs="宋体"/>
                <w:b/>
                <w:sz w:val="24"/>
              </w:rPr>
            </w:pPr>
            <w:r>
              <w:rPr>
                <w:rFonts w:hint="eastAsia" w:ascii="宋体" w:hAnsi="宋体" w:cs="宋体"/>
                <w:b/>
                <w:sz w:val="24"/>
              </w:rPr>
              <w:t>名称</w:t>
            </w:r>
          </w:p>
        </w:tc>
        <w:tc>
          <w:tcPr>
            <w:tcW w:w="1114" w:type="dxa"/>
            <w:tcBorders>
              <w:top w:val="single" w:color="auto" w:sz="4" w:space="0"/>
              <w:left w:val="single" w:color="auto" w:sz="4" w:space="0"/>
              <w:bottom w:val="single" w:color="auto" w:sz="4" w:space="0"/>
              <w:right w:val="single" w:color="auto" w:sz="4" w:space="0"/>
            </w:tcBorders>
            <w:vAlign w:val="top"/>
          </w:tcPr>
          <w:p w14:paraId="396DA563">
            <w:pPr>
              <w:spacing w:line="360" w:lineRule="auto"/>
              <w:jc w:val="center"/>
              <w:rPr>
                <w:rFonts w:ascii="宋体" w:hAnsi="宋体" w:cs="宋体"/>
                <w:b/>
                <w:sz w:val="24"/>
              </w:rPr>
            </w:pPr>
          </w:p>
          <w:p w14:paraId="46B02C09">
            <w:pPr>
              <w:spacing w:line="360" w:lineRule="auto"/>
              <w:jc w:val="center"/>
              <w:rPr>
                <w:rFonts w:ascii="宋体" w:hAnsi="宋体" w:cs="宋体"/>
                <w:b/>
                <w:sz w:val="24"/>
              </w:rPr>
            </w:pPr>
            <w:r>
              <w:rPr>
                <w:rFonts w:hint="eastAsia" w:ascii="宋体" w:hAnsi="宋体" w:cs="宋体"/>
                <w:b/>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0B0AF0EB">
            <w:pPr>
              <w:spacing w:line="360" w:lineRule="auto"/>
              <w:jc w:val="center"/>
              <w:rPr>
                <w:rFonts w:ascii="宋体" w:hAnsi="宋体" w:cs="宋体"/>
                <w:b/>
                <w:sz w:val="24"/>
              </w:rPr>
            </w:pPr>
            <w:r>
              <w:rPr>
                <w:rFonts w:hint="eastAsia" w:ascii="宋体" w:hAnsi="宋体" w:cs="宋体"/>
                <w:b/>
                <w:sz w:val="24"/>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451D97E5">
            <w:pPr>
              <w:spacing w:line="360" w:lineRule="auto"/>
              <w:jc w:val="center"/>
              <w:rPr>
                <w:rFonts w:ascii="宋体" w:hAnsi="宋体" w:cs="宋体"/>
                <w:b/>
                <w:sz w:val="24"/>
              </w:rPr>
            </w:pPr>
            <w:r>
              <w:rPr>
                <w:rFonts w:hint="eastAsia" w:ascii="宋体" w:hAnsi="宋体" w:cs="宋体"/>
                <w:b/>
                <w:sz w:val="24"/>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1C0AD3ED">
            <w:pPr>
              <w:spacing w:line="360" w:lineRule="auto"/>
              <w:jc w:val="center"/>
              <w:rPr>
                <w:rFonts w:ascii="宋体" w:hAnsi="宋体" w:cs="宋体"/>
                <w:b/>
                <w:sz w:val="24"/>
              </w:rPr>
            </w:pPr>
            <w:r>
              <w:rPr>
                <w:rFonts w:hint="eastAsia" w:ascii="宋体" w:hAnsi="宋体" w:cs="宋体"/>
                <w:b/>
                <w:sz w:val="24"/>
              </w:rPr>
              <w:t>备注</w:t>
            </w:r>
          </w:p>
        </w:tc>
      </w:tr>
      <w:tr w14:paraId="10BAE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C6A5CFB">
            <w:pPr>
              <w:spacing w:line="360" w:lineRule="auto"/>
              <w:jc w:val="center"/>
              <w:rPr>
                <w:rFonts w:ascii="宋体" w:hAnsi="宋体" w:cs="宋体"/>
                <w:sz w:val="24"/>
              </w:rPr>
            </w:pPr>
            <w:r>
              <w:rPr>
                <w:rFonts w:hint="eastAsia" w:ascii="宋体" w:hAnsi="宋体" w:cs="宋体"/>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14:paraId="0BC03414">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51FC2940">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43BED5E8">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7A083BA9">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25B407A9">
            <w:pPr>
              <w:spacing w:line="360" w:lineRule="auto"/>
              <w:jc w:val="center"/>
              <w:rPr>
                <w:rFonts w:ascii="宋体" w:hAnsi="宋体" w:cs="宋体"/>
                <w:sz w:val="24"/>
              </w:rPr>
            </w:pPr>
          </w:p>
        </w:tc>
      </w:tr>
      <w:tr w14:paraId="17F4C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97C44C9">
            <w:pPr>
              <w:spacing w:line="360" w:lineRule="auto"/>
              <w:jc w:val="center"/>
              <w:rPr>
                <w:rFonts w:ascii="宋体" w:hAnsi="宋体" w:cs="宋体"/>
                <w:sz w:val="24"/>
              </w:rPr>
            </w:pPr>
            <w:r>
              <w:rPr>
                <w:rFonts w:hint="eastAsia" w:ascii="宋体" w:hAnsi="宋体" w:cs="宋体"/>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14:paraId="20BDE22F">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545266E6">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099E0CEF">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6FF3896E">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49371D94">
            <w:pPr>
              <w:spacing w:line="360" w:lineRule="auto"/>
              <w:jc w:val="center"/>
              <w:rPr>
                <w:rFonts w:ascii="宋体" w:hAnsi="宋体" w:cs="宋体"/>
                <w:sz w:val="24"/>
              </w:rPr>
            </w:pPr>
          </w:p>
        </w:tc>
      </w:tr>
      <w:tr w14:paraId="61550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8F4D601">
            <w:pPr>
              <w:spacing w:line="360" w:lineRule="auto"/>
              <w:jc w:val="center"/>
              <w:rPr>
                <w:rFonts w:ascii="宋体" w:hAnsi="宋体" w:cs="宋体"/>
                <w:sz w:val="24"/>
              </w:rPr>
            </w:pPr>
            <w:r>
              <w:rPr>
                <w:rFonts w:hint="eastAsia" w:ascii="宋体" w:hAnsi="宋体" w:cs="宋体"/>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14:paraId="0A0B25E2">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380FBC53">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54C8B2FA">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04A5BCA7">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7BABE7E8">
            <w:pPr>
              <w:spacing w:line="360" w:lineRule="auto"/>
              <w:jc w:val="center"/>
              <w:rPr>
                <w:rFonts w:ascii="宋体" w:hAnsi="宋体" w:cs="宋体"/>
                <w:sz w:val="24"/>
              </w:rPr>
            </w:pPr>
          </w:p>
        </w:tc>
      </w:tr>
    </w:tbl>
    <w:p w14:paraId="1AEE85F7">
      <w:pPr>
        <w:spacing w:line="360" w:lineRule="auto"/>
        <w:ind w:right="420"/>
        <w:rPr>
          <w:rFonts w:ascii="宋体" w:hAnsi="宋体" w:cs="宋体"/>
          <w:sz w:val="24"/>
        </w:rPr>
      </w:pPr>
      <w:r>
        <w:rPr>
          <w:rFonts w:hint="eastAsia" w:ascii="宋体" w:hAnsi="宋体" w:cs="宋体"/>
          <w:sz w:val="24"/>
        </w:rPr>
        <w:t>注：按本格式和要求提供。</w:t>
      </w:r>
    </w:p>
    <w:p w14:paraId="1F94022F">
      <w:pPr>
        <w:jc w:val="center"/>
        <w:rPr>
          <w:rFonts w:ascii="宋体" w:hAnsi="宋体" w:cs="宋体"/>
          <w:b/>
          <w:kern w:val="0"/>
          <w:sz w:val="32"/>
          <w:szCs w:val="32"/>
        </w:rPr>
      </w:pPr>
    </w:p>
    <w:p w14:paraId="1B6B34AD">
      <w:pPr>
        <w:jc w:val="center"/>
        <w:rPr>
          <w:rFonts w:ascii="宋体" w:hAnsi="宋体" w:cs="宋体"/>
          <w:b/>
          <w:kern w:val="0"/>
          <w:sz w:val="32"/>
          <w:szCs w:val="32"/>
        </w:rPr>
      </w:pPr>
    </w:p>
    <w:p w14:paraId="033F769B">
      <w:pPr>
        <w:jc w:val="center"/>
        <w:rPr>
          <w:rFonts w:ascii="宋体" w:hAnsi="宋体" w:cs="宋体"/>
          <w:b/>
          <w:kern w:val="0"/>
          <w:sz w:val="32"/>
          <w:szCs w:val="32"/>
        </w:rPr>
      </w:pPr>
      <w:r>
        <w:rPr>
          <w:rFonts w:hint="eastAsia" w:ascii="宋体" w:hAnsi="宋体" w:cs="宋体"/>
          <w:b/>
          <w:kern w:val="0"/>
          <w:sz w:val="32"/>
          <w:szCs w:val="32"/>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246B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37B2CA89">
            <w:pPr>
              <w:jc w:val="center"/>
              <w:rPr>
                <w:rFonts w:ascii="宋体" w:hAnsi="宋体" w:cs="宋体"/>
                <w:b/>
                <w:bCs/>
                <w:sz w:val="24"/>
              </w:rPr>
            </w:pPr>
            <w:r>
              <w:rPr>
                <w:rFonts w:hint="eastAsia" w:ascii="宋体" w:hAnsi="宋体" w:cs="宋体"/>
                <w:b/>
                <w:bCs/>
                <w:sz w:val="24"/>
              </w:rPr>
              <w:t>序号</w:t>
            </w:r>
          </w:p>
        </w:tc>
        <w:tc>
          <w:tcPr>
            <w:tcW w:w="3683" w:type="dxa"/>
            <w:vAlign w:val="top"/>
          </w:tcPr>
          <w:p w14:paraId="4D4F2D18">
            <w:pPr>
              <w:jc w:val="center"/>
              <w:rPr>
                <w:rFonts w:ascii="宋体" w:hAnsi="宋体" w:cs="宋体"/>
                <w:b/>
                <w:bCs/>
                <w:sz w:val="24"/>
              </w:rPr>
            </w:pPr>
            <w:r>
              <w:rPr>
                <w:rFonts w:hint="eastAsia" w:ascii="宋体" w:hAnsi="宋体" w:cs="宋体"/>
                <w:b/>
                <w:bCs/>
                <w:sz w:val="24"/>
              </w:rPr>
              <w:t>招标文件章节及具体内容</w:t>
            </w:r>
          </w:p>
        </w:tc>
        <w:tc>
          <w:tcPr>
            <w:tcW w:w="3546" w:type="dxa"/>
            <w:vAlign w:val="top"/>
          </w:tcPr>
          <w:p w14:paraId="539B519C">
            <w:pPr>
              <w:jc w:val="center"/>
              <w:rPr>
                <w:rFonts w:ascii="宋体" w:hAnsi="宋体" w:cs="宋体"/>
                <w:b/>
                <w:bCs/>
                <w:sz w:val="24"/>
              </w:rPr>
            </w:pPr>
            <w:r>
              <w:rPr>
                <w:rFonts w:hint="eastAsia" w:ascii="宋体" w:hAnsi="宋体" w:cs="宋体"/>
                <w:b/>
                <w:bCs/>
                <w:sz w:val="24"/>
              </w:rPr>
              <w:t>投标文件章节及具体内容</w:t>
            </w:r>
          </w:p>
        </w:tc>
        <w:tc>
          <w:tcPr>
            <w:tcW w:w="1276" w:type="dxa"/>
            <w:vAlign w:val="top"/>
          </w:tcPr>
          <w:p w14:paraId="7D9425F3">
            <w:pPr>
              <w:jc w:val="center"/>
              <w:rPr>
                <w:rFonts w:ascii="宋体" w:hAnsi="宋体" w:cs="宋体"/>
                <w:b/>
                <w:bCs/>
                <w:sz w:val="24"/>
              </w:rPr>
            </w:pPr>
            <w:r>
              <w:rPr>
                <w:rFonts w:hint="eastAsia" w:ascii="宋体" w:hAnsi="宋体" w:cs="宋体"/>
                <w:b/>
                <w:bCs/>
                <w:sz w:val="24"/>
              </w:rPr>
              <w:t>偏离说明</w:t>
            </w:r>
          </w:p>
        </w:tc>
      </w:tr>
      <w:tr w14:paraId="60AC1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49C36743">
            <w:pPr>
              <w:jc w:val="center"/>
              <w:rPr>
                <w:rFonts w:ascii="宋体" w:hAnsi="宋体" w:cs="宋体"/>
                <w:kern w:val="0"/>
                <w:sz w:val="24"/>
              </w:rPr>
            </w:pPr>
            <w:r>
              <w:rPr>
                <w:rFonts w:hint="eastAsia" w:ascii="宋体" w:hAnsi="宋体" w:cs="宋体"/>
                <w:kern w:val="0"/>
                <w:sz w:val="24"/>
              </w:rPr>
              <w:t>1</w:t>
            </w:r>
          </w:p>
        </w:tc>
        <w:tc>
          <w:tcPr>
            <w:tcW w:w="3683" w:type="dxa"/>
            <w:vAlign w:val="top"/>
          </w:tcPr>
          <w:p w14:paraId="1E09E425">
            <w:pPr>
              <w:jc w:val="center"/>
              <w:rPr>
                <w:rFonts w:ascii="宋体" w:hAnsi="宋体" w:cs="宋体"/>
                <w:b/>
                <w:kern w:val="0"/>
                <w:sz w:val="32"/>
                <w:szCs w:val="32"/>
              </w:rPr>
            </w:pPr>
          </w:p>
        </w:tc>
        <w:tc>
          <w:tcPr>
            <w:tcW w:w="3546" w:type="dxa"/>
            <w:vAlign w:val="top"/>
          </w:tcPr>
          <w:p w14:paraId="552E0874">
            <w:pPr>
              <w:jc w:val="center"/>
              <w:rPr>
                <w:rFonts w:ascii="宋体" w:hAnsi="宋体" w:cs="宋体"/>
                <w:b/>
                <w:kern w:val="0"/>
                <w:sz w:val="32"/>
                <w:szCs w:val="32"/>
              </w:rPr>
            </w:pPr>
          </w:p>
        </w:tc>
        <w:tc>
          <w:tcPr>
            <w:tcW w:w="1276" w:type="dxa"/>
            <w:vAlign w:val="top"/>
          </w:tcPr>
          <w:p w14:paraId="2A8FB412">
            <w:pPr>
              <w:jc w:val="center"/>
              <w:rPr>
                <w:rFonts w:ascii="宋体" w:hAnsi="宋体" w:cs="宋体"/>
                <w:b/>
                <w:kern w:val="0"/>
                <w:sz w:val="32"/>
                <w:szCs w:val="32"/>
              </w:rPr>
            </w:pPr>
          </w:p>
        </w:tc>
      </w:tr>
      <w:tr w14:paraId="1F5E0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551F15E3">
            <w:pPr>
              <w:jc w:val="center"/>
              <w:rPr>
                <w:rFonts w:ascii="宋体" w:hAnsi="宋体" w:cs="宋体"/>
                <w:kern w:val="0"/>
                <w:sz w:val="24"/>
              </w:rPr>
            </w:pPr>
            <w:r>
              <w:rPr>
                <w:rFonts w:hint="eastAsia" w:ascii="宋体" w:hAnsi="宋体" w:cs="宋体"/>
                <w:kern w:val="0"/>
                <w:sz w:val="24"/>
              </w:rPr>
              <w:t>2</w:t>
            </w:r>
          </w:p>
        </w:tc>
        <w:tc>
          <w:tcPr>
            <w:tcW w:w="3683" w:type="dxa"/>
            <w:vAlign w:val="top"/>
          </w:tcPr>
          <w:p w14:paraId="70B6CC41">
            <w:pPr>
              <w:jc w:val="center"/>
              <w:rPr>
                <w:rFonts w:ascii="宋体" w:hAnsi="宋体" w:cs="宋体"/>
                <w:b/>
                <w:kern w:val="0"/>
                <w:sz w:val="32"/>
                <w:szCs w:val="32"/>
              </w:rPr>
            </w:pPr>
          </w:p>
        </w:tc>
        <w:tc>
          <w:tcPr>
            <w:tcW w:w="3546" w:type="dxa"/>
            <w:vAlign w:val="top"/>
          </w:tcPr>
          <w:p w14:paraId="6AAC7DAE">
            <w:pPr>
              <w:jc w:val="center"/>
              <w:rPr>
                <w:rFonts w:ascii="宋体" w:hAnsi="宋体" w:cs="宋体"/>
                <w:b/>
                <w:kern w:val="0"/>
                <w:sz w:val="32"/>
                <w:szCs w:val="32"/>
              </w:rPr>
            </w:pPr>
          </w:p>
        </w:tc>
        <w:tc>
          <w:tcPr>
            <w:tcW w:w="1276" w:type="dxa"/>
            <w:vAlign w:val="top"/>
          </w:tcPr>
          <w:p w14:paraId="13AFA06C">
            <w:pPr>
              <w:jc w:val="center"/>
              <w:rPr>
                <w:rFonts w:ascii="宋体" w:hAnsi="宋体" w:cs="宋体"/>
                <w:b/>
                <w:kern w:val="0"/>
                <w:sz w:val="32"/>
                <w:szCs w:val="32"/>
              </w:rPr>
            </w:pPr>
          </w:p>
        </w:tc>
      </w:tr>
      <w:tr w14:paraId="144C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62071C05">
            <w:pPr>
              <w:jc w:val="center"/>
              <w:rPr>
                <w:rFonts w:ascii="宋体" w:hAnsi="宋体" w:cs="宋体"/>
                <w:kern w:val="0"/>
                <w:sz w:val="24"/>
              </w:rPr>
            </w:pPr>
            <w:r>
              <w:rPr>
                <w:rFonts w:hint="eastAsia" w:ascii="宋体" w:hAnsi="宋体" w:cs="宋体"/>
                <w:kern w:val="0"/>
                <w:sz w:val="24"/>
              </w:rPr>
              <w:t>……</w:t>
            </w:r>
          </w:p>
        </w:tc>
        <w:tc>
          <w:tcPr>
            <w:tcW w:w="3683" w:type="dxa"/>
            <w:vAlign w:val="top"/>
          </w:tcPr>
          <w:p w14:paraId="6EA84116">
            <w:pPr>
              <w:jc w:val="center"/>
              <w:rPr>
                <w:rFonts w:ascii="宋体" w:hAnsi="宋体" w:cs="宋体"/>
                <w:b/>
                <w:kern w:val="0"/>
                <w:sz w:val="32"/>
                <w:szCs w:val="32"/>
              </w:rPr>
            </w:pPr>
          </w:p>
        </w:tc>
        <w:tc>
          <w:tcPr>
            <w:tcW w:w="3546" w:type="dxa"/>
            <w:vAlign w:val="top"/>
          </w:tcPr>
          <w:p w14:paraId="5D195F7A">
            <w:pPr>
              <w:jc w:val="center"/>
              <w:rPr>
                <w:rFonts w:ascii="宋体" w:hAnsi="宋体" w:cs="宋体"/>
                <w:b/>
                <w:kern w:val="0"/>
                <w:sz w:val="32"/>
                <w:szCs w:val="32"/>
              </w:rPr>
            </w:pPr>
          </w:p>
        </w:tc>
        <w:tc>
          <w:tcPr>
            <w:tcW w:w="1276" w:type="dxa"/>
            <w:vAlign w:val="top"/>
          </w:tcPr>
          <w:p w14:paraId="4BCE1990">
            <w:pPr>
              <w:jc w:val="center"/>
              <w:rPr>
                <w:rFonts w:ascii="宋体" w:hAnsi="宋体" w:cs="宋体"/>
                <w:b/>
                <w:kern w:val="0"/>
                <w:sz w:val="32"/>
                <w:szCs w:val="32"/>
              </w:rPr>
            </w:pPr>
          </w:p>
        </w:tc>
      </w:tr>
    </w:tbl>
    <w:p w14:paraId="1B587D58">
      <w:pPr>
        <w:jc w:val="left"/>
        <w:rPr>
          <w:rFonts w:ascii="宋体" w:hAnsi="宋体" w:cs="宋体"/>
          <w:kern w:val="0"/>
          <w:sz w:val="24"/>
        </w:rPr>
      </w:pPr>
      <w:r>
        <w:rPr>
          <w:rFonts w:hint="eastAsia" w:ascii="宋体" w:hAnsi="宋体" w:cs="宋体"/>
          <w:kern w:val="0"/>
          <w:sz w:val="24"/>
        </w:rPr>
        <w:t>投标人保证：除商务技术偏离表列出的偏离外，投标人响应招标文件的全部要求</w:t>
      </w:r>
    </w:p>
    <w:p w14:paraId="6912090D">
      <w:pPr>
        <w:jc w:val="center"/>
        <w:rPr>
          <w:rFonts w:ascii="宋体" w:hAnsi="宋体" w:cs="宋体"/>
          <w:b/>
          <w:kern w:val="0"/>
          <w:sz w:val="32"/>
          <w:szCs w:val="32"/>
        </w:rPr>
      </w:pPr>
    </w:p>
    <w:p w14:paraId="772AE150">
      <w:pPr>
        <w:spacing w:line="360" w:lineRule="auto"/>
        <w:ind w:right="420"/>
        <w:rPr>
          <w:rFonts w:ascii="宋体" w:hAnsi="宋体" w:cs="宋体"/>
          <w:sz w:val="24"/>
        </w:rPr>
      </w:pPr>
      <w:r>
        <w:rPr>
          <w:rFonts w:hint="eastAsia" w:ascii="宋体" w:hAnsi="宋体" w:cs="宋体"/>
          <w:sz w:val="24"/>
        </w:rPr>
        <w:t>注：按本格式和要求提供。</w:t>
      </w:r>
    </w:p>
    <w:p w14:paraId="39E3A11B">
      <w:pPr>
        <w:ind w:firstLine="1911" w:firstLineChars="595"/>
        <w:rPr>
          <w:rFonts w:ascii="宋体" w:hAnsi="宋体" w:cs="宋体"/>
          <w:b/>
          <w:bCs/>
          <w:sz w:val="32"/>
          <w:szCs w:val="32"/>
        </w:rPr>
      </w:pPr>
    </w:p>
    <w:p w14:paraId="6FC4C260">
      <w:pPr>
        <w:ind w:firstLine="1911" w:firstLineChars="595"/>
        <w:rPr>
          <w:rFonts w:ascii="宋体" w:hAnsi="宋体" w:cs="宋体"/>
          <w:b/>
          <w:bCs/>
          <w:sz w:val="32"/>
          <w:szCs w:val="32"/>
        </w:rPr>
      </w:pPr>
    </w:p>
    <w:p w14:paraId="482F2A84">
      <w:pPr>
        <w:ind w:firstLine="1911" w:firstLineChars="595"/>
        <w:rPr>
          <w:rFonts w:ascii="宋体" w:hAnsi="宋体" w:cs="宋体"/>
          <w:b/>
          <w:bCs/>
          <w:sz w:val="32"/>
          <w:szCs w:val="32"/>
        </w:rPr>
      </w:pPr>
    </w:p>
    <w:p w14:paraId="6ED57C53">
      <w:pPr>
        <w:ind w:firstLine="1911" w:firstLineChars="595"/>
        <w:rPr>
          <w:rFonts w:ascii="宋体" w:hAnsi="宋体" w:cs="宋体"/>
          <w:b/>
          <w:bCs/>
          <w:sz w:val="32"/>
          <w:szCs w:val="32"/>
        </w:rPr>
      </w:pPr>
    </w:p>
    <w:p w14:paraId="0D8A199C">
      <w:pPr>
        <w:ind w:firstLine="1911" w:firstLineChars="595"/>
        <w:rPr>
          <w:rFonts w:ascii="宋体" w:hAnsi="宋体" w:cs="宋体"/>
          <w:b/>
          <w:bCs/>
          <w:sz w:val="32"/>
          <w:szCs w:val="32"/>
        </w:rPr>
      </w:pPr>
    </w:p>
    <w:p w14:paraId="5352C054">
      <w:pPr>
        <w:widowControl/>
        <w:adjustRightInd/>
        <w:jc w:val="left"/>
        <w:rPr>
          <w:rFonts w:ascii="宋体" w:hAnsi="宋体" w:cs="宋体"/>
          <w:b/>
          <w:bCs/>
          <w:sz w:val="32"/>
          <w:szCs w:val="32"/>
        </w:rPr>
      </w:pPr>
      <w:r>
        <w:rPr>
          <w:rFonts w:ascii="宋体" w:hAnsi="宋体" w:cs="宋体"/>
          <w:b/>
          <w:bCs/>
          <w:sz w:val="32"/>
          <w:szCs w:val="32"/>
        </w:rPr>
        <w:br w:type="page"/>
      </w:r>
    </w:p>
    <w:p w14:paraId="43E062A8">
      <w:pPr>
        <w:ind w:firstLine="1911" w:firstLineChars="595"/>
        <w:rPr>
          <w:rFonts w:ascii="宋体" w:hAnsi="宋体" w:cs="宋体"/>
          <w:b/>
          <w:color w:val="auto"/>
          <w:kern w:val="0"/>
          <w:sz w:val="32"/>
          <w:szCs w:val="32"/>
        </w:rPr>
      </w:pPr>
      <w:r>
        <w:rPr>
          <w:rFonts w:hint="eastAsia" w:ascii="宋体" w:hAnsi="宋体" w:cs="宋体"/>
          <w:b/>
          <w:bCs/>
          <w:color w:val="auto"/>
          <w:sz w:val="32"/>
          <w:szCs w:val="32"/>
        </w:rPr>
        <w:t>八</w:t>
      </w:r>
      <w:r>
        <w:rPr>
          <w:rFonts w:hint="eastAsia" w:ascii="宋体" w:hAnsi="宋体" w:cs="宋体"/>
          <w:b/>
          <w:color w:val="auto"/>
          <w:kern w:val="0"/>
          <w:sz w:val="32"/>
          <w:szCs w:val="32"/>
        </w:rPr>
        <w:t>、</w:t>
      </w:r>
      <w:r>
        <w:rPr>
          <w:rFonts w:hint="eastAsia" w:ascii="宋体" w:hAnsi="宋体" w:cs="宋体"/>
          <w:b/>
          <w:color w:val="auto"/>
          <w:kern w:val="0"/>
          <w:sz w:val="32"/>
          <w:szCs w:val="32"/>
          <w:lang w:val="zh-CN"/>
        </w:rPr>
        <w:t>政府采购供应商廉洁自律承诺书</w:t>
      </w:r>
    </w:p>
    <w:p w14:paraId="593C551B">
      <w:pPr>
        <w:snapToGrid w:val="0"/>
        <w:spacing w:line="360" w:lineRule="auto"/>
        <w:rPr>
          <w:rFonts w:ascii="宋体" w:hAnsi="宋体" w:cs="宋体"/>
          <w:color w:val="auto"/>
          <w:sz w:val="24"/>
        </w:rPr>
      </w:pPr>
    </w:p>
    <w:p w14:paraId="26FE726A">
      <w:pPr>
        <w:snapToGrid w:val="0"/>
        <w:spacing w:line="360" w:lineRule="auto"/>
        <w:rPr>
          <w:rFonts w:ascii="宋体" w:hAnsi="宋体" w:cs="宋体"/>
          <w:color w:val="auto"/>
          <w:kern w:val="0"/>
          <w:sz w:val="24"/>
        </w:rPr>
      </w:pPr>
      <w:r>
        <w:rPr>
          <w:rFonts w:hint="eastAsia" w:ascii="宋体" w:hAnsi="宋体" w:cs="宋体"/>
          <w:color w:val="auto"/>
          <w:sz w:val="24"/>
          <w:lang w:eastAsia="zh-CN"/>
        </w:rPr>
        <w:t>杭州师范大学附属未来科技城学校（杭州二中教育集团未来科技城学校）</w:t>
      </w:r>
      <w:r>
        <w:rPr>
          <w:rFonts w:hint="eastAsia" w:ascii="宋体" w:hAnsi="宋体" w:cs="宋体"/>
          <w:color w:val="auto"/>
          <w:sz w:val="24"/>
        </w:rPr>
        <w:t>、</w:t>
      </w:r>
      <w:r>
        <w:rPr>
          <w:rFonts w:hint="eastAsia" w:ascii="宋体" w:hAnsi="宋体" w:cs="宋体"/>
          <w:color w:val="auto"/>
          <w:sz w:val="24"/>
          <w:lang w:eastAsia="zh-CN"/>
        </w:rPr>
        <w:t>杭州市公共资源交易中心余杭分中心</w:t>
      </w:r>
      <w:r>
        <w:rPr>
          <w:rFonts w:hint="eastAsia" w:ascii="宋体" w:hAnsi="宋体" w:cs="宋体"/>
          <w:color w:val="auto"/>
          <w:kern w:val="0"/>
          <w:sz w:val="24"/>
          <w:lang w:val="zh-CN"/>
        </w:rPr>
        <w:t>：</w:t>
      </w:r>
    </w:p>
    <w:p w14:paraId="7E558C9A">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我单位响应你</w:t>
      </w:r>
      <w:r>
        <w:rPr>
          <w:rFonts w:hint="eastAsia" w:ascii="宋体" w:hAnsi="宋体" w:cs="宋体"/>
          <w:color w:val="auto"/>
          <w:sz w:val="24"/>
        </w:rPr>
        <w:t>单位</w:t>
      </w:r>
      <w:r>
        <w:rPr>
          <w:rFonts w:hint="eastAsia" w:ascii="宋体" w:hAnsi="宋体" w:cs="宋体"/>
          <w:color w:val="auto"/>
          <w:kern w:val="0"/>
          <w:sz w:val="24"/>
          <w:lang w:val="zh-CN"/>
        </w:rPr>
        <w:t>项目招标要求参加投标。在这次投标过程中和中标后，我们将严格遵守国家法律法规要求，并郑重承诺：</w:t>
      </w:r>
    </w:p>
    <w:p w14:paraId="20172142">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color w:val="auto"/>
          <w:kern w:val="0"/>
          <w:sz w:val="24"/>
          <w:lang w:val="zh-CN"/>
        </w:rPr>
        <w:t>一、不向项目有关</w:t>
      </w:r>
      <w:r>
        <w:rPr>
          <w:rFonts w:hint="eastAsia" w:ascii="宋体" w:hAnsi="宋体" w:cs="宋体"/>
          <w:kern w:val="0"/>
          <w:sz w:val="24"/>
          <w:lang w:val="zh-CN"/>
        </w:rPr>
        <w:t xml:space="preserve">人员及部门赠送礼金礼物、有价证券、回扣以及中介费、介绍费、咨询费等好处费； </w:t>
      </w:r>
    </w:p>
    <w:p w14:paraId="6A58E060">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14:paraId="50386511">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14:paraId="132F2BE1">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14:paraId="34FC98FF">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14:paraId="28DDBCA8">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14:paraId="37D64BCE">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14:paraId="697F2BC2">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14:paraId="34A57EF7">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14:paraId="67887852">
      <w:pPr>
        <w:autoSpaceDE w:val="0"/>
        <w:autoSpaceDN w:val="0"/>
        <w:spacing w:line="360" w:lineRule="auto"/>
        <w:ind w:left="2"/>
        <w:jc w:val="left"/>
        <w:rPr>
          <w:rFonts w:ascii="宋体" w:hAnsi="宋体" w:cs="宋体"/>
          <w:kern w:val="0"/>
          <w:sz w:val="24"/>
          <w:lang w:val="zh-CN"/>
        </w:rPr>
      </w:pPr>
    </w:p>
    <w:p w14:paraId="5DC0E6E9">
      <w:pPr>
        <w:autoSpaceDE w:val="0"/>
        <w:autoSpaceDN w:val="0"/>
        <w:spacing w:line="360" w:lineRule="auto"/>
        <w:ind w:left="2"/>
        <w:jc w:val="left"/>
        <w:rPr>
          <w:rFonts w:ascii="宋体" w:hAnsi="宋体" w:cs="宋体"/>
          <w:kern w:val="0"/>
          <w:sz w:val="24"/>
          <w:lang w:val="zh-CN"/>
        </w:rPr>
      </w:pPr>
    </w:p>
    <w:p w14:paraId="5C9786FC">
      <w:pPr>
        <w:autoSpaceDE w:val="0"/>
        <w:autoSpaceDN w:val="0"/>
        <w:spacing w:line="360" w:lineRule="auto"/>
        <w:ind w:left="2"/>
        <w:jc w:val="left"/>
        <w:rPr>
          <w:rFonts w:ascii="宋体" w:hAnsi="宋体" w:cs="宋体"/>
          <w:kern w:val="0"/>
          <w:sz w:val="24"/>
          <w:lang w:val="zh-CN"/>
        </w:rPr>
      </w:pPr>
    </w:p>
    <w:p w14:paraId="3ACBE0F4">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14:paraId="4B08B2FA">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14:paraId="4E450213">
      <w:pPr>
        <w:spacing w:line="360" w:lineRule="auto"/>
        <w:jc w:val="center"/>
        <w:rPr>
          <w:rFonts w:ascii="宋体" w:hAnsi="宋体" w:cs="宋体"/>
          <w:b/>
          <w:bCs/>
          <w:sz w:val="24"/>
        </w:rPr>
      </w:pPr>
    </w:p>
    <w:p w14:paraId="77843273">
      <w:pPr>
        <w:spacing w:line="360" w:lineRule="auto"/>
        <w:ind w:right="420"/>
        <w:rPr>
          <w:rFonts w:ascii="宋体" w:hAnsi="宋体" w:cs="宋体"/>
          <w:sz w:val="24"/>
        </w:rPr>
      </w:pPr>
      <w:r>
        <w:rPr>
          <w:rFonts w:hint="eastAsia" w:ascii="宋体" w:hAnsi="宋体" w:cs="宋体"/>
          <w:sz w:val="24"/>
        </w:rPr>
        <w:t>注：按本格式和要求提供。</w:t>
      </w:r>
    </w:p>
    <w:p w14:paraId="2F100B60">
      <w:pPr>
        <w:spacing w:line="360" w:lineRule="auto"/>
        <w:jc w:val="center"/>
        <w:rPr>
          <w:rFonts w:ascii="宋体" w:hAnsi="宋体" w:cs="宋体"/>
          <w:b/>
          <w:bCs/>
          <w:sz w:val="24"/>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0B1EBED7">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报价文件部分</w:t>
      </w:r>
    </w:p>
    <w:p w14:paraId="287BFFB7">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5371EEA3">
      <w:pPr>
        <w:spacing w:line="360" w:lineRule="auto"/>
        <w:jc w:val="center"/>
        <w:outlineLvl w:val="0"/>
        <w:rPr>
          <w:rFonts w:ascii="宋体" w:hAnsi="宋体" w:cs="宋体"/>
          <w:b/>
          <w:kern w:val="0"/>
          <w:sz w:val="36"/>
          <w:szCs w:val="36"/>
        </w:rPr>
      </w:pPr>
    </w:p>
    <w:p w14:paraId="0910FA6A">
      <w:pPr>
        <w:snapToGrid w:val="0"/>
        <w:spacing w:line="360" w:lineRule="auto"/>
        <w:rPr>
          <w:rFonts w:ascii="宋体" w:hAnsi="宋体" w:cs="宋体"/>
          <w:sz w:val="24"/>
        </w:rPr>
      </w:pPr>
      <w:r>
        <w:rPr>
          <w:rFonts w:hint="eastAsia" w:ascii="宋体" w:hAnsi="宋体" w:cs="宋体"/>
          <w:sz w:val="24"/>
        </w:rPr>
        <w:t>（1）开标一览表（报价表）………………………………………………………（页码）</w:t>
      </w:r>
    </w:p>
    <w:p w14:paraId="471033AA">
      <w:pPr>
        <w:snapToGrid w:val="0"/>
        <w:spacing w:line="360" w:lineRule="auto"/>
        <w:rPr>
          <w:rFonts w:hint="eastAsia" w:ascii="宋体" w:hAnsi="宋体" w:cs="宋体"/>
          <w:color w:val="auto"/>
          <w:sz w:val="24"/>
        </w:rPr>
      </w:pPr>
      <w:r>
        <w:rPr>
          <w:rFonts w:hint="eastAsia" w:ascii="宋体" w:hAnsi="宋体" w:cs="宋体"/>
          <w:color w:val="auto"/>
          <w:sz w:val="24"/>
        </w:rPr>
        <w:t>（</w:t>
      </w:r>
      <w:r>
        <w:rPr>
          <w:rFonts w:hint="eastAsia" w:ascii="宋体" w:hAnsi="宋体" w:cs="宋体"/>
          <w:color w:val="auto"/>
          <w:sz w:val="24"/>
          <w:lang w:val="en-US" w:eastAsia="zh-CN"/>
        </w:rPr>
        <w:t>2</w:t>
      </w:r>
      <w:r>
        <w:rPr>
          <w:rFonts w:hint="eastAsia" w:ascii="宋体" w:hAnsi="宋体" w:cs="宋体"/>
          <w:color w:val="auto"/>
          <w:sz w:val="24"/>
        </w:rPr>
        <w:t>）</w:t>
      </w:r>
      <w:r>
        <w:rPr>
          <w:rFonts w:hint="eastAsia" w:hAnsi="仿宋_GB2312" w:cs="仿宋_GB2312"/>
          <w:b w:val="0"/>
          <w:bCs/>
          <w:snapToGrid w:val="0"/>
          <w:color w:val="auto"/>
          <w:kern w:val="2"/>
          <w:sz w:val="24"/>
          <w:szCs w:val="24"/>
          <w:lang w:val="en-US" w:eastAsia="zh-CN" w:bidi="ar-SA"/>
        </w:rPr>
        <w:t>报价情况说明</w:t>
      </w:r>
      <w:r>
        <w:rPr>
          <w:rFonts w:hint="eastAsia" w:ascii="宋体" w:hAnsi="宋体" w:cs="宋体"/>
          <w:color w:val="auto"/>
          <w:sz w:val="24"/>
        </w:rPr>
        <w:t>………………………………………………………</w:t>
      </w:r>
      <w:r>
        <w:rPr>
          <w:rFonts w:hint="eastAsia" w:ascii="宋体" w:hAnsi="宋体" w:cs="宋体"/>
          <w:color w:val="auto"/>
          <w:sz w:val="24"/>
          <w:lang w:eastAsia="zh-CN"/>
        </w:rPr>
        <w:t>…………</w:t>
      </w:r>
      <w:r>
        <w:rPr>
          <w:rFonts w:hint="eastAsia" w:ascii="宋体" w:hAnsi="宋体" w:cs="宋体"/>
          <w:color w:val="auto"/>
          <w:sz w:val="24"/>
        </w:rPr>
        <w:t>（页码）</w:t>
      </w:r>
    </w:p>
    <w:p w14:paraId="5DDD1793">
      <w:pPr>
        <w:snapToGrid w:val="0"/>
        <w:spacing w:line="360" w:lineRule="auto"/>
        <w:rPr>
          <w:rFonts w:ascii="宋体" w:hAnsi="宋体" w:cs="宋体"/>
          <w:sz w:val="24"/>
        </w:rPr>
      </w:pP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）中小企业声明函………………………………………………………………（页码）</w:t>
      </w:r>
    </w:p>
    <w:p w14:paraId="247ABCB9">
      <w:pPr>
        <w:snapToGrid w:val="0"/>
        <w:spacing w:line="360" w:lineRule="auto"/>
        <w:ind w:right="480"/>
        <w:jc w:val="center"/>
        <w:rPr>
          <w:rFonts w:ascii="宋体" w:hAnsi="宋体" w:cs="宋体"/>
          <w:b/>
          <w:kern w:val="0"/>
          <w:sz w:val="32"/>
          <w:szCs w:val="32"/>
        </w:rPr>
      </w:pPr>
    </w:p>
    <w:p w14:paraId="3B49BCCE">
      <w:pPr>
        <w:snapToGrid w:val="0"/>
        <w:spacing w:line="360" w:lineRule="auto"/>
        <w:ind w:right="480"/>
        <w:jc w:val="center"/>
        <w:rPr>
          <w:rFonts w:ascii="宋体" w:hAnsi="宋体" w:cs="宋体"/>
          <w:b/>
          <w:kern w:val="0"/>
          <w:sz w:val="32"/>
          <w:szCs w:val="32"/>
        </w:rPr>
      </w:pPr>
    </w:p>
    <w:p w14:paraId="63AB9AF5">
      <w:pPr>
        <w:snapToGrid w:val="0"/>
        <w:spacing w:line="360" w:lineRule="auto"/>
        <w:ind w:right="480"/>
        <w:jc w:val="center"/>
        <w:rPr>
          <w:rFonts w:ascii="宋体" w:hAnsi="宋体" w:cs="宋体"/>
          <w:b/>
          <w:kern w:val="0"/>
          <w:sz w:val="32"/>
          <w:szCs w:val="32"/>
        </w:rPr>
      </w:pPr>
    </w:p>
    <w:p w14:paraId="10C603CA">
      <w:pPr>
        <w:snapToGrid w:val="0"/>
        <w:spacing w:line="360" w:lineRule="auto"/>
        <w:ind w:right="480"/>
        <w:jc w:val="center"/>
        <w:rPr>
          <w:rFonts w:ascii="宋体" w:hAnsi="宋体" w:cs="宋体"/>
          <w:b/>
          <w:kern w:val="0"/>
          <w:sz w:val="32"/>
          <w:szCs w:val="32"/>
        </w:rPr>
      </w:pPr>
    </w:p>
    <w:p w14:paraId="5608C200">
      <w:pPr>
        <w:snapToGrid w:val="0"/>
        <w:spacing w:line="360" w:lineRule="auto"/>
        <w:ind w:right="480"/>
        <w:jc w:val="center"/>
        <w:rPr>
          <w:rFonts w:ascii="宋体" w:hAnsi="宋体" w:cs="宋体"/>
          <w:b/>
          <w:kern w:val="0"/>
          <w:sz w:val="32"/>
          <w:szCs w:val="32"/>
        </w:rPr>
      </w:pPr>
    </w:p>
    <w:p w14:paraId="09B083A5">
      <w:pPr>
        <w:snapToGrid w:val="0"/>
        <w:spacing w:line="360" w:lineRule="auto"/>
        <w:ind w:right="480"/>
        <w:jc w:val="center"/>
        <w:rPr>
          <w:rFonts w:ascii="宋体" w:hAnsi="宋体" w:cs="宋体"/>
          <w:b/>
          <w:kern w:val="0"/>
          <w:sz w:val="32"/>
          <w:szCs w:val="32"/>
        </w:rPr>
      </w:pPr>
    </w:p>
    <w:p w14:paraId="4C1B241C">
      <w:pPr>
        <w:snapToGrid w:val="0"/>
        <w:spacing w:line="360" w:lineRule="auto"/>
        <w:ind w:right="480"/>
        <w:jc w:val="center"/>
        <w:rPr>
          <w:rFonts w:ascii="宋体" w:hAnsi="宋体" w:cs="宋体"/>
          <w:b/>
          <w:kern w:val="0"/>
          <w:sz w:val="32"/>
          <w:szCs w:val="32"/>
        </w:rPr>
      </w:pPr>
    </w:p>
    <w:p w14:paraId="30A6C070">
      <w:pPr>
        <w:snapToGrid w:val="0"/>
        <w:spacing w:line="360" w:lineRule="auto"/>
        <w:ind w:right="480"/>
        <w:jc w:val="center"/>
        <w:rPr>
          <w:rFonts w:ascii="宋体" w:hAnsi="宋体" w:cs="宋体"/>
          <w:b/>
          <w:kern w:val="0"/>
          <w:sz w:val="32"/>
          <w:szCs w:val="32"/>
        </w:rPr>
      </w:pPr>
    </w:p>
    <w:p w14:paraId="2DE3882A">
      <w:pPr>
        <w:snapToGrid w:val="0"/>
        <w:spacing w:line="360" w:lineRule="auto"/>
        <w:ind w:right="480"/>
        <w:jc w:val="center"/>
        <w:rPr>
          <w:rFonts w:ascii="宋体" w:hAnsi="宋体" w:cs="宋体"/>
          <w:b/>
          <w:kern w:val="0"/>
          <w:sz w:val="32"/>
          <w:szCs w:val="32"/>
        </w:rPr>
      </w:pPr>
    </w:p>
    <w:p w14:paraId="7242F603">
      <w:pPr>
        <w:snapToGrid w:val="0"/>
        <w:spacing w:line="360" w:lineRule="auto"/>
        <w:ind w:right="480"/>
        <w:jc w:val="center"/>
        <w:rPr>
          <w:rFonts w:ascii="宋体" w:hAnsi="宋体" w:cs="宋体"/>
          <w:b/>
          <w:kern w:val="0"/>
          <w:sz w:val="32"/>
          <w:szCs w:val="32"/>
        </w:rPr>
      </w:pPr>
    </w:p>
    <w:p w14:paraId="0E08BE93">
      <w:pPr>
        <w:snapToGrid w:val="0"/>
        <w:spacing w:line="360" w:lineRule="auto"/>
        <w:ind w:right="480"/>
        <w:jc w:val="center"/>
        <w:rPr>
          <w:rFonts w:ascii="宋体" w:hAnsi="宋体" w:cs="宋体"/>
          <w:b/>
          <w:kern w:val="0"/>
          <w:sz w:val="32"/>
          <w:szCs w:val="32"/>
        </w:rPr>
      </w:pPr>
    </w:p>
    <w:p w14:paraId="55E88D63">
      <w:pPr>
        <w:snapToGrid w:val="0"/>
        <w:spacing w:line="360" w:lineRule="auto"/>
        <w:ind w:right="480"/>
        <w:jc w:val="center"/>
        <w:rPr>
          <w:rFonts w:ascii="宋体" w:hAnsi="宋体" w:cs="宋体"/>
          <w:b/>
          <w:kern w:val="0"/>
          <w:sz w:val="32"/>
          <w:szCs w:val="32"/>
        </w:rPr>
      </w:pPr>
    </w:p>
    <w:p w14:paraId="0CC2DDC8">
      <w:pPr>
        <w:snapToGrid w:val="0"/>
        <w:spacing w:line="360" w:lineRule="auto"/>
        <w:ind w:right="480"/>
        <w:jc w:val="center"/>
        <w:rPr>
          <w:rFonts w:ascii="宋体" w:hAnsi="宋体" w:cs="宋体"/>
          <w:b/>
          <w:kern w:val="0"/>
          <w:sz w:val="32"/>
          <w:szCs w:val="32"/>
        </w:rPr>
      </w:pPr>
    </w:p>
    <w:p w14:paraId="2337B79A">
      <w:pPr>
        <w:snapToGrid w:val="0"/>
        <w:spacing w:line="360" w:lineRule="auto"/>
        <w:ind w:right="480"/>
        <w:jc w:val="center"/>
        <w:rPr>
          <w:rFonts w:ascii="宋体" w:hAnsi="宋体" w:cs="宋体"/>
          <w:b/>
          <w:kern w:val="0"/>
          <w:sz w:val="32"/>
          <w:szCs w:val="32"/>
        </w:rPr>
      </w:pPr>
    </w:p>
    <w:p w14:paraId="0243DFA4">
      <w:pPr>
        <w:snapToGrid w:val="0"/>
        <w:spacing w:line="360" w:lineRule="auto"/>
        <w:ind w:right="480"/>
        <w:jc w:val="center"/>
        <w:rPr>
          <w:rFonts w:ascii="宋体" w:hAnsi="宋体" w:cs="宋体"/>
          <w:b/>
          <w:kern w:val="0"/>
          <w:sz w:val="32"/>
          <w:szCs w:val="32"/>
        </w:rPr>
      </w:pPr>
    </w:p>
    <w:p w14:paraId="2E0D4650">
      <w:pPr>
        <w:pStyle w:val="375"/>
        <w:tabs>
          <w:tab w:val="clear" w:pos="720"/>
        </w:tabs>
        <w:snapToGrid w:val="0"/>
        <w:spacing w:before="120" w:after="120"/>
        <w:ind w:firstLine="643"/>
        <w:outlineLvl w:val="9"/>
        <w:rPr>
          <w:rFonts w:ascii="宋体" w:hAnsi="宋体" w:eastAsia="宋体" w:cs="宋体"/>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6C7DD9FC">
      <w:pPr>
        <w:pStyle w:val="375"/>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70DE1DD4">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杭州师范大学附属未来科技城学校（杭州二中教育集团未来科技城学校）</w:t>
      </w:r>
      <w:r>
        <w:rPr>
          <w:rFonts w:hint="eastAsia" w:ascii="宋体" w:hAnsi="宋体" w:cs="宋体"/>
          <w:color w:val="auto"/>
          <w:sz w:val="24"/>
          <w:highlight w:val="none"/>
        </w:rPr>
        <w:t>、</w:t>
      </w:r>
      <w:r>
        <w:rPr>
          <w:rFonts w:hint="eastAsia" w:ascii="宋体" w:hAnsi="宋体" w:cs="宋体"/>
          <w:color w:val="auto"/>
          <w:sz w:val="24"/>
          <w:highlight w:val="none"/>
          <w:lang w:eastAsia="zh-CN"/>
        </w:rPr>
        <w:t>杭州市公共资源交易中心余杭分中心</w:t>
      </w:r>
      <w:r>
        <w:rPr>
          <w:rFonts w:hint="eastAsia" w:ascii="宋体" w:hAnsi="宋体" w:cs="宋体"/>
          <w:color w:val="auto"/>
          <w:kern w:val="0"/>
          <w:sz w:val="24"/>
          <w:highlight w:val="none"/>
          <w:lang w:val="zh-CN"/>
        </w:rPr>
        <w:t>：</w:t>
      </w:r>
    </w:p>
    <w:p w14:paraId="16444FF8">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lang w:eastAsia="zh-CN"/>
        </w:rPr>
        <w:t>杭州师范大学附属未来科技城学校（天元公学西站校区）办公家具（二）采购项目</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lang w:eastAsia="zh-CN"/>
        </w:rPr>
        <w:t>HZYHZFCG-2025-010</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14:paraId="372C4F9C">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8C6D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1986F9F2">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417" w:type="dxa"/>
            <w:vAlign w:val="center"/>
          </w:tcPr>
          <w:p w14:paraId="453ABED7">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843" w:type="dxa"/>
            <w:vAlign w:val="top"/>
          </w:tcPr>
          <w:p w14:paraId="4ED543E8">
            <w:pPr>
              <w:spacing w:line="360" w:lineRule="auto"/>
              <w:jc w:val="center"/>
              <w:rPr>
                <w:rFonts w:ascii="宋体" w:hAnsi="宋体" w:cs="宋体"/>
                <w:b/>
                <w:color w:val="auto"/>
                <w:sz w:val="24"/>
                <w:highlight w:val="none"/>
              </w:rPr>
            </w:pPr>
          </w:p>
          <w:p w14:paraId="282B833A">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3118" w:type="dxa"/>
            <w:vAlign w:val="center"/>
          </w:tcPr>
          <w:p w14:paraId="61B89E54">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993" w:type="dxa"/>
            <w:vAlign w:val="center"/>
          </w:tcPr>
          <w:p w14:paraId="0304BD5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559" w:type="dxa"/>
            <w:vAlign w:val="center"/>
          </w:tcPr>
          <w:p w14:paraId="7223A478">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单价</w:t>
            </w:r>
          </w:p>
        </w:tc>
        <w:tc>
          <w:tcPr>
            <w:tcW w:w="1984" w:type="dxa"/>
            <w:vAlign w:val="center"/>
          </w:tcPr>
          <w:p w14:paraId="20A8BEAC">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合计</w:t>
            </w:r>
          </w:p>
        </w:tc>
        <w:tc>
          <w:tcPr>
            <w:tcW w:w="3119" w:type="dxa"/>
            <w:vAlign w:val="center"/>
          </w:tcPr>
          <w:p w14:paraId="0F24FB9D">
            <w:pPr>
              <w:spacing w:line="360" w:lineRule="auto"/>
              <w:jc w:val="center"/>
              <w:rPr>
                <w:rFonts w:ascii="宋体" w:hAnsi="宋体" w:cs="宋体"/>
                <w:b/>
                <w:color w:val="auto"/>
                <w:sz w:val="24"/>
                <w:highlight w:val="none"/>
              </w:rPr>
            </w:pPr>
          </w:p>
          <w:p w14:paraId="66AAB635">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p w14:paraId="4D0A584A">
            <w:pPr>
              <w:spacing w:line="360" w:lineRule="auto"/>
              <w:jc w:val="center"/>
              <w:rPr>
                <w:rFonts w:ascii="宋体" w:hAnsi="宋体" w:cs="宋体"/>
                <w:b/>
                <w:color w:val="auto"/>
                <w:sz w:val="24"/>
                <w:highlight w:val="none"/>
              </w:rPr>
            </w:pPr>
          </w:p>
        </w:tc>
      </w:tr>
      <w:tr w14:paraId="72A1E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461A869">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417" w:type="dxa"/>
            <w:vAlign w:val="center"/>
          </w:tcPr>
          <w:p w14:paraId="153F5405">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843" w:type="dxa"/>
            <w:vAlign w:val="center"/>
          </w:tcPr>
          <w:p w14:paraId="2A00DB57">
            <w:pPr>
              <w:snapToGrid w:val="0"/>
              <w:spacing w:line="360" w:lineRule="auto"/>
              <w:jc w:val="center"/>
              <w:rPr>
                <w:rFonts w:ascii="宋体" w:hAnsi="宋体" w:cs="宋体"/>
                <w:color w:val="auto"/>
                <w:sz w:val="24"/>
                <w:highlight w:val="none"/>
              </w:rPr>
            </w:pPr>
          </w:p>
        </w:tc>
        <w:tc>
          <w:tcPr>
            <w:tcW w:w="3118" w:type="dxa"/>
            <w:vAlign w:val="center"/>
          </w:tcPr>
          <w:p w14:paraId="53CA129E">
            <w:pPr>
              <w:snapToGrid w:val="0"/>
              <w:spacing w:line="360" w:lineRule="auto"/>
              <w:jc w:val="center"/>
              <w:rPr>
                <w:rFonts w:ascii="宋体" w:hAnsi="宋体" w:cs="宋体"/>
                <w:color w:val="auto"/>
                <w:sz w:val="24"/>
                <w:highlight w:val="none"/>
              </w:rPr>
            </w:pPr>
          </w:p>
        </w:tc>
        <w:tc>
          <w:tcPr>
            <w:tcW w:w="993" w:type="dxa"/>
            <w:vAlign w:val="center"/>
          </w:tcPr>
          <w:p w14:paraId="29734534">
            <w:pPr>
              <w:snapToGrid w:val="0"/>
              <w:spacing w:line="360" w:lineRule="auto"/>
              <w:jc w:val="center"/>
              <w:rPr>
                <w:rFonts w:ascii="宋体" w:hAnsi="宋体" w:cs="宋体"/>
                <w:color w:val="auto"/>
                <w:sz w:val="24"/>
                <w:highlight w:val="none"/>
              </w:rPr>
            </w:pPr>
          </w:p>
        </w:tc>
        <w:tc>
          <w:tcPr>
            <w:tcW w:w="1559" w:type="dxa"/>
            <w:vAlign w:val="center"/>
          </w:tcPr>
          <w:p w14:paraId="25753EA1">
            <w:pPr>
              <w:spacing w:line="360" w:lineRule="auto"/>
              <w:jc w:val="center"/>
              <w:rPr>
                <w:rFonts w:ascii="宋体" w:hAnsi="宋体" w:cs="宋体"/>
                <w:color w:val="auto"/>
                <w:sz w:val="24"/>
                <w:highlight w:val="none"/>
              </w:rPr>
            </w:pPr>
          </w:p>
        </w:tc>
        <w:tc>
          <w:tcPr>
            <w:tcW w:w="1984" w:type="dxa"/>
            <w:vAlign w:val="center"/>
          </w:tcPr>
          <w:p w14:paraId="4EA8C631">
            <w:pPr>
              <w:spacing w:line="360" w:lineRule="auto"/>
              <w:jc w:val="center"/>
              <w:rPr>
                <w:rFonts w:ascii="宋体" w:hAnsi="宋体" w:cs="宋体"/>
                <w:color w:val="auto"/>
                <w:sz w:val="24"/>
                <w:highlight w:val="none"/>
              </w:rPr>
            </w:pPr>
          </w:p>
        </w:tc>
        <w:tc>
          <w:tcPr>
            <w:tcW w:w="3119" w:type="dxa"/>
            <w:vAlign w:val="center"/>
          </w:tcPr>
          <w:p w14:paraId="38952576">
            <w:pPr>
              <w:spacing w:line="360" w:lineRule="auto"/>
              <w:jc w:val="center"/>
              <w:rPr>
                <w:rFonts w:ascii="宋体" w:hAnsi="宋体" w:cs="宋体"/>
                <w:color w:val="auto"/>
                <w:sz w:val="24"/>
                <w:highlight w:val="none"/>
              </w:rPr>
            </w:pPr>
          </w:p>
        </w:tc>
      </w:tr>
      <w:tr w14:paraId="32BD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8E73D5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417" w:type="dxa"/>
            <w:vAlign w:val="center"/>
          </w:tcPr>
          <w:p w14:paraId="34F0F2EE">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843" w:type="dxa"/>
            <w:vAlign w:val="center"/>
          </w:tcPr>
          <w:p w14:paraId="45DBBE7C">
            <w:pPr>
              <w:snapToGrid w:val="0"/>
              <w:spacing w:line="360" w:lineRule="auto"/>
              <w:jc w:val="center"/>
              <w:rPr>
                <w:rFonts w:ascii="宋体" w:hAnsi="宋体" w:cs="宋体"/>
                <w:color w:val="auto"/>
                <w:sz w:val="24"/>
                <w:highlight w:val="none"/>
              </w:rPr>
            </w:pPr>
          </w:p>
        </w:tc>
        <w:tc>
          <w:tcPr>
            <w:tcW w:w="3118" w:type="dxa"/>
            <w:vAlign w:val="center"/>
          </w:tcPr>
          <w:p w14:paraId="1CF4C332">
            <w:pPr>
              <w:snapToGrid w:val="0"/>
              <w:spacing w:line="360" w:lineRule="auto"/>
              <w:jc w:val="center"/>
              <w:rPr>
                <w:rFonts w:ascii="宋体" w:hAnsi="宋体" w:cs="宋体"/>
                <w:color w:val="auto"/>
                <w:sz w:val="24"/>
                <w:highlight w:val="none"/>
              </w:rPr>
            </w:pPr>
          </w:p>
        </w:tc>
        <w:tc>
          <w:tcPr>
            <w:tcW w:w="993" w:type="dxa"/>
            <w:vAlign w:val="center"/>
          </w:tcPr>
          <w:p w14:paraId="59AF13D9">
            <w:pPr>
              <w:snapToGrid w:val="0"/>
              <w:spacing w:line="360" w:lineRule="auto"/>
              <w:jc w:val="center"/>
              <w:rPr>
                <w:rFonts w:ascii="宋体" w:hAnsi="宋体" w:cs="宋体"/>
                <w:color w:val="auto"/>
                <w:sz w:val="24"/>
                <w:highlight w:val="none"/>
              </w:rPr>
            </w:pPr>
          </w:p>
        </w:tc>
        <w:tc>
          <w:tcPr>
            <w:tcW w:w="1559" w:type="dxa"/>
            <w:vAlign w:val="center"/>
          </w:tcPr>
          <w:p w14:paraId="1BC4771E">
            <w:pPr>
              <w:spacing w:line="360" w:lineRule="auto"/>
              <w:jc w:val="center"/>
              <w:rPr>
                <w:rFonts w:ascii="宋体" w:hAnsi="宋体" w:cs="宋体"/>
                <w:color w:val="auto"/>
                <w:sz w:val="24"/>
                <w:highlight w:val="none"/>
              </w:rPr>
            </w:pPr>
          </w:p>
        </w:tc>
        <w:tc>
          <w:tcPr>
            <w:tcW w:w="1984" w:type="dxa"/>
            <w:vAlign w:val="center"/>
          </w:tcPr>
          <w:p w14:paraId="2FF88D2C">
            <w:pPr>
              <w:spacing w:line="360" w:lineRule="auto"/>
              <w:jc w:val="center"/>
              <w:rPr>
                <w:rFonts w:ascii="宋体" w:hAnsi="宋体" w:cs="宋体"/>
                <w:color w:val="auto"/>
                <w:sz w:val="24"/>
                <w:highlight w:val="none"/>
              </w:rPr>
            </w:pPr>
          </w:p>
        </w:tc>
        <w:tc>
          <w:tcPr>
            <w:tcW w:w="3119" w:type="dxa"/>
            <w:vAlign w:val="center"/>
          </w:tcPr>
          <w:p w14:paraId="1322D2D2">
            <w:pPr>
              <w:spacing w:line="360" w:lineRule="auto"/>
              <w:jc w:val="center"/>
              <w:rPr>
                <w:rFonts w:ascii="宋体" w:hAnsi="宋体" w:cs="宋体"/>
                <w:color w:val="auto"/>
                <w:sz w:val="24"/>
                <w:highlight w:val="none"/>
              </w:rPr>
            </w:pPr>
          </w:p>
        </w:tc>
      </w:tr>
      <w:tr w14:paraId="517AA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323ED17">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417" w:type="dxa"/>
            <w:vAlign w:val="center"/>
          </w:tcPr>
          <w:p w14:paraId="1667AF76">
            <w:pPr>
              <w:snapToGrid w:val="0"/>
              <w:spacing w:line="360" w:lineRule="auto"/>
              <w:jc w:val="center"/>
              <w:rPr>
                <w:rFonts w:ascii="宋体" w:hAnsi="宋体" w:cs="宋体"/>
                <w:color w:val="auto"/>
                <w:sz w:val="24"/>
                <w:highlight w:val="none"/>
              </w:rPr>
            </w:pPr>
          </w:p>
        </w:tc>
        <w:tc>
          <w:tcPr>
            <w:tcW w:w="1843" w:type="dxa"/>
            <w:vAlign w:val="center"/>
          </w:tcPr>
          <w:p w14:paraId="4E998982">
            <w:pPr>
              <w:snapToGrid w:val="0"/>
              <w:spacing w:line="360" w:lineRule="auto"/>
              <w:jc w:val="center"/>
              <w:rPr>
                <w:rFonts w:ascii="宋体" w:hAnsi="宋体" w:cs="宋体"/>
                <w:color w:val="auto"/>
                <w:sz w:val="24"/>
                <w:highlight w:val="none"/>
              </w:rPr>
            </w:pPr>
          </w:p>
        </w:tc>
        <w:tc>
          <w:tcPr>
            <w:tcW w:w="3118" w:type="dxa"/>
            <w:vAlign w:val="center"/>
          </w:tcPr>
          <w:p w14:paraId="64EAF995">
            <w:pPr>
              <w:snapToGrid w:val="0"/>
              <w:spacing w:line="360" w:lineRule="auto"/>
              <w:jc w:val="center"/>
              <w:rPr>
                <w:rFonts w:ascii="宋体" w:hAnsi="宋体" w:cs="宋体"/>
                <w:color w:val="auto"/>
                <w:sz w:val="24"/>
                <w:highlight w:val="none"/>
              </w:rPr>
            </w:pPr>
          </w:p>
        </w:tc>
        <w:tc>
          <w:tcPr>
            <w:tcW w:w="993" w:type="dxa"/>
            <w:vAlign w:val="center"/>
          </w:tcPr>
          <w:p w14:paraId="2FF985DF">
            <w:pPr>
              <w:snapToGrid w:val="0"/>
              <w:spacing w:line="360" w:lineRule="auto"/>
              <w:jc w:val="center"/>
              <w:rPr>
                <w:rFonts w:ascii="宋体" w:hAnsi="宋体" w:cs="宋体"/>
                <w:color w:val="auto"/>
                <w:sz w:val="24"/>
                <w:highlight w:val="none"/>
              </w:rPr>
            </w:pPr>
          </w:p>
        </w:tc>
        <w:tc>
          <w:tcPr>
            <w:tcW w:w="1559" w:type="dxa"/>
            <w:vAlign w:val="center"/>
          </w:tcPr>
          <w:p w14:paraId="22B7F38D">
            <w:pPr>
              <w:spacing w:line="360" w:lineRule="auto"/>
              <w:jc w:val="center"/>
              <w:rPr>
                <w:rFonts w:ascii="宋体" w:hAnsi="宋体" w:cs="宋体"/>
                <w:color w:val="auto"/>
                <w:sz w:val="24"/>
                <w:highlight w:val="none"/>
              </w:rPr>
            </w:pPr>
          </w:p>
        </w:tc>
        <w:tc>
          <w:tcPr>
            <w:tcW w:w="1984" w:type="dxa"/>
            <w:vAlign w:val="center"/>
          </w:tcPr>
          <w:p w14:paraId="602CCC3B">
            <w:pPr>
              <w:spacing w:line="360" w:lineRule="auto"/>
              <w:jc w:val="center"/>
              <w:rPr>
                <w:rFonts w:ascii="宋体" w:hAnsi="宋体" w:cs="宋体"/>
                <w:color w:val="auto"/>
                <w:sz w:val="24"/>
                <w:highlight w:val="none"/>
              </w:rPr>
            </w:pPr>
          </w:p>
        </w:tc>
        <w:tc>
          <w:tcPr>
            <w:tcW w:w="3119" w:type="dxa"/>
            <w:vAlign w:val="center"/>
          </w:tcPr>
          <w:p w14:paraId="4B45A170">
            <w:pPr>
              <w:spacing w:line="360" w:lineRule="auto"/>
              <w:jc w:val="center"/>
              <w:rPr>
                <w:rFonts w:ascii="宋体" w:hAnsi="宋体" w:cs="宋体"/>
                <w:color w:val="auto"/>
                <w:sz w:val="24"/>
                <w:highlight w:val="none"/>
              </w:rPr>
            </w:pPr>
          </w:p>
        </w:tc>
      </w:tr>
      <w:tr w14:paraId="0FF26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ACAC158">
            <w:pPr>
              <w:spacing w:line="360" w:lineRule="auto"/>
              <w:jc w:val="center"/>
              <w:rPr>
                <w:rFonts w:ascii="宋体" w:hAnsi="宋体" w:cs="宋体"/>
                <w:color w:val="auto"/>
                <w:sz w:val="24"/>
                <w:highlight w:val="none"/>
              </w:rPr>
            </w:pPr>
          </w:p>
        </w:tc>
        <w:tc>
          <w:tcPr>
            <w:tcW w:w="1417" w:type="dxa"/>
            <w:vAlign w:val="center"/>
          </w:tcPr>
          <w:p w14:paraId="5D01C851">
            <w:pPr>
              <w:snapToGrid w:val="0"/>
              <w:spacing w:line="360" w:lineRule="auto"/>
              <w:jc w:val="center"/>
              <w:rPr>
                <w:rFonts w:ascii="宋体" w:hAnsi="宋体" w:cs="宋体"/>
                <w:color w:val="auto"/>
                <w:sz w:val="24"/>
                <w:highlight w:val="none"/>
              </w:rPr>
            </w:pPr>
          </w:p>
        </w:tc>
        <w:tc>
          <w:tcPr>
            <w:tcW w:w="1843" w:type="dxa"/>
            <w:vAlign w:val="center"/>
          </w:tcPr>
          <w:p w14:paraId="731554D6">
            <w:pPr>
              <w:snapToGrid w:val="0"/>
              <w:spacing w:line="360" w:lineRule="auto"/>
              <w:jc w:val="center"/>
              <w:rPr>
                <w:rFonts w:ascii="宋体" w:hAnsi="宋体" w:cs="宋体"/>
                <w:color w:val="auto"/>
                <w:sz w:val="24"/>
                <w:highlight w:val="none"/>
              </w:rPr>
            </w:pPr>
          </w:p>
        </w:tc>
        <w:tc>
          <w:tcPr>
            <w:tcW w:w="3118" w:type="dxa"/>
            <w:vAlign w:val="center"/>
          </w:tcPr>
          <w:p w14:paraId="19A2D0F0">
            <w:pPr>
              <w:snapToGrid w:val="0"/>
              <w:spacing w:line="360" w:lineRule="auto"/>
              <w:jc w:val="center"/>
              <w:rPr>
                <w:rFonts w:ascii="宋体" w:hAnsi="宋体" w:cs="宋体"/>
                <w:color w:val="auto"/>
                <w:sz w:val="24"/>
                <w:highlight w:val="none"/>
              </w:rPr>
            </w:pPr>
          </w:p>
        </w:tc>
        <w:tc>
          <w:tcPr>
            <w:tcW w:w="993" w:type="dxa"/>
            <w:vAlign w:val="center"/>
          </w:tcPr>
          <w:p w14:paraId="299FB1BF">
            <w:pPr>
              <w:snapToGrid w:val="0"/>
              <w:spacing w:line="360" w:lineRule="auto"/>
              <w:jc w:val="center"/>
              <w:rPr>
                <w:rFonts w:ascii="宋体" w:hAnsi="宋体" w:cs="宋体"/>
                <w:color w:val="auto"/>
                <w:sz w:val="24"/>
                <w:highlight w:val="none"/>
              </w:rPr>
            </w:pPr>
          </w:p>
        </w:tc>
        <w:tc>
          <w:tcPr>
            <w:tcW w:w="1559" w:type="dxa"/>
            <w:vAlign w:val="center"/>
          </w:tcPr>
          <w:p w14:paraId="6F95F952">
            <w:pPr>
              <w:spacing w:line="360" w:lineRule="auto"/>
              <w:jc w:val="center"/>
              <w:rPr>
                <w:rFonts w:ascii="宋体" w:hAnsi="宋体" w:cs="宋体"/>
                <w:color w:val="auto"/>
                <w:sz w:val="24"/>
                <w:highlight w:val="none"/>
              </w:rPr>
            </w:pPr>
          </w:p>
        </w:tc>
        <w:tc>
          <w:tcPr>
            <w:tcW w:w="1984" w:type="dxa"/>
            <w:vAlign w:val="center"/>
          </w:tcPr>
          <w:p w14:paraId="132428AC">
            <w:pPr>
              <w:spacing w:line="360" w:lineRule="auto"/>
              <w:jc w:val="center"/>
              <w:rPr>
                <w:rFonts w:ascii="宋体" w:hAnsi="宋体" w:cs="宋体"/>
                <w:color w:val="auto"/>
                <w:sz w:val="24"/>
                <w:highlight w:val="none"/>
              </w:rPr>
            </w:pPr>
          </w:p>
        </w:tc>
        <w:tc>
          <w:tcPr>
            <w:tcW w:w="3119" w:type="dxa"/>
            <w:vAlign w:val="center"/>
          </w:tcPr>
          <w:p w14:paraId="77114D0B">
            <w:pPr>
              <w:spacing w:line="360" w:lineRule="auto"/>
              <w:jc w:val="center"/>
              <w:rPr>
                <w:rFonts w:ascii="宋体" w:hAnsi="宋体" w:cs="宋体"/>
                <w:color w:val="auto"/>
                <w:sz w:val="24"/>
                <w:highlight w:val="none"/>
              </w:rPr>
            </w:pPr>
          </w:p>
        </w:tc>
      </w:tr>
      <w:tr w14:paraId="0EC14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801B2AD">
            <w:pPr>
              <w:spacing w:line="360" w:lineRule="auto"/>
              <w:jc w:val="center"/>
              <w:rPr>
                <w:rFonts w:ascii="宋体" w:hAnsi="宋体" w:cs="宋体"/>
                <w:color w:val="auto"/>
                <w:sz w:val="24"/>
                <w:highlight w:val="none"/>
              </w:rPr>
            </w:pPr>
          </w:p>
        </w:tc>
        <w:tc>
          <w:tcPr>
            <w:tcW w:w="1417" w:type="dxa"/>
            <w:vAlign w:val="center"/>
          </w:tcPr>
          <w:p w14:paraId="781774CF">
            <w:pPr>
              <w:snapToGrid w:val="0"/>
              <w:spacing w:line="360" w:lineRule="auto"/>
              <w:jc w:val="center"/>
              <w:rPr>
                <w:rFonts w:ascii="宋体" w:hAnsi="宋体" w:cs="宋体"/>
                <w:color w:val="auto"/>
                <w:sz w:val="24"/>
                <w:highlight w:val="none"/>
              </w:rPr>
            </w:pPr>
          </w:p>
        </w:tc>
        <w:tc>
          <w:tcPr>
            <w:tcW w:w="1843" w:type="dxa"/>
            <w:vAlign w:val="center"/>
          </w:tcPr>
          <w:p w14:paraId="7251DEDA">
            <w:pPr>
              <w:snapToGrid w:val="0"/>
              <w:spacing w:line="360" w:lineRule="auto"/>
              <w:jc w:val="center"/>
              <w:rPr>
                <w:rFonts w:ascii="宋体" w:hAnsi="宋体" w:cs="宋体"/>
                <w:color w:val="auto"/>
                <w:sz w:val="24"/>
                <w:highlight w:val="none"/>
              </w:rPr>
            </w:pPr>
          </w:p>
        </w:tc>
        <w:tc>
          <w:tcPr>
            <w:tcW w:w="3118" w:type="dxa"/>
            <w:vAlign w:val="center"/>
          </w:tcPr>
          <w:p w14:paraId="10C0479E">
            <w:pPr>
              <w:snapToGrid w:val="0"/>
              <w:spacing w:line="360" w:lineRule="auto"/>
              <w:jc w:val="center"/>
              <w:rPr>
                <w:rFonts w:ascii="宋体" w:hAnsi="宋体" w:cs="宋体"/>
                <w:color w:val="auto"/>
                <w:sz w:val="24"/>
                <w:highlight w:val="none"/>
              </w:rPr>
            </w:pPr>
          </w:p>
        </w:tc>
        <w:tc>
          <w:tcPr>
            <w:tcW w:w="993" w:type="dxa"/>
            <w:vAlign w:val="center"/>
          </w:tcPr>
          <w:p w14:paraId="5DEBD142">
            <w:pPr>
              <w:snapToGrid w:val="0"/>
              <w:spacing w:line="360" w:lineRule="auto"/>
              <w:jc w:val="center"/>
              <w:rPr>
                <w:rFonts w:ascii="宋体" w:hAnsi="宋体" w:cs="宋体"/>
                <w:color w:val="auto"/>
                <w:sz w:val="24"/>
                <w:highlight w:val="none"/>
              </w:rPr>
            </w:pPr>
          </w:p>
        </w:tc>
        <w:tc>
          <w:tcPr>
            <w:tcW w:w="1559" w:type="dxa"/>
            <w:vAlign w:val="center"/>
          </w:tcPr>
          <w:p w14:paraId="23790E7D">
            <w:pPr>
              <w:spacing w:line="360" w:lineRule="auto"/>
              <w:jc w:val="center"/>
              <w:rPr>
                <w:rFonts w:ascii="宋体" w:hAnsi="宋体" w:cs="宋体"/>
                <w:color w:val="auto"/>
                <w:sz w:val="24"/>
                <w:highlight w:val="none"/>
              </w:rPr>
            </w:pPr>
          </w:p>
        </w:tc>
        <w:tc>
          <w:tcPr>
            <w:tcW w:w="1984" w:type="dxa"/>
            <w:vAlign w:val="center"/>
          </w:tcPr>
          <w:p w14:paraId="2411DFB0">
            <w:pPr>
              <w:spacing w:line="360" w:lineRule="auto"/>
              <w:jc w:val="center"/>
              <w:rPr>
                <w:rFonts w:ascii="宋体" w:hAnsi="宋体" w:cs="宋体"/>
                <w:color w:val="auto"/>
                <w:sz w:val="24"/>
                <w:highlight w:val="none"/>
              </w:rPr>
            </w:pPr>
          </w:p>
        </w:tc>
        <w:tc>
          <w:tcPr>
            <w:tcW w:w="3119" w:type="dxa"/>
            <w:vAlign w:val="center"/>
          </w:tcPr>
          <w:p w14:paraId="12E8A6DA">
            <w:pPr>
              <w:spacing w:line="360" w:lineRule="auto"/>
              <w:jc w:val="center"/>
              <w:rPr>
                <w:rFonts w:ascii="宋体" w:hAnsi="宋体" w:cs="宋体"/>
                <w:color w:val="auto"/>
                <w:sz w:val="24"/>
                <w:highlight w:val="none"/>
              </w:rPr>
            </w:pPr>
          </w:p>
        </w:tc>
      </w:tr>
      <w:tr w14:paraId="7AD0A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F1A0FB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投标报价（小写）</w:t>
            </w:r>
          </w:p>
        </w:tc>
        <w:tc>
          <w:tcPr>
            <w:tcW w:w="7655" w:type="dxa"/>
            <w:gridSpan w:val="4"/>
            <w:vAlign w:val="center"/>
          </w:tcPr>
          <w:p w14:paraId="0275C892">
            <w:pPr>
              <w:spacing w:line="360" w:lineRule="auto"/>
              <w:jc w:val="center"/>
              <w:rPr>
                <w:rFonts w:ascii="宋体" w:hAnsi="宋体" w:cs="宋体"/>
                <w:color w:val="auto"/>
                <w:sz w:val="24"/>
                <w:highlight w:val="none"/>
              </w:rPr>
            </w:pPr>
          </w:p>
        </w:tc>
      </w:tr>
      <w:tr w14:paraId="7C3DC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63DF58F">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投标报价（大写）</w:t>
            </w:r>
          </w:p>
        </w:tc>
        <w:tc>
          <w:tcPr>
            <w:tcW w:w="7655" w:type="dxa"/>
            <w:gridSpan w:val="4"/>
            <w:vAlign w:val="center"/>
          </w:tcPr>
          <w:p w14:paraId="0E116F77">
            <w:pPr>
              <w:spacing w:line="360" w:lineRule="auto"/>
              <w:jc w:val="center"/>
              <w:rPr>
                <w:rFonts w:ascii="宋体" w:hAnsi="宋体" w:cs="宋体"/>
                <w:color w:val="auto"/>
                <w:sz w:val="24"/>
                <w:highlight w:val="none"/>
              </w:rPr>
            </w:pPr>
          </w:p>
        </w:tc>
      </w:tr>
    </w:tbl>
    <w:p w14:paraId="174F6AC3">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59DDEA88">
      <w:pPr>
        <w:spacing w:line="360" w:lineRule="auto"/>
        <w:ind w:left="-2"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lang w:val="en-US" w:eastAsia="zh-CN"/>
        </w:rPr>
        <w:t>.</w:t>
      </w:r>
      <w:r>
        <w:rPr>
          <w:rFonts w:hint="eastAsia" w:ascii="宋体" w:hAnsi="宋体" w:cs="宋体"/>
          <w:color w:val="auto"/>
          <w:kern w:val="0"/>
          <w:sz w:val="24"/>
          <w:highlight w:val="none"/>
          <w:lang w:val="zh-CN"/>
        </w:rPr>
        <w:t>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14:paraId="0F7FF38E">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2</w:t>
      </w:r>
      <w:r>
        <w:rPr>
          <w:rFonts w:hint="eastAsia" w:ascii="宋体" w:hAnsi="宋体" w:cs="宋体"/>
          <w:color w:val="auto"/>
          <w:kern w:val="0"/>
          <w:sz w:val="24"/>
          <w:highlight w:val="none"/>
          <w:lang w:val="en-US" w:eastAsia="zh-CN"/>
        </w:rPr>
        <w:t>.</w:t>
      </w:r>
      <w:r>
        <w:rPr>
          <w:rFonts w:hint="eastAsia" w:ascii="宋体" w:hAnsi="宋体" w:cs="宋体"/>
          <w:color w:val="auto"/>
          <w:kern w:val="0"/>
          <w:sz w:val="24"/>
          <w:highlight w:val="none"/>
          <w:lang w:val="zh-CN"/>
        </w:rPr>
        <w:t>有关本项目实施所涉及的一切费用均计入报价。总价不为零，报价明细表中部分产品、服务单价为零的，视作已包含在总价中。</w:t>
      </w:r>
      <w:r>
        <w:rPr>
          <w:rFonts w:hint="eastAsia" w:ascii="宋体" w:hAnsi="宋体" w:cs="宋体"/>
          <w:b/>
          <w:color w:val="auto"/>
          <w:kern w:val="0"/>
          <w:sz w:val="24"/>
          <w:highlight w:val="none"/>
          <w:lang w:val="zh-CN"/>
        </w:rPr>
        <w:t>采购人将以合同形式有偿取得货物或服务，不接受投标人给予的赠品、回扣或者与采购无关的其他商品、服务；采购内容未包含在《开标一览表（报价表）》名称栏中，投标人不能作出合理解释的，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1438A216">
      <w:pPr>
        <w:numPr>
          <w:ilvl w:val="0"/>
          <w:numId w:val="0"/>
        </w:numPr>
        <w:spacing w:line="360" w:lineRule="auto"/>
        <w:ind w:firstLine="0" w:firstLineChars="0"/>
        <w:rPr>
          <w:rFonts w:ascii="宋体" w:hAnsi="宋体" w:cs="宋体"/>
          <w:color w:val="auto"/>
          <w:kern w:val="0"/>
          <w:sz w:val="24"/>
          <w:szCs w:val="22"/>
          <w:highlight w:val="none"/>
          <w:lang w:val="zh-CN"/>
        </w:rPr>
      </w:pP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lang w:val="zh-CN"/>
        </w:rPr>
        <w:t>3</w:t>
      </w:r>
      <w:r>
        <w:rPr>
          <w:rFonts w:hint="eastAsia" w:ascii="宋体" w:hAnsi="宋体" w:cs="宋体"/>
          <w:color w:val="auto"/>
          <w:kern w:val="0"/>
          <w:sz w:val="24"/>
          <w:highlight w:val="none"/>
          <w:lang w:val="en-US" w:eastAsia="zh-CN"/>
        </w:rPr>
        <w:t>.</w:t>
      </w:r>
      <w:r>
        <w:rPr>
          <w:rFonts w:hint="eastAsia" w:ascii="宋体" w:hAnsi="宋体" w:cs="宋体"/>
          <w:color w:val="auto"/>
          <w:kern w:val="0"/>
          <w:sz w:val="24"/>
          <w:highlight w:val="none"/>
          <w:lang w:val="zh-CN"/>
        </w:rPr>
        <w:t>特别提示：采购代理机构将对项目名称和项目编号，中标供应商名称、地址和中标金额，主要中标标的名称、品牌（如果有）、规格型号、数量、单价等予以公示。</w:t>
      </w:r>
    </w:p>
    <w:p w14:paraId="0DF57601">
      <w:pPr>
        <w:numPr>
          <w:ilvl w:val="0"/>
          <w:numId w:val="0"/>
        </w:numPr>
        <w:spacing w:line="360" w:lineRule="auto"/>
        <w:ind w:firstLine="480" w:firstLineChars="200"/>
        <w:rPr>
          <w:rFonts w:hint="eastAsia" w:ascii="宋体" w:hAnsi="宋体" w:cs="宋体"/>
          <w:color w:val="auto"/>
          <w:kern w:val="0"/>
          <w:sz w:val="24"/>
          <w:highlight w:val="none"/>
          <w:lang w:val="zh-CN"/>
        </w:rPr>
      </w:pPr>
      <w:r>
        <w:rPr>
          <w:rFonts w:hint="eastAsia" w:ascii="宋体" w:hAnsi="宋体" w:cs="宋体"/>
          <w:color w:val="auto"/>
          <w:kern w:val="0"/>
          <w:sz w:val="24"/>
          <w:szCs w:val="22"/>
          <w:highlight w:val="none"/>
          <w:lang w:val="en-US" w:eastAsia="zh-CN"/>
        </w:rPr>
        <w:t>4.</w:t>
      </w:r>
      <w:r>
        <w:rPr>
          <w:rFonts w:hint="eastAsia" w:ascii="宋体" w:hAnsi="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5D17131">
      <w:pPr>
        <w:pStyle w:val="375"/>
        <w:snapToGrid w:val="0"/>
        <w:spacing w:before="120" w:after="120"/>
        <w:ind w:firstLine="0"/>
        <w:jc w:val="both"/>
        <w:outlineLvl w:val="9"/>
        <w:rPr>
          <w:rFonts w:ascii="宋体" w:hAnsi="宋体" w:eastAsia="宋体" w:cs="宋体"/>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6C6218DB">
      <w:pPr>
        <w:pStyle w:val="375"/>
        <w:keepNext w:val="0"/>
        <w:pageBreakBefore w:val="0"/>
        <w:numPr>
          <w:ilvl w:val="-1"/>
          <w:numId w:val="0"/>
        </w:numPr>
        <w:tabs>
          <w:tab w:val="clear" w:pos="720"/>
        </w:tabs>
        <w:snapToGrid w:val="0"/>
        <w:spacing w:before="120" w:after="120"/>
        <w:ind w:firstLine="0"/>
        <w:outlineLvl w:val="9"/>
        <w:rPr>
          <w:rFonts w:hint="eastAsia" w:ascii="宋体" w:hAnsi="宋体" w:eastAsia="宋体" w:cs="宋体"/>
          <w:color w:val="auto"/>
          <w:kern w:val="2"/>
          <w:sz w:val="32"/>
          <w:szCs w:val="32"/>
          <w:highlight w:val="none"/>
          <w:lang w:val="en-US" w:eastAsia="zh-CN"/>
        </w:rPr>
      </w:pPr>
      <w:r>
        <w:rPr>
          <w:rFonts w:hint="eastAsia" w:ascii="宋体" w:hAnsi="宋体" w:eastAsia="宋体" w:cs="宋体"/>
          <w:color w:val="auto"/>
          <w:kern w:val="2"/>
          <w:sz w:val="32"/>
          <w:szCs w:val="32"/>
          <w:highlight w:val="none"/>
          <w:lang w:val="en-US" w:eastAsia="zh-CN"/>
        </w:rPr>
        <w:t>二、报价情况说明（如果有）</w:t>
      </w:r>
    </w:p>
    <w:p w14:paraId="59EC9127">
      <w:pPr>
        <w:pStyle w:val="375"/>
        <w:keepNext w:val="0"/>
        <w:pageBreakBefore w:val="0"/>
        <w:tabs>
          <w:tab w:val="clear" w:pos="720"/>
        </w:tabs>
        <w:snapToGrid w:val="0"/>
        <w:spacing w:before="120" w:after="120"/>
        <w:ind w:firstLine="643"/>
        <w:jc w:val="left"/>
        <w:outlineLvl w:val="9"/>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（如供应商报价低于项目预算50%的，应当提交本文档，详细阐述不影响产品质量或者诚信履约的具体原因</w:t>
      </w:r>
      <w:r>
        <w:rPr>
          <w:rFonts w:hint="eastAsia" w:ascii="宋体" w:hAnsi="宋体" w:eastAsia="宋体" w:cs="宋体"/>
          <w:b/>
          <w:color w:val="auto"/>
          <w:kern w:val="2"/>
          <w:sz w:val="24"/>
          <w:szCs w:val="24"/>
          <w:highlight w:val="none"/>
        </w:rPr>
        <w:t>，否则投标无效</w:t>
      </w:r>
      <w:r>
        <w:rPr>
          <w:rFonts w:hint="eastAsia" w:ascii="宋体" w:hAnsi="宋体" w:eastAsia="宋体" w:cs="宋体"/>
          <w:b/>
          <w:bCs w:val="0"/>
          <w:color w:val="auto"/>
          <w:kern w:val="2"/>
          <w:sz w:val="24"/>
          <w:szCs w:val="24"/>
          <w:highlight w:val="none"/>
          <w:lang w:val="en-US" w:eastAsia="zh-CN"/>
        </w:rPr>
        <w:t>。</w:t>
      </w:r>
      <w:r>
        <w:rPr>
          <w:rFonts w:hint="eastAsia" w:ascii="宋体" w:hAnsi="宋体" w:eastAsia="宋体" w:cs="宋体"/>
          <w:b w:val="0"/>
          <w:bCs w:val="0"/>
          <w:color w:val="auto"/>
          <w:sz w:val="24"/>
          <w:szCs w:val="24"/>
          <w:highlight w:val="none"/>
          <w:lang w:val="en-US"/>
        </w:rPr>
        <w:t>）</w:t>
      </w:r>
    </w:p>
    <w:p w14:paraId="374FEF43">
      <w:pPr>
        <w:pStyle w:val="375"/>
        <w:keepNext w:val="0"/>
        <w:pageBreakBefore w:val="0"/>
        <w:tabs>
          <w:tab w:val="clear" w:pos="720"/>
        </w:tabs>
        <w:snapToGrid w:val="0"/>
        <w:spacing w:before="120" w:after="120"/>
        <w:ind w:firstLine="643"/>
        <w:jc w:val="left"/>
        <w:outlineLvl w:val="9"/>
        <w:rPr>
          <w:rFonts w:hint="eastAsia" w:ascii="宋体" w:hAnsi="宋体" w:eastAsia="宋体" w:cs="宋体"/>
          <w:b w:val="0"/>
          <w:bCs w:val="0"/>
          <w:color w:val="auto"/>
          <w:sz w:val="24"/>
          <w:szCs w:val="24"/>
          <w:highlight w:val="none"/>
          <w:lang w:val="en-US"/>
        </w:rPr>
      </w:pPr>
    </w:p>
    <w:p w14:paraId="7E448D9B">
      <w:pPr>
        <w:pStyle w:val="375"/>
        <w:keepNext w:val="0"/>
        <w:pageBreakBefore w:val="0"/>
        <w:tabs>
          <w:tab w:val="clear" w:pos="720"/>
        </w:tabs>
        <w:snapToGrid w:val="0"/>
        <w:spacing w:before="120" w:after="120"/>
        <w:jc w:val="center"/>
        <w:outlineLvl w:val="9"/>
        <w:rPr>
          <w:rFonts w:ascii="宋体" w:hAnsi="宋体" w:eastAsia="宋体" w:cs="宋体"/>
          <w:color w:val="auto"/>
          <w:sz w:val="32"/>
          <w:szCs w:val="32"/>
          <w:highlight w:val="none"/>
        </w:rPr>
      </w:pPr>
      <w:r>
        <w:rPr>
          <w:rFonts w:hint="eastAsia" w:ascii="宋体" w:hAnsi="宋体" w:eastAsia="宋体" w:cs="宋体"/>
          <w:color w:val="auto"/>
          <w:kern w:val="2"/>
          <w:sz w:val="32"/>
          <w:szCs w:val="32"/>
          <w:highlight w:val="none"/>
          <w:lang w:eastAsia="zh-CN"/>
        </w:rPr>
        <w:t>三</w:t>
      </w:r>
      <w:r>
        <w:rPr>
          <w:rFonts w:hint="eastAsia" w:ascii="宋体" w:hAnsi="宋体" w:eastAsia="宋体" w:cs="宋体"/>
          <w:color w:val="auto"/>
          <w:kern w:val="2"/>
          <w:sz w:val="32"/>
          <w:szCs w:val="32"/>
          <w:highlight w:val="none"/>
        </w:rPr>
        <w:t>、</w:t>
      </w:r>
      <w:r>
        <w:rPr>
          <w:rFonts w:hint="eastAsia" w:ascii="宋体" w:hAnsi="宋体" w:eastAsia="宋体" w:cs="宋体"/>
          <w:color w:val="auto"/>
          <w:sz w:val="32"/>
          <w:szCs w:val="32"/>
          <w:highlight w:val="none"/>
        </w:rPr>
        <w:t>中小企业声明函</w:t>
      </w:r>
      <w:bookmarkStart w:id="557" w:name="_Hlk101259491"/>
      <w:r>
        <w:rPr>
          <w:rFonts w:hint="eastAsia" w:ascii="宋体" w:hAnsi="宋体" w:eastAsia="宋体" w:cs="宋体"/>
          <w:color w:val="auto"/>
          <w:sz w:val="32"/>
          <w:szCs w:val="32"/>
          <w:highlight w:val="none"/>
        </w:rPr>
        <w:t>（如果有）</w:t>
      </w:r>
      <w:bookmarkEnd w:id="557"/>
    </w:p>
    <w:p w14:paraId="0BEDF9B9">
      <w:pPr>
        <w:widowControl/>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p>
    <w:p w14:paraId="4AADC89E">
      <w:pPr>
        <w:widowControl/>
        <w:ind w:firstLine="160" w:firstLineChars="50"/>
        <w:jc w:val="left"/>
        <w:rPr>
          <w:rFonts w:ascii="宋体" w:hAnsi="宋体" w:eastAsia="宋体" w:cs="宋体"/>
          <w:b w:val="0"/>
          <w:color w:val="FF0000"/>
          <w:sz w:val="32"/>
          <w:szCs w:val="32"/>
        </w:rPr>
      </w:pPr>
    </w:p>
    <w:p w14:paraId="28AB1B1C">
      <w:pPr>
        <w:spacing w:line="360" w:lineRule="auto"/>
        <w:ind w:right="420" w:firstLine="3614" w:firstLineChars="1000"/>
        <w:rPr>
          <w:rFonts w:ascii="宋体" w:hAnsi="宋体" w:cs="宋体"/>
          <w:b/>
          <w:kern w:val="0"/>
          <w:sz w:val="36"/>
          <w:szCs w:val="36"/>
        </w:rPr>
      </w:pPr>
    </w:p>
    <w:p w14:paraId="285F63A1">
      <w:pPr>
        <w:spacing w:line="360" w:lineRule="auto"/>
        <w:ind w:right="420" w:firstLine="3614" w:firstLineChars="1000"/>
        <w:rPr>
          <w:rFonts w:ascii="宋体" w:hAnsi="宋体" w:cs="宋体"/>
          <w:b/>
          <w:kern w:val="0"/>
          <w:sz w:val="36"/>
          <w:szCs w:val="36"/>
        </w:rPr>
      </w:pPr>
    </w:p>
    <w:p w14:paraId="0F83FC8A">
      <w:pPr>
        <w:spacing w:line="360" w:lineRule="auto"/>
        <w:ind w:right="420" w:firstLine="3614" w:firstLineChars="1000"/>
        <w:rPr>
          <w:rFonts w:ascii="宋体" w:hAnsi="宋体" w:cs="宋体"/>
          <w:b/>
          <w:kern w:val="0"/>
          <w:sz w:val="36"/>
          <w:szCs w:val="36"/>
        </w:rPr>
      </w:pPr>
    </w:p>
    <w:p w14:paraId="66C91DEB">
      <w:pPr>
        <w:spacing w:line="360" w:lineRule="auto"/>
        <w:ind w:right="420" w:firstLine="3614" w:firstLineChars="1000"/>
        <w:rPr>
          <w:rFonts w:ascii="宋体" w:hAnsi="宋体" w:cs="宋体"/>
          <w:b/>
          <w:kern w:val="0"/>
          <w:sz w:val="36"/>
          <w:szCs w:val="36"/>
        </w:rPr>
      </w:pPr>
    </w:p>
    <w:p w14:paraId="2E2CCB48">
      <w:pPr>
        <w:spacing w:line="360" w:lineRule="auto"/>
        <w:ind w:right="420" w:firstLine="3614" w:firstLineChars="1000"/>
        <w:rPr>
          <w:rFonts w:ascii="宋体" w:hAnsi="宋体" w:cs="宋体"/>
          <w:b/>
          <w:kern w:val="0"/>
          <w:sz w:val="36"/>
          <w:szCs w:val="36"/>
        </w:rPr>
      </w:pPr>
    </w:p>
    <w:p w14:paraId="158B53CC">
      <w:pPr>
        <w:spacing w:line="360" w:lineRule="auto"/>
        <w:ind w:right="420" w:firstLine="3614" w:firstLineChars="1000"/>
        <w:rPr>
          <w:rFonts w:ascii="宋体" w:hAnsi="宋体" w:cs="宋体"/>
          <w:b/>
          <w:kern w:val="0"/>
          <w:sz w:val="36"/>
          <w:szCs w:val="36"/>
        </w:rPr>
      </w:pPr>
    </w:p>
    <w:p w14:paraId="2CAC9716">
      <w:pPr>
        <w:spacing w:line="360" w:lineRule="auto"/>
        <w:ind w:right="420" w:firstLine="3614" w:firstLineChars="1000"/>
        <w:rPr>
          <w:rFonts w:ascii="宋体" w:hAnsi="宋体" w:cs="宋体"/>
          <w:b/>
          <w:kern w:val="0"/>
          <w:sz w:val="36"/>
          <w:szCs w:val="36"/>
        </w:rPr>
      </w:pPr>
    </w:p>
    <w:p w14:paraId="7913A57A">
      <w:pPr>
        <w:spacing w:line="360" w:lineRule="auto"/>
        <w:ind w:right="420" w:firstLine="3614" w:firstLineChars="1000"/>
        <w:rPr>
          <w:rFonts w:ascii="宋体" w:hAnsi="宋体" w:cs="宋体"/>
          <w:b/>
          <w:kern w:val="0"/>
          <w:sz w:val="36"/>
          <w:szCs w:val="36"/>
        </w:rPr>
      </w:pPr>
    </w:p>
    <w:p w14:paraId="3FCDC268">
      <w:pPr>
        <w:spacing w:line="360" w:lineRule="auto"/>
        <w:ind w:right="420" w:firstLine="3614" w:firstLineChars="1000"/>
        <w:rPr>
          <w:rFonts w:ascii="宋体" w:hAnsi="宋体" w:cs="宋体"/>
          <w:b/>
          <w:kern w:val="0"/>
          <w:sz w:val="36"/>
          <w:szCs w:val="36"/>
        </w:rPr>
      </w:pPr>
    </w:p>
    <w:p w14:paraId="0FA45513">
      <w:pPr>
        <w:pStyle w:val="2"/>
        <w:pageBreakBefore/>
        <w:widowControl/>
        <w:spacing w:before="100" w:beforeAutospacing="1" w:after="100" w:afterAutospacing="1" w:line="360" w:lineRule="auto"/>
        <w:ind w:left="1290" w:firstLine="3092" w:firstLineChars="700"/>
        <w:rPr>
          <w:rFonts w:ascii="宋体" w:hAnsi="宋体" w:cs="宋体"/>
        </w:rPr>
      </w:pPr>
      <w:bookmarkStart w:id="558" w:name="_Toc465665161"/>
      <w:r>
        <w:rPr>
          <w:rFonts w:hint="eastAsia" w:ascii="宋体" w:hAnsi="宋体" w:cs="宋体"/>
        </w:rPr>
        <w:t>附件</w:t>
      </w:r>
      <w:bookmarkEnd w:id="558"/>
    </w:p>
    <w:p w14:paraId="309257CA">
      <w:pPr>
        <w:spacing w:line="360" w:lineRule="auto"/>
        <w:rPr>
          <w:rFonts w:ascii="宋体" w:hAnsi="宋体" w:cs="宋体"/>
          <w:b/>
          <w:spacing w:val="6"/>
          <w:sz w:val="32"/>
          <w:szCs w:val="32"/>
        </w:rPr>
      </w:pPr>
      <w:r>
        <w:rPr>
          <w:rFonts w:hint="eastAsia" w:ascii="宋体" w:hAnsi="宋体" w:cs="宋体"/>
          <w:b/>
          <w:spacing w:val="6"/>
          <w:sz w:val="32"/>
          <w:szCs w:val="32"/>
        </w:rPr>
        <w:t>附件1：</w:t>
      </w:r>
    </w:p>
    <w:p w14:paraId="72263467">
      <w:pPr>
        <w:spacing w:line="360" w:lineRule="auto"/>
        <w:jc w:val="center"/>
        <w:rPr>
          <w:rFonts w:ascii="宋体" w:hAnsi="宋体" w:cs="宋体"/>
          <w:b/>
          <w:spacing w:val="6"/>
          <w:sz w:val="32"/>
          <w:szCs w:val="32"/>
        </w:rPr>
      </w:pPr>
      <w:bookmarkStart w:id="559" w:name="OLE_LINK13"/>
      <w:bookmarkStart w:id="560" w:name="OLE_LINK14"/>
      <w:r>
        <w:rPr>
          <w:rFonts w:hint="eastAsia" w:ascii="宋体" w:hAnsi="宋体" w:cs="宋体"/>
          <w:b/>
          <w:spacing w:val="6"/>
          <w:sz w:val="32"/>
          <w:szCs w:val="32"/>
        </w:rPr>
        <w:t>残疾人福利性单位声明函</w:t>
      </w:r>
    </w:p>
    <w:bookmarkEnd w:id="559"/>
    <w:bookmarkEnd w:id="560"/>
    <w:p w14:paraId="6AD2DD71">
      <w:pPr>
        <w:spacing w:line="360" w:lineRule="auto"/>
        <w:rPr>
          <w:rFonts w:ascii="宋体" w:hAnsi="宋体" w:cs="宋体"/>
          <w:b/>
          <w:color w:val="auto"/>
          <w:spacing w:val="6"/>
          <w:sz w:val="30"/>
          <w:szCs w:val="30"/>
        </w:rPr>
      </w:pPr>
    </w:p>
    <w:p w14:paraId="35A7524C">
      <w:pPr>
        <w:spacing w:line="360" w:lineRule="auto"/>
        <w:ind w:firstLine="480" w:firstLineChars="200"/>
        <w:rPr>
          <w:rFonts w:ascii="宋体" w:hAnsi="宋体" w:cs="宋体"/>
          <w:color w:val="auto"/>
          <w:sz w:val="24"/>
        </w:rPr>
      </w:pPr>
      <w:r>
        <w:rPr>
          <w:rFonts w:hint="eastAsia" w:ascii="宋体" w:hAnsi="宋体" w:cs="宋体"/>
          <w:color w:val="auto"/>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color w:val="auto"/>
          <w:sz w:val="24"/>
          <w:u w:val="single"/>
          <w:lang w:eastAsia="zh-CN"/>
        </w:rPr>
        <w:t>杭州师范大学附属未来科技城学校（杭州二中教育集团未来科技城学校）</w:t>
      </w:r>
      <w:r>
        <w:rPr>
          <w:rFonts w:hint="eastAsia" w:ascii="宋体" w:hAnsi="宋体" w:cs="宋体"/>
          <w:color w:val="auto"/>
          <w:sz w:val="24"/>
        </w:rPr>
        <w:t>单位的</w:t>
      </w:r>
      <w:r>
        <w:rPr>
          <w:rFonts w:hint="eastAsia" w:ascii="宋体" w:hAnsi="宋体" w:cs="宋体"/>
          <w:color w:val="auto"/>
          <w:sz w:val="24"/>
          <w:u w:val="single"/>
          <w:lang w:eastAsia="zh-CN"/>
        </w:rPr>
        <w:t>杭州师范大学附属未来科技城学校（天元公学西站校区）办公家具（二）采购项目</w:t>
      </w:r>
      <w:r>
        <w:rPr>
          <w:rFonts w:hint="eastAsia" w:ascii="宋体" w:hAnsi="宋体" w:cs="宋体"/>
          <w:color w:val="auto"/>
          <w:sz w:val="24"/>
        </w:rPr>
        <w:t>采购活动提供本单位制造的货物（由本单位承担工程/提供服务），或者提供其他残疾人福利性单位制造的货物（不包括使用非残疾人福利性单位注册商标的货物）。</w:t>
      </w:r>
    </w:p>
    <w:p w14:paraId="14BDADA3">
      <w:pPr>
        <w:spacing w:line="360" w:lineRule="auto"/>
        <w:ind w:firstLine="480" w:firstLineChars="200"/>
        <w:rPr>
          <w:rFonts w:ascii="宋体" w:hAnsi="宋体" w:cs="宋体"/>
          <w:color w:val="auto"/>
          <w:sz w:val="24"/>
        </w:rPr>
      </w:pPr>
      <w:r>
        <w:rPr>
          <w:rFonts w:hint="eastAsia" w:ascii="宋体" w:hAnsi="宋体" w:cs="宋体"/>
          <w:color w:val="auto"/>
          <w:sz w:val="24"/>
        </w:rPr>
        <w:t>本单位对上述声明的真实性负责。如有虚假，将依法承担相应责任。</w:t>
      </w:r>
    </w:p>
    <w:p w14:paraId="31B31037">
      <w:pPr>
        <w:spacing w:line="360" w:lineRule="auto"/>
        <w:ind w:firstLine="480" w:firstLineChars="200"/>
        <w:rPr>
          <w:rFonts w:ascii="宋体" w:hAnsi="宋体" w:cs="宋体"/>
          <w:color w:val="auto"/>
          <w:sz w:val="24"/>
        </w:rPr>
      </w:pPr>
    </w:p>
    <w:p w14:paraId="49112592">
      <w:pPr>
        <w:spacing w:line="360" w:lineRule="auto"/>
        <w:ind w:firstLine="480" w:firstLineChars="200"/>
        <w:rPr>
          <w:rFonts w:ascii="宋体" w:hAnsi="宋体" w:cs="宋体"/>
          <w:color w:val="auto"/>
          <w:sz w:val="24"/>
        </w:rPr>
      </w:pPr>
    </w:p>
    <w:p w14:paraId="203CC5BF">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w:t>
      </w:r>
      <w:r>
        <w:rPr>
          <w:rFonts w:hint="eastAsia" w:ascii="宋体" w:hAnsi="宋体" w:cs="宋体"/>
          <w:kern w:val="0"/>
          <w:sz w:val="24"/>
          <w:lang w:val="zh-CN"/>
        </w:rPr>
        <w:t>投标人名称（电子签名）</w:t>
      </w:r>
      <w:r>
        <w:rPr>
          <w:rFonts w:hint="eastAsia" w:ascii="宋体" w:hAnsi="宋体" w:cs="宋体"/>
          <w:sz w:val="24"/>
        </w:rPr>
        <w:t>：</w:t>
      </w:r>
    </w:p>
    <w:p w14:paraId="0240336D">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日  期：</w:t>
      </w:r>
    </w:p>
    <w:p w14:paraId="778E9581">
      <w:pPr>
        <w:spacing w:line="360" w:lineRule="auto"/>
        <w:ind w:firstLine="480" w:firstLineChars="200"/>
        <w:rPr>
          <w:rFonts w:ascii="宋体" w:hAnsi="宋体" w:cs="宋体"/>
          <w:sz w:val="24"/>
        </w:rPr>
      </w:pPr>
    </w:p>
    <w:p w14:paraId="5F7583AA">
      <w:pPr>
        <w:spacing w:line="360" w:lineRule="auto"/>
        <w:ind w:firstLine="420" w:firstLineChars="200"/>
        <w:rPr>
          <w:rFonts w:ascii="宋体" w:hAnsi="宋体" w:cs="宋体"/>
        </w:rPr>
      </w:pPr>
    </w:p>
    <w:p w14:paraId="26D84ED9">
      <w:pPr>
        <w:spacing w:line="360" w:lineRule="auto"/>
        <w:ind w:firstLine="420" w:firstLineChars="200"/>
        <w:rPr>
          <w:rFonts w:ascii="宋体" w:hAnsi="宋体" w:cs="宋体"/>
        </w:rPr>
      </w:pPr>
    </w:p>
    <w:p w14:paraId="0EBB1897">
      <w:pPr>
        <w:spacing w:line="360" w:lineRule="auto"/>
        <w:ind w:firstLine="420" w:firstLineChars="200"/>
        <w:rPr>
          <w:rFonts w:ascii="宋体" w:hAnsi="宋体" w:cs="宋体"/>
        </w:rPr>
      </w:pPr>
    </w:p>
    <w:p w14:paraId="4DCA8A44">
      <w:pPr>
        <w:spacing w:line="360" w:lineRule="auto"/>
        <w:ind w:firstLine="420" w:firstLineChars="200"/>
        <w:rPr>
          <w:rFonts w:ascii="宋体" w:hAnsi="宋体" w:cs="宋体"/>
        </w:rPr>
      </w:pPr>
    </w:p>
    <w:p w14:paraId="38201F3D">
      <w:pPr>
        <w:spacing w:line="360" w:lineRule="auto"/>
        <w:rPr>
          <w:rFonts w:ascii="宋体" w:hAnsi="宋体" w:cs="宋体"/>
          <w:b/>
          <w:sz w:val="24"/>
        </w:rPr>
      </w:pPr>
    </w:p>
    <w:p w14:paraId="0D6C7AAD">
      <w:pPr>
        <w:spacing w:line="360" w:lineRule="auto"/>
        <w:rPr>
          <w:rFonts w:ascii="宋体" w:hAnsi="宋体" w:cs="宋体"/>
          <w:b/>
          <w:sz w:val="24"/>
        </w:rPr>
      </w:pPr>
    </w:p>
    <w:p w14:paraId="66D077FD">
      <w:pPr>
        <w:spacing w:line="360" w:lineRule="auto"/>
        <w:rPr>
          <w:rFonts w:ascii="宋体" w:hAnsi="宋体" w:cs="宋体"/>
          <w:b/>
          <w:sz w:val="24"/>
        </w:rPr>
      </w:pPr>
    </w:p>
    <w:p w14:paraId="69EED596">
      <w:pPr>
        <w:spacing w:line="360" w:lineRule="auto"/>
        <w:rPr>
          <w:rFonts w:ascii="宋体" w:hAnsi="宋体" w:cs="宋体"/>
          <w:b/>
          <w:sz w:val="24"/>
        </w:rPr>
      </w:pPr>
    </w:p>
    <w:p w14:paraId="5F3B934F">
      <w:pPr>
        <w:spacing w:line="360" w:lineRule="auto"/>
        <w:rPr>
          <w:rFonts w:ascii="宋体" w:hAnsi="宋体" w:cs="宋体"/>
          <w:b/>
          <w:sz w:val="24"/>
        </w:rPr>
      </w:pPr>
    </w:p>
    <w:p w14:paraId="3C053CA4">
      <w:pPr>
        <w:spacing w:line="360" w:lineRule="auto"/>
        <w:rPr>
          <w:rFonts w:ascii="宋体" w:hAnsi="宋体" w:cs="宋体"/>
          <w:b/>
          <w:sz w:val="24"/>
        </w:rPr>
      </w:pPr>
    </w:p>
    <w:p w14:paraId="7212B931">
      <w:pPr>
        <w:spacing w:line="360" w:lineRule="auto"/>
        <w:rPr>
          <w:rFonts w:ascii="宋体" w:hAnsi="宋体" w:cs="宋体"/>
          <w:b/>
          <w:sz w:val="24"/>
        </w:rPr>
      </w:pPr>
    </w:p>
    <w:p w14:paraId="4222CD58">
      <w:pPr>
        <w:spacing w:line="360" w:lineRule="auto"/>
        <w:rPr>
          <w:rFonts w:ascii="宋体" w:hAnsi="宋体" w:cs="宋体"/>
          <w:b/>
          <w:sz w:val="24"/>
        </w:rPr>
      </w:pPr>
    </w:p>
    <w:p w14:paraId="01BE7FDB">
      <w:pPr>
        <w:spacing w:line="360" w:lineRule="auto"/>
        <w:rPr>
          <w:rFonts w:ascii="宋体" w:hAnsi="宋体" w:cs="宋体"/>
          <w:b/>
          <w:sz w:val="24"/>
        </w:rPr>
      </w:pPr>
    </w:p>
    <w:p w14:paraId="6E54C7B3">
      <w:pPr>
        <w:spacing w:line="360" w:lineRule="auto"/>
        <w:jc w:val="left"/>
        <w:rPr>
          <w:rFonts w:ascii="宋体" w:hAnsi="宋体" w:cs="宋体"/>
          <w:b/>
          <w:spacing w:val="6"/>
          <w:sz w:val="32"/>
          <w:szCs w:val="32"/>
        </w:rPr>
      </w:pPr>
      <w:r>
        <w:rPr>
          <w:rFonts w:hint="eastAsia" w:ascii="宋体" w:hAnsi="宋体" w:cs="宋体"/>
          <w:b/>
          <w:spacing w:val="6"/>
          <w:sz w:val="32"/>
          <w:szCs w:val="32"/>
        </w:rPr>
        <w:t>附件2：质疑函范本及制作说明</w:t>
      </w:r>
    </w:p>
    <w:p w14:paraId="547A8729">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14:paraId="7E139A18">
      <w:pPr>
        <w:snapToGrid w:val="0"/>
        <w:spacing w:before="240" w:beforeLines="100" w:line="360" w:lineRule="auto"/>
        <w:rPr>
          <w:rFonts w:ascii="宋体" w:hAnsi="宋体" w:cs="宋体"/>
          <w:bCs/>
          <w:sz w:val="24"/>
        </w:rPr>
      </w:pPr>
      <w:r>
        <w:rPr>
          <w:rFonts w:hint="eastAsia" w:ascii="宋体" w:hAnsi="宋体" w:cs="宋体"/>
          <w:bCs/>
          <w:sz w:val="24"/>
        </w:rPr>
        <w:t>一、质疑供应商基本信息</w:t>
      </w:r>
    </w:p>
    <w:p w14:paraId="60762051">
      <w:pPr>
        <w:snapToGrid w:val="0"/>
        <w:spacing w:line="360" w:lineRule="auto"/>
        <w:rPr>
          <w:rFonts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14:paraId="53ABE57F">
      <w:pPr>
        <w:snapToGrid w:val="0"/>
        <w:spacing w:line="360" w:lineRule="auto"/>
        <w:rPr>
          <w:rFonts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2DF95791">
      <w:pPr>
        <w:snapToGrid w:val="0"/>
        <w:spacing w:line="360" w:lineRule="auto"/>
        <w:rPr>
          <w:rFonts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2E0ACFEC">
      <w:pPr>
        <w:snapToGrid w:val="0"/>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14:paraId="737E21F0">
      <w:pPr>
        <w:snapToGrid w:val="0"/>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14:paraId="152917D7">
      <w:pPr>
        <w:snapToGrid w:val="0"/>
        <w:spacing w:line="360" w:lineRule="auto"/>
        <w:rPr>
          <w:rFonts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0FF42974">
      <w:pPr>
        <w:snapToGrid w:val="0"/>
        <w:spacing w:line="360" w:lineRule="auto"/>
        <w:rPr>
          <w:rFonts w:ascii="宋体" w:hAnsi="宋体" w:cs="宋体"/>
          <w:bCs/>
          <w:sz w:val="24"/>
        </w:rPr>
      </w:pPr>
      <w:r>
        <w:rPr>
          <w:rFonts w:hint="eastAsia" w:ascii="宋体" w:hAnsi="宋体" w:cs="宋体"/>
          <w:bCs/>
          <w:sz w:val="24"/>
        </w:rPr>
        <w:t>二、质疑项目基本情况</w:t>
      </w:r>
    </w:p>
    <w:p w14:paraId="50B3EA05">
      <w:pPr>
        <w:snapToGrid w:val="0"/>
        <w:spacing w:line="360" w:lineRule="auto"/>
        <w:rPr>
          <w:rFonts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14:paraId="764D1B6D">
      <w:pPr>
        <w:snapToGrid w:val="0"/>
        <w:spacing w:line="360" w:lineRule="auto"/>
        <w:rPr>
          <w:rFonts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28CC8A66">
      <w:pPr>
        <w:snapToGrid w:val="0"/>
        <w:spacing w:line="360" w:lineRule="auto"/>
        <w:rPr>
          <w:rFonts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14:paraId="018495DE">
      <w:pPr>
        <w:snapToGrid w:val="0"/>
        <w:spacing w:line="360" w:lineRule="auto"/>
        <w:rPr>
          <w:rFonts w:ascii="宋体" w:hAnsi="宋体" w:cs="宋体"/>
          <w:sz w:val="24"/>
        </w:rPr>
      </w:pPr>
      <w:r>
        <w:rPr>
          <w:rFonts w:hint="eastAsia" w:ascii="宋体" w:hAnsi="宋体" w:cs="宋体"/>
          <w:sz w:val="24"/>
        </w:rPr>
        <w:t>采购文件获取日期：</w:t>
      </w:r>
      <w:r>
        <w:rPr>
          <w:rFonts w:hint="eastAsia" w:ascii="宋体" w:hAnsi="宋体" w:cs="宋体"/>
          <w:sz w:val="24"/>
          <w:u w:val="dotted"/>
        </w:rPr>
        <w:t xml:space="preserve">                                           </w:t>
      </w:r>
    </w:p>
    <w:p w14:paraId="0AF89149">
      <w:pPr>
        <w:snapToGrid w:val="0"/>
        <w:spacing w:line="360" w:lineRule="auto"/>
        <w:rPr>
          <w:rFonts w:ascii="宋体" w:hAnsi="宋体" w:cs="宋体"/>
          <w:bCs/>
          <w:sz w:val="24"/>
        </w:rPr>
      </w:pPr>
      <w:r>
        <w:rPr>
          <w:rFonts w:hint="eastAsia" w:ascii="宋体" w:hAnsi="宋体" w:cs="宋体"/>
          <w:bCs/>
          <w:sz w:val="24"/>
        </w:rPr>
        <w:t>三、质疑事项具体内容</w:t>
      </w:r>
    </w:p>
    <w:p w14:paraId="74AB0F5F">
      <w:pPr>
        <w:snapToGrid w:val="0"/>
        <w:spacing w:line="360" w:lineRule="auto"/>
        <w:rPr>
          <w:rFonts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14:paraId="27B7481C">
      <w:pPr>
        <w:snapToGrid w:val="0"/>
        <w:spacing w:line="360" w:lineRule="auto"/>
        <w:rPr>
          <w:rFonts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14:paraId="6A70D7CD">
      <w:pPr>
        <w:snapToGrid w:val="0"/>
        <w:spacing w:line="360" w:lineRule="auto"/>
        <w:rPr>
          <w:rFonts w:ascii="宋体" w:hAnsi="宋体" w:cs="宋体"/>
          <w:sz w:val="24"/>
        </w:rPr>
      </w:pPr>
      <w:r>
        <w:rPr>
          <w:rFonts w:hint="eastAsia" w:ascii="宋体" w:hAnsi="宋体" w:cs="宋体"/>
          <w:sz w:val="24"/>
          <w:u w:val="dotted"/>
        </w:rPr>
        <w:t xml:space="preserve">                                                       </w:t>
      </w:r>
    </w:p>
    <w:p w14:paraId="09A1162D">
      <w:pPr>
        <w:snapToGrid w:val="0"/>
        <w:spacing w:line="360" w:lineRule="auto"/>
        <w:rPr>
          <w:rFonts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14:paraId="43E1F721">
      <w:pPr>
        <w:snapToGrid w:val="0"/>
        <w:spacing w:line="360" w:lineRule="auto"/>
        <w:rPr>
          <w:rFonts w:ascii="宋体" w:hAnsi="宋体" w:cs="宋体"/>
          <w:sz w:val="24"/>
          <w:u w:val="dotted"/>
        </w:rPr>
      </w:pPr>
      <w:r>
        <w:rPr>
          <w:rFonts w:hint="eastAsia" w:ascii="宋体" w:hAnsi="宋体" w:cs="宋体"/>
          <w:sz w:val="24"/>
          <w:u w:val="dotted"/>
        </w:rPr>
        <w:t xml:space="preserve">                                                     </w:t>
      </w:r>
    </w:p>
    <w:p w14:paraId="0282C26B">
      <w:pPr>
        <w:snapToGrid w:val="0"/>
        <w:spacing w:line="360" w:lineRule="auto"/>
        <w:rPr>
          <w:rFonts w:ascii="宋体" w:hAnsi="宋体" w:cs="宋体"/>
          <w:sz w:val="24"/>
          <w:u w:val="dotted"/>
        </w:rPr>
      </w:pPr>
      <w:r>
        <w:rPr>
          <w:rFonts w:hint="eastAsia" w:ascii="宋体" w:hAnsi="宋体" w:cs="宋体"/>
          <w:sz w:val="24"/>
        </w:rPr>
        <w:t>质疑事项2</w:t>
      </w:r>
    </w:p>
    <w:p w14:paraId="652F2303">
      <w:pPr>
        <w:snapToGrid w:val="0"/>
        <w:spacing w:line="360" w:lineRule="auto"/>
        <w:rPr>
          <w:rFonts w:ascii="宋体" w:hAnsi="宋体" w:cs="宋体"/>
          <w:sz w:val="24"/>
        </w:rPr>
      </w:pPr>
      <w:r>
        <w:rPr>
          <w:rFonts w:hint="eastAsia" w:ascii="宋体" w:hAnsi="宋体" w:cs="宋体"/>
          <w:sz w:val="24"/>
        </w:rPr>
        <w:t>……</w:t>
      </w:r>
    </w:p>
    <w:p w14:paraId="1853A7B6">
      <w:pPr>
        <w:snapToGrid w:val="0"/>
        <w:spacing w:line="360" w:lineRule="auto"/>
        <w:rPr>
          <w:rFonts w:ascii="宋体" w:hAnsi="宋体" w:cs="宋体"/>
          <w:bCs/>
          <w:sz w:val="24"/>
        </w:rPr>
      </w:pPr>
      <w:r>
        <w:rPr>
          <w:rFonts w:hint="eastAsia" w:ascii="宋体" w:hAnsi="宋体" w:cs="宋体"/>
          <w:bCs/>
          <w:sz w:val="24"/>
        </w:rPr>
        <w:t>四、与质疑事项相关的质疑请求</w:t>
      </w:r>
    </w:p>
    <w:p w14:paraId="04AD5188">
      <w:pPr>
        <w:snapToGrid w:val="0"/>
        <w:spacing w:line="360" w:lineRule="auto"/>
        <w:rPr>
          <w:rFonts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14:paraId="76E178C6">
      <w:pPr>
        <w:spacing w:line="360" w:lineRule="auto"/>
        <w:rPr>
          <w:rFonts w:ascii="宋体" w:hAnsi="宋体" w:cs="宋体"/>
          <w:sz w:val="24"/>
        </w:rPr>
      </w:pPr>
      <w:r>
        <w:rPr>
          <w:rFonts w:hint="eastAsia" w:ascii="宋体" w:hAnsi="宋体" w:cs="宋体"/>
          <w:sz w:val="24"/>
        </w:rPr>
        <w:t>签字</w:t>
      </w:r>
      <w:r>
        <w:rPr>
          <w:rFonts w:hint="eastAsia" w:ascii="宋体" w:hAnsi="宋体" w:cs="宋体"/>
          <w:sz w:val="24"/>
          <w:lang w:eastAsia="zh-CN"/>
        </w:rPr>
        <w:t>（</w:t>
      </w:r>
      <w:r>
        <w:rPr>
          <w:rFonts w:hint="eastAsia" w:ascii="宋体" w:hAnsi="宋体" w:cs="宋体"/>
          <w:sz w:val="24"/>
        </w:rPr>
        <w:t>签章</w:t>
      </w:r>
      <w:r>
        <w:rPr>
          <w:rFonts w:hint="eastAsia" w:ascii="宋体" w:hAnsi="宋体" w:cs="宋体"/>
          <w:sz w:val="24"/>
          <w:lang w:eastAsia="zh-CN"/>
        </w:rPr>
        <w:t>）</w:t>
      </w:r>
      <w:r>
        <w:rPr>
          <w:rFonts w:hint="eastAsia" w:ascii="宋体" w:hAnsi="宋体" w:cs="宋体"/>
          <w:sz w:val="24"/>
        </w:rPr>
        <w:t xml:space="preserve">：                   公章：                      </w:t>
      </w:r>
    </w:p>
    <w:p w14:paraId="76E87B3D">
      <w:pPr>
        <w:spacing w:line="360" w:lineRule="auto"/>
        <w:rPr>
          <w:rFonts w:ascii="宋体" w:hAnsi="宋体" w:cs="宋体"/>
          <w:sz w:val="24"/>
        </w:rPr>
      </w:pPr>
      <w:r>
        <w:rPr>
          <w:rFonts w:hint="eastAsia" w:ascii="宋体" w:hAnsi="宋体" w:cs="宋体"/>
          <w:sz w:val="24"/>
        </w:rPr>
        <w:t xml:space="preserve">日期：    </w:t>
      </w:r>
    </w:p>
    <w:p w14:paraId="5EBF741D">
      <w:pPr>
        <w:spacing w:line="360" w:lineRule="auto"/>
        <w:jc w:val="center"/>
        <w:rPr>
          <w:rFonts w:ascii="宋体" w:hAnsi="宋体" w:cs="宋体"/>
          <w:b/>
          <w:bCs/>
          <w:sz w:val="24"/>
        </w:rPr>
      </w:pPr>
    </w:p>
    <w:p w14:paraId="113877F8">
      <w:pPr>
        <w:spacing w:line="360" w:lineRule="auto"/>
        <w:rPr>
          <w:rFonts w:ascii="宋体" w:hAnsi="宋体" w:cs="宋体"/>
          <w:b/>
          <w:sz w:val="24"/>
        </w:rPr>
      </w:pPr>
    </w:p>
    <w:p w14:paraId="6825F45E">
      <w:pPr>
        <w:spacing w:line="360" w:lineRule="auto"/>
        <w:rPr>
          <w:rFonts w:ascii="宋体" w:hAnsi="宋体" w:cs="宋体"/>
          <w:b/>
          <w:sz w:val="24"/>
        </w:rPr>
      </w:pPr>
    </w:p>
    <w:p w14:paraId="02C2CAFC">
      <w:pPr>
        <w:spacing w:line="360" w:lineRule="auto"/>
        <w:rPr>
          <w:rFonts w:ascii="宋体" w:hAnsi="宋体" w:cs="宋体"/>
          <w:b/>
          <w:sz w:val="24"/>
        </w:rPr>
      </w:pPr>
    </w:p>
    <w:p w14:paraId="154D0849">
      <w:pPr>
        <w:spacing w:line="360" w:lineRule="auto"/>
        <w:rPr>
          <w:rFonts w:ascii="宋体" w:hAnsi="宋体" w:cs="宋体"/>
          <w:b/>
          <w:sz w:val="24"/>
        </w:rPr>
      </w:pPr>
      <w:r>
        <w:rPr>
          <w:rFonts w:hint="eastAsia" w:ascii="宋体" w:hAnsi="宋体" w:cs="宋体"/>
          <w:b/>
          <w:sz w:val="24"/>
        </w:rPr>
        <w:t>质疑函制作说明：</w:t>
      </w:r>
    </w:p>
    <w:p w14:paraId="36BFABA7">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14:paraId="32093ECF">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14:paraId="543CAC92">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14:paraId="03F48B3B">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14:paraId="2E805B2F">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14:paraId="57DCCBF3">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14:paraId="57472153">
      <w:pPr>
        <w:widowControl/>
        <w:spacing w:line="360" w:lineRule="auto"/>
        <w:ind w:firstLine="600" w:firstLineChars="200"/>
        <w:jc w:val="left"/>
        <w:rPr>
          <w:rFonts w:ascii="宋体" w:hAnsi="宋体" w:cs="宋体"/>
          <w:sz w:val="30"/>
          <w:szCs w:val="30"/>
        </w:rPr>
      </w:pPr>
    </w:p>
    <w:p w14:paraId="1905F3B1">
      <w:pPr>
        <w:spacing w:line="360" w:lineRule="auto"/>
        <w:jc w:val="center"/>
        <w:rPr>
          <w:rFonts w:ascii="宋体" w:hAnsi="宋体" w:cs="宋体"/>
          <w:b/>
          <w:spacing w:val="6"/>
          <w:sz w:val="32"/>
          <w:szCs w:val="32"/>
        </w:rPr>
      </w:pPr>
    </w:p>
    <w:p w14:paraId="79B2E3BE">
      <w:pPr>
        <w:spacing w:line="360" w:lineRule="auto"/>
        <w:jc w:val="center"/>
        <w:rPr>
          <w:rFonts w:ascii="宋体" w:hAnsi="宋体" w:cs="宋体"/>
          <w:b/>
          <w:spacing w:val="6"/>
          <w:sz w:val="32"/>
          <w:szCs w:val="32"/>
        </w:rPr>
      </w:pPr>
    </w:p>
    <w:p w14:paraId="5B79E492">
      <w:pPr>
        <w:spacing w:line="360" w:lineRule="auto"/>
        <w:jc w:val="center"/>
        <w:rPr>
          <w:rFonts w:ascii="宋体" w:hAnsi="宋体" w:cs="宋体"/>
          <w:b/>
          <w:spacing w:val="6"/>
          <w:sz w:val="32"/>
          <w:szCs w:val="32"/>
        </w:rPr>
      </w:pPr>
    </w:p>
    <w:p w14:paraId="2A601C9A">
      <w:pPr>
        <w:spacing w:line="360" w:lineRule="auto"/>
        <w:jc w:val="center"/>
        <w:rPr>
          <w:rFonts w:ascii="宋体" w:hAnsi="宋体" w:cs="宋体"/>
          <w:b/>
          <w:spacing w:val="6"/>
          <w:sz w:val="32"/>
          <w:szCs w:val="32"/>
        </w:rPr>
      </w:pPr>
    </w:p>
    <w:p w14:paraId="707A799F">
      <w:pPr>
        <w:spacing w:line="360" w:lineRule="auto"/>
        <w:jc w:val="center"/>
        <w:rPr>
          <w:rFonts w:ascii="宋体" w:hAnsi="宋体" w:cs="宋体"/>
          <w:b/>
          <w:spacing w:val="6"/>
          <w:sz w:val="32"/>
          <w:szCs w:val="32"/>
        </w:rPr>
      </w:pPr>
    </w:p>
    <w:p w14:paraId="4A72E27D">
      <w:pPr>
        <w:spacing w:line="360" w:lineRule="auto"/>
        <w:jc w:val="center"/>
        <w:rPr>
          <w:rFonts w:ascii="宋体" w:hAnsi="宋体" w:cs="宋体"/>
          <w:b/>
          <w:spacing w:val="6"/>
          <w:sz w:val="32"/>
          <w:szCs w:val="32"/>
        </w:rPr>
      </w:pPr>
    </w:p>
    <w:p w14:paraId="551B9A0C">
      <w:pPr>
        <w:spacing w:line="360" w:lineRule="auto"/>
        <w:jc w:val="center"/>
        <w:rPr>
          <w:rFonts w:ascii="宋体" w:hAnsi="宋体" w:cs="宋体"/>
          <w:b/>
          <w:spacing w:val="6"/>
          <w:sz w:val="32"/>
          <w:szCs w:val="32"/>
        </w:rPr>
      </w:pPr>
    </w:p>
    <w:p w14:paraId="0F3E1DAF">
      <w:pPr>
        <w:spacing w:line="360" w:lineRule="auto"/>
        <w:jc w:val="center"/>
        <w:rPr>
          <w:rFonts w:ascii="宋体" w:hAnsi="宋体" w:cs="宋体"/>
          <w:b/>
          <w:spacing w:val="6"/>
          <w:sz w:val="32"/>
          <w:szCs w:val="32"/>
        </w:rPr>
      </w:pPr>
    </w:p>
    <w:p w14:paraId="37878D0B">
      <w:pPr>
        <w:spacing w:line="360" w:lineRule="auto"/>
        <w:jc w:val="center"/>
        <w:rPr>
          <w:rFonts w:ascii="宋体" w:hAnsi="宋体" w:cs="宋体"/>
          <w:b/>
          <w:spacing w:val="6"/>
          <w:sz w:val="32"/>
          <w:szCs w:val="32"/>
        </w:rPr>
      </w:pPr>
    </w:p>
    <w:p w14:paraId="79B3183A">
      <w:pPr>
        <w:spacing w:line="360" w:lineRule="auto"/>
        <w:jc w:val="center"/>
        <w:rPr>
          <w:rFonts w:ascii="宋体" w:hAnsi="宋体" w:cs="宋体"/>
          <w:b/>
          <w:spacing w:val="6"/>
          <w:sz w:val="32"/>
          <w:szCs w:val="32"/>
        </w:rPr>
      </w:pPr>
    </w:p>
    <w:p w14:paraId="40276D9E">
      <w:pPr>
        <w:spacing w:line="360" w:lineRule="auto"/>
        <w:jc w:val="center"/>
        <w:rPr>
          <w:rFonts w:ascii="宋体" w:hAnsi="宋体" w:cs="宋体"/>
          <w:b/>
          <w:spacing w:val="6"/>
          <w:sz w:val="32"/>
          <w:szCs w:val="32"/>
        </w:rPr>
      </w:pPr>
    </w:p>
    <w:p w14:paraId="2A372443">
      <w:pPr>
        <w:spacing w:line="360" w:lineRule="auto"/>
        <w:jc w:val="center"/>
        <w:rPr>
          <w:rFonts w:ascii="宋体" w:hAnsi="宋体" w:cs="宋体"/>
          <w:b/>
          <w:spacing w:val="6"/>
          <w:sz w:val="32"/>
          <w:szCs w:val="32"/>
        </w:rPr>
      </w:pPr>
    </w:p>
    <w:p w14:paraId="7677793F">
      <w:pPr>
        <w:spacing w:line="360" w:lineRule="auto"/>
        <w:jc w:val="left"/>
        <w:rPr>
          <w:rFonts w:ascii="宋体" w:hAnsi="宋体" w:cs="宋体"/>
          <w:b/>
          <w:spacing w:val="6"/>
          <w:sz w:val="32"/>
          <w:szCs w:val="32"/>
        </w:rPr>
      </w:pPr>
    </w:p>
    <w:p w14:paraId="0561F732">
      <w:pPr>
        <w:spacing w:line="360" w:lineRule="auto"/>
        <w:jc w:val="left"/>
        <w:rPr>
          <w:rFonts w:ascii="宋体" w:hAnsi="宋体" w:cs="宋体"/>
          <w:b/>
          <w:spacing w:val="6"/>
          <w:sz w:val="32"/>
          <w:szCs w:val="32"/>
        </w:rPr>
      </w:pPr>
    </w:p>
    <w:p w14:paraId="4A132948">
      <w:pPr>
        <w:spacing w:line="360" w:lineRule="auto"/>
        <w:jc w:val="left"/>
        <w:rPr>
          <w:rFonts w:ascii="宋体" w:hAnsi="宋体" w:cs="宋体"/>
          <w:b/>
          <w:spacing w:val="6"/>
          <w:sz w:val="32"/>
          <w:szCs w:val="32"/>
        </w:rPr>
      </w:pPr>
      <w:r>
        <w:rPr>
          <w:rFonts w:hint="eastAsia" w:ascii="宋体" w:hAnsi="宋体" w:cs="宋体"/>
          <w:b/>
          <w:spacing w:val="6"/>
          <w:sz w:val="32"/>
          <w:szCs w:val="32"/>
        </w:rPr>
        <w:t>附件3：投诉书范本及制作说明</w:t>
      </w:r>
    </w:p>
    <w:p w14:paraId="353570CD">
      <w:pPr>
        <w:spacing w:line="360" w:lineRule="auto"/>
        <w:jc w:val="center"/>
        <w:rPr>
          <w:rFonts w:ascii="宋体" w:hAnsi="宋体" w:cs="宋体"/>
          <w:b/>
          <w:sz w:val="24"/>
        </w:rPr>
      </w:pPr>
    </w:p>
    <w:p w14:paraId="15D9DD4D">
      <w:pPr>
        <w:spacing w:line="360" w:lineRule="auto"/>
        <w:jc w:val="center"/>
        <w:rPr>
          <w:rFonts w:ascii="宋体" w:hAnsi="宋体" w:cs="宋体"/>
          <w:b/>
          <w:spacing w:val="6"/>
          <w:sz w:val="32"/>
          <w:szCs w:val="32"/>
        </w:rPr>
      </w:pPr>
      <w:r>
        <w:rPr>
          <w:rFonts w:hint="eastAsia" w:ascii="宋体" w:hAnsi="宋体" w:cs="宋体"/>
          <w:b/>
          <w:spacing w:val="6"/>
          <w:sz w:val="32"/>
          <w:szCs w:val="32"/>
        </w:rPr>
        <w:t>投诉书范本</w:t>
      </w:r>
    </w:p>
    <w:p w14:paraId="6F61A795">
      <w:pPr>
        <w:spacing w:line="360" w:lineRule="auto"/>
        <w:rPr>
          <w:rFonts w:ascii="宋体" w:hAnsi="宋体" w:cs="宋体"/>
          <w:sz w:val="24"/>
        </w:rPr>
      </w:pPr>
      <w:r>
        <w:rPr>
          <w:rFonts w:hint="eastAsia" w:ascii="宋体" w:hAnsi="宋体" w:cs="宋体"/>
          <w:sz w:val="24"/>
        </w:rPr>
        <w:t>一、投诉相关主体基本情况</w:t>
      </w:r>
    </w:p>
    <w:p w14:paraId="55132E9A">
      <w:pPr>
        <w:spacing w:line="360" w:lineRule="auto"/>
        <w:rPr>
          <w:rFonts w:ascii="宋体" w:hAnsi="宋体" w:cs="宋体"/>
          <w:sz w:val="24"/>
          <w:u w:val="dotted"/>
        </w:rPr>
      </w:pPr>
      <w:r>
        <w:rPr>
          <w:rFonts w:hint="eastAsia" w:ascii="宋体" w:hAnsi="宋体" w:cs="宋体"/>
          <w:sz w:val="24"/>
        </w:rPr>
        <w:t>投诉人：</w:t>
      </w:r>
      <w:r>
        <w:rPr>
          <w:rFonts w:hint="eastAsia" w:ascii="宋体" w:hAnsi="宋体" w:cs="宋体"/>
          <w:sz w:val="24"/>
          <w:u w:val="dotted"/>
        </w:rPr>
        <w:t xml:space="preserve">                                               </w:t>
      </w:r>
    </w:p>
    <w:p w14:paraId="073E7C86">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5BAE121F">
      <w:pPr>
        <w:tabs>
          <w:tab w:val="left" w:pos="6510"/>
        </w:tabs>
        <w:spacing w:line="360" w:lineRule="auto"/>
        <w:jc w:val="left"/>
        <w:rPr>
          <w:rFonts w:ascii="宋体" w:hAnsi="宋体" w:cs="宋体"/>
          <w:sz w:val="24"/>
        </w:rPr>
      </w:pPr>
      <w:r>
        <w:rPr>
          <w:rFonts w:hint="eastAsia" w:ascii="宋体" w:hAnsi="宋体" w:cs="宋体"/>
          <w:sz w:val="24"/>
        </w:rPr>
        <w:t>法定代表人/主要负责人：</w:t>
      </w:r>
      <w:r>
        <w:rPr>
          <w:rFonts w:hint="eastAsia" w:ascii="宋体" w:hAnsi="宋体" w:cs="宋体"/>
          <w:sz w:val="24"/>
          <w:u w:val="dotted"/>
        </w:rPr>
        <w:t xml:space="preserve">                                   </w:t>
      </w:r>
      <w:r>
        <w:rPr>
          <w:rFonts w:hint="eastAsia" w:ascii="宋体" w:hAnsi="宋体" w:cs="宋体"/>
          <w:sz w:val="24"/>
        </w:rPr>
        <w:t xml:space="preserve">  </w:t>
      </w:r>
    </w:p>
    <w:p w14:paraId="7D0356E4">
      <w:pPr>
        <w:tabs>
          <w:tab w:val="left" w:pos="6510"/>
        </w:tabs>
        <w:spacing w:line="360" w:lineRule="auto"/>
        <w:rPr>
          <w:rFonts w:ascii="宋体" w:hAnsi="宋体" w:cs="宋体"/>
          <w:sz w:val="24"/>
          <w:u w:val="dotted"/>
        </w:rPr>
      </w:pPr>
      <w:r>
        <w:rPr>
          <w:rFonts w:hint="eastAsia" w:ascii="宋体" w:hAnsi="宋体" w:cs="宋体"/>
          <w:sz w:val="24"/>
        </w:rPr>
        <w:t>联系电话：</w:t>
      </w:r>
      <w:r>
        <w:rPr>
          <w:rFonts w:hint="eastAsia" w:ascii="宋体" w:hAnsi="宋体" w:cs="宋体"/>
          <w:sz w:val="24"/>
          <w:u w:val="dotted"/>
        </w:rPr>
        <w:t xml:space="preserve">                                             </w:t>
      </w:r>
    </w:p>
    <w:p w14:paraId="6B03BB2E">
      <w:pPr>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7733F5E7">
      <w:pPr>
        <w:spacing w:line="360" w:lineRule="auto"/>
        <w:rPr>
          <w:rFonts w:ascii="宋体" w:hAnsi="宋体" w:cs="宋体"/>
          <w:sz w:val="24"/>
          <w:u w:val="dotted"/>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r>
        <w:rPr>
          <w:rFonts w:hint="eastAsia" w:ascii="宋体" w:hAnsi="宋体" w:cs="宋体"/>
          <w:sz w:val="24"/>
          <w:u w:val="dotted"/>
        </w:rPr>
        <w:t xml:space="preserve">                   </w:t>
      </w:r>
    </w:p>
    <w:p w14:paraId="5A08B0DA">
      <w:pPr>
        <w:spacing w:line="360" w:lineRule="auto"/>
        <w:rPr>
          <w:rFonts w:ascii="宋体" w:hAnsi="宋体" w:cs="宋体"/>
          <w:sz w:val="24"/>
          <w:u w:val="single"/>
        </w:rPr>
      </w:pPr>
      <w:r>
        <w:rPr>
          <w:rFonts w:hint="eastAsia" w:ascii="宋体" w:hAnsi="宋体" w:cs="宋体"/>
          <w:sz w:val="24"/>
        </w:rPr>
        <w:t>被投诉人1：</w:t>
      </w:r>
      <w:r>
        <w:rPr>
          <w:rFonts w:hint="eastAsia" w:ascii="宋体" w:hAnsi="宋体" w:cs="宋体"/>
          <w:sz w:val="24"/>
          <w:u w:val="dotted"/>
        </w:rPr>
        <w:t xml:space="preserve">                                           </w:t>
      </w:r>
      <w:r>
        <w:rPr>
          <w:rFonts w:hint="eastAsia" w:ascii="宋体" w:hAnsi="宋体" w:cs="宋体"/>
          <w:sz w:val="24"/>
          <w:u w:val="single"/>
        </w:rPr>
        <w:t xml:space="preserve">  </w:t>
      </w:r>
    </w:p>
    <w:p w14:paraId="1BEA8091">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7C09FFE2">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485A9EF4">
      <w:pPr>
        <w:spacing w:line="360" w:lineRule="auto"/>
        <w:rPr>
          <w:rFonts w:ascii="宋体" w:hAnsi="宋体" w:cs="宋体"/>
          <w:sz w:val="24"/>
        </w:rPr>
      </w:pPr>
      <w:r>
        <w:rPr>
          <w:rFonts w:hint="eastAsia" w:ascii="宋体" w:hAnsi="宋体" w:cs="宋体"/>
          <w:sz w:val="24"/>
        </w:rPr>
        <w:t>被投诉人2</w:t>
      </w:r>
    </w:p>
    <w:p w14:paraId="50CC8FEB">
      <w:pPr>
        <w:spacing w:line="360" w:lineRule="auto"/>
        <w:rPr>
          <w:rFonts w:ascii="宋体" w:hAnsi="宋体" w:cs="宋体"/>
          <w:sz w:val="24"/>
          <w:u w:val="dotted"/>
        </w:rPr>
      </w:pPr>
      <w:r>
        <w:rPr>
          <w:rFonts w:hint="eastAsia" w:ascii="宋体" w:hAnsi="宋体" w:cs="宋体"/>
          <w:sz w:val="24"/>
        </w:rPr>
        <w:t>……</w:t>
      </w:r>
    </w:p>
    <w:p w14:paraId="7692EC3B">
      <w:pPr>
        <w:spacing w:line="360" w:lineRule="auto"/>
        <w:rPr>
          <w:rFonts w:ascii="宋体" w:hAnsi="宋体" w:cs="宋体"/>
          <w:sz w:val="24"/>
          <w:u w:val="single"/>
        </w:rPr>
      </w:pPr>
      <w:r>
        <w:rPr>
          <w:rFonts w:hint="eastAsia" w:ascii="宋体" w:hAnsi="宋体" w:cs="宋体"/>
          <w:sz w:val="24"/>
        </w:rPr>
        <w:t>相关供应商：</w:t>
      </w:r>
      <w:r>
        <w:rPr>
          <w:rFonts w:hint="eastAsia" w:ascii="宋体" w:hAnsi="宋体" w:cs="宋体"/>
          <w:sz w:val="24"/>
          <w:u w:val="dotted"/>
        </w:rPr>
        <w:t xml:space="preserve">                                           </w:t>
      </w:r>
      <w:r>
        <w:rPr>
          <w:rFonts w:hint="eastAsia" w:ascii="宋体" w:hAnsi="宋体" w:cs="宋体"/>
          <w:sz w:val="24"/>
          <w:u w:val="single"/>
        </w:rPr>
        <w:t xml:space="preserve">    </w:t>
      </w:r>
    </w:p>
    <w:p w14:paraId="42DD0B8C">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2C05077F">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74360260">
      <w:pPr>
        <w:spacing w:line="360" w:lineRule="auto"/>
        <w:rPr>
          <w:rFonts w:ascii="宋体" w:hAnsi="宋体" w:cs="宋体"/>
          <w:sz w:val="24"/>
        </w:rPr>
      </w:pPr>
      <w:r>
        <w:rPr>
          <w:rFonts w:hint="eastAsia" w:ascii="宋体" w:hAnsi="宋体" w:cs="宋体"/>
          <w:sz w:val="24"/>
        </w:rPr>
        <w:t>二、投诉项目基本情况</w:t>
      </w:r>
    </w:p>
    <w:p w14:paraId="518D4E79">
      <w:pPr>
        <w:spacing w:line="360" w:lineRule="auto"/>
        <w:rPr>
          <w:rFonts w:ascii="宋体" w:hAnsi="宋体" w:cs="宋体"/>
          <w:sz w:val="24"/>
          <w:u w:val="dotted"/>
        </w:rPr>
      </w:pPr>
      <w:r>
        <w:rPr>
          <w:rFonts w:hint="eastAsia" w:ascii="宋体" w:hAnsi="宋体" w:cs="宋体"/>
          <w:sz w:val="24"/>
        </w:rPr>
        <w:t>采购项目名称：</w:t>
      </w:r>
      <w:r>
        <w:rPr>
          <w:rFonts w:hint="eastAsia" w:ascii="宋体" w:hAnsi="宋体" w:cs="宋体"/>
          <w:sz w:val="24"/>
          <w:u w:val="dotted"/>
        </w:rPr>
        <w:t xml:space="preserve">                                        </w:t>
      </w:r>
    </w:p>
    <w:p w14:paraId="4899E279">
      <w:pPr>
        <w:spacing w:line="360" w:lineRule="auto"/>
        <w:rPr>
          <w:rFonts w:ascii="宋体" w:hAnsi="宋体" w:cs="宋体"/>
          <w:sz w:val="24"/>
          <w:u w:val="single"/>
        </w:rPr>
      </w:pPr>
      <w:r>
        <w:rPr>
          <w:rFonts w:hint="eastAsia" w:ascii="宋体" w:hAnsi="宋体" w:cs="宋体"/>
          <w:sz w:val="24"/>
        </w:rPr>
        <w:t>采购项目编号：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1B268A6C">
      <w:pPr>
        <w:spacing w:line="360" w:lineRule="auto"/>
        <w:rPr>
          <w:rFonts w:ascii="宋体" w:hAnsi="宋体" w:cs="宋体"/>
          <w:sz w:val="24"/>
        </w:rPr>
      </w:pPr>
      <w:r>
        <w:rPr>
          <w:rFonts w:hint="eastAsia" w:ascii="宋体" w:hAnsi="宋体" w:cs="宋体"/>
          <w:sz w:val="24"/>
        </w:rPr>
        <w:t>采购人名称：</w:t>
      </w:r>
      <w:r>
        <w:rPr>
          <w:rFonts w:hint="eastAsia" w:ascii="宋体" w:hAnsi="宋体" w:cs="宋体"/>
          <w:sz w:val="24"/>
          <w:u w:val="dotted"/>
        </w:rPr>
        <w:t xml:space="preserve">                                           </w:t>
      </w:r>
      <w:r>
        <w:rPr>
          <w:rFonts w:hint="eastAsia" w:ascii="宋体" w:hAnsi="宋体" w:cs="宋体"/>
          <w:sz w:val="24"/>
          <w:u w:val="single"/>
        </w:rPr>
        <w:t xml:space="preserve">  </w:t>
      </w:r>
    </w:p>
    <w:p w14:paraId="2F51BE8B">
      <w:pPr>
        <w:spacing w:line="360" w:lineRule="auto"/>
        <w:rPr>
          <w:rFonts w:ascii="宋体" w:hAnsi="宋体" w:cs="宋体"/>
          <w:sz w:val="24"/>
          <w:u w:val="single"/>
        </w:rPr>
      </w:pPr>
      <w:r>
        <w:rPr>
          <w:rFonts w:hint="eastAsia" w:ascii="宋体" w:hAnsi="宋体" w:cs="宋体"/>
          <w:sz w:val="24"/>
        </w:rPr>
        <w:t>代理机构名称：</w:t>
      </w:r>
      <w:r>
        <w:rPr>
          <w:rFonts w:hint="eastAsia" w:ascii="宋体" w:hAnsi="宋体" w:cs="宋体"/>
          <w:sz w:val="24"/>
          <w:u w:val="dotted"/>
        </w:rPr>
        <w:t xml:space="preserve">                                         </w:t>
      </w:r>
    </w:p>
    <w:p w14:paraId="025AB27A">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lang w:eastAsia="zh-CN"/>
        </w:rPr>
        <w:t>：</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0AF4F2DE">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lang w:eastAsia="zh-CN"/>
        </w:rPr>
        <w:t>：</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1183EBCA">
      <w:pPr>
        <w:spacing w:line="360" w:lineRule="auto"/>
        <w:rPr>
          <w:rFonts w:ascii="宋体" w:hAnsi="宋体" w:cs="宋体"/>
          <w:sz w:val="24"/>
        </w:rPr>
      </w:pPr>
      <w:r>
        <w:rPr>
          <w:rFonts w:hint="eastAsia" w:ascii="宋体" w:hAnsi="宋体" w:cs="宋体"/>
          <w:sz w:val="24"/>
        </w:rPr>
        <w:t>三、质疑基本情况</w:t>
      </w:r>
    </w:p>
    <w:p w14:paraId="7DB77B50">
      <w:pPr>
        <w:spacing w:line="360" w:lineRule="auto"/>
        <w:ind w:firstLine="480" w:firstLineChars="200"/>
        <w:rPr>
          <w:rFonts w:ascii="宋体" w:hAnsi="宋体" w:cs="宋体"/>
          <w:sz w:val="24"/>
          <w:u w:val="dotted"/>
        </w:rPr>
      </w:pPr>
      <w:r>
        <w:rPr>
          <w:rFonts w:hint="eastAsia" w:ascii="宋体" w:hAnsi="宋体" w:cs="宋体"/>
          <w:sz w:val="24"/>
        </w:rPr>
        <w:t>投诉人于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w:t>
      </w:r>
      <w:r>
        <w:rPr>
          <w:rFonts w:hint="eastAsia" w:ascii="宋体" w:hAnsi="宋体" w:cs="宋体"/>
          <w:sz w:val="24"/>
          <w:lang w:eastAsia="zh-CN"/>
        </w:rPr>
        <w:t>，</w:t>
      </w:r>
      <w:r>
        <w:rPr>
          <w:rFonts w:hint="eastAsia" w:ascii="宋体" w:hAnsi="宋体" w:cs="宋体"/>
          <w:sz w:val="24"/>
        </w:rPr>
        <w:t>向</w:t>
      </w:r>
      <w:r>
        <w:rPr>
          <w:rFonts w:hint="eastAsia" w:ascii="宋体" w:hAnsi="宋体" w:cs="宋体"/>
          <w:sz w:val="24"/>
          <w:u w:val="dotted"/>
        </w:rPr>
        <w:t xml:space="preserve">                   </w:t>
      </w:r>
      <w:r>
        <w:rPr>
          <w:rFonts w:hint="eastAsia" w:ascii="宋体" w:hAnsi="宋体" w:cs="宋体"/>
          <w:sz w:val="24"/>
        </w:rPr>
        <w:t>提出质疑，质疑事项为：</w:t>
      </w:r>
      <w:r>
        <w:rPr>
          <w:rFonts w:hint="eastAsia" w:ascii="宋体" w:hAnsi="宋体" w:cs="宋体"/>
          <w:sz w:val="24"/>
          <w:u w:val="dotted"/>
        </w:rPr>
        <w:t xml:space="preserve">                                </w:t>
      </w:r>
    </w:p>
    <w:p w14:paraId="2B686932">
      <w:pPr>
        <w:spacing w:line="360" w:lineRule="auto"/>
        <w:rPr>
          <w:rFonts w:ascii="宋体" w:hAnsi="宋体" w:cs="宋体"/>
          <w:sz w:val="24"/>
          <w:u w:val="dotted"/>
        </w:rPr>
      </w:pPr>
      <w:r>
        <w:rPr>
          <w:rFonts w:hint="eastAsia" w:ascii="宋体" w:hAnsi="宋体" w:cs="宋体"/>
          <w:sz w:val="24"/>
          <w:u w:val="dotted"/>
        </w:rPr>
        <w:t xml:space="preserve">                                                     </w:t>
      </w:r>
      <w:r>
        <w:rPr>
          <w:rFonts w:hint="eastAsia" w:ascii="宋体" w:hAnsi="宋体" w:cs="宋体"/>
          <w:sz w:val="24"/>
        </w:rPr>
        <w:t xml:space="preserve">  </w:t>
      </w:r>
    </w:p>
    <w:p w14:paraId="1E071B12">
      <w:pPr>
        <w:spacing w:line="360" w:lineRule="auto"/>
        <w:ind w:firstLine="360" w:firstLineChars="150"/>
        <w:rPr>
          <w:rFonts w:ascii="宋体" w:hAnsi="宋体" w:cs="宋体"/>
          <w:sz w:val="24"/>
        </w:rPr>
      </w:pPr>
      <w:r>
        <w:rPr>
          <w:rFonts w:hint="eastAsia" w:ascii="宋体" w:hAnsi="宋体" w:cs="宋体"/>
          <w:sz w:val="24"/>
          <w:u w:val="dotted"/>
        </w:rPr>
        <w:t>采购人/代理机构</w:t>
      </w:r>
      <w:r>
        <w:rPr>
          <w:rFonts w:hint="eastAsia" w:ascii="宋体" w:hAnsi="宋体" w:cs="宋体"/>
          <w:sz w:val="24"/>
        </w:rPr>
        <w:t>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w:t>
      </w:r>
      <w:r>
        <w:rPr>
          <w:rFonts w:hint="eastAsia" w:ascii="宋体" w:hAnsi="宋体" w:cs="宋体"/>
          <w:sz w:val="24"/>
          <w:lang w:eastAsia="zh-CN"/>
        </w:rPr>
        <w:t>，</w:t>
      </w:r>
      <w:r>
        <w:rPr>
          <w:rFonts w:hint="eastAsia" w:ascii="宋体" w:hAnsi="宋体" w:cs="宋体"/>
          <w:sz w:val="24"/>
        </w:rPr>
        <w:t>就质疑事项作出了答复/没有在法定期限内作出答复。</w:t>
      </w:r>
    </w:p>
    <w:p w14:paraId="09D55124">
      <w:pPr>
        <w:spacing w:line="360" w:lineRule="auto"/>
        <w:rPr>
          <w:rFonts w:ascii="宋体" w:hAnsi="宋体" w:cs="宋体"/>
          <w:sz w:val="24"/>
        </w:rPr>
      </w:pPr>
      <w:r>
        <w:rPr>
          <w:rFonts w:hint="eastAsia" w:ascii="宋体" w:hAnsi="宋体" w:cs="宋体"/>
          <w:sz w:val="24"/>
        </w:rPr>
        <w:t>四、投诉事项具体内容</w:t>
      </w:r>
    </w:p>
    <w:p w14:paraId="41197A70">
      <w:pPr>
        <w:spacing w:line="360" w:lineRule="auto"/>
        <w:rPr>
          <w:rFonts w:ascii="宋体" w:hAnsi="宋体" w:cs="宋体"/>
          <w:sz w:val="24"/>
          <w:u w:val="single"/>
        </w:rPr>
      </w:pPr>
      <w:r>
        <w:rPr>
          <w:rFonts w:hint="eastAsia" w:ascii="宋体" w:hAnsi="宋体" w:cs="宋体"/>
          <w:sz w:val="24"/>
        </w:rPr>
        <w:t>投诉事项 1：</w:t>
      </w:r>
      <w:r>
        <w:rPr>
          <w:rFonts w:hint="eastAsia" w:ascii="宋体" w:hAnsi="宋体" w:cs="宋体"/>
          <w:sz w:val="24"/>
          <w:u w:val="dotted"/>
        </w:rPr>
        <w:t xml:space="preserve">                                       </w:t>
      </w:r>
    </w:p>
    <w:p w14:paraId="7592A874">
      <w:pPr>
        <w:spacing w:line="360" w:lineRule="auto"/>
        <w:rPr>
          <w:rFonts w:ascii="宋体" w:hAnsi="宋体" w:cs="宋体"/>
          <w:sz w:val="24"/>
        </w:rPr>
      </w:pPr>
      <w:r>
        <w:rPr>
          <w:rFonts w:hint="eastAsia" w:ascii="宋体" w:hAnsi="宋体" w:cs="宋体"/>
          <w:sz w:val="24"/>
        </w:rPr>
        <w:t>事实依据：</w:t>
      </w:r>
      <w:r>
        <w:rPr>
          <w:rFonts w:hint="eastAsia" w:ascii="宋体" w:hAnsi="宋体" w:cs="宋体"/>
          <w:sz w:val="24"/>
          <w:u w:val="dotted"/>
        </w:rPr>
        <w:t xml:space="preserve">                                         </w:t>
      </w:r>
    </w:p>
    <w:p w14:paraId="25FA2AB5">
      <w:pPr>
        <w:spacing w:line="360" w:lineRule="auto"/>
        <w:rPr>
          <w:rFonts w:ascii="宋体" w:hAnsi="宋体" w:cs="宋体"/>
          <w:sz w:val="24"/>
          <w:u w:val="dotted"/>
        </w:rPr>
      </w:pPr>
      <w:r>
        <w:rPr>
          <w:rFonts w:hint="eastAsia" w:ascii="宋体" w:hAnsi="宋体" w:cs="宋体"/>
          <w:sz w:val="24"/>
          <w:u w:val="dotted"/>
        </w:rPr>
        <w:t xml:space="preserve">                                                      </w:t>
      </w:r>
    </w:p>
    <w:p w14:paraId="26931996">
      <w:pPr>
        <w:spacing w:line="360" w:lineRule="auto"/>
        <w:rPr>
          <w:rFonts w:ascii="宋体" w:hAnsi="宋体" w:cs="宋体"/>
          <w:sz w:val="24"/>
          <w:u w:val="single"/>
        </w:rPr>
      </w:pPr>
      <w:r>
        <w:rPr>
          <w:rFonts w:hint="eastAsia" w:ascii="宋体" w:hAnsi="宋体" w:cs="宋体"/>
          <w:sz w:val="24"/>
        </w:rPr>
        <w:t>法律依据：</w:t>
      </w:r>
      <w:r>
        <w:rPr>
          <w:rFonts w:hint="eastAsia" w:ascii="宋体" w:hAnsi="宋体" w:cs="宋体"/>
          <w:sz w:val="24"/>
          <w:u w:val="dotted"/>
        </w:rPr>
        <w:t xml:space="preserve">                                          </w:t>
      </w:r>
    </w:p>
    <w:p w14:paraId="221B8485">
      <w:pPr>
        <w:spacing w:line="360" w:lineRule="auto"/>
        <w:rPr>
          <w:rFonts w:ascii="宋体" w:hAnsi="宋体" w:cs="宋体"/>
          <w:sz w:val="24"/>
          <w:u w:val="dotted"/>
        </w:rPr>
      </w:pPr>
      <w:r>
        <w:rPr>
          <w:rFonts w:hint="eastAsia" w:ascii="宋体" w:hAnsi="宋体" w:cs="宋体"/>
          <w:sz w:val="24"/>
          <w:u w:val="dotted"/>
        </w:rPr>
        <w:t xml:space="preserve">                                                      </w:t>
      </w:r>
    </w:p>
    <w:p w14:paraId="47440B2F">
      <w:pPr>
        <w:spacing w:line="360" w:lineRule="auto"/>
        <w:rPr>
          <w:rFonts w:ascii="宋体" w:hAnsi="宋体" w:cs="宋体"/>
          <w:sz w:val="24"/>
        </w:rPr>
      </w:pPr>
      <w:r>
        <w:rPr>
          <w:rFonts w:hint="eastAsia" w:ascii="宋体" w:hAnsi="宋体" w:cs="宋体"/>
          <w:sz w:val="24"/>
        </w:rPr>
        <w:t>投诉事项2</w:t>
      </w:r>
    </w:p>
    <w:p w14:paraId="49474377">
      <w:pPr>
        <w:spacing w:line="360" w:lineRule="auto"/>
        <w:rPr>
          <w:rFonts w:ascii="宋体" w:hAnsi="宋体" w:cs="宋体"/>
          <w:sz w:val="24"/>
          <w:u w:val="dotted"/>
        </w:rPr>
      </w:pPr>
      <w:r>
        <w:rPr>
          <w:rFonts w:hint="eastAsia" w:ascii="宋体" w:hAnsi="宋体" w:cs="宋体"/>
          <w:sz w:val="24"/>
        </w:rPr>
        <w:t>……</w:t>
      </w:r>
    </w:p>
    <w:p w14:paraId="494A67EA">
      <w:pPr>
        <w:spacing w:line="360" w:lineRule="auto"/>
        <w:rPr>
          <w:rFonts w:ascii="宋体" w:hAnsi="宋体" w:cs="宋体"/>
          <w:sz w:val="24"/>
        </w:rPr>
      </w:pPr>
      <w:r>
        <w:rPr>
          <w:rFonts w:hint="eastAsia" w:ascii="宋体" w:hAnsi="宋体" w:cs="宋体"/>
          <w:sz w:val="24"/>
        </w:rPr>
        <w:t>五、与投诉事项相关的投诉请求</w:t>
      </w:r>
    </w:p>
    <w:p w14:paraId="4746207C">
      <w:pPr>
        <w:spacing w:line="360" w:lineRule="auto"/>
        <w:rPr>
          <w:rFonts w:ascii="宋体" w:hAnsi="宋体" w:cs="宋体"/>
          <w:sz w:val="24"/>
        </w:rPr>
      </w:pPr>
      <w:r>
        <w:rPr>
          <w:rFonts w:hint="eastAsia" w:ascii="宋体" w:hAnsi="宋体" w:cs="宋体"/>
          <w:sz w:val="24"/>
        </w:rPr>
        <w:t>请求：</w:t>
      </w:r>
      <w:r>
        <w:rPr>
          <w:rFonts w:hint="eastAsia" w:ascii="宋体" w:hAnsi="宋体" w:cs="宋体"/>
          <w:sz w:val="24"/>
          <w:u w:val="dotted"/>
        </w:rPr>
        <w:t xml:space="preserve">                                              </w:t>
      </w:r>
      <w:r>
        <w:rPr>
          <w:rFonts w:hint="eastAsia" w:ascii="宋体" w:hAnsi="宋体" w:cs="宋体"/>
          <w:sz w:val="24"/>
        </w:rPr>
        <w:t xml:space="preserve"> </w:t>
      </w:r>
    </w:p>
    <w:p w14:paraId="19611226">
      <w:pPr>
        <w:spacing w:line="360" w:lineRule="auto"/>
        <w:rPr>
          <w:rFonts w:ascii="宋体" w:hAnsi="宋体" w:cs="宋体"/>
          <w:sz w:val="24"/>
          <w:u w:val="single"/>
        </w:rPr>
      </w:pPr>
      <w:r>
        <w:rPr>
          <w:rFonts w:hint="eastAsia" w:ascii="宋体" w:hAnsi="宋体" w:cs="宋体"/>
          <w:sz w:val="24"/>
        </w:rPr>
        <w:t xml:space="preserve">                                                                                                    </w:t>
      </w:r>
    </w:p>
    <w:p w14:paraId="6C84B58A">
      <w:pPr>
        <w:spacing w:line="360" w:lineRule="auto"/>
        <w:rPr>
          <w:rFonts w:ascii="宋体" w:hAnsi="宋体" w:cs="宋体"/>
          <w:sz w:val="24"/>
        </w:rPr>
      </w:pPr>
      <w:r>
        <w:rPr>
          <w:rFonts w:hint="eastAsia" w:ascii="宋体" w:hAnsi="宋体" w:cs="宋体"/>
          <w:sz w:val="24"/>
        </w:rPr>
        <w:t>签字</w:t>
      </w:r>
      <w:r>
        <w:rPr>
          <w:rFonts w:hint="eastAsia" w:ascii="宋体" w:hAnsi="宋体" w:cs="宋体"/>
          <w:sz w:val="24"/>
          <w:lang w:eastAsia="zh-CN"/>
        </w:rPr>
        <w:t>（</w:t>
      </w:r>
      <w:r>
        <w:rPr>
          <w:rFonts w:hint="eastAsia" w:ascii="宋体" w:hAnsi="宋体" w:cs="宋体"/>
          <w:sz w:val="24"/>
        </w:rPr>
        <w:t>签章</w:t>
      </w:r>
      <w:r>
        <w:rPr>
          <w:rFonts w:hint="eastAsia" w:ascii="宋体" w:hAnsi="宋体" w:cs="宋体"/>
          <w:sz w:val="24"/>
          <w:lang w:eastAsia="zh-CN"/>
        </w:rPr>
        <w:t>）</w:t>
      </w:r>
      <w:r>
        <w:rPr>
          <w:rFonts w:hint="eastAsia" w:ascii="宋体" w:hAnsi="宋体" w:cs="宋体"/>
          <w:sz w:val="24"/>
        </w:rPr>
        <w:t xml:space="preserve">：                   公章：                      </w:t>
      </w:r>
    </w:p>
    <w:p w14:paraId="5E048901">
      <w:pPr>
        <w:spacing w:line="360" w:lineRule="auto"/>
        <w:rPr>
          <w:rFonts w:ascii="宋体" w:hAnsi="宋体" w:cs="宋体"/>
          <w:sz w:val="24"/>
        </w:rPr>
      </w:pPr>
      <w:r>
        <w:rPr>
          <w:rFonts w:hint="eastAsia" w:ascii="宋体" w:hAnsi="宋体" w:cs="宋体"/>
          <w:sz w:val="24"/>
        </w:rPr>
        <w:t xml:space="preserve">日期：    </w:t>
      </w:r>
    </w:p>
    <w:p w14:paraId="146EB28F">
      <w:pPr>
        <w:spacing w:line="360" w:lineRule="auto"/>
        <w:rPr>
          <w:rFonts w:ascii="宋体" w:hAnsi="宋体" w:cs="宋体"/>
          <w:b/>
          <w:sz w:val="24"/>
        </w:rPr>
      </w:pPr>
    </w:p>
    <w:p w14:paraId="731359B7">
      <w:pPr>
        <w:spacing w:line="360" w:lineRule="auto"/>
        <w:rPr>
          <w:rFonts w:ascii="宋体" w:hAnsi="宋体" w:cs="宋体"/>
          <w:b/>
          <w:sz w:val="24"/>
        </w:rPr>
      </w:pPr>
    </w:p>
    <w:p w14:paraId="375E2080">
      <w:pPr>
        <w:spacing w:line="360" w:lineRule="auto"/>
        <w:rPr>
          <w:rFonts w:ascii="宋体" w:hAnsi="宋体" w:cs="宋体"/>
          <w:b/>
          <w:sz w:val="24"/>
        </w:rPr>
      </w:pPr>
      <w:r>
        <w:rPr>
          <w:rFonts w:hint="eastAsia" w:ascii="宋体" w:hAnsi="宋体" w:cs="宋体"/>
          <w:b/>
          <w:sz w:val="24"/>
        </w:rPr>
        <w:t>投诉书制作说明：</w:t>
      </w:r>
    </w:p>
    <w:p w14:paraId="5B4A8CDF">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14:paraId="166C2F83">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14:paraId="1166F8E6">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14:paraId="1DD07D7D">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14:paraId="42893A0B">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14:paraId="4AB5B892">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14:paraId="0B3A71CB">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14:paraId="52D124E9">
      <w:pPr>
        <w:spacing w:line="360" w:lineRule="auto"/>
        <w:rPr>
          <w:rFonts w:ascii="宋体" w:hAnsi="宋体" w:cs="宋体"/>
          <w:b/>
          <w:sz w:val="24"/>
        </w:rPr>
      </w:pPr>
    </w:p>
    <w:p w14:paraId="3334982F">
      <w:pPr>
        <w:autoSpaceDE w:val="0"/>
        <w:autoSpaceDN w:val="0"/>
        <w:jc w:val="center"/>
        <w:rPr>
          <w:rFonts w:ascii="宋体" w:hAnsi="宋体" w:cs="宋体"/>
          <w:b/>
          <w:spacing w:val="6"/>
          <w:sz w:val="32"/>
          <w:szCs w:val="32"/>
        </w:rPr>
      </w:pPr>
    </w:p>
    <w:p w14:paraId="62954CF6">
      <w:pPr>
        <w:autoSpaceDE w:val="0"/>
        <w:autoSpaceDN w:val="0"/>
        <w:jc w:val="center"/>
        <w:rPr>
          <w:rFonts w:ascii="宋体" w:hAnsi="宋体" w:cs="宋体"/>
          <w:b/>
          <w:spacing w:val="6"/>
          <w:sz w:val="32"/>
          <w:szCs w:val="32"/>
        </w:rPr>
      </w:pPr>
    </w:p>
    <w:p w14:paraId="310C4EB9">
      <w:pPr>
        <w:autoSpaceDE w:val="0"/>
        <w:autoSpaceDN w:val="0"/>
        <w:jc w:val="center"/>
        <w:rPr>
          <w:rFonts w:ascii="宋体" w:hAnsi="宋体" w:cs="宋体"/>
          <w:b/>
          <w:bCs/>
          <w:color w:val="auto"/>
          <w:sz w:val="32"/>
          <w:szCs w:val="32"/>
        </w:rPr>
      </w:pPr>
      <w:r>
        <w:rPr>
          <w:rFonts w:hint="eastAsia" w:ascii="宋体" w:hAnsi="宋体" w:cs="宋体"/>
          <w:b/>
          <w:color w:val="auto"/>
          <w:spacing w:val="6"/>
          <w:sz w:val="32"/>
          <w:szCs w:val="32"/>
        </w:rPr>
        <w:t>附件4：</w:t>
      </w:r>
      <w:r>
        <w:rPr>
          <w:rFonts w:hint="eastAsia" w:ascii="宋体" w:hAnsi="宋体" w:cs="宋体"/>
          <w:b/>
          <w:bCs/>
          <w:color w:val="auto"/>
          <w:sz w:val="32"/>
          <w:szCs w:val="32"/>
        </w:rPr>
        <w:t>业务专用章使用说明函</w:t>
      </w:r>
    </w:p>
    <w:p w14:paraId="16D04739">
      <w:pPr>
        <w:spacing w:line="360" w:lineRule="auto"/>
        <w:rPr>
          <w:rFonts w:ascii="宋体" w:hAnsi="宋体" w:cs="宋体"/>
          <w:color w:val="auto"/>
          <w:sz w:val="24"/>
          <w:u w:val="single"/>
        </w:rPr>
      </w:pPr>
    </w:p>
    <w:p w14:paraId="4D80719D">
      <w:pPr>
        <w:spacing w:line="360" w:lineRule="auto"/>
        <w:rPr>
          <w:rFonts w:ascii="宋体" w:hAnsi="宋体" w:cs="宋体"/>
          <w:color w:val="auto"/>
          <w:sz w:val="24"/>
        </w:rPr>
      </w:pPr>
      <w:r>
        <w:rPr>
          <w:rFonts w:hint="eastAsia" w:ascii="宋体" w:hAnsi="宋体" w:cs="宋体"/>
          <w:color w:val="auto"/>
          <w:sz w:val="24"/>
          <w:u w:val="single"/>
          <w:lang w:eastAsia="zh-CN"/>
        </w:rPr>
        <w:t>杭州师范大学附属未来科技城学校（杭州二中教育集团未来科技城学校）</w:t>
      </w:r>
      <w:r>
        <w:rPr>
          <w:rFonts w:hint="eastAsia" w:ascii="宋体" w:hAnsi="宋体" w:cs="宋体"/>
          <w:color w:val="auto"/>
          <w:sz w:val="24"/>
          <w:u w:val="single"/>
        </w:rPr>
        <w:t>、</w:t>
      </w:r>
      <w:r>
        <w:rPr>
          <w:rFonts w:hint="eastAsia" w:ascii="宋体" w:hAnsi="宋体" w:cs="宋体"/>
          <w:color w:val="auto"/>
          <w:sz w:val="24"/>
          <w:u w:val="single"/>
          <w:lang w:eastAsia="zh-CN"/>
        </w:rPr>
        <w:t>杭州市公共资源交易中心余杭分中心</w:t>
      </w:r>
      <w:r>
        <w:rPr>
          <w:rFonts w:hint="eastAsia" w:ascii="宋体" w:hAnsi="宋体" w:cs="宋体"/>
          <w:color w:val="auto"/>
          <w:sz w:val="24"/>
          <w:u w:val="single"/>
        </w:rPr>
        <w:t>：</w:t>
      </w:r>
    </w:p>
    <w:p w14:paraId="5FA4D597">
      <w:pPr>
        <w:spacing w:line="360" w:lineRule="auto"/>
        <w:ind w:firstLine="480" w:firstLineChars="200"/>
        <w:rPr>
          <w:rFonts w:ascii="宋体" w:hAnsi="宋体" w:cs="宋体"/>
          <w:color w:val="auto"/>
          <w:sz w:val="24"/>
        </w:rPr>
      </w:pPr>
      <w:r>
        <w:rPr>
          <w:rFonts w:hint="eastAsia" w:ascii="宋体" w:hAnsi="宋体" w:cs="宋体"/>
          <w:color w:val="auto"/>
          <w:kern w:val="0"/>
          <w:sz w:val="24"/>
          <w:lang w:val="zh-CN"/>
        </w:rPr>
        <w:t>我方</w:t>
      </w:r>
      <w:r>
        <w:rPr>
          <w:rFonts w:hint="eastAsia" w:ascii="宋体" w:hAnsi="宋体" w:cs="宋体"/>
          <w:color w:val="auto"/>
          <w:kern w:val="0"/>
          <w:sz w:val="24"/>
          <w:u w:val="single"/>
          <w:lang w:val="zh-CN"/>
        </w:rPr>
        <w:t xml:space="preserve">                         （</w:t>
      </w:r>
      <w:r>
        <w:rPr>
          <w:rFonts w:hint="eastAsia" w:ascii="宋体" w:hAnsi="宋体" w:cs="宋体"/>
          <w:color w:val="auto"/>
          <w:sz w:val="24"/>
        </w:rPr>
        <w:t>投标人全称</w:t>
      </w:r>
      <w:r>
        <w:rPr>
          <w:rFonts w:hint="eastAsia" w:ascii="宋体" w:hAnsi="宋体" w:cs="宋体"/>
          <w:color w:val="auto"/>
          <w:sz w:val="24"/>
          <w:lang w:eastAsia="zh-CN"/>
        </w:rPr>
        <w:t>）</w:t>
      </w:r>
      <w:r>
        <w:rPr>
          <w:rFonts w:hint="eastAsia" w:ascii="宋体" w:hAnsi="宋体" w:cs="宋体"/>
          <w:color w:val="auto"/>
          <w:sz w:val="24"/>
        </w:rPr>
        <w:t>是中华人民共和国依法登记注册的合法企业，</w:t>
      </w:r>
      <w:r>
        <w:rPr>
          <w:rFonts w:hint="eastAsia" w:ascii="宋体" w:hAnsi="宋体" w:cs="宋体"/>
          <w:bCs/>
          <w:color w:val="auto"/>
          <w:sz w:val="24"/>
        </w:rPr>
        <w:t>在参加</w:t>
      </w:r>
      <w:r>
        <w:rPr>
          <w:rFonts w:hint="eastAsia" w:ascii="宋体" w:hAnsi="宋体" w:cs="宋体"/>
          <w:color w:val="auto"/>
          <w:sz w:val="24"/>
        </w:rPr>
        <w:t>你方组织的</w:t>
      </w:r>
      <w:r>
        <w:rPr>
          <w:rFonts w:hint="eastAsia" w:ascii="宋体" w:hAnsi="宋体" w:cs="宋体"/>
          <w:color w:val="auto"/>
          <w:sz w:val="24"/>
          <w:lang w:eastAsia="zh-CN"/>
        </w:rPr>
        <w:t>杭州师范大学附属未来科技城学校（天元公学西站校区）办公家具（二）采购项目</w:t>
      </w:r>
      <w:r>
        <w:rPr>
          <w:rFonts w:hint="eastAsia" w:ascii="宋体" w:hAnsi="宋体" w:cs="宋体"/>
          <w:color w:val="auto"/>
          <w:sz w:val="24"/>
        </w:rPr>
        <w:t>【招标编号：</w:t>
      </w:r>
      <w:r>
        <w:rPr>
          <w:rFonts w:hint="eastAsia" w:ascii="宋体" w:hAnsi="宋体" w:cs="宋体"/>
          <w:color w:val="auto"/>
          <w:sz w:val="24"/>
          <w:lang w:eastAsia="zh-CN"/>
        </w:rPr>
        <w:t>HZYHZFCG-2025-010</w:t>
      </w:r>
      <w:r>
        <w:rPr>
          <w:rFonts w:hint="eastAsia" w:ascii="宋体" w:hAnsi="宋体" w:cs="宋体"/>
          <w:color w:val="auto"/>
          <w:sz w:val="24"/>
        </w:rPr>
        <w:t>】</w:t>
      </w:r>
      <w:r>
        <w:rPr>
          <w:rFonts w:hint="eastAsia" w:ascii="宋体" w:hAnsi="宋体" w:cs="宋体"/>
          <w:bCs/>
          <w:color w:val="auto"/>
          <w:sz w:val="24"/>
        </w:rPr>
        <w:t>投标活动中作如下说明：</w:t>
      </w:r>
      <w:r>
        <w:rPr>
          <w:rFonts w:hint="eastAsia" w:ascii="宋体" w:hAnsi="宋体" w:cs="宋体"/>
          <w:color w:val="auto"/>
          <w:sz w:val="24"/>
        </w:rPr>
        <w:t xml:space="preserve">我方所使用的“XX专用章”与法定名称章具有同等的法律效力，对使用“XX专用章”的行为予以完全承认，并愿意承担相应责任。   </w:t>
      </w:r>
    </w:p>
    <w:p w14:paraId="0371AFE0">
      <w:pPr>
        <w:spacing w:line="360" w:lineRule="auto"/>
        <w:ind w:firstLine="480" w:firstLineChars="200"/>
        <w:rPr>
          <w:rFonts w:ascii="宋体" w:hAnsi="宋体" w:cs="宋体"/>
          <w:color w:val="auto"/>
          <w:sz w:val="24"/>
        </w:rPr>
      </w:pPr>
      <w:r>
        <w:rPr>
          <w:rFonts w:hint="eastAsia" w:ascii="宋体" w:hAnsi="宋体" w:cs="宋体"/>
          <w:color w:val="auto"/>
          <w:sz w:val="24"/>
        </w:rPr>
        <w:t>特此说明。</w:t>
      </w:r>
    </w:p>
    <w:p w14:paraId="2B9B521D">
      <w:pPr>
        <w:spacing w:line="360" w:lineRule="auto"/>
        <w:ind w:firstLine="494"/>
        <w:rPr>
          <w:rFonts w:ascii="宋体" w:hAnsi="宋体" w:cs="宋体"/>
          <w:color w:val="auto"/>
          <w:sz w:val="24"/>
        </w:rPr>
      </w:pPr>
    </w:p>
    <w:p w14:paraId="3EBE4C59">
      <w:pPr>
        <w:spacing w:line="360" w:lineRule="auto"/>
        <w:ind w:firstLine="494"/>
        <w:rPr>
          <w:rFonts w:ascii="宋体" w:hAnsi="宋体" w:cs="宋体"/>
          <w:sz w:val="24"/>
        </w:rPr>
      </w:pPr>
    </w:p>
    <w:p w14:paraId="5C2963B6">
      <w:pPr>
        <w:spacing w:line="360" w:lineRule="auto"/>
        <w:ind w:firstLine="494"/>
        <w:rPr>
          <w:rFonts w:ascii="宋体" w:hAnsi="宋体" w:cs="宋体"/>
          <w:sz w:val="24"/>
        </w:rPr>
      </w:pPr>
    </w:p>
    <w:p w14:paraId="5B4F483B">
      <w:pPr>
        <w:spacing w:line="360" w:lineRule="auto"/>
        <w:ind w:right="480" w:firstLine="4080" w:firstLineChars="1700"/>
        <w:rPr>
          <w:rFonts w:ascii="宋体" w:hAnsi="宋体" w:cs="宋体"/>
          <w:sz w:val="24"/>
        </w:rPr>
      </w:pPr>
      <w:r>
        <w:rPr>
          <w:rFonts w:hint="eastAsia" w:ascii="宋体" w:hAnsi="宋体" w:cs="宋体"/>
          <w:sz w:val="24"/>
        </w:rPr>
        <w:t>投标单位（法定名称章）：</w:t>
      </w:r>
    </w:p>
    <w:p w14:paraId="4BA455B8">
      <w:pPr>
        <w:ind w:right="1440" w:firstLine="494"/>
        <w:jc w:val="center"/>
        <w:rPr>
          <w:rFonts w:ascii="宋体" w:hAnsi="宋体" w:cs="宋体"/>
          <w:sz w:val="24"/>
        </w:rPr>
      </w:pPr>
      <w:r>
        <w:rPr>
          <w:rFonts w:hint="eastAsia" w:ascii="宋体" w:hAnsi="宋体" w:cs="宋体"/>
          <w:sz w:val="24"/>
        </w:rPr>
        <w:t xml:space="preserve">                              日期：       年     月     日</w:t>
      </w:r>
    </w:p>
    <w:p w14:paraId="2D759C1F">
      <w:pPr>
        <w:rPr>
          <w:rFonts w:ascii="宋体" w:hAnsi="宋体" w:cs="宋体"/>
          <w:sz w:val="24"/>
        </w:rPr>
      </w:pPr>
      <w:r>
        <w:rPr>
          <w:rFonts w:hint="eastAsia" w:ascii="宋体" w:hAnsi="宋体" w:cs="宋体"/>
          <w:b/>
          <w:bCs/>
          <w:sz w:val="24"/>
        </w:rPr>
        <w:t>附：</w:t>
      </w:r>
    </w:p>
    <w:p w14:paraId="7E7947F3">
      <w:pPr>
        <w:spacing w:line="360" w:lineRule="auto"/>
        <w:rPr>
          <w:rFonts w:ascii="宋体" w:hAnsi="宋体" w:cs="宋体"/>
          <w:bCs/>
          <w:sz w:val="24"/>
        </w:rPr>
      </w:pPr>
      <w:r>
        <w:rPr>
          <w:rFonts w:hint="eastAsia" w:ascii="宋体" w:hAnsi="宋体" w:eastAsia="宋体" w:cs="宋体"/>
          <w:b/>
          <w:bCs/>
          <w:kern w:val="2"/>
          <w:sz w:val="24"/>
          <w:szCs w:val="24"/>
          <w:lang w:val="en-US" w:eastAsia="zh-CN" w:bidi="ar-SA"/>
        </w:rPr>
        <w:pict>
          <v:rect id="Rectangle 17" o:spid="_x0000_s1026" o:spt="1" style="position:absolute;left:0pt;margin-left:238.9pt;margin-top:28.05pt;height:177.45pt;width:212.95pt;z-index:-251657216;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rect>
        </w:pict>
      </w:r>
      <w:r>
        <w:rPr>
          <w:rFonts w:hint="eastAsia" w:ascii="宋体" w:hAnsi="宋体" w:eastAsia="宋体" w:cs="宋体"/>
          <w:b/>
          <w:bCs/>
          <w:kern w:val="2"/>
          <w:sz w:val="24"/>
          <w:szCs w:val="24"/>
          <w:lang w:val="en-US" w:eastAsia="zh-CN" w:bidi="ar-SA"/>
        </w:rPr>
        <w:pict>
          <v:rect id="Rectangle 16" o:spid="_x0000_s1027" o:spt="1" style="position:absolute;left:0pt;margin-left:-7.2pt;margin-top:30.3pt;height:177.45pt;width:208.5pt;z-index:-251656192;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rect>
        </w:pict>
      </w:r>
      <w:r>
        <w:rPr>
          <w:rFonts w:hint="eastAsia" w:ascii="宋体" w:hAnsi="宋体" w:cs="宋体"/>
          <w:sz w:val="24"/>
        </w:rPr>
        <w:t>投标单位法定名称章（印模）                投标单位“XX专用章”（印模）</w:t>
      </w:r>
    </w:p>
    <w:p w14:paraId="3805BEC2">
      <w:pPr>
        <w:autoSpaceDE w:val="0"/>
        <w:autoSpaceDN w:val="0"/>
        <w:jc w:val="center"/>
        <w:rPr>
          <w:rFonts w:ascii="宋体" w:hAnsi="宋体" w:cs="宋体"/>
          <w:b/>
          <w:spacing w:val="6"/>
          <w:sz w:val="32"/>
          <w:szCs w:val="32"/>
        </w:rPr>
      </w:pPr>
    </w:p>
    <w:p w14:paraId="6297F64D">
      <w:pPr>
        <w:autoSpaceDE w:val="0"/>
        <w:autoSpaceDN w:val="0"/>
        <w:jc w:val="center"/>
        <w:rPr>
          <w:rFonts w:ascii="宋体" w:hAnsi="宋体" w:cs="宋体"/>
          <w:b/>
          <w:spacing w:val="6"/>
          <w:sz w:val="32"/>
          <w:szCs w:val="32"/>
        </w:rPr>
      </w:pPr>
    </w:p>
    <w:p w14:paraId="1C3B7B99">
      <w:pPr>
        <w:autoSpaceDE w:val="0"/>
        <w:autoSpaceDN w:val="0"/>
        <w:jc w:val="center"/>
        <w:rPr>
          <w:rFonts w:ascii="宋体" w:hAnsi="宋体" w:cs="宋体"/>
          <w:b/>
          <w:spacing w:val="6"/>
          <w:sz w:val="32"/>
          <w:szCs w:val="32"/>
        </w:rPr>
      </w:pPr>
    </w:p>
    <w:p w14:paraId="160E1D4F">
      <w:pPr>
        <w:autoSpaceDE w:val="0"/>
        <w:autoSpaceDN w:val="0"/>
        <w:jc w:val="center"/>
        <w:rPr>
          <w:rFonts w:ascii="宋体" w:hAnsi="宋体" w:cs="宋体"/>
          <w:b/>
          <w:spacing w:val="6"/>
          <w:sz w:val="32"/>
          <w:szCs w:val="32"/>
        </w:rPr>
      </w:pPr>
    </w:p>
    <w:p w14:paraId="35CC56BC">
      <w:pPr>
        <w:autoSpaceDE w:val="0"/>
        <w:autoSpaceDN w:val="0"/>
        <w:jc w:val="center"/>
        <w:rPr>
          <w:rFonts w:ascii="宋体" w:hAnsi="宋体" w:cs="宋体"/>
          <w:b/>
          <w:spacing w:val="6"/>
          <w:sz w:val="32"/>
          <w:szCs w:val="32"/>
        </w:rPr>
      </w:pPr>
    </w:p>
    <w:p w14:paraId="20AC107C">
      <w:pPr>
        <w:autoSpaceDE w:val="0"/>
        <w:autoSpaceDN w:val="0"/>
        <w:jc w:val="center"/>
        <w:rPr>
          <w:rFonts w:ascii="宋体" w:hAnsi="宋体" w:cs="宋体"/>
          <w:b/>
          <w:spacing w:val="6"/>
          <w:sz w:val="32"/>
          <w:szCs w:val="32"/>
        </w:rPr>
      </w:pPr>
    </w:p>
    <w:p w14:paraId="06FFE543">
      <w:pPr>
        <w:autoSpaceDE w:val="0"/>
        <w:autoSpaceDN w:val="0"/>
        <w:jc w:val="center"/>
        <w:rPr>
          <w:rFonts w:ascii="宋体" w:hAnsi="宋体" w:cs="宋体"/>
          <w:b/>
          <w:spacing w:val="6"/>
          <w:sz w:val="32"/>
          <w:szCs w:val="32"/>
        </w:rPr>
      </w:pPr>
    </w:p>
    <w:p w14:paraId="4AF973BC">
      <w:pPr>
        <w:autoSpaceDE w:val="0"/>
        <w:autoSpaceDN w:val="0"/>
        <w:jc w:val="center"/>
        <w:rPr>
          <w:rFonts w:ascii="宋体" w:hAnsi="宋体" w:cs="宋体"/>
          <w:b/>
          <w:spacing w:val="6"/>
          <w:sz w:val="32"/>
          <w:szCs w:val="32"/>
        </w:rPr>
      </w:pPr>
    </w:p>
    <w:p w14:paraId="014A0DAA">
      <w:pPr>
        <w:autoSpaceDE w:val="0"/>
        <w:autoSpaceDN w:val="0"/>
        <w:jc w:val="center"/>
        <w:rPr>
          <w:rFonts w:ascii="宋体" w:hAnsi="宋体" w:cs="宋体"/>
          <w:b/>
          <w:spacing w:val="6"/>
          <w:sz w:val="32"/>
          <w:szCs w:val="32"/>
        </w:rPr>
      </w:pPr>
    </w:p>
    <w:p w14:paraId="7BD1A3D4">
      <w:pPr>
        <w:autoSpaceDE w:val="0"/>
        <w:autoSpaceDN w:val="0"/>
        <w:jc w:val="center"/>
        <w:rPr>
          <w:rFonts w:ascii="宋体" w:hAnsi="宋体" w:cs="宋体"/>
          <w:b/>
          <w:spacing w:val="6"/>
          <w:sz w:val="32"/>
          <w:szCs w:val="32"/>
        </w:rPr>
      </w:pPr>
    </w:p>
    <w:p w14:paraId="4AB30E9D">
      <w:pPr>
        <w:autoSpaceDE w:val="0"/>
        <w:autoSpaceDN w:val="0"/>
        <w:jc w:val="center"/>
        <w:rPr>
          <w:rFonts w:ascii="宋体" w:hAnsi="宋体" w:cs="宋体"/>
          <w:b/>
          <w:spacing w:val="6"/>
          <w:sz w:val="32"/>
          <w:szCs w:val="32"/>
        </w:rPr>
      </w:pPr>
    </w:p>
    <w:p w14:paraId="394A3E03">
      <w:pPr>
        <w:autoSpaceDE w:val="0"/>
        <w:autoSpaceDN w:val="0"/>
        <w:jc w:val="center"/>
        <w:rPr>
          <w:rFonts w:ascii="宋体" w:hAnsi="宋体" w:cs="宋体"/>
          <w:b/>
          <w:spacing w:val="6"/>
          <w:sz w:val="32"/>
          <w:szCs w:val="32"/>
        </w:rPr>
      </w:pPr>
    </w:p>
    <w:p w14:paraId="003495B7">
      <w:pPr>
        <w:autoSpaceDE w:val="0"/>
        <w:autoSpaceDN w:val="0"/>
        <w:jc w:val="center"/>
        <w:rPr>
          <w:rFonts w:ascii="宋体" w:hAnsi="宋体" w:cs="宋体"/>
          <w:b/>
          <w:spacing w:val="6"/>
          <w:sz w:val="32"/>
          <w:szCs w:val="32"/>
        </w:rPr>
      </w:pPr>
    </w:p>
    <w:p w14:paraId="3797387D">
      <w:pPr>
        <w:autoSpaceDE w:val="0"/>
        <w:autoSpaceDN w:val="0"/>
        <w:jc w:val="center"/>
        <w:rPr>
          <w:rFonts w:ascii="宋体" w:hAnsi="宋体" w:cs="宋体"/>
          <w:b/>
          <w:spacing w:val="6"/>
          <w:sz w:val="32"/>
          <w:szCs w:val="32"/>
        </w:rPr>
      </w:pPr>
    </w:p>
    <w:p w14:paraId="581D6936">
      <w:pPr>
        <w:snapToGrid w:val="0"/>
        <w:spacing w:line="360" w:lineRule="auto"/>
        <w:jc w:val="center"/>
        <w:outlineLvl w:val="0"/>
        <w:rPr>
          <w:rFonts w:ascii="宋体" w:hAnsi="宋体" w:cs="宋体"/>
          <w:b/>
          <w:color w:val="auto"/>
          <w:kern w:val="0"/>
          <w:sz w:val="32"/>
          <w:szCs w:val="32"/>
        </w:rPr>
      </w:pPr>
      <w:r>
        <w:rPr>
          <w:rFonts w:hint="eastAsia" w:ascii="宋体" w:hAnsi="宋体" w:cs="宋体"/>
          <w:b/>
          <w:color w:val="auto"/>
          <w:kern w:val="0"/>
          <w:sz w:val="32"/>
          <w:szCs w:val="32"/>
        </w:rPr>
        <w:t>附件</w:t>
      </w:r>
      <w:r>
        <w:rPr>
          <w:rFonts w:ascii="宋体" w:hAnsi="宋体" w:cs="宋体"/>
          <w:b/>
          <w:color w:val="auto"/>
          <w:kern w:val="0"/>
          <w:sz w:val="32"/>
          <w:szCs w:val="32"/>
        </w:rPr>
        <w:t>5</w:t>
      </w:r>
      <w:r>
        <w:rPr>
          <w:rFonts w:hint="eastAsia" w:ascii="宋体" w:hAnsi="宋体" w:cs="宋体"/>
          <w:b/>
          <w:color w:val="auto"/>
          <w:kern w:val="0"/>
          <w:sz w:val="32"/>
          <w:szCs w:val="32"/>
        </w:rPr>
        <w:t>：联合协议</w:t>
      </w:r>
    </w:p>
    <w:p w14:paraId="164B4588">
      <w:pPr>
        <w:widowControl/>
        <w:spacing w:line="360" w:lineRule="auto"/>
        <w:ind w:firstLine="482" w:firstLineChars="200"/>
        <w:jc w:val="left"/>
        <w:rPr>
          <w:rFonts w:ascii="宋体" w:hAnsi="宋体" w:cs="宋体"/>
          <w:b/>
          <w:color w:val="auto"/>
          <w:sz w:val="24"/>
        </w:rPr>
      </w:pPr>
      <w:r>
        <w:rPr>
          <w:rFonts w:hint="eastAsia" w:ascii="宋体" w:hAnsi="宋体" w:cs="宋体"/>
          <w:b/>
          <w:color w:val="auto"/>
          <w:sz w:val="24"/>
        </w:rPr>
        <w:t>（以联合体形式投标的，提供联合协议；本项目不接受联合体投标或者投标人不以联合体形式投标的，则不需要提供）</w:t>
      </w:r>
    </w:p>
    <w:p w14:paraId="1E363114">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u w:val="single"/>
        </w:rPr>
        <w:t>（联合体所有成员名称）</w:t>
      </w:r>
      <w:r>
        <w:rPr>
          <w:rFonts w:hint="eastAsia" w:ascii="宋体" w:hAnsi="宋体" w:cs="宋体"/>
          <w:color w:val="auto"/>
          <w:kern w:val="0"/>
          <w:sz w:val="24"/>
        </w:rPr>
        <w:t>自愿</w:t>
      </w:r>
      <w:r>
        <w:rPr>
          <w:rFonts w:hint="eastAsia" w:ascii="宋体" w:hAnsi="宋体" w:cs="宋体"/>
          <w:color w:val="auto"/>
          <w:kern w:val="0"/>
          <w:sz w:val="24"/>
          <w:lang w:val="zh-CN"/>
        </w:rPr>
        <w:t>组成一个联合体，以一个投标人的身份</w:t>
      </w:r>
      <w:r>
        <w:rPr>
          <w:rFonts w:hint="eastAsia" w:ascii="宋体" w:hAnsi="宋体" w:cs="宋体"/>
          <w:color w:val="auto"/>
          <w:kern w:val="0"/>
          <w:sz w:val="24"/>
        </w:rPr>
        <w:t>参加</w:t>
      </w:r>
      <w:r>
        <w:rPr>
          <w:rFonts w:hint="eastAsia" w:ascii="宋体" w:hAnsi="宋体" w:cs="宋体"/>
          <w:color w:val="auto"/>
          <w:sz w:val="24"/>
          <w:lang w:eastAsia="zh-CN"/>
        </w:rPr>
        <w:t>杭州师范大学附属未来科技城学校（天元公学西站校区）办公家具（二）采购项目</w:t>
      </w:r>
      <w:r>
        <w:rPr>
          <w:rFonts w:hint="eastAsia" w:ascii="宋体" w:hAnsi="宋体" w:cs="宋体"/>
          <w:color w:val="auto"/>
          <w:sz w:val="24"/>
        </w:rPr>
        <w:t>【招标编号：</w:t>
      </w:r>
      <w:r>
        <w:rPr>
          <w:rFonts w:hint="eastAsia" w:ascii="宋体" w:hAnsi="宋体" w:cs="宋体"/>
          <w:color w:val="auto"/>
          <w:sz w:val="24"/>
          <w:lang w:eastAsia="zh-CN"/>
        </w:rPr>
        <w:t>HZYHZFCG-2025-010</w:t>
      </w:r>
      <w:r>
        <w:rPr>
          <w:rFonts w:hint="eastAsia" w:ascii="宋体" w:hAnsi="宋体" w:cs="宋体"/>
          <w:color w:val="auto"/>
          <w:sz w:val="24"/>
        </w:rPr>
        <w:t>】</w:t>
      </w:r>
      <w:r>
        <w:rPr>
          <w:rFonts w:hint="eastAsia" w:ascii="宋体" w:hAnsi="宋体" w:cs="宋体"/>
          <w:color w:val="auto"/>
          <w:kern w:val="0"/>
          <w:sz w:val="24"/>
          <w:lang w:val="zh-CN"/>
        </w:rPr>
        <w:t xml:space="preserve">投标。 </w:t>
      </w:r>
    </w:p>
    <w:p w14:paraId="0B6D2F42">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一、各方一致决定，</w:t>
      </w:r>
      <w:r>
        <w:rPr>
          <w:rFonts w:hint="eastAsia" w:ascii="宋体" w:hAnsi="宋体" w:cs="宋体"/>
          <w:color w:val="auto"/>
          <w:kern w:val="0"/>
          <w:sz w:val="24"/>
          <w:u w:val="single"/>
        </w:rPr>
        <w:t>（某联合体成员名称）</w:t>
      </w:r>
      <w:r>
        <w:rPr>
          <w:rFonts w:hint="eastAsia" w:ascii="宋体" w:hAnsi="宋体" w:cs="宋体"/>
          <w:color w:val="auto"/>
          <w:kern w:val="0"/>
          <w:sz w:val="24"/>
        </w:rPr>
        <w:t>为联合体</w:t>
      </w:r>
      <w:r>
        <w:rPr>
          <w:rFonts w:hint="eastAsia" w:ascii="宋体" w:hAnsi="宋体" w:cs="宋体"/>
          <w:color w:val="auto"/>
          <w:kern w:val="0"/>
          <w:sz w:val="24"/>
          <w:lang w:val="zh-CN"/>
        </w:rPr>
        <w:t>牵头人</w:t>
      </w:r>
      <w:r>
        <w:rPr>
          <w:rFonts w:hint="eastAsia" w:ascii="宋体" w:hAnsi="宋体" w:cs="宋体"/>
          <w:color w:val="auto"/>
          <w:sz w:val="24"/>
        </w:rPr>
        <w:t>，代表所有联合体成员负责投标和合同实施阶段的主办、协调工作</w:t>
      </w:r>
      <w:r>
        <w:rPr>
          <w:rFonts w:hint="eastAsia" w:ascii="宋体" w:hAnsi="宋体" w:cs="宋体"/>
          <w:color w:val="auto"/>
          <w:kern w:val="0"/>
          <w:sz w:val="24"/>
          <w:lang w:val="zh-CN"/>
        </w:rPr>
        <w:t>。</w:t>
      </w:r>
    </w:p>
    <w:p w14:paraId="7AF18D70">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二、</w:t>
      </w:r>
      <w:r>
        <w:rPr>
          <w:rFonts w:hint="eastAsia" w:ascii="宋体" w:hAnsi="宋体" w:cs="宋体"/>
          <w:color w:val="auto"/>
          <w:sz w:val="24"/>
        </w:rPr>
        <w:t>所有联合体成员各方签署授权书，授权书载明的</w:t>
      </w:r>
      <w:r>
        <w:rPr>
          <w:rFonts w:hint="eastAsia" w:ascii="宋体" w:hAnsi="宋体" w:cs="宋体"/>
          <w:color w:val="auto"/>
          <w:kern w:val="0"/>
          <w:sz w:val="24"/>
          <w:lang w:val="zh-CN"/>
        </w:rPr>
        <w:t>授权代表根据招标文件规定及投标内容而对采购人、采购代理机构所作的任何合法承诺，包括书面澄清及相应等均对联合投标各方产生约束力。</w:t>
      </w:r>
    </w:p>
    <w:p w14:paraId="7C012754">
      <w:pPr>
        <w:snapToGrid w:val="0"/>
        <w:spacing w:line="360" w:lineRule="auto"/>
        <w:ind w:firstLine="576"/>
        <w:rPr>
          <w:rFonts w:ascii="宋体" w:hAnsi="宋体" w:cs="宋体"/>
          <w:kern w:val="0"/>
          <w:sz w:val="24"/>
          <w:lang w:val="zh-CN"/>
        </w:rPr>
      </w:pPr>
      <w:r>
        <w:rPr>
          <w:rFonts w:hint="eastAsia" w:ascii="宋体" w:hAnsi="宋体" w:cs="宋体"/>
          <w:color w:val="auto"/>
          <w:kern w:val="0"/>
          <w:sz w:val="24"/>
          <w:lang w:val="zh-CN"/>
        </w:rPr>
        <w:t>三、本次联合投标中，分工如</w:t>
      </w:r>
      <w:r>
        <w:rPr>
          <w:rFonts w:hint="eastAsia" w:ascii="宋体" w:hAnsi="宋体" w:cs="宋体"/>
          <w:kern w:val="0"/>
          <w:sz w:val="24"/>
          <w:lang w:val="zh-CN"/>
        </w:rPr>
        <w:t>下：</w:t>
      </w:r>
    </w:p>
    <w:p w14:paraId="7294802D">
      <w:pPr>
        <w:snapToGrid w:val="0"/>
        <w:spacing w:line="360" w:lineRule="auto"/>
        <w:ind w:firstLine="576"/>
        <w:rPr>
          <w:rFonts w:ascii="宋体" w:hAnsi="宋体" w:cs="宋体"/>
          <w:kern w:val="0"/>
          <w:sz w:val="24"/>
          <w:lang w:val="zh-CN"/>
        </w:rPr>
      </w:pPr>
      <w:bookmarkStart w:id="561" w:name="_Hlk101134295"/>
      <w:r>
        <w:rPr>
          <w:rFonts w:hint="eastAsia" w:ascii="宋体" w:hAnsi="宋体" w:cs="宋体"/>
          <w:kern w:val="0"/>
          <w:sz w:val="24"/>
          <w:u w:val="single"/>
        </w:rPr>
        <w:t>（联合体成员1）</w:t>
      </w:r>
      <w:r>
        <w:rPr>
          <w:rFonts w:hint="eastAsia" w:ascii="宋体" w:hAnsi="宋体" w:cs="宋体"/>
          <w:kern w:val="0"/>
          <w:sz w:val="24"/>
          <w:lang w:val="zh-CN"/>
        </w:rPr>
        <w:t>承担的工作和义务为：</w:t>
      </w:r>
      <w:r>
        <w:rPr>
          <w:rFonts w:hint="eastAsia" w:ascii="宋体" w:hAnsi="宋体" w:cs="宋体"/>
          <w:u w:val="single"/>
        </w:rPr>
        <w:t xml:space="preserve">             </w:t>
      </w:r>
    </w:p>
    <w:p w14:paraId="23576BF0">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w:t>
      </w:r>
      <w:r>
        <w:rPr>
          <w:rFonts w:ascii="宋体" w:hAnsi="宋体" w:cs="宋体"/>
          <w:kern w:val="0"/>
          <w:sz w:val="24"/>
          <w:u w:val="single"/>
        </w:rPr>
        <w:t>2</w:t>
      </w:r>
      <w:r>
        <w:rPr>
          <w:rFonts w:hint="eastAsia" w:ascii="宋体" w:hAnsi="宋体" w:cs="宋体"/>
          <w:kern w:val="0"/>
          <w:sz w:val="24"/>
          <w:u w:val="single"/>
        </w:rPr>
        <w:t>）</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5C535748">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w:t>
      </w:r>
    </w:p>
    <w:bookmarkEnd w:id="561"/>
    <w:p w14:paraId="6DD5E4D8">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四、联合体成员中小企业合同份额。</w:t>
      </w:r>
    </w:p>
    <w:p w14:paraId="45A39311">
      <w:pPr>
        <w:snapToGrid w:val="0"/>
        <w:spacing w:line="360" w:lineRule="auto"/>
        <w:ind w:firstLine="576"/>
        <w:rPr>
          <w:rFonts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（联合体成员</w:t>
      </w:r>
      <w:r>
        <w:rPr>
          <w:rFonts w:ascii="宋体" w:hAnsi="宋体" w:cs="宋体"/>
          <w:kern w:val="0"/>
          <w:sz w:val="24"/>
          <w:u w:val="single"/>
        </w:rPr>
        <w:t>X,</w:t>
      </w:r>
      <w:r>
        <w:rPr>
          <w:rFonts w:hint="eastAsia" w:ascii="宋体" w:hAnsi="宋体" w:cs="宋体"/>
          <w:kern w:val="0"/>
          <w:sz w:val="24"/>
          <w:u w:val="single"/>
        </w:rPr>
        <w:t>……）</w:t>
      </w:r>
      <w:r>
        <w:rPr>
          <w:rFonts w:hint="eastAsia" w:ascii="宋体" w:hAnsi="宋体" w:cs="宋体"/>
          <w:kern w:val="0"/>
          <w:sz w:val="24"/>
        </w:rPr>
        <w:t>提供的全部货物由小微企业制造，其合同份额占到合同总金额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kern w:val="0"/>
          <w:sz w:val="24"/>
          <w:lang w:val="zh-CN"/>
        </w:rPr>
        <w:t>……。</w:t>
      </w:r>
      <w:r>
        <w:rPr>
          <w:rFonts w:hint="eastAsia" w:ascii="宋体" w:hAnsi="宋体" w:cs="宋体"/>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483A42FE">
      <w:pPr>
        <w:snapToGrid w:val="0"/>
        <w:spacing w:line="360" w:lineRule="auto"/>
        <w:ind w:firstLine="576"/>
        <w:rPr>
          <w:rFonts w:ascii="宋体" w:hAnsi="宋体" w:cs="宋体"/>
          <w:kern w:val="0"/>
          <w:sz w:val="24"/>
          <w:lang w:val="zh-CN"/>
        </w:rPr>
      </w:pPr>
      <w:r>
        <w:rPr>
          <w:rFonts w:hint="eastAsia" w:ascii="宋体" w:hAnsi="宋体" w:cs="宋体"/>
          <w:sz w:val="24"/>
        </w:rPr>
        <w:t>2、中小企业合同金额达到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p>
    <w:p w14:paraId="2B73B99F">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14:paraId="42D28D2A">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六、有关本次联合投标的其他事宜：</w:t>
      </w:r>
    </w:p>
    <w:p w14:paraId="5E1D4520">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14:paraId="1FC71F50">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14:paraId="6DA13745">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14:paraId="73BC2A0A">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17E30711">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271039FA">
      <w:pPr>
        <w:snapToGrid w:val="0"/>
        <w:spacing w:line="360" w:lineRule="auto"/>
        <w:ind w:right="960"/>
        <w:jc w:val="center"/>
        <w:rPr>
          <w:rFonts w:ascii="宋体" w:hAnsi="宋体" w:cs="宋体"/>
          <w:kern w:val="0"/>
          <w:sz w:val="24"/>
          <w:lang w:val="zh-CN"/>
        </w:rPr>
      </w:pPr>
      <w:r>
        <w:rPr>
          <w:rFonts w:hint="eastAsia" w:ascii="宋体" w:hAnsi="宋体" w:cs="宋体"/>
          <w:kern w:val="0"/>
          <w:sz w:val="24"/>
          <w:lang w:val="zh-CN"/>
        </w:rPr>
        <w:t xml:space="preserve">                   ……</w:t>
      </w:r>
    </w:p>
    <w:p w14:paraId="066496DC">
      <w:pPr>
        <w:snapToGrid w:val="0"/>
        <w:spacing w:line="360" w:lineRule="auto"/>
        <w:jc w:val="right"/>
        <w:rPr>
          <w:rFonts w:ascii="宋体" w:hAnsi="宋体" w:cs="宋体"/>
          <w:kern w:val="0"/>
          <w:sz w:val="24"/>
          <w:lang w:val="zh-CN"/>
        </w:rPr>
      </w:pPr>
      <w:r>
        <w:rPr>
          <w:rFonts w:hint="eastAsia" w:ascii="宋体" w:hAnsi="宋体" w:cs="宋体"/>
          <w:kern w:val="0"/>
          <w:sz w:val="24"/>
          <w:lang w:val="zh-CN"/>
        </w:rPr>
        <w:t>日期：  年  月   日</w:t>
      </w:r>
    </w:p>
    <w:p w14:paraId="556F2CAB">
      <w:pPr>
        <w:spacing w:line="360" w:lineRule="auto"/>
        <w:ind w:right="420"/>
        <w:rPr>
          <w:rFonts w:ascii="宋体" w:hAnsi="宋体" w:cs="宋体"/>
          <w:sz w:val="24"/>
        </w:rPr>
      </w:pPr>
      <w:r>
        <w:rPr>
          <w:rFonts w:hint="eastAsia" w:ascii="宋体" w:hAnsi="宋体" w:cs="宋体"/>
          <w:sz w:val="24"/>
        </w:rPr>
        <w:t>注：按本格式和要求提供。</w:t>
      </w:r>
    </w:p>
    <w:p w14:paraId="2E5DE2C3">
      <w:pPr>
        <w:autoSpaceDE w:val="0"/>
        <w:autoSpaceDN w:val="0"/>
        <w:jc w:val="center"/>
        <w:rPr>
          <w:rFonts w:ascii="宋体" w:hAnsi="宋体" w:cs="宋体"/>
          <w:b/>
          <w:spacing w:val="6"/>
          <w:sz w:val="32"/>
          <w:szCs w:val="32"/>
        </w:rPr>
      </w:pPr>
    </w:p>
    <w:p w14:paraId="60A71D12">
      <w:pPr>
        <w:autoSpaceDE w:val="0"/>
        <w:autoSpaceDN w:val="0"/>
        <w:jc w:val="center"/>
        <w:rPr>
          <w:rFonts w:ascii="宋体" w:hAnsi="宋体" w:cs="宋体"/>
          <w:b/>
          <w:spacing w:val="6"/>
          <w:sz w:val="32"/>
          <w:szCs w:val="32"/>
        </w:rPr>
      </w:pPr>
    </w:p>
    <w:p w14:paraId="0D3DFAD1">
      <w:pPr>
        <w:autoSpaceDE w:val="0"/>
        <w:autoSpaceDN w:val="0"/>
        <w:jc w:val="center"/>
        <w:rPr>
          <w:rFonts w:ascii="宋体" w:hAnsi="宋体" w:cs="宋体"/>
          <w:b/>
          <w:spacing w:val="6"/>
          <w:sz w:val="32"/>
          <w:szCs w:val="32"/>
        </w:rPr>
      </w:pPr>
    </w:p>
    <w:p w14:paraId="16620B2E">
      <w:pPr>
        <w:autoSpaceDE w:val="0"/>
        <w:autoSpaceDN w:val="0"/>
        <w:jc w:val="center"/>
        <w:rPr>
          <w:rFonts w:ascii="宋体" w:hAnsi="宋体" w:cs="宋体"/>
          <w:b/>
          <w:spacing w:val="6"/>
          <w:sz w:val="32"/>
          <w:szCs w:val="32"/>
        </w:rPr>
      </w:pPr>
    </w:p>
    <w:p w14:paraId="0AD5ADA4">
      <w:pPr>
        <w:autoSpaceDE w:val="0"/>
        <w:autoSpaceDN w:val="0"/>
        <w:jc w:val="center"/>
        <w:rPr>
          <w:rFonts w:ascii="宋体" w:hAnsi="宋体" w:cs="宋体"/>
          <w:b/>
          <w:spacing w:val="6"/>
          <w:sz w:val="32"/>
          <w:szCs w:val="32"/>
        </w:rPr>
      </w:pPr>
    </w:p>
    <w:p w14:paraId="03AA32BF">
      <w:pPr>
        <w:autoSpaceDE w:val="0"/>
        <w:autoSpaceDN w:val="0"/>
        <w:jc w:val="center"/>
        <w:rPr>
          <w:rFonts w:ascii="宋体" w:hAnsi="宋体" w:cs="宋体"/>
          <w:b/>
          <w:spacing w:val="6"/>
          <w:sz w:val="32"/>
          <w:szCs w:val="32"/>
        </w:rPr>
      </w:pPr>
    </w:p>
    <w:p w14:paraId="73EA256E">
      <w:pPr>
        <w:autoSpaceDE w:val="0"/>
        <w:autoSpaceDN w:val="0"/>
        <w:jc w:val="center"/>
        <w:rPr>
          <w:rFonts w:ascii="宋体" w:hAnsi="宋体" w:cs="宋体"/>
          <w:b/>
          <w:spacing w:val="6"/>
          <w:sz w:val="32"/>
          <w:szCs w:val="32"/>
        </w:rPr>
      </w:pPr>
    </w:p>
    <w:p w14:paraId="69C3C9DA">
      <w:pPr>
        <w:autoSpaceDE w:val="0"/>
        <w:autoSpaceDN w:val="0"/>
        <w:jc w:val="center"/>
        <w:rPr>
          <w:rFonts w:ascii="宋体" w:hAnsi="宋体" w:cs="宋体"/>
          <w:b/>
          <w:spacing w:val="6"/>
          <w:sz w:val="32"/>
          <w:szCs w:val="32"/>
        </w:rPr>
      </w:pPr>
    </w:p>
    <w:p w14:paraId="66768AE1">
      <w:pPr>
        <w:autoSpaceDE w:val="0"/>
        <w:autoSpaceDN w:val="0"/>
        <w:jc w:val="center"/>
        <w:rPr>
          <w:rFonts w:ascii="宋体" w:hAnsi="宋体" w:cs="宋体"/>
          <w:b/>
          <w:spacing w:val="6"/>
          <w:sz w:val="32"/>
          <w:szCs w:val="32"/>
        </w:rPr>
      </w:pPr>
    </w:p>
    <w:p w14:paraId="59B41686">
      <w:pPr>
        <w:autoSpaceDE w:val="0"/>
        <w:autoSpaceDN w:val="0"/>
        <w:jc w:val="center"/>
        <w:rPr>
          <w:rFonts w:ascii="宋体" w:hAnsi="宋体" w:cs="宋体"/>
          <w:b/>
          <w:spacing w:val="6"/>
          <w:sz w:val="32"/>
          <w:szCs w:val="32"/>
        </w:rPr>
      </w:pPr>
    </w:p>
    <w:p w14:paraId="0E95A168">
      <w:pPr>
        <w:autoSpaceDE w:val="0"/>
        <w:autoSpaceDN w:val="0"/>
        <w:jc w:val="center"/>
        <w:rPr>
          <w:rFonts w:ascii="宋体" w:hAnsi="宋体" w:cs="宋体"/>
          <w:b/>
          <w:spacing w:val="6"/>
          <w:sz w:val="32"/>
          <w:szCs w:val="32"/>
        </w:rPr>
      </w:pPr>
    </w:p>
    <w:p w14:paraId="575FB012">
      <w:pPr>
        <w:autoSpaceDE w:val="0"/>
        <w:autoSpaceDN w:val="0"/>
        <w:jc w:val="center"/>
        <w:rPr>
          <w:rFonts w:ascii="宋体" w:hAnsi="宋体" w:cs="宋体"/>
          <w:b/>
          <w:spacing w:val="6"/>
          <w:sz w:val="32"/>
          <w:szCs w:val="32"/>
        </w:rPr>
      </w:pPr>
    </w:p>
    <w:p w14:paraId="49C6BF34">
      <w:pPr>
        <w:autoSpaceDE w:val="0"/>
        <w:autoSpaceDN w:val="0"/>
        <w:jc w:val="center"/>
        <w:rPr>
          <w:rFonts w:ascii="宋体" w:hAnsi="宋体" w:cs="宋体"/>
          <w:b/>
          <w:spacing w:val="6"/>
          <w:sz w:val="32"/>
          <w:szCs w:val="32"/>
        </w:rPr>
      </w:pPr>
    </w:p>
    <w:p w14:paraId="3699CB1C">
      <w:pPr>
        <w:autoSpaceDE w:val="0"/>
        <w:autoSpaceDN w:val="0"/>
        <w:jc w:val="center"/>
        <w:rPr>
          <w:rFonts w:ascii="宋体" w:hAnsi="宋体" w:cs="宋体"/>
          <w:b/>
          <w:spacing w:val="6"/>
          <w:sz w:val="32"/>
          <w:szCs w:val="32"/>
        </w:rPr>
      </w:pPr>
    </w:p>
    <w:p w14:paraId="741306AC">
      <w:pPr>
        <w:autoSpaceDE w:val="0"/>
        <w:autoSpaceDN w:val="0"/>
        <w:jc w:val="center"/>
        <w:rPr>
          <w:rFonts w:ascii="宋体" w:hAnsi="宋体" w:cs="宋体"/>
          <w:b/>
          <w:spacing w:val="6"/>
          <w:sz w:val="32"/>
          <w:szCs w:val="32"/>
        </w:rPr>
      </w:pPr>
    </w:p>
    <w:p w14:paraId="72927DA9">
      <w:pPr>
        <w:autoSpaceDE w:val="0"/>
        <w:autoSpaceDN w:val="0"/>
        <w:jc w:val="center"/>
        <w:rPr>
          <w:rFonts w:ascii="宋体" w:hAnsi="宋体" w:cs="宋体"/>
          <w:b/>
          <w:spacing w:val="6"/>
          <w:sz w:val="32"/>
          <w:szCs w:val="32"/>
        </w:rPr>
      </w:pPr>
    </w:p>
    <w:p w14:paraId="61CA0A4B">
      <w:pPr>
        <w:autoSpaceDE w:val="0"/>
        <w:autoSpaceDN w:val="0"/>
        <w:jc w:val="center"/>
        <w:rPr>
          <w:rFonts w:ascii="宋体" w:hAnsi="宋体" w:cs="宋体"/>
          <w:b/>
          <w:spacing w:val="6"/>
          <w:sz w:val="32"/>
          <w:szCs w:val="32"/>
        </w:rPr>
      </w:pPr>
    </w:p>
    <w:p w14:paraId="750B2856">
      <w:pPr>
        <w:autoSpaceDE w:val="0"/>
        <w:autoSpaceDN w:val="0"/>
        <w:jc w:val="center"/>
        <w:rPr>
          <w:rFonts w:ascii="宋体" w:hAnsi="宋体" w:cs="宋体"/>
          <w:b/>
          <w:spacing w:val="6"/>
          <w:sz w:val="32"/>
          <w:szCs w:val="32"/>
        </w:rPr>
      </w:pPr>
    </w:p>
    <w:p w14:paraId="6E1CCC12">
      <w:pPr>
        <w:autoSpaceDE w:val="0"/>
        <w:autoSpaceDN w:val="0"/>
        <w:jc w:val="center"/>
        <w:rPr>
          <w:rFonts w:ascii="宋体" w:hAnsi="宋体" w:cs="宋体"/>
          <w:b/>
          <w:spacing w:val="6"/>
          <w:sz w:val="32"/>
          <w:szCs w:val="32"/>
        </w:rPr>
      </w:pPr>
    </w:p>
    <w:p w14:paraId="3AA03AC8">
      <w:pPr>
        <w:autoSpaceDE w:val="0"/>
        <w:autoSpaceDN w:val="0"/>
        <w:jc w:val="center"/>
        <w:rPr>
          <w:rFonts w:ascii="宋体" w:hAnsi="宋体" w:cs="宋体"/>
          <w:b/>
          <w:spacing w:val="6"/>
          <w:sz w:val="32"/>
          <w:szCs w:val="32"/>
        </w:rPr>
      </w:pPr>
    </w:p>
    <w:p w14:paraId="77E9BE62">
      <w:pPr>
        <w:autoSpaceDE w:val="0"/>
        <w:autoSpaceDN w:val="0"/>
        <w:jc w:val="center"/>
        <w:rPr>
          <w:rFonts w:ascii="宋体" w:hAnsi="宋体" w:cs="宋体"/>
          <w:b/>
          <w:spacing w:val="6"/>
          <w:sz w:val="32"/>
          <w:szCs w:val="32"/>
        </w:rPr>
      </w:pPr>
    </w:p>
    <w:p w14:paraId="28A70E77">
      <w:pPr>
        <w:autoSpaceDE w:val="0"/>
        <w:autoSpaceDN w:val="0"/>
        <w:jc w:val="center"/>
        <w:rPr>
          <w:rFonts w:ascii="宋体" w:hAnsi="宋体" w:cs="宋体"/>
          <w:b/>
          <w:spacing w:val="6"/>
          <w:sz w:val="32"/>
          <w:szCs w:val="32"/>
        </w:rPr>
      </w:pPr>
    </w:p>
    <w:p w14:paraId="5B2E0CDA">
      <w:pPr>
        <w:autoSpaceDE w:val="0"/>
        <w:autoSpaceDN w:val="0"/>
        <w:jc w:val="center"/>
        <w:rPr>
          <w:rFonts w:ascii="宋体" w:hAnsi="宋体" w:cs="宋体"/>
          <w:b/>
          <w:spacing w:val="6"/>
          <w:sz w:val="32"/>
          <w:szCs w:val="32"/>
        </w:rPr>
      </w:pPr>
    </w:p>
    <w:p w14:paraId="24284433">
      <w:pPr>
        <w:autoSpaceDE w:val="0"/>
        <w:autoSpaceDN w:val="0"/>
        <w:jc w:val="center"/>
        <w:rPr>
          <w:rFonts w:ascii="宋体" w:hAnsi="宋体" w:cs="宋体"/>
          <w:b/>
          <w:spacing w:val="6"/>
          <w:sz w:val="32"/>
          <w:szCs w:val="32"/>
        </w:rPr>
      </w:pPr>
    </w:p>
    <w:p w14:paraId="0A569815">
      <w:pPr>
        <w:autoSpaceDE w:val="0"/>
        <w:autoSpaceDN w:val="0"/>
        <w:jc w:val="center"/>
        <w:rPr>
          <w:rFonts w:ascii="宋体" w:hAnsi="宋体" w:cs="宋体"/>
          <w:b/>
          <w:spacing w:val="6"/>
          <w:sz w:val="32"/>
          <w:szCs w:val="32"/>
        </w:rPr>
      </w:pPr>
    </w:p>
    <w:p w14:paraId="13930403">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6</w:t>
      </w:r>
      <w:r>
        <w:rPr>
          <w:rFonts w:hint="eastAsia" w:ascii="宋体" w:hAnsi="宋体" w:cs="宋体"/>
          <w:b/>
          <w:kern w:val="0"/>
          <w:sz w:val="32"/>
          <w:szCs w:val="32"/>
        </w:rPr>
        <w:t>：分包意向协议</w:t>
      </w:r>
    </w:p>
    <w:p w14:paraId="182CBDE9">
      <w:pPr>
        <w:widowControl/>
        <w:spacing w:line="360" w:lineRule="auto"/>
        <w:ind w:firstLine="120" w:firstLineChars="50"/>
        <w:jc w:val="left"/>
        <w:rPr>
          <w:rFonts w:ascii="宋体" w:hAnsi="宋体" w:cs="宋体"/>
          <w:color w:val="auto"/>
          <w:sz w:val="24"/>
        </w:rPr>
      </w:pPr>
      <w:r>
        <w:rPr>
          <w:rFonts w:hint="eastAsia" w:ascii="宋体" w:hAnsi="宋体" w:cs="宋体"/>
          <w:sz w:val="24"/>
        </w:rPr>
        <w:t>（</w:t>
      </w:r>
      <w:r>
        <w:rPr>
          <w:rFonts w:hint="eastAsia" w:ascii="宋体" w:hAnsi="宋体" w:cs="宋体"/>
          <w:b/>
          <w:sz w:val="24"/>
        </w:rPr>
        <w:t>中标后以分包方式履</w:t>
      </w:r>
      <w:r>
        <w:rPr>
          <w:rFonts w:hint="eastAsia" w:ascii="宋体" w:hAnsi="宋体" w:cs="宋体"/>
          <w:b/>
          <w:color w:val="auto"/>
          <w:sz w:val="24"/>
        </w:rPr>
        <w:t>行合同的，提供分包意向协议；采购人不同意分包或者投标人中标后不以分包方式履行合同的，则不需要提供。</w:t>
      </w:r>
      <w:r>
        <w:rPr>
          <w:rFonts w:hint="eastAsia" w:ascii="宋体" w:hAnsi="宋体" w:cs="宋体"/>
          <w:color w:val="auto"/>
          <w:sz w:val="24"/>
        </w:rPr>
        <w:t>）</w:t>
      </w:r>
    </w:p>
    <w:p w14:paraId="32A5B3D3">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u w:val="single"/>
        </w:rPr>
        <w:t>（投标人名称）</w:t>
      </w:r>
      <w:r>
        <w:rPr>
          <w:rFonts w:hint="eastAsia" w:ascii="宋体" w:hAnsi="宋体" w:cs="宋体"/>
          <w:color w:val="auto"/>
          <w:kern w:val="0"/>
          <w:sz w:val="24"/>
          <w:lang w:val="zh-CN"/>
        </w:rPr>
        <w:t>若成为</w:t>
      </w:r>
      <w:r>
        <w:rPr>
          <w:rFonts w:hint="eastAsia" w:ascii="宋体" w:hAnsi="宋体" w:cs="宋体"/>
          <w:color w:val="auto"/>
          <w:sz w:val="24"/>
          <w:lang w:eastAsia="zh-CN"/>
        </w:rPr>
        <w:t>杭州师范大学附属未来科技城学校（天元公学西站校区）办公家具（二）采购项目</w:t>
      </w:r>
      <w:r>
        <w:rPr>
          <w:rFonts w:hint="eastAsia" w:ascii="宋体" w:hAnsi="宋体" w:cs="宋体"/>
          <w:color w:val="auto"/>
          <w:sz w:val="24"/>
        </w:rPr>
        <w:t>【招标编号：</w:t>
      </w:r>
      <w:r>
        <w:rPr>
          <w:rFonts w:hint="eastAsia" w:ascii="宋体" w:hAnsi="宋体" w:cs="宋体"/>
          <w:color w:val="auto"/>
          <w:sz w:val="24"/>
          <w:lang w:eastAsia="zh-CN"/>
        </w:rPr>
        <w:t>HZYHZFCG-2025-010</w:t>
      </w:r>
      <w:r>
        <w:rPr>
          <w:rFonts w:hint="eastAsia" w:ascii="宋体" w:hAnsi="宋体" w:cs="宋体"/>
          <w:color w:val="auto"/>
          <w:sz w:val="24"/>
        </w:rPr>
        <w:t>】</w:t>
      </w:r>
      <w:r>
        <w:rPr>
          <w:rFonts w:hint="eastAsia" w:ascii="宋体" w:hAnsi="宋体" w:cs="宋体"/>
          <w:color w:val="auto"/>
          <w:kern w:val="0"/>
          <w:sz w:val="24"/>
          <w:lang w:val="zh-CN"/>
        </w:rPr>
        <w:t>的中标供应商，将依法采取分包方式履行合同。</w:t>
      </w:r>
      <w:r>
        <w:rPr>
          <w:rFonts w:hint="eastAsia" w:ascii="宋体" w:hAnsi="宋体" w:cs="宋体"/>
          <w:color w:val="auto"/>
          <w:kern w:val="0"/>
          <w:sz w:val="24"/>
          <w:u w:val="single"/>
        </w:rPr>
        <w:t>（投标人名称）</w:t>
      </w:r>
      <w:r>
        <w:rPr>
          <w:rFonts w:hint="eastAsia" w:ascii="宋体" w:hAnsi="宋体" w:cs="宋体"/>
          <w:color w:val="auto"/>
          <w:kern w:val="0"/>
          <w:sz w:val="24"/>
        </w:rPr>
        <w:t>与</w:t>
      </w:r>
      <w:r>
        <w:rPr>
          <w:rFonts w:hint="eastAsia" w:ascii="宋体" w:hAnsi="宋体" w:cs="宋体"/>
          <w:color w:val="auto"/>
          <w:kern w:val="0"/>
          <w:sz w:val="24"/>
          <w:u w:val="single"/>
        </w:rPr>
        <w:t>（所有分包供应商名称）</w:t>
      </w:r>
      <w:r>
        <w:rPr>
          <w:rFonts w:hint="eastAsia" w:ascii="宋体" w:hAnsi="宋体" w:cs="宋体"/>
          <w:color w:val="auto"/>
          <w:kern w:val="0"/>
          <w:sz w:val="24"/>
        </w:rPr>
        <w:t>达成分包意向协议</w:t>
      </w:r>
      <w:r>
        <w:rPr>
          <w:rFonts w:hint="eastAsia" w:ascii="宋体" w:hAnsi="宋体" w:cs="宋体"/>
          <w:color w:val="auto"/>
          <w:kern w:val="0"/>
          <w:sz w:val="24"/>
          <w:lang w:val="zh-CN"/>
        </w:rPr>
        <w:t xml:space="preserve">。 </w:t>
      </w:r>
    </w:p>
    <w:p w14:paraId="4A5A1EE7">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一、分包标的及数量</w:t>
      </w:r>
    </w:p>
    <w:p w14:paraId="5CF12327">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u w:val="single"/>
        </w:rPr>
        <w:t>（投标人名称）</w:t>
      </w:r>
      <w:r>
        <w:rPr>
          <w:rFonts w:hint="eastAsia" w:ascii="宋体" w:hAnsi="宋体" w:cs="宋体"/>
          <w:color w:val="auto"/>
          <w:kern w:val="0"/>
          <w:sz w:val="24"/>
          <w:lang w:val="zh-CN"/>
        </w:rPr>
        <w:t>将</w:t>
      </w:r>
      <w:r>
        <w:rPr>
          <w:rFonts w:hint="eastAsia" w:ascii="宋体" w:hAnsi="宋体" w:cs="宋体"/>
          <w:color w:val="auto"/>
          <w:u w:val="single"/>
        </w:rPr>
        <w:t xml:space="preserve"> </w:t>
      </w:r>
      <w:r>
        <w:rPr>
          <w:rFonts w:ascii="宋体" w:hAnsi="宋体" w:cs="宋体"/>
          <w:color w:val="auto"/>
          <w:kern w:val="0"/>
          <w:sz w:val="24"/>
          <w:u w:val="single"/>
        </w:rPr>
        <w:t xml:space="preserve">  XX工作内容   </w:t>
      </w:r>
      <w:r>
        <w:rPr>
          <w:rFonts w:hint="eastAsia" w:ascii="宋体" w:hAnsi="宋体" w:cs="宋体"/>
          <w:color w:val="auto"/>
          <w:sz w:val="24"/>
        </w:rPr>
        <w:t>分包给</w:t>
      </w:r>
      <w:r>
        <w:rPr>
          <w:rFonts w:hint="eastAsia" w:ascii="宋体" w:hAnsi="宋体" w:cs="宋体"/>
          <w:color w:val="auto"/>
          <w:kern w:val="0"/>
          <w:sz w:val="24"/>
          <w:u w:val="single"/>
        </w:rPr>
        <w:t>（分包供应商1名称）</w:t>
      </w:r>
      <w:r>
        <w:rPr>
          <w:rFonts w:hint="eastAsia" w:ascii="宋体" w:hAnsi="宋体" w:cs="宋体"/>
          <w:color w:val="auto"/>
          <w:kern w:val="0"/>
          <w:sz w:val="24"/>
          <w:lang w:val="zh-CN"/>
        </w:rPr>
        <w:t>，</w:t>
      </w:r>
      <w:r>
        <w:rPr>
          <w:rFonts w:hint="eastAsia" w:ascii="宋体" w:hAnsi="宋体" w:cs="宋体"/>
          <w:color w:val="auto"/>
          <w:kern w:val="0"/>
          <w:sz w:val="24"/>
          <w:u w:val="single"/>
        </w:rPr>
        <w:t>（分包供应商1名称），</w:t>
      </w:r>
      <w:r>
        <w:rPr>
          <w:rFonts w:hint="eastAsia" w:ascii="宋体" w:hAnsi="宋体" w:cs="宋体"/>
          <w:color w:val="auto"/>
          <w:kern w:val="0"/>
          <w:sz w:val="24"/>
          <w:lang w:val="zh-CN"/>
        </w:rPr>
        <w:t>具备承</w:t>
      </w:r>
      <w:r>
        <w:rPr>
          <w:rFonts w:hint="eastAsia" w:ascii="宋体" w:hAnsi="宋体" w:cs="宋体"/>
          <w:color w:val="auto"/>
          <w:kern w:val="0"/>
          <w:sz w:val="24"/>
        </w:rPr>
        <w:t>担</w:t>
      </w:r>
      <w:r>
        <w:rPr>
          <w:rFonts w:hint="eastAsia" w:ascii="宋体" w:hAnsi="宋体" w:cs="宋体"/>
          <w:color w:val="auto"/>
          <w:kern w:val="0"/>
          <w:sz w:val="24"/>
          <w:u w:val="single"/>
          <w:lang w:val="zh-CN"/>
        </w:rPr>
        <w:t>XX工作内容</w:t>
      </w:r>
      <w:r>
        <w:rPr>
          <w:rFonts w:hint="eastAsia" w:ascii="宋体" w:hAnsi="宋体" w:cs="宋体"/>
          <w:color w:val="auto"/>
          <w:kern w:val="0"/>
          <w:sz w:val="24"/>
          <w:lang w:val="zh-CN"/>
        </w:rPr>
        <w:t>相应资质条件且不得再次分包；</w:t>
      </w:r>
    </w:p>
    <w:p w14:paraId="157EE437">
      <w:pPr>
        <w:pStyle w:val="3"/>
        <w:ind w:left="664" w:leftChars="316" w:firstLine="229" w:firstLineChars="95"/>
        <w:rPr>
          <w:rFonts w:ascii="宋体" w:hAnsi="宋体" w:eastAsia="宋体" w:cs="宋体"/>
          <w:color w:val="auto"/>
          <w:kern w:val="0"/>
          <w:sz w:val="24"/>
          <w:szCs w:val="24"/>
        </w:rPr>
      </w:pPr>
      <w:r>
        <w:rPr>
          <w:rFonts w:hint="eastAsia" w:ascii="宋体" w:hAnsi="宋体" w:eastAsia="宋体" w:cs="宋体"/>
          <w:color w:val="auto"/>
          <w:kern w:val="0"/>
          <w:sz w:val="24"/>
          <w:szCs w:val="24"/>
        </w:rPr>
        <w:t>……</w:t>
      </w:r>
    </w:p>
    <w:p w14:paraId="1FCE36ED">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二、分包供应商中小企业合同份额</w:t>
      </w:r>
    </w:p>
    <w:p w14:paraId="7008F9F7">
      <w:pPr>
        <w:snapToGrid w:val="0"/>
        <w:spacing w:line="360" w:lineRule="auto"/>
        <w:ind w:firstLine="576"/>
        <w:rPr>
          <w:rFonts w:ascii="宋体" w:hAnsi="宋体" w:cs="宋体"/>
          <w:b/>
          <w:kern w:val="0"/>
          <w:sz w:val="24"/>
          <w:lang w:val="zh-CN"/>
        </w:rPr>
      </w:pPr>
      <w:r>
        <w:rPr>
          <w:rFonts w:ascii="宋体" w:hAnsi="宋体" w:cs="宋体"/>
          <w:kern w:val="0"/>
          <w:sz w:val="24"/>
        </w:rPr>
        <w:t>1、</w:t>
      </w:r>
      <w:r>
        <w:rPr>
          <w:rFonts w:hint="eastAsia" w:ascii="宋体" w:hAnsi="宋体" w:cs="宋体"/>
          <w:kern w:val="0"/>
          <w:sz w:val="24"/>
          <w:u w:val="single"/>
        </w:rPr>
        <w:t>（分包供应商X</w:t>
      </w:r>
      <w:r>
        <w:rPr>
          <w:rFonts w:ascii="宋体" w:hAnsi="宋体" w:cs="宋体"/>
          <w:kern w:val="0"/>
          <w:sz w:val="24"/>
          <w:u w:val="single"/>
        </w:rPr>
        <w:t>,</w:t>
      </w:r>
      <w:r>
        <w:rPr>
          <w:rFonts w:hint="eastAsia" w:ascii="宋体" w:hAnsi="宋体" w:cs="宋体"/>
          <w:kern w:val="0"/>
          <w:sz w:val="24"/>
          <w:u w:val="single"/>
        </w:rPr>
        <w:t>……）提供的货物全部由小微企业制造，</w:t>
      </w:r>
      <w:r>
        <w:rPr>
          <w:rFonts w:hint="eastAsia" w:ascii="宋体" w:hAnsi="宋体" w:cs="宋体"/>
          <w:kern w:val="0"/>
          <w:sz w:val="24"/>
        </w:rPr>
        <w:t>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rPr>
        <w:t>。</w:t>
      </w:r>
      <w:r>
        <w:rPr>
          <w:rFonts w:hint="eastAsia" w:ascii="宋体" w:hAnsi="宋体" w:cs="宋体"/>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5D90A27A">
      <w:pPr>
        <w:spacing w:line="360" w:lineRule="auto"/>
        <w:ind w:firstLine="480" w:firstLineChars="200"/>
        <w:rPr>
          <w:rFonts w:ascii="宋体" w:hAnsi="宋体" w:cs="宋体"/>
          <w:b/>
          <w:bCs/>
          <w:kern w:val="0"/>
          <w:sz w:val="24"/>
          <w:lang w:val="zh-CN"/>
        </w:rPr>
      </w:pPr>
      <w:r>
        <w:rPr>
          <w:rFonts w:hint="eastAsia" w:ascii="宋体" w:hAnsi="宋体" w:cs="宋体"/>
          <w:sz w:val="24"/>
        </w:rPr>
        <w:t>2、</w:t>
      </w:r>
      <w:bookmarkStart w:id="562" w:name="_Hlk101133173"/>
      <w:r>
        <w:rPr>
          <w:rFonts w:hint="eastAsia" w:ascii="宋体" w:hAnsi="宋体" w:cs="宋体"/>
          <w:sz w:val="24"/>
        </w:rPr>
        <w:t>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bookmarkEnd w:id="562"/>
    </w:p>
    <w:p w14:paraId="426E20D9">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三、分包工作履行期限、地点、方式</w:t>
      </w:r>
    </w:p>
    <w:p w14:paraId="65105CA9">
      <w:pPr>
        <w:snapToGrid w:val="0"/>
        <w:spacing w:line="360" w:lineRule="auto"/>
        <w:ind w:firstLine="576"/>
        <w:rPr>
          <w:rFonts w:ascii="宋体" w:hAnsi="宋体" w:cs="宋体"/>
          <w:u w:val="single"/>
        </w:rPr>
      </w:pPr>
      <w:r>
        <w:rPr>
          <w:rFonts w:hint="eastAsia" w:ascii="宋体" w:hAnsi="宋体" w:cs="宋体"/>
          <w:u w:val="single"/>
        </w:rPr>
        <w:t xml:space="preserve">                                                                                  </w:t>
      </w:r>
    </w:p>
    <w:p w14:paraId="4A25A812">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四、质量</w:t>
      </w:r>
    </w:p>
    <w:p w14:paraId="55A431DE">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14:paraId="187E9118">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五、价款或者报酬</w:t>
      </w:r>
    </w:p>
    <w:p w14:paraId="4FE6D760">
      <w:pPr>
        <w:snapToGrid w:val="0"/>
        <w:spacing w:line="360" w:lineRule="auto"/>
        <w:ind w:left="573" w:leftChars="273"/>
        <w:rPr>
          <w:rFonts w:ascii="宋体" w:hAnsi="宋体" w:cs="宋体"/>
          <w:kern w:val="0"/>
          <w:sz w:val="24"/>
          <w:lang w:val="zh-CN"/>
        </w:rPr>
      </w:pPr>
      <w:r>
        <w:rPr>
          <w:rFonts w:hint="eastAsia" w:ascii="宋体" w:hAnsi="宋体" w:cs="宋体"/>
          <w:u w:val="single"/>
        </w:rPr>
        <w:t xml:space="preserve">                                                                                     </w:t>
      </w:r>
    </w:p>
    <w:p w14:paraId="3C44E95B">
      <w:pPr>
        <w:snapToGrid w:val="0"/>
        <w:spacing w:line="360" w:lineRule="auto"/>
        <w:ind w:left="573" w:leftChars="273"/>
        <w:rPr>
          <w:rFonts w:ascii="宋体" w:hAnsi="宋体" w:cs="宋体"/>
          <w:kern w:val="0"/>
          <w:sz w:val="24"/>
          <w:lang w:val="zh-CN"/>
        </w:rPr>
      </w:pPr>
      <w:r>
        <w:rPr>
          <w:rFonts w:hint="eastAsia" w:ascii="宋体" w:hAnsi="宋体" w:cs="宋体"/>
          <w:kern w:val="0"/>
          <w:sz w:val="24"/>
          <w:lang w:val="zh-CN"/>
        </w:rPr>
        <w:t>六、违约责任</w:t>
      </w:r>
    </w:p>
    <w:p w14:paraId="2A917800">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14:paraId="360400B3">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七、争议解决的办法</w:t>
      </w:r>
    </w:p>
    <w:p w14:paraId="53F3FC75">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14:paraId="05A489CB">
      <w:pPr>
        <w:snapToGrid w:val="0"/>
        <w:spacing w:line="360" w:lineRule="auto"/>
        <w:ind w:left="5758" w:leftChars="342" w:hanging="5040" w:hangingChars="2100"/>
        <w:rPr>
          <w:rFonts w:ascii="宋体" w:hAnsi="宋体" w:cs="宋体"/>
          <w:kern w:val="0"/>
          <w:sz w:val="24"/>
          <w:lang w:val="zh-CN"/>
        </w:rPr>
      </w:pPr>
      <w:r>
        <w:rPr>
          <w:rFonts w:hint="eastAsia" w:ascii="宋体" w:hAnsi="宋体" w:cs="宋体"/>
          <w:kern w:val="0"/>
          <w:sz w:val="24"/>
          <w:lang w:val="zh-CN"/>
        </w:rPr>
        <w:t xml:space="preserve">                                          投标人名称（电子签名）：</w:t>
      </w:r>
    </w:p>
    <w:p w14:paraId="0CCE0772">
      <w:pPr>
        <w:snapToGrid w:val="0"/>
        <w:spacing w:line="360" w:lineRule="auto"/>
        <w:jc w:val="right"/>
        <w:rPr>
          <w:rFonts w:ascii="宋体" w:hAnsi="宋体" w:cs="宋体"/>
          <w:kern w:val="0"/>
          <w:sz w:val="24"/>
          <w:lang w:val="zh-CN"/>
        </w:rPr>
      </w:pPr>
      <w:r>
        <w:rPr>
          <w:rFonts w:hint="eastAsia" w:ascii="宋体" w:hAnsi="宋体" w:cs="宋体"/>
          <w:kern w:val="0"/>
          <w:sz w:val="24"/>
          <w:lang w:val="zh-CN"/>
        </w:rPr>
        <w:t>分包供应商名称（电子签名/公章）：</w:t>
      </w:r>
    </w:p>
    <w:p w14:paraId="45654A23">
      <w:pPr>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12CB25BD">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58F4B628">
      <w:pPr>
        <w:spacing w:line="360" w:lineRule="auto"/>
        <w:ind w:right="420"/>
        <w:rPr>
          <w:rFonts w:ascii="宋体" w:hAnsi="宋体" w:cs="宋体"/>
          <w:sz w:val="24"/>
        </w:rPr>
      </w:pPr>
      <w:r>
        <w:rPr>
          <w:rFonts w:hint="eastAsia" w:ascii="宋体" w:hAnsi="宋体" w:cs="宋体"/>
          <w:sz w:val="24"/>
        </w:rPr>
        <w:t>注：按本格式和要求提供。</w:t>
      </w:r>
    </w:p>
    <w:p w14:paraId="25460087">
      <w:pPr>
        <w:autoSpaceDE w:val="0"/>
        <w:autoSpaceDN w:val="0"/>
        <w:jc w:val="center"/>
        <w:rPr>
          <w:rFonts w:ascii="宋体" w:hAnsi="宋体" w:cs="宋体"/>
          <w:b/>
          <w:spacing w:val="6"/>
          <w:sz w:val="32"/>
          <w:szCs w:val="32"/>
        </w:rPr>
      </w:pPr>
    </w:p>
    <w:p w14:paraId="41C18AEF">
      <w:pPr>
        <w:autoSpaceDE w:val="0"/>
        <w:autoSpaceDN w:val="0"/>
        <w:jc w:val="center"/>
        <w:rPr>
          <w:rFonts w:ascii="宋体" w:hAnsi="宋体" w:cs="宋体"/>
          <w:b/>
          <w:spacing w:val="6"/>
          <w:sz w:val="32"/>
          <w:szCs w:val="32"/>
        </w:rPr>
      </w:pPr>
    </w:p>
    <w:p w14:paraId="011EB34E">
      <w:pPr>
        <w:autoSpaceDE w:val="0"/>
        <w:autoSpaceDN w:val="0"/>
        <w:jc w:val="center"/>
        <w:rPr>
          <w:rFonts w:ascii="宋体" w:hAnsi="宋体" w:cs="宋体"/>
          <w:b/>
          <w:spacing w:val="6"/>
          <w:sz w:val="32"/>
          <w:szCs w:val="32"/>
        </w:rPr>
      </w:pPr>
    </w:p>
    <w:p w14:paraId="3EF0F2DE">
      <w:pPr>
        <w:autoSpaceDE w:val="0"/>
        <w:autoSpaceDN w:val="0"/>
        <w:jc w:val="center"/>
        <w:rPr>
          <w:rFonts w:ascii="宋体" w:hAnsi="宋体" w:cs="宋体"/>
          <w:b/>
          <w:spacing w:val="6"/>
          <w:sz w:val="32"/>
          <w:szCs w:val="32"/>
        </w:rPr>
      </w:pPr>
    </w:p>
    <w:p w14:paraId="2A8DB58D">
      <w:pPr>
        <w:autoSpaceDE w:val="0"/>
        <w:autoSpaceDN w:val="0"/>
        <w:jc w:val="center"/>
        <w:rPr>
          <w:rFonts w:ascii="宋体" w:hAnsi="宋体" w:cs="宋体"/>
          <w:b/>
          <w:spacing w:val="6"/>
          <w:sz w:val="32"/>
          <w:szCs w:val="32"/>
        </w:rPr>
      </w:pPr>
    </w:p>
    <w:p w14:paraId="40A0287E">
      <w:pPr>
        <w:autoSpaceDE w:val="0"/>
        <w:autoSpaceDN w:val="0"/>
        <w:jc w:val="center"/>
        <w:rPr>
          <w:rFonts w:ascii="宋体" w:hAnsi="宋体" w:cs="宋体"/>
          <w:b/>
          <w:spacing w:val="6"/>
          <w:sz w:val="32"/>
          <w:szCs w:val="32"/>
        </w:rPr>
      </w:pPr>
    </w:p>
    <w:p w14:paraId="1196D622">
      <w:pPr>
        <w:autoSpaceDE w:val="0"/>
        <w:autoSpaceDN w:val="0"/>
        <w:jc w:val="center"/>
        <w:rPr>
          <w:rFonts w:ascii="宋体" w:hAnsi="宋体" w:cs="宋体"/>
          <w:b/>
          <w:spacing w:val="6"/>
          <w:sz w:val="32"/>
          <w:szCs w:val="32"/>
        </w:rPr>
      </w:pPr>
    </w:p>
    <w:p w14:paraId="65FB18E5">
      <w:pPr>
        <w:autoSpaceDE w:val="0"/>
        <w:autoSpaceDN w:val="0"/>
        <w:jc w:val="center"/>
        <w:rPr>
          <w:rFonts w:ascii="宋体" w:hAnsi="宋体" w:cs="宋体"/>
          <w:b/>
          <w:spacing w:val="6"/>
          <w:sz w:val="32"/>
          <w:szCs w:val="32"/>
        </w:rPr>
      </w:pPr>
    </w:p>
    <w:p w14:paraId="304DC18F">
      <w:pPr>
        <w:autoSpaceDE w:val="0"/>
        <w:autoSpaceDN w:val="0"/>
        <w:jc w:val="center"/>
        <w:rPr>
          <w:rFonts w:ascii="宋体" w:hAnsi="宋体" w:cs="宋体"/>
          <w:b/>
          <w:spacing w:val="6"/>
          <w:sz w:val="32"/>
          <w:szCs w:val="32"/>
        </w:rPr>
      </w:pPr>
    </w:p>
    <w:p w14:paraId="1BD23500">
      <w:pPr>
        <w:autoSpaceDE w:val="0"/>
        <w:autoSpaceDN w:val="0"/>
        <w:jc w:val="center"/>
        <w:rPr>
          <w:rFonts w:ascii="宋体" w:hAnsi="宋体" w:cs="宋体"/>
          <w:b/>
          <w:spacing w:val="6"/>
          <w:sz w:val="32"/>
          <w:szCs w:val="32"/>
        </w:rPr>
      </w:pPr>
    </w:p>
    <w:p w14:paraId="520EC2FB">
      <w:pPr>
        <w:autoSpaceDE w:val="0"/>
        <w:autoSpaceDN w:val="0"/>
        <w:jc w:val="center"/>
        <w:rPr>
          <w:rFonts w:ascii="宋体" w:hAnsi="宋体" w:cs="宋体"/>
          <w:b/>
          <w:spacing w:val="6"/>
          <w:sz w:val="32"/>
          <w:szCs w:val="32"/>
        </w:rPr>
      </w:pPr>
    </w:p>
    <w:p w14:paraId="44A4BD38">
      <w:pPr>
        <w:autoSpaceDE w:val="0"/>
        <w:autoSpaceDN w:val="0"/>
        <w:jc w:val="center"/>
        <w:rPr>
          <w:rFonts w:ascii="宋体" w:hAnsi="宋体" w:cs="宋体"/>
          <w:b/>
          <w:spacing w:val="6"/>
          <w:sz w:val="32"/>
          <w:szCs w:val="32"/>
        </w:rPr>
      </w:pPr>
    </w:p>
    <w:p w14:paraId="6A150E5D">
      <w:pPr>
        <w:autoSpaceDE w:val="0"/>
        <w:autoSpaceDN w:val="0"/>
        <w:jc w:val="center"/>
        <w:rPr>
          <w:rFonts w:ascii="宋体" w:hAnsi="宋体" w:cs="宋体"/>
          <w:b/>
          <w:spacing w:val="6"/>
          <w:sz w:val="32"/>
          <w:szCs w:val="32"/>
        </w:rPr>
      </w:pPr>
    </w:p>
    <w:p w14:paraId="6EDC4027">
      <w:pPr>
        <w:autoSpaceDE w:val="0"/>
        <w:autoSpaceDN w:val="0"/>
        <w:jc w:val="center"/>
        <w:rPr>
          <w:rFonts w:ascii="宋体" w:hAnsi="宋体" w:cs="宋体"/>
          <w:b/>
          <w:spacing w:val="6"/>
          <w:sz w:val="32"/>
          <w:szCs w:val="32"/>
        </w:rPr>
      </w:pPr>
    </w:p>
    <w:p w14:paraId="185E6C27">
      <w:pPr>
        <w:autoSpaceDE w:val="0"/>
        <w:autoSpaceDN w:val="0"/>
        <w:jc w:val="center"/>
        <w:rPr>
          <w:rFonts w:ascii="宋体" w:hAnsi="宋体" w:cs="宋体"/>
          <w:b/>
          <w:spacing w:val="6"/>
          <w:sz w:val="32"/>
          <w:szCs w:val="32"/>
        </w:rPr>
      </w:pPr>
    </w:p>
    <w:p w14:paraId="179ACC9E">
      <w:pPr>
        <w:autoSpaceDE w:val="0"/>
        <w:autoSpaceDN w:val="0"/>
        <w:jc w:val="center"/>
        <w:rPr>
          <w:rFonts w:ascii="宋体" w:hAnsi="宋体" w:cs="宋体"/>
          <w:b/>
          <w:spacing w:val="6"/>
          <w:sz w:val="32"/>
          <w:szCs w:val="32"/>
        </w:rPr>
      </w:pPr>
    </w:p>
    <w:p w14:paraId="42B95974">
      <w:pPr>
        <w:autoSpaceDE w:val="0"/>
        <w:autoSpaceDN w:val="0"/>
        <w:jc w:val="center"/>
        <w:rPr>
          <w:rFonts w:ascii="宋体" w:hAnsi="宋体" w:cs="宋体"/>
          <w:b/>
          <w:spacing w:val="6"/>
          <w:sz w:val="32"/>
          <w:szCs w:val="32"/>
        </w:rPr>
      </w:pPr>
    </w:p>
    <w:p w14:paraId="5050444F">
      <w:pPr>
        <w:autoSpaceDE w:val="0"/>
        <w:autoSpaceDN w:val="0"/>
        <w:jc w:val="center"/>
        <w:rPr>
          <w:rFonts w:ascii="宋体" w:hAnsi="宋体" w:cs="宋体"/>
          <w:b/>
          <w:spacing w:val="6"/>
          <w:sz w:val="32"/>
          <w:szCs w:val="32"/>
        </w:rPr>
      </w:pPr>
    </w:p>
    <w:p w14:paraId="0332569D">
      <w:pPr>
        <w:autoSpaceDE w:val="0"/>
        <w:autoSpaceDN w:val="0"/>
        <w:jc w:val="center"/>
        <w:rPr>
          <w:rFonts w:ascii="宋体" w:hAnsi="宋体" w:cs="宋体"/>
          <w:b/>
          <w:spacing w:val="6"/>
          <w:sz w:val="32"/>
          <w:szCs w:val="32"/>
        </w:rPr>
      </w:pPr>
    </w:p>
    <w:p w14:paraId="74200B1B">
      <w:pPr>
        <w:autoSpaceDE w:val="0"/>
        <w:autoSpaceDN w:val="0"/>
        <w:jc w:val="center"/>
        <w:rPr>
          <w:rFonts w:ascii="宋体" w:hAnsi="宋体" w:cs="宋体"/>
          <w:b/>
          <w:spacing w:val="6"/>
          <w:sz w:val="32"/>
          <w:szCs w:val="32"/>
        </w:rPr>
      </w:pPr>
    </w:p>
    <w:p w14:paraId="3BA214DA">
      <w:pPr>
        <w:autoSpaceDE w:val="0"/>
        <w:autoSpaceDN w:val="0"/>
        <w:jc w:val="center"/>
        <w:rPr>
          <w:rFonts w:ascii="宋体" w:hAnsi="宋体" w:cs="宋体"/>
          <w:b/>
          <w:spacing w:val="6"/>
          <w:sz w:val="32"/>
          <w:szCs w:val="32"/>
        </w:rPr>
      </w:pPr>
    </w:p>
    <w:p w14:paraId="422D6688">
      <w:pPr>
        <w:autoSpaceDE w:val="0"/>
        <w:autoSpaceDN w:val="0"/>
        <w:jc w:val="center"/>
        <w:rPr>
          <w:rFonts w:ascii="宋体" w:hAnsi="宋体" w:cs="宋体"/>
          <w:b/>
          <w:spacing w:val="6"/>
          <w:sz w:val="32"/>
          <w:szCs w:val="32"/>
        </w:rPr>
      </w:pPr>
    </w:p>
    <w:p w14:paraId="5E5B8726">
      <w:pPr>
        <w:autoSpaceDE w:val="0"/>
        <w:autoSpaceDN w:val="0"/>
        <w:jc w:val="center"/>
        <w:rPr>
          <w:rFonts w:ascii="宋体" w:hAnsi="宋体" w:cs="宋体"/>
          <w:b/>
          <w:spacing w:val="6"/>
          <w:sz w:val="32"/>
          <w:szCs w:val="32"/>
        </w:rPr>
      </w:pPr>
    </w:p>
    <w:p w14:paraId="74453221">
      <w:pPr>
        <w:autoSpaceDE w:val="0"/>
        <w:autoSpaceDN w:val="0"/>
        <w:jc w:val="center"/>
        <w:rPr>
          <w:rFonts w:ascii="宋体" w:hAnsi="宋体" w:cs="宋体"/>
          <w:b/>
          <w:spacing w:val="6"/>
          <w:sz w:val="32"/>
          <w:szCs w:val="32"/>
        </w:rPr>
      </w:pPr>
    </w:p>
    <w:p w14:paraId="62D190B1">
      <w:pPr>
        <w:autoSpaceDE w:val="0"/>
        <w:autoSpaceDN w:val="0"/>
        <w:jc w:val="center"/>
        <w:rPr>
          <w:rFonts w:ascii="宋体" w:hAnsi="宋体" w:cs="宋体"/>
          <w:b/>
          <w:spacing w:val="6"/>
          <w:sz w:val="32"/>
          <w:szCs w:val="32"/>
        </w:rPr>
      </w:pPr>
    </w:p>
    <w:p w14:paraId="5DAF0D39">
      <w:pPr>
        <w:autoSpaceDE w:val="0"/>
        <w:autoSpaceDN w:val="0"/>
        <w:jc w:val="center"/>
        <w:rPr>
          <w:rFonts w:ascii="宋体" w:hAnsi="宋体" w:cs="宋体"/>
          <w:b/>
          <w:spacing w:val="6"/>
          <w:sz w:val="32"/>
          <w:szCs w:val="32"/>
        </w:rPr>
      </w:pPr>
    </w:p>
    <w:p w14:paraId="453FE446">
      <w:pPr>
        <w:autoSpaceDE w:val="0"/>
        <w:autoSpaceDN w:val="0"/>
        <w:jc w:val="center"/>
        <w:rPr>
          <w:rFonts w:ascii="宋体" w:hAnsi="宋体" w:cs="宋体"/>
          <w:b/>
          <w:spacing w:val="6"/>
          <w:sz w:val="32"/>
          <w:szCs w:val="32"/>
        </w:rPr>
      </w:pPr>
    </w:p>
    <w:p w14:paraId="341690D4">
      <w:pPr>
        <w:autoSpaceDE w:val="0"/>
        <w:autoSpaceDN w:val="0"/>
        <w:jc w:val="center"/>
        <w:rPr>
          <w:rFonts w:ascii="宋体" w:hAnsi="宋体" w:cs="宋体"/>
          <w:b/>
          <w:spacing w:val="6"/>
          <w:sz w:val="32"/>
          <w:szCs w:val="32"/>
        </w:rPr>
      </w:pPr>
    </w:p>
    <w:p w14:paraId="1EAB4E1E">
      <w:pPr>
        <w:widowControl/>
        <w:adjustRightInd/>
        <w:jc w:val="left"/>
        <w:rPr>
          <w:rFonts w:ascii="宋体" w:hAnsi="宋体" w:cs="宋体"/>
          <w:b/>
          <w:kern w:val="0"/>
          <w:sz w:val="32"/>
          <w:szCs w:val="32"/>
        </w:rPr>
      </w:pPr>
      <w:r>
        <w:rPr>
          <w:rFonts w:ascii="宋体" w:hAnsi="宋体" w:cs="宋体"/>
          <w:b/>
          <w:kern w:val="0"/>
          <w:sz w:val="32"/>
          <w:szCs w:val="32"/>
        </w:rPr>
        <w:br w:type="page"/>
      </w:r>
    </w:p>
    <w:p w14:paraId="4724F02A">
      <w:pPr>
        <w:snapToGrid w:val="0"/>
        <w:spacing w:line="360" w:lineRule="auto"/>
        <w:outlineLvl w:val="0"/>
        <w:rPr>
          <w:rFonts w:ascii="宋体" w:hAnsi="宋体" w:cs="宋体"/>
          <w:b/>
          <w:kern w:val="0"/>
          <w:sz w:val="44"/>
          <w:szCs w:val="44"/>
        </w:rPr>
      </w:pPr>
      <w:r>
        <w:rPr>
          <w:rFonts w:hint="eastAsia" w:ascii="宋体" w:hAnsi="宋体" w:cs="宋体"/>
          <w:b/>
          <w:kern w:val="0"/>
          <w:sz w:val="44"/>
          <w:szCs w:val="44"/>
        </w:rPr>
        <w:t>附件</w:t>
      </w:r>
      <w:r>
        <w:rPr>
          <w:rFonts w:ascii="宋体" w:hAnsi="宋体" w:cs="宋体"/>
          <w:b/>
          <w:kern w:val="0"/>
          <w:sz w:val="44"/>
          <w:szCs w:val="44"/>
        </w:rPr>
        <w:t>7</w:t>
      </w:r>
      <w:r>
        <w:rPr>
          <w:rFonts w:hint="eastAsia" w:ascii="宋体" w:hAnsi="宋体" w:cs="宋体"/>
          <w:b/>
          <w:kern w:val="0"/>
          <w:sz w:val="44"/>
          <w:szCs w:val="44"/>
        </w:rPr>
        <w:t>：中小企业声明函</w:t>
      </w:r>
    </w:p>
    <w:p w14:paraId="0B55A2DC">
      <w:pPr>
        <w:spacing w:line="360" w:lineRule="auto"/>
        <w:jc w:val="center"/>
        <w:rPr>
          <w:rFonts w:ascii="宋体" w:hAnsi="宋体" w:cs="宋体"/>
          <w:sz w:val="24"/>
          <w:u w:val="single"/>
        </w:rPr>
      </w:pPr>
    </w:p>
    <w:p w14:paraId="55CE6079">
      <w:pPr>
        <w:spacing w:line="360" w:lineRule="auto"/>
        <w:jc w:val="center"/>
        <w:rPr>
          <w:rFonts w:ascii="宋体" w:hAnsi="宋体" w:cs="宋体"/>
          <w:b/>
          <w:sz w:val="32"/>
          <w:szCs w:val="32"/>
        </w:rPr>
      </w:pPr>
      <w:r>
        <w:rPr>
          <w:rFonts w:hint="eastAsia" w:ascii="宋体" w:hAnsi="宋体" w:cs="宋体"/>
          <w:b/>
          <w:sz w:val="32"/>
          <w:szCs w:val="32"/>
        </w:rPr>
        <w:t>中小企业声明函（货物）</w:t>
      </w:r>
    </w:p>
    <w:p w14:paraId="7AF5793B">
      <w:pPr>
        <w:spacing w:line="360" w:lineRule="auto"/>
        <w:ind w:firstLine="480" w:firstLineChars="200"/>
        <w:rPr>
          <w:rFonts w:ascii="宋体" w:hAnsi="宋体" w:cs="宋体"/>
          <w:color w:val="auto"/>
          <w:sz w:val="24"/>
        </w:rPr>
      </w:pPr>
      <w:r>
        <w:rPr>
          <w:rFonts w:hint="eastAsia" w:ascii="宋体" w:hAnsi="宋体" w:cs="宋体"/>
          <w:sz w:val="24"/>
        </w:rPr>
        <w:t>本公司（联合体）郑重声明，根</w:t>
      </w:r>
      <w:r>
        <w:rPr>
          <w:rFonts w:hint="eastAsia" w:ascii="宋体" w:hAnsi="宋体" w:cs="宋体"/>
          <w:color w:val="auto"/>
          <w:sz w:val="24"/>
        </w:rPr>
        <w:t xml:space="preserve">据《政府采购促进中小企业发展管理办法》（财库﹝2020﹞46 号）的规定，本公司（联合体）参加 </w:t>
      </w:r>
      <w:r>
        <w:rPr>
          <w:rFonts w:hint="eastAsia" w:ascii="宋体" w:hAnsi="宋体" w:cs="宋体"/>
          <w:color w:val="auto"/>
          <w:sz w:val="24"/>
          <w:u w:val="single"/>
          <w:lang w:eastAsia="zh-CN"/>
        </w:rPr>
        <w:t>杭州师范大学附属未来科技城学校（杭州二中教育集团未来科技城学校）</w:t>
      </w:r>
      <w:r>
        <w:rPr>
          <w:rFonts w:hint="eastAsia" w:ascii="宋体" w:hAnsi="宋体" w:cs="宋体"/>
          <w:color w:val="auto"/>
          <w:sz w:val="24"/>
          <w:u w:val="single"/>
        </w:rPr>
        <w:t xml:space="preserve"> </w:t>
      </w:r>
      <w:r>
        <w:rPr>
          <w:rFonts w:hint="eastAsia" w:ascii="宋体" w:hAnsi="宋体" w:cs="宋体"/>
          <w:color w:val="auto"/>
          <w:sz w:val="24"/>
        </w:rPr>
        <w:t xml:space="preserve">的 </w:t>
      </w:r>
      <w:r>
        <w:rPr>
          <w:rFonts w:hint="eastAsia" w:ascii="宋体" w:hAnsi="宋体" w:cs="宋体"/>
          <w:color w:val="auto"/>
          <w:sz w:val="24"/>
          <w:u w:val="single"/>
          <w:lang w:eastAsia="zh-CN"/>
        </w:rPr>
        <w:t>杭州师范大学附属未来科技城学校（天元公学西站校区）办公家具（二）采购项目</w:t>
      </w:r>
      <w:r>
        <w:rPr>
          <w:rFonts w:hint="eastAsia" w:ascii="宋体" w:hAnsi="宋体" w:cs="宋体"/>
          <w:color w:val="auto"/>
          <w:sz w:val="24"/>
        </w:rPr>
        <w:t xml:space="preserve"> 采购活动，提供的货物全部由符合政策要求的中小</w:t>
      </w:r>
      <w:r>
        <w:rPr>
          <w:rFonts w:hint="eastAsia" w:ascii="宋体" w:hAnsi="宋体" w:cs="宋体"/>
          <w:color w:val="auto"/>
          <w:sz w:val="24"/>
          <w:lang w:val="en-US" w:eastAsia="zh-CN"/>
        </w:rPr>
        <w:t>微</w:t>
      </w:r>
      <w:r>
        <w:rPr>
          <w:rFonts w:hint="eastAsia" w:ascii="宋体" w:hAnsi="宋体" w:cs="宋体"/>
          <w:color w:val="auto"/>
          <w:sz w:val="24"/>
        </w:rPr>
        <w:t>企业制造。相关企业（含联合体中的中小企业、签订分包意向协议的中小企业）的具体情况如下：</w:t>
      </w:r>
    </w:p>
    <w:p w14:paraId="6FC64438">
      <w:pPr>
        <w:spacing w:beforeLines="0" w:afterLines="0"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1.</w:t>
      </w:r>
      <w:r>
        <w:rPr>
          <w:rFonts w:hint="eastAsia" w:ascii="宋体" w:hAnsi="宋体" w:cs="宋体"/>
          <w:color w:val="auto"/>
          <w:sz w:val="21"/>
          <w:szCs w:val="24"/>
        </w:rPr>
        <w:t xml:space="preserve"> </w:t>
      </w:r>
      <w:r>
        <w:rPr>
          <w:rFonts w:hint="eastAsia" w:ascii="宋体" w:hAnsi="宋体" w:cs="宋体"/>
          <w:color w:val="auto"/>
          <w:sz w:val="24"/>
          <w:szCs w:val="24"/>
          <w:u w:val="single"/>
        </w:rPr>
        <w:t>全包定制桌组</w:t>
      </w:r>
      <w:r>
        <w:rPr>
          <w:rFonts w:hint="eastAsia" w:ascii="宋体" w:hAnsi="宋体" w:cs="宋体"/>
          <w:color w:val="auto"/>
          <w:sz w:val="24"/>
          <w:szCs w:val="24"/>
        </w:rPr>
        <w:t xml:space="preserve"> ，属于 </w:t>
      </w:r>
      <w:r>
        <w:rPr>
          <w:rFonts w:hint="eastAsia" w:ascii="宋体" w:hAnsi="宋体" w:cs="宋体"/>
          <w:color w:val="auto"/>
          <w:sz w:val="24"/>
          <w:szCs w:val="24"/>
          <w:u w:val="single"/>
        </w:rPr>
        <w:t>工业</w:t>
      </w:r>
      <w:r>
        <w:rPr>
          <w:rFonts w:hint="eastAsia" w:ascii="宋体" w:hAnsi="宋体" w:cs="宋体"/>
          <w:color w:val="auto"/>
          <w:sz w:val="24"/>
          <w:szCs w:val="24"/>
        </w:rPr>
        <w:t>行业 ；制造商为</w:t>
      </w:r>
      <w:r>
        <w:rPr>
          <w:rFonts w:hint="eastAsia" w:ascii="宋体" w:hAnsi="宋体" w:cs="宋体"/>
          <w:color w:val="auto"/>
          <w:sz w:val="24"/>
          <w:szCs w:val="24"/>
          <w:u w:val="single"/>
        </w:rPr>
        <w:t xml:space="preserve"> （企业名称）</w:t>
      </w:r>
      <w:r>
        <w:rPr>
          <w:rFonts w:hint="eastAsia" w:ascii="宋体" w:hAnsi="宋体" w:cs="宋体"/>
          <w:color w:val="auto"/>
          <w:sz w:val="24"/>
          <w:szCs w:val="24"/>
        </w:rPr>
        <w:t xml:space="preserve"> ，从业人员</w:t>
      </w:r>
      <w:r>
        <w:rPr>
          <w:rFonts w:hint="eastAsia" w:ascii="宋体" w:hAnsi="宋体" w:cs="宋体"/>
          <w:color w:val="auto"/>
          <w:sz w:val="24"/>
          <w:szCs w:val="24"/>
          <w:u w:val="single"/>
        </w:rPr>
        <w:t xml:space="preserve">  </w:t>
      </w:r>
      <w:r>
        <w:rPr>
          <w:rFonts w:hint="eastAsia" w:ascii="宋体" w:hAnsi="宋体" w:cs="宋体"/>
          <w:color w:val="auto"/>
          <w:sz w:val="24"/>
          <w:szCs w:val="24"/>
        </w:rPr>
        <w:t>人，营业收入为</w:t>
      </w:r>
      <w:r>
        <w:rPr>
          <w:rFonts w:hint="eastAsia" w:ascii="宋体" w:hAnsi="宋体" w:cs="宋体"/>
          <w:color w:val="auto"/>
          <w:sz w:val="24"/>
          <w:szCs w:val="24"/>
          <w:u w:val="single"/>
        </w:rPr>
        <w:t xml:space="preserve">  </w:t>
      </w:r>
      <w:r>
        <w:rPr>
          <w:rFonts w:hint="eastAsia" w:ascii="宋体" w:hAnsi="宋体" w:cs="宋体"/>
          <w:color w:val="auto"/>
          <w:sz w:val="24"/>
          <w:szCs w:val="24"/>
        </w:rPr>
        <w:t>万元，资产总额为</w:t>
      </w:r>
      <w:r>
        <w:rPr>
          <w:rFonts w:hint="eastAsia" w:ascii="宋体" w:hAnsi="宋体" w:cs="宋体"/>
          <w:color w:val="auto"/>
          <w:sz w:val="24"/>
          <w:szCs w:val="24"/>
          <w:u w:val="single"/>
        </w:rPr>
        <w:t xml:space="preserve">   </w:t>
      </w:r>
      <w:r>
        <w:rPr>
          <w:rFonts w:hint="eastAsia" w:ascii="宋体" w:hAnsi="宋体" w:cs="宋体"/>
          <w:color w:val="auto"/>
          <w:sz w:val="24"/>
          <w:szCs w:val="24"/>
        </w:rPr>
        <w:t>万元，属于</w:t>
      </w:r>
      <w:r>
        <w:rPr>
          <w:rFonts w:hint="eastAsia" w:ascii="宋体" w:hAnsi="宋体" w:cs="宋体"/>
          <w:color w:val="auto"/>
          <w:sz w:val="24"/>
          <w:szCs w:val="24"/>
          <w:u w:val="single"/>
        </w:rPr>
        <w:t xml:space="preserve"> （中型企业、小型企业、微型企业）</w:t>
      </w:r>
      <w:r>
        <w:rPr>
          <w:rFonts w:hint="eastAsia" w:ascii="宋体" w:hAnsi="宋体" w:cs="宋体"/>
          <w:color w:val="auto"/>
          <w:sz w:val="24"/>
          <w:szCs w:val="24"/>
        </w:rPr>
        <w:t xml:space="preserve"> ；</w:t>
      </w:r>
    </w:p>
    <w:p w14:paraId="70FDAC15">
      <w:pPr>
        <w:spacing w:beforeLines="0" w:afterLines="0"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1"/>
          <w:szCs w:val="24"/>
        </w:rPr>
        <w:t xml:space="preserve"> </w:t>
      </w:r>
      <w:r>
        <w:rPr>
          <w:rFonts w:hint="eastAsia" w:ascii="宋体" w:hAnsi="宋体" w:cs="宋体"/>
          <w:color w:val="auto"/>
          <w:sz w:val="24"/>
          <w:szCs w:val="24"/>
          <w:u w:val="single"/>
        </w:rPr>
        <w:t>单位沙发</w:t>
      </w:r>
      <w:r>
        <w:rPr>
          <w:rFonts w:hint="eastAsia" w:ascii="宋体" w:hAnsi="宋体" w:cs="宋体"/>
          <w:color w:val="auto"/>
          <w:sz w:val="24"/>
          <w:szCs w:val="24"/>
        </w:rPr>
        <w:t xml:space="preserve"> ，属于 </w:t>
      </w:r>
      <w:r>
        <w:rPr>
          <w:rFonts w:hint="eastAsia" w:ascii="宋体" w:hAnsi="宋体" w:cs="宋体"/>
          <w:color w:val="auto"/>
          <w:sz w:val="24"/>
          <w:szCs w:val="24"/>
          <w:u w:val="single"/>
        </w:rPr>
        <w:t>工业</w:t>
      </w:r>
      <w:r>
        <w:rPr>
          <w:rFonts w:hint="eastAsia" w:ascii="宋体" w:hAnsi="宋体" w:cs="宋体"/>
          <w:color w:val="auto"/>
          <w:sz w:val="24"/>
          <w:szCs w:val="24"/>
        </w:rPr>
        <w:t>行业 ；制造商为</w:t>
      </w:r>
      <w:r>
        <w:rPr>
          <w:rFonts w:hint="eastAsia" w:ascii="宋体" w:hAnsi="宋体" w:cs="宋体"/>
          <w:color w:val="auto"/>
          <w:sz w:val="24"/>
          <w:szCs w:val="24"/>
          <w:u w:val="single"/>
        </w:rPr>
        <w:t xml:space="preserve"> （企业名称）</w:t>
      </w:r>
      <w:r>
        <w:rPr>
          <w:rFonts w:hint="eastAsia" w:ascii="宋体" w:hAnsi="宋体" w:cs="宋体"/>
          <w:color w:val="auto"/>
          <w:sz w:val="24"/>
          <w:szCs w:val="24"/>
        </w:rPr>
        <w:t xml:space="preserve"> ，从业人员</w:t>
      </w:r>
      <w:r>
        <w:rPr>
          <w:rFonts w:hint="eastAsia" w:ascii="宋体" w:hAnsi="宋体" w:cs="宋体"/>
          <w:color w:val="auto"/>
          <w:sz w:val="24"/>
          <w:szCs w:val="24"/>
          <w:u w:val="single"/>
        </w:rPr>
        <w:t xml:space="preserve">  </w:t>
      </w:r>
      <w:r>
        <w:rPr>
          <w:rFonts w:hint="eastAsia" w:ascii="宋体" w:hAnsi="宋体" w:cs="宋体"/>
          <w:color w:val="auto"/>
          <w:sz w:val="24"/>
          <w:szCs w:val="24"/>
        </w:rPr>
        <w:t>人，营业收入为</w:t>
      </w:r>
      <w:r>
        <w:rPr>
          <w:rFonts w:hint="eastAsia" w:ascii="宋体" w:hAnsi="宋体" w:cs="宋体"/>
          <w:color w:val="auto"/>
          <w:sz w:val="24"/>
          <w:szCs w:val="24"/>
          <w:u w:val="single"/>
        </w:rPr>
        <w:t xml:space="preserve">  </w:t>
      </w:r>
      <w:r>
        <w:rPr>
          <w:rFonts w:hint="eastAsia" w:ascii="宋体" w:hAnsi="宋体" w:cs="宋体"/>
          <w:color w:val="auto"/>
          <w:sz w:val="24"/>
          <w:szCs w:val="24"/>
        </w:rPr>
        <w:t>万元，资产总额为</w:t>
      </w:r>
      <w:r>
        <w:rPr>
          <w:rFonts w:hint="eastAsia" w:ascii="宋体" w:hAnsi="宋体" w:cs="宋体"/>
          <w:color w:val="auto"/>
          <w:sz w:val="24"/>
          <w:szCs w:val="24"/>
          <w:u w:val="single"/>
        </w:rPr>
        <w:t xml:space="preserve">   </w:t>
      </w:r>
      <w:r>
        <w:rPr>
          <w:rFonts w:hint="eastAsia" w:ascii="宋体" w:hAnsi="宋体" w:cs="宋体"/>
          <w:color w:val="auto"/>
          <w:sz w:val="24"/>
          <w:szCs w:val="24"/>
        </w:rPr>
        <w:t>万元，属于</w:t>
      </w:r>
      <w:r>
        <w:rPr>
          <w:rFonts w:hint="eastAsia" w:ascii="宋体" w:hAnsi="宋体" w:cs="宋体"/>
          <w:color w:val="auto"/>
          <w:sz w:val="24"/>
          <w:szCs w:val="24"/>
          <w:u w:val="single"/>
        </w:rPr>
        <w:t xml:space="preserve"> （中型企业、小型企业、微型企业）</w:t>
      </w:r>
      <w:r>
        <w:rPr>
          <w:rFonts w:hint="eastAsia" w:ascii="宋体" w:hAnsi="宋体" w:cs="宋体"/>
          <w:color w:val="auto"/>
          <w:sz w:val="24"/>
          <w:szCs w:val="24"/>
        </w:rPr>
        <w:t xml:space="preserve"> ；</w:t>
      </w:r>
    </w:p>
    <w:p w14:paraId="76218082">
      <w:pPr>
        <w:spacing w:beforeLines="0" w:afterLines="0" w:line="360" w:lineRule="auto"/>
        <w:ind w:firstLine="480" w:firstLineChars="200"/>
        <w:rPr>
          <w:rFonts w:hint="eastAsia" w:ascii="宋体" w:hAnsi="宋体" w:cs="宋体"/>
          <w:sz w:val="24"/>
          <w:szCs w:val="24"/>
        </w:rPr>
      </w:pPr>
      <w:r>
        <w:rPr>
          <w:rFonts w:hint="eastAsia" w:ascii="宋体" w:hAnsi="宋体" w:cs="宋体"/>
          <w:color w:val="auto"/>
          <w:sz w:val="24"/>
          <w:szCs w:val="24"/>
        </w:rPr>
        <w:t>3.</w:t>
      </w:r>
      <w:r>
        <w:rPr>
          <w:rFonts w:hint="eastAsia" w:ascii="宋体" w:hAnsi="宋体" w:cs="宋体"/>
          <w:color w:val="auto"/>
          <w:sz w:val="21"/>
          <w:szCs w:val="24"/>
        </w:rPr>
        <w:t xml:space="preserve"> </w:t>
      </w:r>
      <w:r>
        <w:rPr>
          <w:rFonts w:hint="eastAsia" w:ascii="宋体" w:hAnsi="宋体" w:cs="宋体"/>
          <w:color w:val="auto"/>
          <w:sz w:val="24"/>
          <w:szCs w:val="24"/>
          <w:u w:val="single"/>
        </w:rPr>
        <w:t>接待椅（1）</w:t>
      </w:r>
      <w:r>
        <w:rPr>
          <w:rFonts w:hint="eastAsia" w:ascii="宋体" w:hAnsi="宋体" w:cs="宋体"/>
          <w:color w:val="auto"/>
          <w:sz w:val="24"/>
          <w:szCs w:val="24"/>
        </w:rPr>
        <w:t xml:space="preserve">，属于 </w:t>
      </w:r>
      <w:r>
        <w:rPr>
          <w:rFonts w:hint="eastAsia" w:ascii="宋体" w:hAnsi="宋体" w:cs="宋体"/>
          <w:color w:val="auto"/>
          <w:sz w:val="24"/>
          <w:szCs w:val="24"/>
          <w:u w:val="single"/>
        </w:rPr>
        <w:t>工业</w:t>
      </w:r>
      <w:r>
        <w:rPr>
          <w:rFonts w:hint="eastAsia" w:ascii="宋体" w:hAnsi="宋体" w:cs="宋体"/>
          <w:color w:val="auto"/>
          <w:sz w:val="24"/>
          <w:szCs w:val="24"/>
        </w:rPr>
        <w:t xml:space="preserve">行业 </w:t>
      </w:r>
      <w:r>
        <w:rPr>
          <w:rFonts w:hint="eastAsia" w:ascii="宋体" w:hAnsi="宋体" w:cs="宋体"/>
          <w:sz w:val="24"/>
          <w:szCs w:val="24"/>
        </w:rPr>
        <w:t>；制造商为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12B82040">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4. </w:t>
      </w:r>
      <w:r>
        <w:rPr>
          <w:rFonts w:hint="eastAsia" w:ascii="宋体" w:hAnsi="宋体" w:cs="宋体"/>
          <w:sz w:val="24"/>
          <w:szCs w:val="24"/>
          <w:u w:val="single"/>
        </w:rPr>
        <w:t>接待洽谈椅（1）</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48B75D17">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5. </w:t>
      </w:r>
      <w:r>
        <w:rPr>
          <w:rFonts w:hint="eastAsia" w:ascii="宋体" w:hAnsi="宋体" w:cs="宋体"/>
          <w:sz w:val="24"/>
          <w:szCs w:val="24"/>
          <w:u w:val="single"/>
        </w:rPr>
        <w:t>学习椅</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0CAC646E">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6. </w:t>
      </w:r>
      <w:r>
        <w:rPr>
          <w:rFonts w:hint="eastAsia" w:ascii="宋体" w:hAnsi="宋体" w:cs="宋体"/>
          <w:sz w:val="24"/>
          <w:szCs w:val="24"/>
          <w:u w:val="single"/>
        </w:rPr>
        <w:t>会议接待椅（1）</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3C81EC09">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7. </w:t>
      </w:r>
      <w:r>
        <w:rPr>
          <w:rFonts w:hint="eastAsia" w:ascii="宋体" w:hAnsi="宋体" w:cs="宋体"/>
          <w:sz w:val="24"/>
          <w:szCs w:val="24"/>
          <w:u w:val="single"/>
        </w:rPr>
        <w:t>会议接待椅（2）</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2C3F8921">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8. </w:t>
      </w:r>
      <w:r>
        <w:rPr>
          <w:rFonts w:hint="eastAsia" w:ascii="宋体" w:hAnsi="宋体" w:cs="宋体"/>
          <w:sz w:val="24"/>
          <w:szCs w:val="24"/>
          <w:u w:val="single"/>
        </w:rPr>
        <w:t>接待椅（2）</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52AF55DB">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9. </w:t>
      </w:r>
      <w:r>
        <w:rPr>
          <w:rFonts w:hint="eastAsia" w:ascii="宋体" w:hAnsi="宋体" w:cs="宋体"/>
          <w:sz w:val="24"/>
          <w:szCs w:val="24"/>
          <w:u w:val="single"/>
        </w:rPr>
        <w:t>接待椅（3）</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5B9D583C">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10. </w:t>
      </w:r>
      <w:r>
        <w:rPr>
          <w:rFonts w:hint="eastAsia" w:ascii="宋体" w:hAnsi="宋体" w:cs="宋体"/>
          <w:sz w:val="24"/>
          <w:szCs w:val="24"/>
          <w:u w:val="single"/>
        </w:rPr>
        <w:t>活动椅（1）</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40B3705B">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11. </w:t>
      </w:r>
      <w:r>
        <w:rPr>
          <w:rFonts w:hint="eastAsia" w:ascii="宋体" w:hAnsi="宋体" w:cs="宋体"/>
          <w:sz w:val="24"/>
          <w:szCs w:val="24"/>
          <w:u w:val="single"/>
        </w:rPr>
        <w:t>会议接待椅（3）</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7E0A5350">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12. </w:t>
      </w:r>
      <w:r>
        <w:rPr>
          <w:rFonts w:hint="eastAsia" w:ascii="宋体" w:hAnsi="宋体" w:cs="宋体"/>
          <w:sz w:val="24"/>
          <w:szCs w:val="24"/>
          <w:u w:val="single"/>
        </w:rPr>
        <w:t>全包接待椅</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65085897">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13. </w:t>
      </w:r>
      <w:r>
        <w:rPr>
          <w:rFonts w:hint="eastAsia" w:ascii="宋体" w:hAnsi="宋体" w:cs="宋体"/>
          <w:sz w:val="24"/>
          <w:szCs w:val="24"/>
          <w:u w:val="single"/>
        </w:rPr>
        <w:t>接待洽谈椅（2）</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38DF7FCD">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14. </w:t>
      </w:r>
      <w:r>
        <w:rPr>
          <w:rFonts w:hint="eastAsia" w:ascii="宋体" w:hAnsi="宋体" w:cs="宋体"/>
          <w:sz w:val="24"/>
          <w:szCs w:val="24"/>
          <w:u w:val="single"/>
        </w:rPr>
        <w:t>会议接待椅（4）</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56A3DB44">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15. </w:t>
      </w:r>
      <w:r>
        <w:rPr>
          <w:rFonts w:hint="eastAsia" w:ascii="宋体" w:hAnsi="宋体" w:cs="宋体"/>
          <w:sz w:val="24"/>
          <w:szCs w:val="24"/>
          <w:u w:val="single"/>
        </w:rPr>
        <w:t>活动椅（3）</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78F1E95F">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16. </w:t>
      </w:r>
      <w:r>
        <w:rPr>
          <w:rFonts w:hint="eastAsia" w:ascii="宋体" w:hAnsi="宋体" w:cs="宋体"/>
          <w:sz w:val="24"/>
          <w:szCs w:val="24"/>
          <w:u w:val="single"/>
        </w:rPr>
        <w:t>书椅</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710DC80C">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17. </w:t>
      </w:r>
      <w:r>
        <w:rPr>
          <w:rFonts w:hint="eastAsia" w:ascii="宋体" w:hAnsi="宋体" w:cs="宋体"/>
          <w:sz w:val="24"/>
          <w:szCs w:val="24"/>
          <w:u w:val="single"/>
        </w:rPr>
        <w:t>后排椅</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13EA803D">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18. </w:t>
      </w:r>
      <w:r>
        <w:rPr>
          <w:rFonts w:hint="eastAsia" w:ascii="宋体" w:hAnsi="宋体" w:cs="宋体"/>
          <w:sz w:val="24"/>
          <w:szCs w:val="24"/>
          <w:u w:val="single"/>
        </w:rPr>
        <w:t>会议接待后排椅</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08EFF7FC">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19. </w:t>
      </w:r>
      <w:r>
        <w:rPr>
          <w:rFonts w:hint="eastAsia" w:ascii="宋体" w:hAnsi="宋体" w:cs="宋体"/>
          <w:sz w:val="24"/>
          <w:szCs w:val="24"/>
          <w:u w:val="single"/>
        </w:rPr>
        <w:t>会议接待椅（5）</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2B77C5CB">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20. </w:t>
      </w:r>
      <w:r>
        <w:rPr>
          <w:rFonts w:hint="eastAsia" w:ascii="宋体" w:hAnsi="宋体" w:cs="宋体"/>
          <w:sz w:val="24"/>
          <w:szCs w:val="24"/>
          <w:u w:val="single"/>
        </w:rPr>
        <w:t>接待椅（4）</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57FA7B19">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21. </w:t>
      </w:r>
      <w:r>
        <w:rPr>
          <w:rFonts w:hint="eastAsia" w:ascii="宋体" w:hAnsi="宋体" w:cs="宋体"/>
          <w:sz w:val="24"/>
          <w:szCs w:val="24"/>
          <w:u w:val="single"/>
        </w:rPr>
        <w:t>接待客椅</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50C227BB">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22. </w:t>
      </w:r>
      <w:r>
        <w:rPr>
          <w:rFonts w:hint="eastAsia" w:ascii="宋体" w:hAnsi="宋体" w:cs="宋体"/>
          <w:sz w:val="24"/>
          <w:szCs w:val="24"/>
          <w:u w:val="single"/>
        </w:rPr>
        <w:t>接待椅（5）</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624274DC">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23. </w:t>
      </w:r>
      <w:r>
        <w:rPr>
          <w:rFonts w:hint="eastAsia" w:ascii="宋体" w:hAnsi="宋体" w:cs="宋体"/>
          <w:sz w:val="24"/>
          <w:szCs w:val="24"/>
          <w:u w:val="single"/>
        </w:rPr>
        <w:t>全包接待客椅</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3F679796">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24. </w:t>
      </w:r>
      <w:r>
        <w:rPr>
          <w:rFonts w:hint="eastAsia" w:ascii="宋体" w:hAnsi="宋体" w:cs="宋体"/>
          <w:sz w:val="24"/>
          <w:szCs w:val="24"/>
          <w:u w:val="single"/>
        </w:rPr>
        <w:t>琴房专用椅</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73D3BF84">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25. </w:t>
      </w:r>
      <w:r>
        <w:rPr>
          <w:rFonts w:hint="eastAsia" w:ascii="宋体" w:hAnsi="宋体" w:cs="宋体"/>
          <w:sz w:val="24"/>
          <w:szCs w:val="24"/>
          <w:u w:val="single"/>
        </w:rPr>
        <w:t>接待桌（1）</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687EB37A">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26. </w:t>
      </w:r>
      <w:r>
        <w:rPr>
          <w:rFonts w:hint="eastAsia" w:ascii="宋体" w:hAnsi="宋体" w:cs="宋体"/>
          <w:sz w:val="24"/>
          <w:szCs w:val="24"/>
          <w:u w:val="single"/>
        </w:rPr>
        <w:t>接待桌（2）</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7293AECE">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27. </w:t>
      </w:r>
      <w:r>
        <w:rPr>
          <w:rFonts w:hint="eastAsia" w:ascii="宋体" w:hAnsi="宋体" w:cs="宋体"/>
          <w:sz w:val="24"/>
          <w:szCs w:val="24"/>
          <w:u w:val="single"/>
        </w:rPr>
        <w:t>阅览椅</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38F14CFF">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28. </w:t>
      </w:r>
      <w:r>
        <w:rPr>
          <w:rFonts w:hint="eastAsia" w:ascii="宋体" w:hAnsi="宋体" w:cs="宋体"/>
          <w:sz w:val="24"/>
          <w:szCs w:val="24"/>
          <w:u w:val="single"/>
        </w:rPr>
        <w:t>条桌</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6F43D565">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29. </w:t>
      </w:r>
      <w:r>
        <w:rPr>
          <w:rFonts w:hint="eastAsia" w:ascii="宋体" w:hAnsi="宋体" w:cs="宋体"/>
          <w:sz w:val="24"/>
          <w:szCs w:val="24"/>
          <w:u w:val="single"/>
        </w:rPr>
        <w:t>书桌</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55B43F2D">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30. </w:t>
      </w:r>
      <w:r>
        <w:rPr>
          <w:rFonts w:hint="eastAsia" w:ascii="宋体" w:hAnsi="宋体" w:cs="宋体"/>
          <w:sz w:val="24"/>
          <w:szCs w:val="24"/>
          <w:u w:val="single"/>
        </w:rPr>
        <w:t>团员活动桌</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4496C598">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31. </w:t>
      </w:r>
      <w:r>
        <w:rPr>
          <w:rFonts w:hint="eastAsia" w:ascii="宋体" w:hAnsi="宋体" w:cs="宋体"/>
          <w:sz w:val="24"/>
          <w:szCs w:val="24"/>
          <w:u w:val="single"/>
        </w:rPr>
        <w:t>三人沙发（1）</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09C8C407">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32. </w:t>
      </w:r>
      <w:r>
        <w:rPr>
          <w:rFonts w:hint="eastAsia" w:ascii="宋体" w:hAnsi="宋体" w:cs="宋体"/>
          <w:sz w:val="24"/>
          <w:szCs w:val="24"/>
          <w:u w:val="single"/>
        </w:rPr>
        <w:t>单人沙发（1）</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7A0834D7">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33. </w:t>
      </w:r>
      <w:r>
        <w:rPr>
          <w:rFonts w:hint="eastAsia" w:ascii="宋体" w:hAnsi="宋体" w:cs="宋体"/>
          <w:sz w:val="24"/>
          <w:szCs w:val="24"/>
          <w:u w:val="single"/>
        </w:rPr>
        <w:t>单人沙发（2）</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4937788C">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34. </w:t>
      </w:r>
      <w:r>
        <w:rPr>
          <w:rFonts w:hint="eastAsia" w:ascii="宋体" w:hAnsi="宋体" w:cs="宋体"/>
          <w:sz w:val="24"/>
          <w:szCs w:val="24"/>
          <w:u w:val="single"/>
        </w:rPr>
        <w:t>定制茶几</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4C27F8CE">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35. </w:t>
      </w:r>
      <w:r>
        <w:rPr>
          <w:rFonts w:hint="eastAsia" w:ascii="宋体" w:hAnsi="宋体" w:cs="宋体"/>
          <w:sz w:val="24"/>
          <w:szCs w:val="24"/>
          <w:u w:val="single"/>
        </w:rPr>
        <w:t>单人长定制茶几（1）</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0CC33F83">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36. </w:t>
      </w:r>
      <w:r>
        <w:rPr>
          <w:rFonts w:hint="eastAsia" w:ascii="宋体" w:hAnsi="宋体" w:cs="宋体"/>
          <w:sz w:val="24"/>
          <w:szCs w:val="24"/>
          <w:u w:val="single"/>
        </w:rPr>
        <w:t>方定制茶几（1）</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0732E032">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37. </w:t>
      </w:r>
      <w:r>
        <w:rPr>
          <w:rFonts w:hint="eastAsia" w:ascii="宋体" w:hAnsi="宋体" w:cs="宋体"/>
          <w:sz w:val="24"/>
          <w:szCs w:val="24"/>
          <w:u w:val="single"/>
        </w:rPr>
        <w:t>接待三位沙发</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1DEE2AD1">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38. </w:t>
      </w:r>
      <w:r>
        <w:rPr>
          <w:rFonts w:hint="eastAsia" w:ascii="宋体" w:hAnsi="宋体" w:cs="宋体"/>
          <w:sz w:val="24"/>
          <w:szCs w:val="24"/>
          <w:u w:val="single"/>
        </w:rPr>
        <w:t>接待单位沙发</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7B9E6A34">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39. </w:t>
      </w:r>
      <w:r>
        <w:rPr>
          <w:rFonts w:hint="eastAsia" w:ascii="宋体" w:hAnsi="宋体" w:cs="宋体"/>
          <w:sz w:val="24"/>
          <w:szCs w:val="24"/>
          <w:u w:val="single"/>
        </w:rPr>
        <w:t>方定制茶几（2）</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1B4E9ADA">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40. </w:t>
      </w:r>
      <w:r>
        <w:rPr>
          <w:rFonts w:hint="eastAsia" w:ascii="宋体" w:hAnsi="宋体" w:cs="宋体"/>
          <w:sz w:val="24"/>
          <w:szCs w:val="24"/>
          <w:u w:val="single"/>
        </w:rPr>
        <w:t>方定制茶几（3）</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55BB6FDD">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41. </w:t>
      </w:r>
      <w:r>
        <w:rPr>
          <w:rFonts w:hint="eastAsia" w:ascii="宋体" w:hAnsi="宋体" w:cs="宋体"/>
          <w:sz w:val="24"/>
          <w:szCs w:val="24"/>
          <w:u w:val="single"/>
        </w:rPr>
        <w:t>三人沙发（2）</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75DD45B4">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42. </w:t>
      </w:r>
      <w:r>
        <w:rPr>
          <w:rFonts w:hint="eastAsia" w:ascii="宋体" w:hAnsi="宋体" w:cs="宋体"/>
          <w:sz w:val="24"/>
          <w:szCs w:val="24"/>
          <w:u w:val="single"/>
        </w:rPr>
        <w:t>单人沙发（3）</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1AFC6610">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43. </w:t>
      </w:r>
      <w:r>
        <w:rPr>
          <w:rFonts w:hint="eastAsia" w:ascii="宋体" w:hAnsi="宋体" w:cs="宋体"/>
          <w:sz w:val="24"/>
          <w:szCs w:val="24"/>
          <w:u w:val="single"/>
        </w:rPr>
        <w:t>单人长定制茶几（2）</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439880FF">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44. </w:t>
      </w:r>
      <w:r>
        <w:rPr>
          <w:rFonts w:hint="eastAsia" w:ascii="宋体" w:hAnsi="宋体" w:cs="宋体"/>
          <w:sz w:val="24"/>
          <w:szCs w:val="24"/>
          <w:u w:val="single"/>
        </w:rPr>
        <w:t>方定制茶几（4）</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503880E7">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45. </w:t>
      </w:r>
      <w:r>
        <w:rPr>
          <w:rFonts w:hint="eastAsia" w:ascii="宋体" w:hAnsi="宋体" w:cs="宋体"/>
          <w:sz w:val="24"/>
          <w:szCs w:val="24"/>
          <w:u w:val="single"/>
        </w:rPr>
        <w:t>三人沙发（3）</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7C0C7691">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46. </w:t>
      </w:r>
      <w:r>
        <w:rPr>
          <w:rFonts w:hint="eastAsia" w:ascii="宋体" w:hAnsi="宋体" w:cs="宋体"/>
          <w:sz w:val="24"/>
          <w:szCs w:val="24"/>
          <w:u w:val="single"/>
        </w:rPr>
        <w:t>单人沙发（4）</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5A691B82">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47. </w:t>
      </w:r>
      <w:r>
        <w:rPr>
          <w:rFonts w:hint="eastAsia" w:ascii="宋体" w:hAnsi="宋体" w:cs="宋体"/>
          <w:sz w:val="24"/>
          <w:szCs w:val="24"/>
          <w:u w:val="single"/>
        </w:rPr>
        <w:t>单人长定制茶几（3）</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60B28693">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48. </w:t>
      </w:r>
      <w:r>
        <w:rPr>
          <w:rFonts w:hint="eastAsia" w:ascii="宋体" w:hAnsi="宋体" w:cs="宋体"/>
          <w:sz w:val="24"/>
          <w:szCs w:val="24"/>
          <w:u w:val="single"/>
        </w:rPr>
        <w:t>单人长定边几</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6BC13C60">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49. </w:t>
      </w:r>
      <w:r>
        <w:rPr>
          <w:rFonts w:hint="eastAsia" w:ascii="宋体" w:hAnsi="宋体" w:cs="宋体"/>
          <w:sz w:val="24"/>
          <w:szCs w:val="24"/>
          <w:u w:val="single"/>
        </w:rPr>
        <w:t>弧形组合接待沙发</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2FA12333">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50. </w:t>
      </w:r>
      <w:r>
        <w:rPr>
          <w:rFonts w:hint="eastAsia" w:ascii="宋体" w:hAnsi="宋体" w:cs="宋体"/>
          <w:sz w:val="24"/>
          <w:szCs w:val="24"/>
          <w:u w:val="single"/>
        </w:rPr>
        <w:t>组合接待沙发（1）</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44A8DCDC">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51. </w:t>
      </w:r>
      <w:r>
        <w:rPr>
          <w:rFonts w:hint="eastAsia" w:ascii="宋体" w:hAnsi="宋体" w:cs="宋体"/>
          <w:sz w:val="24"/>
          <w:szCs w:val="24"/>
          <w:u w:val="single"/>
        </w:rPr>
        <w:t>组合接待沙发（2）</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12BF2CD2">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52. </w:t>
      </w:r>
      <w:r>
        <w:rPr>
          <w:rFonts w:hint="eastAsia" w:ascii="宋体" w:hAnsi="宋体" w:cs="宋体"/>
          <w:sz w:val="24"/>
          <w:szCs w:val="24"/>
          <w:u w:val="single"/>
        </w:rPr>
        <w:t>组合接待沙发（3）</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6F572F8A">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53. </w:t>
      </w:r>
      <w:r>
        <w:rPr>
          <w:rFonts w:hint="eastAsia" w:ascii="宋体" w:hAnsi="宋体" w:cs="宋体"/>
          <w:sz w:val="24"/>
          <w:szCs w:val="24"/>
          <w:u w:val="single"/>
        </w:rPr>
        <w:t>组合接待沙发（4）</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0D804DB5">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54. </w:t>
      </w:r>
      <w:r>
        <w:rPr>
          <w:rFonts w:hint="eastAsia" w:ascii="宋体" w:hAnsi="宋体" w:cs="宋体"/>
          <w:sz w:val="24"/>
          <w:szCs w:val="24"/>
          <w:u w:val="single"/>
        </w:rPr>
        <w:t>定制茶几（1）</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5AC592C5">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55. </w:t>
      </w:r>
      <w:r>
        <w:rPr>
          <w:rFonts w:hint="eastAsia" w:ascii="宋体" w:hAnsi="宋体" w:cs="宋体"/>
          <w:sz w:val="24"/>
          <w:szCs w:val="24"/>
          <w:u w:val="single"/>
        </w:rPr>
        <w:t>定制茶几（2）</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429AF3B9">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56. </w:t>
      </w:r>
      <w:r>
        <w:rPr>
          <w:rFonts w:hint="eastAsia" w:ascii="宋体" w:hAnsi="宋体" w:cs="宋体"/>
          <w:sz w:val="24"/>
          <w:szCs w:val="24"/>
          <w:u w:val="single"/>
        </w:rPr>
        <w:t>定制茶几（3）</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696AFF16">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57. </w:t>
      </w:r>
      <w:r>
        <w:rPr>
          <w:rFonts w:hint="eastAsia" w:ascii="宋体" w:hAnsi="宋体" w:cs="宋体"/>
          <w:sz w:val="24"/>
          <w:szCs w:val="24"/>
          <w:u w:val="single"/>
        </w:rPr>
        <w:t>组合沙发（1）</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05738DBC">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58. </w:t>
      </w:r>
      <w:r>
        <w:rPr>
          <w:rFonts w:hint="eastAsia" w:ascii="宋体" w:hAnsi="宋体" w:cs="宋体"/>
          <w:sz w:val="24"/>
          <w:szCs w:val="24"/>
          <w:u w:val="single"/>
        </w:rPr>
        <w:t>组合沙发（2）</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2AE5BDAF">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59. </w:t>
      </w:r>
      <w:r>
        <w:rPr>
          <w:rFonts w:hint="eastAsia" w:ascii="宋体" w:hAnsi="宋体" w:cs="宋体"/>
          <w:sz w:val="24"/>
          <w:szCs w:val="24"/>
          <w:u w:val="single"/>
        </w:rPr>
        <w:t>弧形组合接待沙发A</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35896385">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60. </w:t>
      </w:r>
      <w:r>
        <w:rPr>
          <w:rFonts w:hint="eastAsia" w:ascii="宋体" w:hAnsi="宋体" w:cs="宋体"/>
          <w:sz w:val="24"/>
          <w:szCs w:val="24"/>
          <w:u w:val="single"/>
        </w:rPr>
        <w:t>弧形组合接待沙发B</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63A4C4D1">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61. </w:t>
      </w:r>
      <w:r>
        <w:rPr>
          <w:rFonts w:hint="eastAsia" w:ascii="宋体" w:hAnsi="宋体" w:cs="宋体"/>
          <w:sz w:val="24"/>
          <w:szCs w:val="24"/>
          <w:u w:val="single"/>
        </w:rPr>
        <w:t>弧形组合接待沙发C</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59CA92BB">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62. </w:t>
      </w:r>
      <w:r>
        <w:rPr>
          <w:rFonts w:hint="eastAsia" w:ascii="宋体" w:hAnsi="宋体" w:cs="宋体"/>
          <w:sz w:val="24"/>
          <w:szCs w:val="24"/>
          <w:u w:val="single"/>
        </w:rPr>
        <w:t>圆墩</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53951E5A">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63. </w:t>
      </w:r>
      <w:r>
        <w:rPr>
          <w:rFonts w:hint="eastAsia" w:ascii="宋体" w:hAnsi="宋体" w:cs="宋体"/>
          <w:sz w:val="24"/>
          <w:szCs w:val="24"/>
          <w:u w:val="single"/>
        </w:rPr>
        <w:t>组合沙发（3）</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7CFFBB3C">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64. </w:t>
      </w:r>
      <w:r>
        <w:rPr>
          <w:rFonts w:hint="eastAsia" w:ascii="宋体" w:hAnsi="宋体" w:cs="宋体"/>
          <w:sz w:val="24"/>
          <w:szCs w:val="24"/>
          <w:u w:val="single"/>
        </w:rPr>
        <w:t>组合沙发（4）</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79F2C09E">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65. </w:t>
      </w:r>
      <w:r>
        <w:rPr>
          <w:rFonts w:hint="eastAsia" w:ascii="宋体" w:hAnsi="宋体" w:cs="宋体"/>
          <w:sz w:val="24"/>
          <w:szCs w:val="24"/>
          <w:u w:val="single"/>
        </w:rPr>
        <w:t>方墩</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6BA7CDE5">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66. </w:t>
      </w:r>
      <w:r>
        <w:rPr>
          <w:rFonts w:hint="eastAsia" w:ascii="宋体" w:hAnsi="宋体" w:cs="宋体"/>
          <w:sz w:val="24"/>
          <w:szCs w:val="24"/>
          <w:u w:val="single"/>
        </w:rPr>
        <w:t>定制柜（1）</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0BA3629C">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67. </w:t>
      </w:r>
      <w:r>
        <w:rPr>
          <w:rFonts w:hint="eastAsia" w:ascii="宋体" w:hAnsi="宋体" w:cs="宋体"/>
          <w:sz w:val="24"/>
          <w:szCs w:val="24"/>
          <w:u w:val="single"/>
        </w:rPr>
        <w:t>定制柜（2）</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4A924EA6">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68. </w:t>
      </w:r>
      <w:r>
        <w:rPr>
          <w:rFonts w:hint="eastAsia" w:ascii="宋体" w:hAnsi="宋体" w:cs="宋体"/>
          <w:sz w:val="24"/>
          <w:szCs w:val="24"/>
          <w:u w:val="single"/>
        </w:rPr>
        <w:t>定制柜（3）</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6157428D">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69. </w:t>
      </w:r>
      <w:r>
        <w:rPr>
          <w:rFonts w:hint="eastAsia" w:ascii="宋体" w:hAnsi="宋体" w:cs="宋体"/>
          <w:sz w:val="24"/>
          <w:szCs w:val="24"/>
          <w:u w:val="single"/>
        </w:rPr>
        <w:t>定制柜（4）</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0D23D9B0">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70. </w:t>
      </w:r>
      <w:r>
        <w:rPr>
          <w:rFonts w:hint="eastAsia" w:ascii="宋体" w:hAnsi="宋体" w:cs="宋体"/>
          <w:sz w:val="24"/>
          <w:szCs w:val="24"/>
          <w:u w:val="single"/>
        </w:rPr>
        <w:t>定制柜（5）</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35528998">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71. </w:t>
      </w:r>
      <w:r>
        <w:rPr>
          <w:rFonts w:hint="eastAsia" w:ascii="宋体" w:hAnsi="宋体" w:cs="宋体"/>
          <w:sz w:val="24"/>
          <w:szCs w:val="24"/>
          <w:u w:val="single"/>
        </w:rPr>
        <w:t>定制柜（6）</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0D90F127">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72. </w:t>
      </w:r>
      <w:r>
        <w:rPr>
          <w:rFonts w:hint="eastAsia" w:ascii="宋体" w:hAnsi="宋体" w:cs="宋体"/>
          <w:sz w:val="24"/>
          <w:szCs w:val="24"/>
          <w:u w:val="single"/>
        </w:rPr>
        <w:t>定制柜（7）</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277E757F">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73. </w:t>
      </w:r>
      <w:r>
        <w:rPr>
          <w:rFonts w:hint="eastAsia" w:ascii="宋体" w:hAnsi="宋体" w:cs="宋体"/>
          <w:sz w:val="24"/>
          <w:szCs w:val="24"/>
          <w:u w:val="single"/>
        </w:rPr>
        <w:t>定制柜（8）</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31157524">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74. </w:t>
      </w:r>
      <w:r>
        <w:rPr>
          <w:rFonts w:hint="eastAsia" w:ascii="宋体" w:hAnsi="宋体" w:cs="宋体"/>
          <w:sz w:val="24"/>
          <w:szCs w:val="24"/>
          <w:u w:val="single"/>
        </w:rPr>
        <w:t>定制柜（9）</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59CE1785">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75. </w:t>
      </w:r>
      <w:r>
        <w:rPr>
          <w:rFonts w:hint="eastAsia" w:ascii="宋体" w:hAnsi="宋体" w:cs="宋体"/>
          <w:sz w:val="24"/>
          <w:szCs w:val="24"/>
          <w:u w:val="single"/>
        </w:rPr>
        <w:t>定制柜（10）</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39280D5A">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76. </w:t>
      </w:r>
      <w:r>
        <w:rPr>
          <w:rFonts w:hint="eastAsia" w:ascii="宋体" w:hAnsi="宋体" w:cs="宋体"/>
          <w:sz w:val="24"/>
          <w:szCs w:val="24"/>
          <w:u w:val="single"/>
        </w:rPr>
        <w:t>定制柜（11）</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54DDC7C0">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77. </w:t>
      </w:r>
      <w:r>
        <w:rPr>
          <w:rFonts w:hint="eastAsia" w:ascii="宋体" w:hAnsi="宋体" w:cs="宋体"/>
          <w:sz w:val="24"/>
          <w:szCs w:val="24"/>
          <w:u w:val="single"/>
        </w:rPr>
        <w:t>定制柜（12）</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59107921">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78. </w:t>
      </w:r>
      <w:r>
        <w:rPr>
          <w:rFonts w:hint="eastAsia" w:ascii="宋体" w:hAnsi="宋体" w:cs="宋体"/>
          <w:sz w:val="24"/>
          <w:szCs w:val="24"/>
          <w:u w:val="single"/>
        </w:rPr>
        <w:t>定制柜（13）</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0557AE1E">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79. </w:t>
      </w:r>
      <w:r>
        <w:rPr>
          <w:rFonts w:hint="eastAsia" w:ascii="宋体" w:hAnsi="宋体" w:cs="宋体"/>
          <w:sz w:val="24"/>
          <w:szCs w:val="24"/>
          <w:u w:val="single"/>
        </w:rPr>
        <w:t>定制柜（14）</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4C4AA18D">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80. </w:t>
      </w:r>
      <w:r>
        <w:rPr>
          <w:rFonts w:hint="eastAsia" w:ascii="宋体" w:hAnsi="宋体" w:cs="宋体"/>
          <w:sz w:val="24"/>
          <w:szCs w:val="24"/>
          <w:u w:val="single"/>
        </w:rPr>
        <w:t>定制柜（15）</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64241136">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81. </w:t>
      </w:r>
      <w:r>
        <w:rPr>
          <w:rFonts w:hint="eastAsia" w:ascii="宋体" w:hAnsi="宋体" w:cs="宋体"/>
          <w:sz w:val="24"/>
          <w:szCs w:val="24"/>
          <w:u w:val="single"/>
        </w:rPr>
        <w:t>定制柜（16）</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1B33FFFB">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82. </w:t>
      </w:r>
      <w:r>
        <w:rPr>
          <w:rFonts w:hint="eastAsia" w:ascii="宋体" w:hAnsi="宋体" w:cs="宋体"/>
          <w:sz w:val="24"/>
          <w:szCs w:val="24"/>
          <w:u w:val="single"/>
        </w:rPr>
        <w:t>定制柜（17）</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6EE50244">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83. </w:t>
      </w:r>
      <w:r>
        <w:rPr>
          <w:rFonts w:hint="eastAsia" w:ascii="宋体" w:hAnsi="宋体" w:cs="宋体"/>
          <w:sz w:val="24"/>
          <w:szCs w:val="24"/>
          <w:u w:val="single"/>
        </w:rPr>
        <w:t>定制柜（18）</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55D96C55">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84. </w:t>
      </w:r>
      <w:r>
        <w:rPr>
          <w:rFonts w:hint="eastAsia" w:ascii="宋体" w:hAnsi="宋体" w:cs="宋体"/>
          <w:sz w:val="24"/>
          <w:szCs w:val="24"/>
          <w:u w:val="single"/>
        </w:rPr>
        <w:t>定制柜（19）</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68696995">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85. </w:t>
      </w:r>
      <w:r>
        <w:rPr>
          <w:rFonts w:hint="eastAsia" w:ascii="宋体" w:hAnsi="宋体" w:cs="宋体"/>
          <w:sz w:val="24"/>
          <w:szCs w:val="24"/>
          <w:u w:val="single"/>
        </w:rPr>
        <w:t>定制柜（20）</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063853EA">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86. </w:t>
      </w:r>
      <w:r>
        <w:rPr>
          <w:rFonts w:hint="eastAsia" w:ascii="宋体" w:hAnsi="宋体" w:cs="宋体"/>
          <w:sz w:val="24"/>
          <w:szCs w:val="24"/>
          <w:u w:val="single"/>
        </w:rPr>
        <w:t>定制柜（21）</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3CABB47A">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87. </w:t>
      </w:r>
      <w:r>
        <w:rPr>
          <w:rFonts w:hint="eastAsia" w:ascii="宋体" w:hAnsi="宋体" w:cs="宋体"/>
          <w:sz w:val="24"/>
          <w:szCs w:val="24"/>
          <w:u w:val="single"/>
        </w:rPr>
        <w:t>定制柜（22）</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6F9A1A2B">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88. </w:t>
      </w:r>
      <w:r>
        <w:rPr>
          <w:rFonts w:hint="eastAsia" w:ascii="宋体" w:hAnsi="宋体" w:cs="宋体"/>
          <w:sz w:val="24"/>
          <w:szCs w:val="24"/>
          <w:u w:val="single"/>
        </w:rPr>
        <w:t>定制柜（23）</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41C181B4">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89. </w:t>
      </w:r>
      <w:r>
        <w:rPr>
          <w:rFonts w:hint="eastAsia" w:ascii="宋体" w:hAnsi="宋体" w:cs="宋体"/>
          <w:sz w:val="24"/>
          <w:szCs w:val="24"/>
          <w:u w:val="single"/>
        </w:rPr>
        <w:t>定制柜（24）</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42C09317">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90. </w:t>
      </w:r>
      <w:r>
        <w:rPr>
          <w:rFonts w:hint="eastAsia" w:ascii="宋体" w:hAnsi="宋体" w:cs="宋体"/>
          <w:sz w:val="24"/>
          <w:szCs w:val="24"/>
          <w:u w:val="single"/>
        </w:rPr>
        <w:t>定制柜（25）</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031F19B3">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91. </w:t>
      </w:r>
      <w:r>
        <w:rPr>
          <w:rFonts w:hint="eastAsia" w:ascii="宋体" w:hAnsi="宋体" w:cs="宋体"/>
          <w:sz w:val="24"/>
          <w:szCs w:val="24"/>
          <w:u w:val="single"/>
        </w:rPr>
        <w:t>定制柜（26）</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166B1EFA">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92. </w:t>
      </w:r>
      <w:r>
        <w:rPr>
          <w:rFonts w:hint="eastAsia" w:ascii="宋体" w:hAnsi="宋体" w:cs="宋体"/>
          <w:sz w:val="24"/>
          <w:szCs w:val="24"/>
          <w:u w:val="single"/>
        </w:rPr>
        <w:t>定制柜（27）</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33B6DB56">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93. </w:t>
      </w:r>
      <w:r>
        <w:rPr>
          <w:rFonts w:hint="eastAsia" w:ascii="宋体" w:hAnsi="宋体" w:cs="宋体"/>
          <w:sz w:val="24"/>
          <w:szCs w:val="24"/>
          <w:u w:val="single"/>
        </w:rPr>
        <w:t>定制柜（28）</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408B38FB">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94. </w:t>
      </w:r>
      <w:r>
        <w:rPr>
          <w:rFonts w:hint="eastAsia" w:ascii="宋体" w:hAnsi="宋体" w:cs="宋体"/>
          <w:sz w:val="24"/>
          <w:szCs w:val="24"/>
          <w:u w:val="single"/>
        </w:rPr>
        <w:t>定制柜（29）</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25759328">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95. </w:t>
      </w:r>
      <w:r>
        <w:rPr>
          <w:rFonts w:hint="eastAsia" w:ascii="宋体" w:hAnsi="宋体" w:cs="宋体"/>
          <w:sz w:val="24"/>
          <w:szCs w:val="24"/>
          <w:u w:val="single"/>
        </w:rPr>
        <w:t>定制柜（30）</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520D973E">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96. </w:t>
      </w:r>
      <w:r>
        <w:rPr>
          <w:rFonts w:hint="eastAsia" w:ascii="宋体" w:hAnsi="宋体" w:cs="宋体"/>
          <w:sz w:val="24"/>
          <w:szCs w:val="24"/>
          <w:u w:val="single"/>
        </w:rPr>
        <w:t>定制柜（31）</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40AA92F1">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97. </w:t>
      </w:r>
      <w:r>
        <w:rPr>
          <w:rFonts w:hint="eastAsia" w:ascii="宋体" w:hAnsi="宋体" w:cs="宋体"/>
          <w:sz w:val="24"/>
          <w:szCs w:val="24"/>
          <w:u w:val="single"/>
        </w:rPr>
        <w:t>定制柜（32）</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715620DD">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98. </w:t>
      </w:r>
      <w:r>
        <w:rPr>
          <w:rFonts w:hint="eastAsia" w:ascii="宋体" w:hAnsi="宋体" w:cs="宋体"/>
          <w:sz w:val="24"/>
          <w:szCs w:val="24"/>
          <w:u w:val="single"/>
        </w:rPr>
        <w:t>定制柜（33）</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09112320">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99. </w:t>
      </w:r>
      <w:r>
        <w:rPr>
          <w:rFonts w:hint="eastAsia" w:ascii="宋体" w:hAnsi="宋体" w:cs="宋体"/>
          <w:sz w:val="24"/>
          <w:szCs w:val="24"/>
          <w:u w:val="single"/>
        </w:rPr>
        <w:t>定制柜（34）</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4C33E999">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100. </w:t>
      </w:r>
      <w:r>
        <w:rPr>
          <w:rFonts w:hint="eastAsia" w:ascii="宋体" w:hAnsi="宋体" w:cs="宋体"/>
          <w:sz w:val="24"/>
          <w:szCs w:val="24"/>
          <w:u w:val="single"/>
        </w:rPr>
        <w:t>定制文件柜（1）</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375E1661">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101. </w:t>
      </w:r>
      <w:r>
        <w:rPr>
          <w:rFonts w:hint="eastAsia" w:ascii="宋体" w:hAnsi="宋体" w:cs="宋体"/>
          <w:sz w:val="24"/>
          <w:szCs w:val="24"/>
          <w:u w:val="single"/>
        </w:rPr>
        <w:t>定制文件柜（2）</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3A147D5F">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102. </w:t>
      </w:r>
      <w:r>
        <w:rPr>
          <w:rFonts w:hint="eastAsia" w:ascii="宋体" w:hAnsi="宋体" w:cs="宋体"/>
          <w:sz w:val="24"/>
          <w:szCs w:val="24"/>
          <w:u w:val="single"/>
        </w:rPr>
        <w:t>定制柜（35）</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1334DEA7">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103. </w:t>
      </w:r>
      <w:r>
        <w:rPr>
          <w:rFonts w:hint="eastAsia" w:ascii="宋体" w:hAnsi="宋体" w:cs="宋体"/>
          <w:sz w:val="24"/>
          <w:szCs w:val="24"/>
          <w:u w:val="single"/>
        </w:rPr>
        <w:t>定制柜（36）</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4367685D">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104. </w:t>
      </w:r>
      <w:r>
        <w:rPr>
          <w:rFonts w:hint="eastAsia" w:ascii="宋体" w:hAnsi="宋体" w:cs="宋体"/>
          <w:sz w:val="24"/>
          <w:szCs w:val="24"/>
          <w:u w:val="single"/>
        </w:rPr>
        <w:t>定制柜（37）</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603CF8ED">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105. </w:t>
      </w:r>
      <w:r>
        <w:rPr>
          <w:rFonts w:hint="eastAsia" w:ascii="宋体" w:hAnsi="宋体" w:cs="宋体"/>
          <w:sz w:val="24"/>
          <w:szCs w:val="24"/>
          <w:u w:val="single"/>
        </w:rPr>
        <w:t>定制书柜（1）</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54C17219">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106. </w:t>
      </w:r>
      <w:r>
        <w:rPr>
          <w:rFonts w:hint="eastAsia" w:ascii="宋体" w:hAnsi="宋体" w:cs="宋体"/>
          <w:sz w:val="24"/>
          <w:szCs w:val="24"/>
          <w:u w:val="single"/>
        </w:rPr>
        <w:t>定制书柜（2）</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4C827AF7">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107. </w:t>
      </w:r>
      <w:r>
        <w:rPr>
          <w:rFonts w:hint="eastAsia" w:ascii="宋体" w:hAnsi="宋体" w:cs="宋体"/>
          <w:sz w:val="24"/>
          <w:szCs w:val="24"/>
          <w:u w:val="single"/>
        </w:rPr>
        <w:t>定制书柜（3）</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2E565A6E">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108. </w:t>
      </w:r>
      <w:r>
        <w:rPr>
          <w:rFonts w:hint="eastAsia" w:ascii="宋体" w:hAnsi="宋体" w:cs="宋体"/>
          <w:sz w:val="24"/>
          <w:szCs w:val="24"/>
          <w:u w:val="single"/>
        </w:rPr>
        <w:t>定制书柜（4）</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556F5C0B">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109. </w:t>
      </w:r>
      <w:r>
        <w:rPr>
          <w:rFonts w:hint="eastAsia" w:ascii="宋体" w:hAnsi="宋体" w:cs="宋体"/>
          <w:sz w:val="24"/>
          <w:szCs w:val="24"/>
          <w:u w:val="single"/>
        </w:rPr>
        <w:t>定制书柜（5）</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3D5AD4BF">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110. </w:t>
      </w:r>
      <w:r>
        <w:rPr>
          <w:rFonts w:hint="eastAsia" w:ascii="宋体" w:hAnsi="宋体" w:cs="宋体"/>
          <w:sz w:val="24"/>
          <w:szCs w:val="24"/>
          <w:u w:val="single"/>
        </w:rPr>
        <w:t>定制柜（38）</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53F3DB22">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111. </w:t>
      </w:r>
      <w:r>
        <w:rPr>
          <w:rFonts w:hint="eastAsia" w:ascii="宋体" w:hAnsi="宋体" w:cs="宋体"/>
          <w:sz w:val="24"/>
          <w:szCs w:val="24"/>
          <w:u w:val="single"/>
        </w:rPr>
        <w:t>定制柜（39）</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3B93FF83">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112. </w:t>
      </w:r>
      <w:r>
        <w:rPr>
          <w:rFonts w:hint="eastAsia" w:ascii="宋体" w:hAnsi="宋体" w:cs="宋体"/>
          <w:sz w:val="24"/>
          <w:szCs w:val="24"/>
          <w:u w:val="single"/>
        </w:rPr>
        <w:t>定制柜（40）</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34CEBB8F">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113. </w:t>
      </w:r>
      <w:r>
        <w:rPr>
          <w:rFonts w:hint="eastAsia" w:ascii="宋体" w:hAnsi="宋体" w:cs="宋体"/>
          <w:sz w:val="24"/>
          <w:szCs w:val="24"/>
          <w:u w:val="single"/>
        </w:rPr>
        <w:t>定制柜（41）</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413F482C">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114. </w:t>
      </w:r>
      <w:r>
        <w:rPr>
          <w:rFonts w:hint="eastAsia" w:ascii="宋体" w:hAnsi="宋体" w:cs="宋体"/>
          <w:sz w:val="24"/>
          <w:szCs w:val="24"/>
          <w:u w:val="single"/>
        </w:rPr>
        <w:t>定制柜（42）</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4A57D112">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115. </w:t>
      </w:r>
      <w:r>
        <w:rPr>
          <w:rFonts w:hint="eastAsia" w:ascii="宋体" w:hAnsi="宋体" w:cs="宋体"/>
          <w:sz w:val="24"/>
          <w:szCs w:val="24"/>
          <w:u w:val="single"/>
        </w:rPr>
        <w:t>定制柜（43）</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45809A88">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116. </w:t>
      </w:r>
      <w:r>
        <w:rPr>
          <w:rFonts w:hint="eastAsia" w:ascii="宋体" w:hAnsi="宋体" w:cs="宋体"/>
          <w:sz w:val="24"/>
          <w:szCs w:val="24"/>
          <w:u w:val="single"/>
        </w:rPr>
        <w:t>定制柜（44）</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06CDDC1E">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117. </w:t>
      </w:r>
      <w:r>
        <w:rPr>
          <w:rFonts w:hint="eastAsia" w:ascii="宋体" w:hAnsi="宋体" w:cs="宋体"/>
          <w:sz w:val="24"/>
          <w:szCs w:val="24"/>
          <w:u w:val="single"/>
        </w:rPr>
        <w:t>定制柜（45）</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308F5A59">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118. </w:t>
      </w:r>
      <w:r>
        <w:rPr>
          <w:rFonts w:hint="eastAsia" w:ascii="宋体" w:hAnsi="宋体" w:cs="宋体"/>
          <w:sz w:val="24"/>
          <w:szCs w:val="24"/>
          <w:u w:val="single"/>
        </w:rPr>
        <w:t>定制柜（46）</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37E0E430">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119. </w:t>
      </w:r>
      <w:r>
        <w:rPr>
          <w:rFonts w:hint="eastAsia" w:ascii="宋体" w:hAnsi="宋体" w:cs="宋体"/>
          <w:sz w:val="24"/>
          <w:szCs w:val="24"/>
          <w:u w:val="single"/>
        </w:rPr>
        <w:t>定制柜（47）</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4A715E79">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120. </w:t>
      </w:r>
      <w:r>
        <w:rPr>
          <w:rFonts w:hint="eastAsia" w:ascii="宋体" w:hAnsi="宋体" w:cs="宋体"/>
          <w:sz w:val="24"/>
          <w:szCs w:val="24"/>
          <w:u w:val="single"/>
        </w:rPr>
        <w:t>定制柜（48）</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32AF0536">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121. </w:t>
      </w:r>
      <w:r>
        <w:rPr>
          <w:rFonts w:hint="eastAsia" w:ascii="宋体" w:hAnsi="宋体" w:cs="宋体"/>
          <w:sz w:val="24"/>
          <w:szCs w:val="24"/>
          <w:u w:val="single"/>
        </w:rPr>
        <w:t>定制柜（49）</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502D768B">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122. </w:t>
      </w:r>
      <w:r>
        <w:rPr>
          <w:rFonts w:hint="eastAsia" w:ascii="宋体" w:hAnsi="宋体" w:cs="宋体"/>
          <w:sz w:val="24"/>
          <w:szCs w:val="24"/>
          <w:u w:val="single"/>
        </w:rPr>
        <w:t>定制柜（50）</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5C611E9F">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123. </w:t>
      </w:r>
      <w:r>
        <w:rPr>
          <w:rFonts w:hint="eastAsia" w:ascii="宋体" w:hAnsi="宋体" w:cs="宋体"/>
          <w:sz w:val="24"/>
          <w:szCs w:val="24"/>
          <w:u w:val="single"/>
        </w:rPr>
        <w:t>定制柜（51）</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12FB8686">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124. </w:t>
      </w:r>
      <w:r>
        <w:rPr>
          <w:rFonts w:hint="eastAsia" w:ascii="宋体" w:hAnsi="宋体" w:cs="宋体"/>
          <w:sz w:val="24"/>
          <w:szCs w:val="24"/>
          <w:u w:val="single"/>
        </w:rPr>
        <w:t>定制柜（52）</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44D82D2C">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125. </w:t>
      </w:r>
      <w:r>
        <w:rPr>
          <w:rFonts w:hint="eastAsia" w:ascii="宋体" w:hAnsi="宋体" w:cs="宋体"/>
          <w:sz w:val="24"/>
          <w:szCs w:val="24"/>
          <w:u w:val="single"/>
        </w:rPr>
        <w:t>定制柜（53）</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05AABBD8">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126. </w:t>
      </w:r>
      <w:r>
        <w:rPr>
          <w:rFonts w:hint="eastAsia" w:ascii="宋体" w:hAnsi="宋体" w:cs="宋体"/>
          <w:sz w:val="24"/>
          <w:szCs w:val="24"/>
          <w:u w:val="single"/>
        </w:rPr>
        <w:t>定制柜（54）</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11EEEC1C">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127. </w:t>
      </w:r>
      <w:r>
        <w:rPr>
          <w:rFonts w:hint="eastAsia" w:ascii="宋体" w:hAnsi="宋体" w:cs="宋体"/>
          <w:sz w:val="24"/>
          <w:szCs w:val="24"/>
          <w:u w:val="single"/>
        </w:rPr>
        <w:t>定制柜（55）</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110F3593">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128. </w:t>
      </w:r>
      <w:r>
        <w:rPr>
          <w:rFonts w:hint="eastAsia" w:ascii="宋体" w:hAnsi="宋体" w:cs="宋体"/>
          <w:sz w:val="24"/>
          <w:szCs w:val="24"/>
          <w:u w:val="single"/>
        </w:rPr>
        <w:t>定制柜（56）</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3AF943A5">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129. </w:t>
      </w:r>
      <w:r>
        <w:rPr>
          <w:rFonts w:hint="eastAsia" w:ascii="宋体" w:hAnsi="宋体" w:cs="宋体"/>
          <w:sz w:val="24"/>
          <w:szCs w:val="24"/>
          <w:u w:val="single"/>
        </w:rPr>
        <w:t>定制柜（57）</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29BEAF5A">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130. </w:t>
      </w:r>
      <w:r>
        <w:rPr>
          <w:rFonts w:hint="eastAsia" w:ascii="宋体" w:hAnsi="宋体" w:cs="宋体"/>
          <w:sz w:val="24"/>
          <w:szCs w:val="24"/>
          <w:u w:val="single"/>
        </w:rPr>
        <w:t>定制柜（58）</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0006BA32">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131. </w:t>
      </w:r>
      <w:r>
        <w:rPr>
          <w:rFonts w:hint="eastAsia" w:ascii="宋体" w:hAnsi="宋体" w:cs="宋体"/>
          <w:sz w:val="24"/>
          <w:szCs w:val="24"/>
          <w:u w:val="single"/>
        </w:rPr>
        <w:t>定制柜（59）</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2E78BBF1">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132. </w:t>
      </w:r>
      <w:r>
        <w:rPr>
          <w:rFonts w:hint="eastAsia" w:ascii="宋体" w:hAnsi="宋体" w:cs="宋体"/>
          <w:sz w:val="24"/>
          <w:szCs w:val="24"/>
          <w:u w:val="single"/>
        </w:rPr>
        <w:t>定制柜（60）</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60DA1348">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133. </w:t>
      </w:r>
      <w:r>
        <w:rPr>
          <w:rFonts w:hint="eastAsia" w:ascii="宋体" w:hAnsi="宋体" w:cs="宋体"/>
          <w:sz w:val="24"/>
          <w:szCs w:val="24"/>
          <w:u w:val="single"/>
        </w:rPr>
        <w:t>定制柜（61）</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2B488268">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134. </w:t>
      </w:r>
      <w:r>
        <w:rPr>
          <w:rFonts w:hint="eastAsia" w:ascii="宋体" w:hAnsi="宋体" w:cs="宋体"/>
          <w:sz w:val="24"/>
          <w:szCs w:val="24"/>
          <w:u w:val="single"/>
        </w:rPr>
        <w:t>定制柜（62）</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48481833">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135. </w:t>
      </w:r>
      <w:r>
        <w:rPr>
          <w:rFonts w:hint="eastAsia" w:ascii="宋体" w:hAnsi="宋体" w:cs="宋体"/>
          <w:sz w:val="24"/>
          <w:szCs w:val="24"/>
          <w:u w:val="single"/>
        </w:rPr>
        <w:t>定制组合柜（1）</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6B98F8E5">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136. </w:t>
      </w:r>
      <w:r>
        <w:rPr>
          <w:rFonts w:hint="eastAsia" w:ascii="宋体" w:hAnsi="宋体" w:cs="宋体"/>
          <w:sz w:val="24"/>
          <w:szCs w:val="24"/>
          <w:u w:val="single"/>
        </w:rPr>
        <w:t>定制组合柜（2）</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1E9E40C0">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137. </w:t>
      </w:r>
      <w:r>
        <w:rPr>
          <w:rFonts w:hint="eastAsia" w:ascii="宋体" w:hAnsi="宋体" w:cs="宋体"/>
          <w:sz w:val="24"/>
          <w:szCs w:val="24"/>
          <w:u w:val="single"/>
        </w:rPr>
        <w:t>定制组合柜（3）</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390F0A7A">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138. </w:t>
      </w:r>
      <w:r>
        <w:rPr>
          <w:rFonts w:hint="eastAsia" w:ascii="宋体" w:hAnsi="宋体" w:cs="宋体"/>
          <w:sz w:val="24"/>
          <w:szCs w:val="24"/>
          <w:u w:val="single"/>
        </w:rPr>
        <w:t>定制组合柜（4）</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02A8337F">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139. </w:t>
      </w:r>
      <w:r>
        <w:rPr>
          <w:rFonts w:hint="eastAsia" w:ascii="宋体" w:hAnsi="宋体" w:cs="宋体"/>
          <w:sz w:val="24"/>
          <w:szCs w:val="24"/>
          <w:u w:val="single"/>
        </w:rPr>
        <w:t>定制组合柜（5）</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04AACD9F">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140. </w:t>
      </w:r>
      <w:r>
        <w:rPr>
          <w:rFonts w:hint="eastAsia" w:ascii="宋体" w:hAnsi="宋体" w:cs="宋体"/>
          <w:sz w:val="24"/>
          <w:szCs w:val="24"/>
          <w:u w:val="single"/>
        </w:rPr>
        <w:t>客厅背景柜</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78D725FB">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141. </w:t>
      </w:r>
      <w:r>
        <w:rPr>
          <w:rFonts w:hint="eastAsia" w:ascii="宋体" w:hAnsi="宋体" w:cs="宋体"/>
          <w:sz w:val="24"/>
          <w:szCs w:val="24"/>
          <w:u w:val="single"/>
        </w:rPr>
        <w:t>书椅</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2FBF269B">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142. </w:t>
      </w:r>
      <w:r>
        <w:rPr>
          <w:rFonts w:hint="eastAsia" w:ascii="宋体" w:hAnsi="宋体" w:cs="宋体"/>
          <w:sz w:val="24"/>
          <w:szCs w:val="24"/>
          <w:u w:val="single"/>
        </w:rPr>
        <w:t>展台</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78E1C741">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143. </w:t>
      </w:r>
      <w:r>
        <w:rPr>
          <w:rFonts w:hint="eastAsia" w:ascii="宋体" w:hAnsi="宋体" w:cs="宋体"/>
          <w:sz w:val="24"/>
          <w:szCs w:val="24"/>
          <w:u w:val="single"/>
        </w:rPr>
        <w:t>座椅</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07FF81FC">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144. </w:t>
      </w:r>
      <w:r>
        <w:rPr>
          <w:rFonts w:hint="eastAsia" w:ascii="宋体" w:hAnsi="宋体" w:cs="宋体"/>
          <w:sz w:val="24"/>
          <w:szCs w:val="24"/>
          <w:u w:val="single"/>
        </w:rPr>
        <w:t>阅览桌（1）</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168D35CE">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145. </w:t>
      </w:r>
      <w:r>
        <w:rPr>
          <w:rFonts w:hint="eastAsia" w:ascii="宋体" w:hAnsi="宋体" w:cs="宋体"/>
          <w:sz w:val="24"/>
          <w:szCs w:val="24"/>
          <w:u w:val="single"/>
        </w:rPr>
        <w:t>阅览桌（2）</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78296D20">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146. </w:t>
      </w:r>
      <w:r>
        <w:rPr>
          <w:rFonts w:hint="eastAsia" w:ascii="宋体" w:hAnsi="宋体" w:cs="宋体"/>
          <w:sz w:val="24"/>
          <w:szCs w:val="24"/>
          <w:u w:val="single"/>
        </w:rPr>
        <w:t>阅览椅</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5DD47BED">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147. </w:t>
      </w:r>
      <w:r>
        <w:rPr>
          <w:rFonts w:hint="eastAsia" w:ascii="宋体" w:hAnsi="宋体" w:cs="宋体"/>
          <w:sz w:val="24"/>
          <w:szCs w:val="24"/>
          <w:u w:val="single"/>
        </w:rPr>
        <w:t>阅读桌（3）</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77764B8F">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148. </w:t>
      </w:r>
      <w:r>
        <w:rPr>
          <w:rFonts w:hint="eastAsia" w:ascii="宋体" w:hAnsi="宋体" w:cs="宋体"/>
          <w:sz w:val="24"/>
          <w:szCs w:val="24"/>
          <w:u w:val="single"/>
        </w:rPr>
        <w:t>定制餐桌（1）</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79AEDB49">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149. </w:t>
      </w:r>
      <w:r>
        <w:rPr>
          <w:rFonts w:hint="eastAsia" w:ascii="宋体" w:hAnsi="宋体" w:cs="宋体"/>
          <w:sz w:val="24"/>
          <w:szCs w:val="24"/>
          <w:u w:val="single"/>
        </w:rPr>
        <w:t>定制餐桌（2）</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4B0EE369">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150. </w:t>
      </w:r>
      <w:r>
        <w:rPr>
          <w:rFonts w:hint="eastAsia" w:ascii="宋体" w:hAnsi="宋体" w:cs="宋体"/>
          <w:sz w:val="24"/>
          <w:szCs w:val="24"/>
          <w:u w:val="single"/>
        </w:rPr>
        <w:t>大定制大会议桌（1）</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652DD175">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151. </w:t>
      </w:r>
      <w:r>
        <w:rPr>
          <w:rFonts w:hint="eastAsia" w:ascii="宋体" w:hAnsi="宋体" w:cs="宋体"/>
          <w:sz w:val="24"/>
          <w:szCs w:val="24"/>
          <w:u w:val="single"/>
        </w:rPr>
        <w:t>大定制会议桌（2）</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1BB15AB3">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152. </w:t>
      </w:r>
      <w:r>
        <w:rPr>
          <w:rFonts w:hint="eastAsia" w:ascii="宋体" w:hAnsi="宋体" w:cs="宋体"/>
          <w:sz w:val="24"/>
          <w:szCs w:val="24"/>
          <w:u w:val="single"/>
        </w:rPr>
        <w:t>大定制会议桌（3）</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5FC0F8D4">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153. </w:t>
      </w:r>
      <w:r>
        <w:rPr>
          <w:rFonts w:hint="eastAsia" w:ascii="宋体" w:hAnsi="宋体" w:cs="宋体"/>
          <w:sz w:val="24"/>
          <w:szCs w:val="24"/>
          <w:u w:val="single"/>
        </w:rPr>
        <w:t>大定制会议桌（4）</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3CA42419">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154. </w:t>
      </w:r>
      <w:r>
        <w:rPr>
          <w:rFonts w:hint="eastAsia" w:ascii="宋体" w:hAnsi="宋体" w:cs="宋体"/>
          <w:sz w:val="24"/>
          <w:szCs w:val="24"/>
          <w:u w:val="single"/>
        </w:rPr>
        <w:t>定制会议桌（1）</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65A7E8E1">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155. </w:t>
      </w:r>
      <w:r>
        <w:rPr>
          <w:rFonts w:hint="eastAsia" w:ascii="宋体" w:hAnsi="宋体" w:cs="宋体"/>
          <w:sz w:val="24"/>
          <w:szCs w:val="24"/>
          <w:u w:val="single"/>
        </w:rPr>
        <w:t>定制会议桌（2）</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39A1C95C">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156. </w:t>
      </w:r>
      <w:r>
        <w:rPr>
          <w:rFonts w:hint="eastAsia" w:ascii="宋体" w:hAnsi="宋体" w:cs="宋体"/>
          <w:sz w:val="24"/>
          <w:szCs w:val="24"/>
          <w:u w:val="single"/>
        </w:rPr>
        <w:t>定制会议桌（3）</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317E3C4B">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157. </w:t>
      </w:r>
      <w:r>
        <w:rPr>
          <w:rFonts w:hint="eastAsia" w:ascii="宋体" w:hAnsi="宋体" w:cs="宋体"/>
          <w:sz w:val="24"/>
          <w:szCs w:val="24"/>
          <w:u w:val="single"/>
        </w:rPr>
        <w:t>定制会议桌（4）</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0B8EB9B2">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158. </w:t>
      </w:r>
      <w:r>
        <w:rPr>
          <w:rFonts w:hint="eastAsia" w:ascii="宋体" w:hAnsi="宋体" w:cs="宋体"/>
          <w:sz w:val="24"/>
          <w:szCs w:val="24"/>
          <w:u w:val="single"/>
        </w:rPr>
        <w:t>定制会议桌（5）</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219F7220">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159. </w:t>
      </w:r>
      <w:r>
        <w:rPr>
          <w:rFonts w:hint="eastAsia" w:ascii="宋体" w:hAnsi="宋体" w:cs="宋体"/>
          <w:sz w:val="24"/>
          <w:szCs w:val="24"/>
          <w:u w:val="single"/>
        </w:rPr>
        <w:t>交流后排桌（1）</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38EF1780">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160. </w:t>
      </w:r>
      <w:r>
        <w:rPr>
          <w:rFonts w:hint="eastAsia" w:ascii="宋体" w:hAnsi="宋体" w:cs="宋体"/>
          <w:sz w:val="24"/>
          <w:szCs w:val="24"/>
          <w:u w:val="single"/>
        </w:rPr>
        <w:t>定制会议桌（6）</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75FC92B3">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161. </w:t>
      </w:r>
      <w:r>
        <w:rPr>
          <w:rFonts w:hint="eastAsia" w:ascii="宋体" w:hAnsi="宋体" w:cs="宋体"/>
          <w:sz w:val="24"/>
          <w:szCs w:val="24"/>
          <w:u w:val="single"/>
        </w:rPr>
        <w:t>交流后排桌（2）</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006CB44C">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162. </w:t>
      </w:r>
      <w:r>
        <w:rPr>
          <w:rFonts w:hint="eastAsia" w:ascii="宋体" w:hAnsi="宋体" w:cs="宋体"/>
          <w:sz w:val="24"/>
          <w:szCs w:val="24"/>
          <w:u w:val="single"/>
        </w:rPr>
        <w:t>交流后排桌（3）</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75BBDF67">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163. </w:t>
      </w:r>
      <w:r>
        <w:rPr>
          <w:rFonts w:hint="eastAsia" w:ascii="宋体" w:hAnsi="宋体" w:cs="宋体"/>
          <w:sz w:val="24"/>
          <w:szCs w:val="24"/>
          <w:u w:val="single"/>
        </w:rPr>
        <w:t>交流后排桌（4）</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23F29123">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164. </w:t>
      </w:r>
      <w:r>
        <w:rPr>
          <w:rFonts w:hint="eastAsia" w:ascii="宋体" w:hAnsi="宋体" w:cs="宋体"/>
          <w:sz w:val="24"/>
          <w:szCs w:val="24"/>
          <w:u w:val="single"/>
        </w:rPr>
        <w:t>交流后排桌（5）</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62893251">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165. </w:t>
      </w:r>
      <w:r>
        <w:rPr>
          <w:rFonts w:hint="eastAsia" w:ascii="宋体" w:hAnsi="宋体" w:cs="宋体"/>
          <w:sz w:val="24"/>
          <w:szCs w:val="24"/>
          <w:u w:val="single"/>
        </w:rPr>
        <w:t>交流后排桌（6）</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35A9BC64">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166. </w:t>
      </w:r>
      <w:r>
        <w:rPr>
          <w:rFonts w:hint="eastAsia" w:ascii="宋体" w:hAnsi="宋体" w:cs="宋体"/>
          <w:sz w:val="24"/>
          <w:szCs w:val="24"/>
          <w:u w:val="single"/>
        </w:rPr>
        <w:t>大师会议桌</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7AB507B8">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167. </w:t>
      </w:r>
      <w:r>
        <w:rPr>
          <w:rFonts w:hint="eastAsia" w:ascii="宋体" w:hAnsi="宋体" w:cs="宋体"/>
          <w:sz w:val="24"/>
          <w:szCs w:val="24"/>
          <w:u w:val="single"/>
        </w:rPr>
        <w:t>大师会议椅</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3EB52367">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168. </w:t>
      </w:r>
      <w:r>
        <w:rPr>
          <w:rFonts w:hint="eastAsia" w:ascii="宋体" w:hAnsi="宋体" w:cs="宋体"/>
          <w:sz w:val="24"/>
          <w:szCs w:val="24"/>
          <w:u w:val="single"/>
        </w:rPr>
        <w:t>大师办公桌</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6C51F3B0">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169. </w:t>
      </w:r>
      <w:r>
        <w:rPr>
          <w:rFonts w:hint="eastAsia" w:ascii="宋体" w:hAnsi="宋体" w:cs="宋体"/>
          <w:sz w:val="24"/>
          <w:szCs w:val="24"/>
          <w:u w:val="single"/>
        </w:rPr>
        <w:t>大师办公椅</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16AEDEC4">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170. </w:t>
      </w:r>
      <w:r>
        <w:rPr>
          <w:rFonts w:hint="eastAsia" w:ascii="宋体" w:hAnsi="宋体" w:cs="宋体"/>
          <w:sz w:val="24"/>
          <w:szCs w:val="24"/>
          <w:u w:val="single"/>
        </w:rPr>
        <w:t>三人沙发</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5C984243">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171. </w:t>
      </w:r>
      <w:r>
        <w:rPr>
          <w:rFonts w:hint="eastAsia" w:ascii="宋体" w:hAnsi="宋体" w:cs="宋体"/>
          <w:sz w:val="24"/>
          <w:szCs w:val="24"/>
          <w:u w:val="single"/>
        </w:rPr>
        <w:t>单人沙发</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6A0549D7">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172. </w:t>
      </w:r>
      <w:r>
        <w:rPr>
          <w:rFonts w:hint="eastAsia" w:ascii="宋体" w:hAnsi="宋体" w:cs="宋体"/>
          <w:sz w:val="24"/>
          <w:szCs w:val="24"/>
          <w:u w:val="single"/>
        </w:rPr>
        <w:t>边柜</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2330B974">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173. </w:t>
      </w:r>
      <w:r>
        <w:rPr>
          <w:rFonts w:hint="eastAsia" w:ascii="宋体" w:hAnsi="宋体" w:cs="宋体"/>
          <w:sz w:val="24"/>
          <w:szCs w:val="24"/>
          <w:u w:val="single"/>
        </w:rPr>
        <w:t>单人长定制茶几</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5D3837E8">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174. </w:t>
      </w:r>
      <w:r>
        <w:rPr>
          <w:rFonts w:hint="eastAsia" w:ascii="宋体" w:hAnsi="宋体" w:cs="宋体"/>
          <w:sz w:val="24"/>
          <w:szCs w:val="24"/>
          <w:u w:val="single"/>
        </w:rPr>
        <w:t>方定制茶几</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4310D53E">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175. </w:t>
      </w:r>
      <w:r>
        <w:rPr>
          <w:rFonts w:hint="eastAsia" w:ascii="宋体" w:hAnsi="宋体" w:cs="宋体"/>
          <w:sz w:val="24"/>
          <w:szCs w:val="24"/>
          <w:u w:val="single"/>
        </w:rPr>
        <w:t>圆定制茶几</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0F70B757">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176. </w:t>
      </w:r>
      <w:r>
        <w:rPr>
          <w:rFonts w:hint="eastAsia" w:ascii="宋体" w:hAnsi="宋体" w:cs="宋体"/>
          <w:sz w:val="24"/>
          <w:szCs w:val="24"/>
          <w:u w:val="single"/>
        </w:rPr>
        <w:t>玄关花架</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5B97F5D3">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177. </w:t>
      </w:r>
      <w:r>
        <w:rPr>
          <w:rFonts w:hint="eastAsia" w:ascii="宋体" w:hAnsi="宋体" w:cs="宋体"/>
          <w:sz w:val="24"/>
          <w:szCs w:val="24"/>
          <w:u w:val="single"/>
        </w:rPr>
        <w:t>玄关桌</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7A6E0BD9">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178. </w:t>
      </w:r>
      <w:r>
        <w:rPr>
          <w:rFonts w:hint="eastAsia" w:ascii="宋体" w:hAnsi="宋体" w:cs="宋体"/>
          <w:sz w:val="24"/>
          <w:szCs w:val="24"/>
          <w:u w:val="single"/>
        </w:rPr>
        <w:t>储物柜</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7893E3BA">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179. </w:t>
      </w:r>
      <w:r>
        <w:rPr>
          <w:rFonts w:hint="eastAsia" w:ascii="宋体" w:hAnsi="宋体" w:cs="宋体"/>
          <w:sz w:val="24"/>
          <w:szCs w:val="24"/>
          <w:u w:val="single"/>
        </w:rPr>
        <w:t>书桌</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47F6D9F5">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180. </w:t>
      </w:r>
      <w:r>
        <w:rPr>
          <w:rFonts w:hint="eastAsia" w:ascii="宋体" w:hAnsi="宋体" w:cs="宋体"/>
          <w:sz w:val="24"/>
          <w:szCs w:val="24"/>
          <w:u w:val="single"/>
        </w:rPr>
        <w:t>鞋柜</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5D87414E">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181. </w:t>
      </w:r>
      <w:r>
        <w:rPr>
          <w:rFonts w:hint="eastAsia" w:ascii="宋体" w:hAnsi="宋体" w:cs="宋体"/>
          <w:sz w:val="24"/>
          <w:szCs w:val="24"/>
          <w:u w:val="single"/>
        </w:rPr>
        <w:t>床头柜</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3284146F">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182. </w:t>
      </w:r>
      <w:r>
        <w:rPr>
          <w:rFonts w:hint="eastAsia" w:ascii="宋体" w:hAnsi="宋体" w:cs="宋体"/>
          <w:sz w:val="24"/>
          <w:szCs w:val="24"/>
          <w:u w:val="single"/>
        </w:rPr>
        <w:t>监控台</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6BBF2B17">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183. </w:t>
      </w:r>
      <w:r>
        <w:rPr>
          <w:rFonts w:hint="eastAsia" w:ascii="宋体" w:hAnsi="宋体" w:cs="宋体"/>
          <w:sz w:val="24"/>
          <w:szCs w:val="24"/>
          <w:u w:val="single"/>
        </w:rPr>
        <w:t>讨论接待桌</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2EBB4DC3">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184. </w:t>
      </w:r>
      <w:r>
        <w:rPr>
          <w:rFonts w:hint="eastAsia" w:ascii="宋体" w:hAnsi="宋体" w:cs="宋体"/>
          <w:sz w:val="24"/>
          <w:szCs w:val="24"/>
          <w:u w:val="single"/>
        </w:rPr>
        <w:t>桌子（1）</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2604D822">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185. </w:t>
      </w:r>
      <w:r>
        <w:rPr>
          <w:rFonts w:hint="eastAsia" w:ascii="宋体" w:hAnsi="宋体" w:cs="宋体"/>
          <w:sz w:val="24"/>
          <w:szCs w:val="24"/>
          <w:u w:val="single"/>
        </w:rPr>
        <w:t>桌子（2）</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6D00FCD8">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186. </w:t>
      </w:r>
      <w:r>
        <w:rPr>
          <w:rFonts w:hint="eastAsia" w:ascii="宋体" w:hAnsi="宋体" w:cs="宋体"/>
          <w:sz w:val="24"/>
          <w:szCs w:val="24"/>
          <w:u w:val="single"/>
        </w:rPr>
        <w:t>桌子（3）</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160B781B">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187. </w:t>
      </w:r>
      <w:r>
        <w:rPr>
          <w:rFonts w:hint="eastAsia" w:ascii="宋体" w:hAnsi="宋体" w:cs="宋体"/>
          <w:sz w:val="24"/>
          <w:szCs w:val="24"/>
          <w:u w:val="single"/>
        </w:rPr>
        <w:t>音控桌（1）</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41A1F80E">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188. </w:t>
      </w:r>
      <w:r>
        <w:rPr>
          <w:rFonts w:hint="eastAsia" w:ascii="宋体" w:hAnsi="宋体" w:cs="宋体"/>
          <w:sz w:val="24"/>
          <w:szCs w:val="24"/>
          <w:u w:val="single"/>
        </w:rPr>
        <w:t>音控桌（2）</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51E2A87E">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189. </w:t>
      </w:r>
      <w:r>
        <w:rPr>
          <w:rFonts w:hint="eastAsia" w:ascii="宋体" w:hAnsi="宋体" w:cs="宋体"/>
          <w:sz w:val="24"/>
          <w:szCs w:val="24"/>
          <w:u w:val="single"/>
        </w:rPr>
        <w:t>文件柜（1）</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2EAE85A3">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190. </w:t>
      </w:r>
      <w:r>
        <w:rPr>
          <w:rFonts w:hint="eastAsia" w:ascii="宋体" w:hAnsi="宋体" w:cs="宋体"/>
          <w:sz w:val="24"/>
          <w:szCs w:val="24"/>
          <w:u w:val="single"/>
        </w:rPr>
        <w:t>文件柜（2）</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0CC049E3">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191. </w:t>
      </w:r>
      <w:r>
        <w:rPr>
          <w:rFonts w:hint="eastAsia" w:ascii="宋体" w:hAnsi="宋体" w:cs="宋体"/>
          <w:sz w:val="24"/>
          <w:szCs w:val="24"/>
          <w:u w:val="single"/>
        </w:rPr>
        <w:t>文件柜（3）</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0EFCAE1F">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192. </w:t>
      </w:r>
      <w:r>
        <w:rPr>
          <w:rFonts w:hint="eastAsia" w:ascii="宋体" w:hAnsi="宋体" w:cs="宋体"/>
          <w:sz w:val="24"/>
          <w:szCs w:val="24"/>
          <w:u w:val="single"/>
        </w:rPr>
        <w:t>文件柜（4）</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68FA3386">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193. </w:t>
      </w:r>
      <w:r>
        <w:rPr>
          <w:rFonts w:hint="eastAsia" w:ascii="宋体" w:hAnsi="宋体" w:cs="宋体"/>
          <w:sz w:val="24"/>
          <w:szCs w:val="24"/>
          <w:u w:val="single"/>
        </w:rPr>
        <w:t>椅子（1）</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71A880B1">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194. </w:t>
      </w:r>
      <w:r>
        <w:rPr>
          <w:rFonts w:hint="eastAsia" w:ascii="宋体" w:hAnsi="宋体" w:cs="宋体"/>
          <w:sz w:val="24"/>
          <w:szCs w:val="24"/>
          <w:u w:val="single"/>
        </w:rPr>
        <w:t>椅子（2）</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04B53275">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195. </w:t>
      </w:r>
      <w:r>
        <w:rPr>
          <w:rFonts w:hint="eastAsia" w:ascii="宋体" w:hAnsi="宋体" w:cs="宋体"/>
          <w:sz w:val="24"/>
          <w:szCs w:val="24"/>
          <w:u w:val="single"/>
        </w:rPr>
        <w:t>定制桌组（1）</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4D49B696">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196. </w:t>
      </w:r>
      <w:r>
        <w:rPr>
          <w:rFonts w:hint="eastAsia" w:ascii="宋体" w:hAnsi="宋体" w:cs="宋体"/>
          <w:sz w:val="24"/>
          <w:szCs w:val="24"/>
          <w:u w:val="single"/>
        </w:rPr>
        <w:t>定制桌组（2）</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3727B811">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197. </w:t>
      </w:r>
      <w:r>
        <w:rPr>
          <w:rFonts w:hint="eastAsia" w:ascii="宋体" w:hAnsi="宋体" w:cs="宋体"/>
          <w:sz w:val="24"/>
          <w:szCs w:val="24"/>
          <w:u w:val="single"/>
        </w:rPr>
        <w:t>定制桌组（3）</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6B605917">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198. </w:t>
      </w:r>
      <w:r>
        <w:rPr>
          <w:rFonts w:hint="eastAsia" w:ascii="宋体" w:hAnsi="宋体" w:cs="宋体"/>
          <w:sz w:val="24"/>
          <w:szCs w:val="24"/>
          <w:u w:val="single"/>
        </w:rPr>
        <w:t>定制桌组（4）</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1C96C636">
      <w:pPr>
        <w:spacing w:beforeLines="0" w:afterLines="0" w:line="360" w:lineRule="auto"/>
        <w:ind w:firstLine="480" w:firstLineChars="200"/>
        <w:rPr>
          <w:rFonts w:hint="eastAsia" w:ascii="宋体" w:hAnsi="宋体" w:cs="宋体"/>
          <w:sz w:val="24"/>
          <w:szCs w:val="24"/>
        </w:rPr>
      </w:pPr>
      <w:r>
        <w:rPr>
          <w:rFonts w:hint="eastAsia" w:ascii="宋体" w:hAnsi="宋体" w:cs="宋体"/>
          <w:sz w:val="24"/>
          <w:szCs w:val="24"/>
        </w:rPr>
        <w:t xml:space="preserve">199. </w:t>
      </w:r>
      <w:r>
        <w:rPr>
          <w:rFonts w:hint="eastAsia" w:ascii="宋体" w:hAnsi="宋体" w:cs="宋体"/>
          <w:sz w:val="24"/>
          <w:szCs w:val="24"/>
          <w:u w:val="single"/>
        </w:rPr>
        <w:t>定制桌组（5）</w:t>
      </w:r>
      <w:r>
        <w:rPr>
          <w:rFonts w:hint="eastAsia" w:ascii="宋体" w:hAnsi="宋体" w:cs="宋体"/>
          <w:sz w:val="24"/>
          <w:szCs w:val="24"/>
        </w:rPr>
        <w:t xml:space="preserve">，属于 </w:t>
      </w:r>
      <w:r>
        <w:rPr>
          <w:rFonts w:hint="eastAsia" w:ascii="宋体" w:hAnsi="宋体" w:cs="宋体"/>
          <w:sz w:val="24"/>
          <w:szCs w:val="24"/>
          <w:u w:val="single"/>
        </w:rPr>
        <w:t>工业</w:t>
      </w:r>
      <w:r>
        <w:rPr>
          <w:rFonts w:hint="eastAsia" w:ascii="宋体" w:hAnsi="宋体" w:cs="宋体"/>
          <w:sz w:val="24"/>
          <w:szCs w:val="24"/>
        </w:rPr>
        <w:t>行业 ；制造商为</w:t>
      </w:r>
      <w:r>
        <w:rPr>
          <w:rFonts w:hint="eastAsia" w:ascii="宋体" w:hAnsi="宋体" w:cs="宋体"/>
          <w:sz w:val="24"/>
          <w:szCs w:val="24"/>
          <w:u w:val="single"/>
        </w:rPr>
        <w:t xml:space="preserve"> （企业名称）</w:t>
      </w:r>
      <w:r>
        <w:rPr>
          <w:rFonts w:hint="eastAsia" w:ascii="宋体" w:hAnsi="宋体" w:cs="宋体"/>
          <w:sz w:val="24"/>
          <w:szCs w:val="24"/>
        </w:rPr>
        <w:t xml:space="preserve"> ，从业人员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14:paraId="2F8EE556">
      <w:pPr>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11F37B70">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14:paraId="616D440C">
      <w:pPr>
        <w:snapToGrid w:val="0"/>
        <w:spacing w:line="360" w:lineRule="auto"/>
        <w:ind w:firstLine="5160" w:firstLineChars="2150"/>
        <w:rPr>
          <w:rFonts w:ascii="宋体" w:hAnsi="宋体" w:cs="宋体"/>
          <w:kern w:val="0"/>
          <w:sz w:val="24"/>
        </w:rPr>
      </w:pPr>
      <w:r>
        <w:rPr>
          <w:rFonts w:hint="eastAsia" w:ascii="宋体" w:hAnsi="宋体" w:cs="宋体"/>
          <w:kern w:val="0"/>
          <w:sz w:val="24"/>
          <w:lang w:val="zh-CN"/>
        </w:rPr>
        <w:t>投标人名称（电子签名）：</w:t>
      </w:r>
    </w:p>
    <w:p w14:paraId="4361C53F">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2E45A64E">
      <w:pPr>
        <w:spacing w:line="360" w:lineRule="auto"/>
        <w:jc w:val="left"/>
        <w:rPr>
          <w:rFonts w:ascii="宋体" w:hAnsi="宋体" w:cs="宋体"/>
          <w:sz w:val="18"/>
          <w:szCs w:val="18"/>
        </w:rPr>
      </w:pPr>
      <w:r>
        <w:rPr>
          <w:rFonts w:hint="eastAsia" w:ascii="宋体" w:hAnsi="宋体" w:cs="宋体"/>
          <w:sz w:val="18"/>
          <w:szCs w:val="18"/>
        </w:rPr>
        <w:t>从业人员、营业收入、资产总额填报上一年度数据，无上一年度数据的新成立企业可不填报。</w:t>
      </w:r>
    </w:p>
    <w:p w14:paraId="7612049A">
      <w:pPr>
        <w:spacing w:line="360" w:lineRule="auto"/>
        <w:ind w:right="420" w:firstLine="480" w:firstLineChars="200"/>
        <w:rPr>
          <w:rFonts w:ascii="宋体" w:hAnsi="宋体" w:cs="宋体"/>
          <w:sz w:val="24"/>
        </w:rPr>
      </w:pPr>
      <w:r>
        <w:rPr>
          <w:rFonts w:hint="eastAsia" w:ascii="宋体" w:hAnsi="宋体" w:cs="宋体"/>
          <w:sz w:val="24"/>
        </w:rPr>
        <w:t>注：</w:t>
      </w:r>
    </w:p>
    <w:p w14:paraId="2F1336CA">
      <w:pPr>
        <w:spacing w:line="360" w:lineRule="auto"/>
        <w:ind w:right="420" w:firstLine="480" w:firstLineChars="200"/>
        <w:rPr>
          <w:rFonts w:ascii="宋体" w:hAnsi="宋体" w:cs="宋体"/>
          <w:sz w:val="24"/>
        </w:rPr>
      </w:pPr>
      <w:r>
        <w:rPr>
          <w:rFonts w:hint="eastAsia" w:ascii="宋体" w:hAnsi="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6E2C594">
      <w:pPr>
        <w:spacing w:line="360" w:lineRule="auto"/>
        <w:ind w:right="420" w:firstLine="480" w:firstLineChars="200"/>
        <w:rPr>
          <w:rFonts w:ascii="宋体" w:hAnsi="宋体" w:cs="宋体"/>
          <w:sz w:val="24"/>
        </w:rPr>
      </w:pPr>
      <w:r>
        <w:rPr>
          <w:rFonts w:hint="eastAsia" w:ascii="宋体" w:hAnsi="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9C6EE62">
      <w:pPr>
        <w:spacing w:line="360" w:lineRule="auto"/>
        <w:jc w:val="center"/>
        <w:rPr>
          <w:rFonts w:ascii="宋体" w:hAnsi="宋体" w:cs="宋体"/>
          <w:b/>
          <w:sz w:val="32"/>
          <w:szCs w:val="32"/>
        </w:rPr>
      </w:pPr>
    </w:p>
    <w:p w14:paraId="5E3C428B">
      <w:pPr>
        <w:spacing w:line="360" w:lineRule="auto"/>
        <w:jc w:val="center"/>
        <w:rPr>
          <w:rFonts w:ascii="宋体" w:hAnsi="宋体" w:cs="宋体"/>
          <w:b/>
          <w:sz w:val="32"/>
          <w:szCs w:val="32"/>
        </w:rPr>
      </w:pPr>
    </w:p>
    <w:p w14:paraId="12B12388">
      <w:pPr>
        <w:spacing w:line="360" w:lineRule="auto"/>
        <w:jc w:val="center"/>
        <w:rPr>
          <w:rFonts w:ascii="宋体" w:hAnsi="宋体" w:cs="宋体"/>
          <w:b/>
          <w:sz w:val="32"/>
          <w:szCs w:val="32"/>
        </w:rPr>
      </w:pPr>
    </w:p>
    <w:p w14:paraId="7A9472B6">
      <w:pPr>
        <w:spacing w:line="360" w:lineRule="auto"/>
        <w:jc w:val="center"/>
        <w:rPr>
          <w:rFonts w:ascii="宋体" w:hAnsi="宋体" w:cs="宋体"/>
          <w:b/>
          <w:sz w:val="32"/>
          <w:szCs w:val="32"/>
        </w:rPr>
      </w:pPr>
    </w:p>
    <w:p w14:paraId="6218E589">
      <w:pPr>
        <w:spacing w:line="360" w:lineRule="auto"/>
        <w:jc w:val="center"/>
        <w:rPr>
          <w:rFonts w:ascii="宋体" w:hAnsi="宋体" w:cs="宋体"/>
          <w:b/>
          <w:sz w:val="32"/>
          <w:szCs w:val="32"/>
        </w:rPr>
      </w:pPr>
    </w:p>
    <w:p w14:paraId="11C7E0D3">
      <w:pPr>
        <w:spacing w:line="360" w:lineRule="auto"/>
        <w:jc w:val="center"/>
        <w:rPr>
          <w:rFonts w:ascii="宋体" w:hAnsi="宋体" w:cs="宋体"/>
          <w:b/>
          <w:sz w:val="32"/>
          <w:szCs w:val="32"/>
        </w:rPr>
      </w:pPr>
    </w:p>
    <w:p w14:paraId="72E9477B">
      <w:pPr>
        <w:spacing w:line="360" w:lineRule="auto"/>
        <w:jc w:val="center"/>
        <w:rPr>
          <w:rFonts w:ascii="宋体" w:hAnsi="宋体" w:cs="宋体"/>
          <w:b/>
          <w:sz w:val="32"/>
          <w:szCs w:val="32"/>
        </w:rPr>
      </w:pPr>
    </w:p>
    <w:p w14:paraId="6A441CE7">
      <w:pPr>
        <w:spacing w:line="360" w:lineRule="auto"/>
        <w:jc w:val="center"/>
        <w:rPr>
          <w:rFonts w:ascii="宋体" w:hAnsi="宋体" w:cs="宋体"/>
          <w:b/>
          <w:sz w:val="32"/>
          <w:szCs w:val="32"/>
        </w:rPr>
      </w:pPr>
    </w:p>
    <w:p w14:paraId="047713D0">
      <w:pPr>
        <w:spacing w:line="360" w:lineRule="auto"/>
        <w:jc w:val="center"/>
        <w:rPr>
          <w:rFonts w:ascii="宋体" w:hAnsi="宋体" w:cs="宋体"/>
          <w:b/>
          <w:sz w:val="32"/>
          <w:szCs w:val="32"/>
        </w:rPr>
      </w:pPr>
    </w:p>
    <w:p w14:paraId="5D7A3D6F">
      <w:pPr>
        <w:spacing w:line="360" w:lineRule="auto"/>
        <w:jc w:val="center"/>
        <w:rPr>
          <w:rFonts w:ascii="宋体" w:hAnsi="宋体" w:cs="宋体"/>
          <w:b/>
          <w:sz w:val="32"/>
          <w:szCs w:val="32"/>
        </w:rPr>
      </w:pPr>
    </w:p>
    <w:p w14:paraId="4F1FC5D8">
      <w:pPr>
        <w:spacing w:line="360" w:lineRule="auto"/>
        <w:jc w:val="center"/>
        <w:rPr>
          <w:rFonts w:ascii="宋体" w:hAnsi="宋体" w:cs="宋体"/>
          <w:b/>
          <w:sz w:val="32"/>
          <w:szCs w:val="32"/>
        </w:rPr>
      </w:pPr>
    </w:p>
    <w:p w14:paraId="4F4E6CCE">
      <w:pPr>
        <w:spacing w:line="360" w:lineRule="auto"/>
        <w:jc w:val="center"/>
        <w:rPr>
          <w:rFonts w:ascii="宋体" w:hAnsi="宋体" w:cs="宋体"/>
          <w:b/>
          <w:sz w:val="32"/>
          <w:szCs w:val="32"/>
        </w:rPr>
      </w:pPr>
    </w:p>
    <w:p w14:paraId="1F81B606">
      <w:pPr>
        <w:spacing w:line="360" w:lineRule="auto"/>
        <w:jc w:val="center"/>
        <w:rPr>
          <w:rFonts w:ascii="宋体" w:hAnsi="宋体" w:cs="宋体"/>
          <w:b/>
          <w:sz w:val="32"/>
          <w:szCs w:val="32"/>
        </w:rPr>
      </w:pPr>
    </w:p>
    <w:p w14:paraId="6E009953">
      <w:pPr>
        <w:spacing w:line="360" w:lineRule="auto"/>
        <w:jc w:val="center"/>
        <w:rPr>
          <w:rFonts w:ascii="宋体" w:hAnsi="宋体" w:cs="宋体"/>
          <w:b/>
          <w:sz w:val="32"/>
          <w:szCs w:val="32"/>
        </w:rPr>
      </w:pPr>
    </w:p>
    <w:p w14:paraId="6AE5F86C">
      <w:pPr>
        <w:spacing w:line="360" w:lineRule="auto"/>
        <w:jc w:val="center"/>
        <w:rPr>
          <w:rFonts w:ascii="宋体" w:hAnsi="宋体" w:cs="宋体"/>
          <w:b/>
          <w:sz w:val="32"/>
          <w:szCs w:val="32"/>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auto"/>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Lucida Sans">
    <w:altName w:val="Lucida Sans Unicode"/>
    <w:panose1 w:val="020B0602030504020204"/>
    <w:charset w:val="00"/>
    <w:family w:val="auto"/>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Verdana">
    <w:panose1 w:val="020B0604030504040204"/>
    <w:charset w:val="00"/>
    <w:family w:val="auto"/>
    <w:pitch w:val="default"/>
    <w:sig w:usb0="A00006FF" w:usb1="4000205B" w:usb2="00000010" w:usb3="00000000" w:csb0="2000019F" w:csb1="00000000"/>
  </w:font>
  <w:font w:name="幼圆">
    <w:panose1 w:val="02010509060101010101"/>
    <w:charset w:val="86"/>
    <w:family w:val="auto"/>
    <w:pitch w:val="default"/>
    <w:sig w:usb0="00000001" w:usb1="080E0000" w:usb2="00000000" w:usb3="00000000" w:csb0="00040000" w:csb1="00000000"/>
  </w:font>
  <w:font w:name="Arial Narrow">
    <w:panose1 w:val="020B0606020202030204"/>
    <w:charset w:val="00"/>
    <w:family w:val="auto"/>
    <w:pitch w:val="default"/>
    <w:sig w:usb0="00000287" w:usb1="00000800" w:usb2="00000000" w:usb3="00000000" w:csb0="2000009F" w:csb1="DFD70000"/>
  </w:font>
  <w:font w:name="FHLHE E+ Futura Bk">
    <w:altName w:val="宋体"/>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altName w:val="宋体"/>
    <w:panose1 w:val="020B0604020202020204"/>
    <w:charset w:val="86"/>
    <w:family w:val="auto"/>
    <w:pitch w:val="default"/>
    <w:sig w:usb0="00000000" w:usb1="00000000" w:usb2="0000003F" w:usb3="00000000" w:csb0="603F01FF" w:csb1="FFFF0000"/>
  </w:font>
  <w:font w:name="Helvetica">
    <w:altName w:val="Arial"/>
    <w:panose1 w:val="020B0604020202020204"/>
    <w:charset w:val="00"/>
    <w:family w:val="auto"/>
    <w:pitch w:val="default"/>
    <w:sig w:usb0="00000000" w:usb1="00000000" w:usb2="00000000" w:usb3="00000000" w:csb0="00000001" w:csb1="00000000"/>
  </w:font>
  <w:font w:name="Cumberland">
    <w:altName w:val="微软雅黑"/>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auto"/>
    <w:pitch w:val="default"/>
    <w:sig w:usb0="00000000" w:usb1="00000000" w:usb2="00000000" w:usb3="00000000" w:csb0="000001FB" w:csb1="00000000"/>
  </w:font>
  <w:font w:name="Segoe UI">
    <w:panose1 w:val="020B0502040204020203"/>
    <w:charset w:val="00"/>
    <w:family w:val="auto"/>
    <w:pitch w:val="default"/>
    <w:sig w:usb0="E4002EFF" w:usb1="C000E47F" w:usb2="00000009" w:usb3="00000000" w:csb0="200001FF" w:csb1="00000000"/>
  </w:font>
  <w:font w:name="Latha">
    <w:altName w:val="Segoe Print"/>
    <w:panose1 w:val="020B0604020202020204"/>
    <w:charset w:val="00"/>
    <w:family w:val="auto"/>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auto"/>
    <w:pitch w:val="default"/>
    <w:sig w:usb0="00000203" w:usb1="288F0000" w:usb2="00000006" w:usb3="00000000" w:csb0="00040001" w:csb1="00000000"/>
  </w:font>
  <w:font w:name="Century Gothic">
    <w:panose1 w:val="020B0502020202020204"/>
    <w:charset w:val="00"/>
    <w:family w:val="auto"/>
    <w:pitch w:val="default"/>
    <w:sig w:usb0="00000287" w:usb1="00000000" w:usb2="00000000" w:usb3="00000000" w:csb0="2000009F" w:csb1="DFD70000"/>
  </w:font>
  <w:font w:name="Aldine401 BT">
    <w:altName w:val="Segoe Print"/>
    <w:panose1 w:val="00000000000000000000"/>
    <w:charset w:val="00"/>
    <w:family w:val="auto"/>
    <w:pitch w:val="default"/>
    <w:sig w:usb0="00000000" w:usb1="00000000" w:usb2="00000000" w:usb3="00000000" w:csb0="00000011" w:csb1="00000000"/>
  </w:font>
  <w:font w:name=".PingFang SC">
    <w:altName w:val="微软雅黑"/>
    <w:panose1 w:val="00000000000000000000"/>
    <w:charset w:val="00"/>
    <w:family w:val="auto"/>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auto"/>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auto"/>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MS Gothic">
    <w:panose1 w:val="020B0609070205080204"/>
    <w:charset w:val="80"/>
    <w:family w:val="auto"/>
    <w:pitch w:val="default"/>
    <w:sig w:usb0="E00002FF" w:usb1="6AC7FDFB" w:usb2="08000012" w:usb3="00000000" w:csb0="4002009F" w:csb1="DFD70000"/>
  </w:font>
  <w:font w:name="Wingdings 2">
    <w:panose1 w:val="05020102010507070707"/>
    <w:charset w:val="00"/>
    <w:family w:val="auto"/>
    <w:pitch w:val="default"/>
    <w:sig w:usb0="00000000" w:usb1="00000000" w:usb2="00000000" w:usb3="00000000" w:csb0="80000000" w:csb1="00000000"/>
  </w:font>
  <w:font w:name="MS Mincho">
    <w:altName w:val="Yu Gothic UI"/>
    <w:panose1 w:val="02020609040205080304"/>
    <w:charset w:val="80"/>
    <w:family w:val="auto"/>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B031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62C32">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63" w:name="_Toc164085800"/>
    <w:bookmarkStart w:id="564" w:name="_Toc131845147"/>
    <w:bookmarkStart w:id="565" w:name="_Toc91899912"/>
    <w:bookmarkStart w:id="566" w:name="_Toc36110187"/>
    <w:r>
      <w:rPr>
        <w:rFonts w:hint="eastAsia" w:ascii="仿宋_GB2312" w:eastAsia="仿宋_GB2312"/>
        <w:kern w:val="0"/>
        <w:szCs w:val="21"/>
      </w:rPr>
      <w:t xml:space="preserve"> 页</w:t>
    </w:r>
    <w:bookmarkEnd w:id="563"/>
    <w:bookmarkEnd w:id="564"/>
    <w:bookmarkEnd w:id="565"/>
    <w:bookmarkEnd w:id="56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52866">
    <w:pPr>
      <w:pStyle w:val="39"/>
      <w:framePr w:wrap="around" w:vAnchor="text" w:hAnchor="margin" w:xAlign="right" w:y="1"/>
      <w:rPr>
        <w:rStyle w:val="73"/>
      </w:rPr>
    </w:pPr>
    <w:r>
      <w:fldChar w:fldCharType="begin"/>
    </w:r>
    <w:r>
      <w:rPr>
        <w:rStyle w:val="73"/>
      </w:rPr>
      <w:instrText xml:space="preserve">PAGE  </w:instrText>
    </w:r>
    <w:r>
      <w:fldChar w:fldCharType="end"/>
    </w:r>
  </w:p>
  <w:p w14:paraId="5E36E036">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D140B">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4A92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E879A97">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A2863">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09311AE9">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9ABB3">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2FEC8CB3">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7F8FA">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527FCA83">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6EEBF">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606F9">
    <w:pPr>
      <w:pStyle w:val="39"/>
      <w:framePr w:wrap="around" w:vAnchor="text" w:hAnchor="margin" w:xAlign="right" w:y="1"/>
      <w:rPr>
        <w:rStyle w:val="73"/>
      </w:rPr>
    </w:pPr>
    <w:r>
      <w:fldChar w:fldCharType="begin"/>
    </w:r>
    <w:r>
      <w:rPr>
        <w:rStyle w:val="73"/>
      </w:rPr>
      <w:instrText xml:space="preserve">PAGE  </w:instrText>
    </w:r>
    <w:r>
      <w:fldChar w:fldCharType="end"/>
    </w:r>
  </w:p>
  <w:p w14:paraId="6DB13EE9">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E85BD">
    <w:pPr>
      <w:pStyle w:val="40"/>
      <w:pBdr>
        <w:bottom w:val="single" w:color="auto" w:sz="6" w:space="4"/>
      </w:pBdr>
      <w:jc w:val="right"/>
    </w:pPr>
    <w:r>
      <w:t></w:t>
    </w:r>
    <w:r>
      <w:rPr>
        <w:rFonts w:hint="eastAsia"/>
      </w:rPr>
      <w:t xml:space="preserve">       </w:t>
    </w:r>
    <w:r>
      <w:rPr>
        <w:rFonts w:hint="eastAsia"/>
        <w:lang w:eastAsia="zh-CN"/>
      </w:rPr>
      <w:t>余杭区政府采购公开招标文件</w:t>
    </w:r>
  </w:p>
  <w:p w14:paraId="2B208C2B">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B4ADA">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rFonts w:hint="eastAsia"/>
        <w:lang w:val="zh-CN"/>
      </w:rPr>
      <w:t>余杭区政府采购公开招标文件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DB302">
    <w:pPr>
      <w:pStyle w:val="40"/>
      <w:rPr>
        <w:rFonts w:ascii="仿宋_GB2312" w:eastAsia="仿宋_GB2312"/>
        <w:b/>
        <w:i/>
        <w:u w:val="single"/>
      </w:rPr>
    </w:pPr>
    <w:r>
      <w:t></w:t>
    </w:r>
    <w:r>
      <w:rPr>
        <w:rFonts w:hint="eastAsia"/>
      </w:rPr>
      <w:t xml:space="preserve">                                                </w:t>
    </w:r>
    <w:r>
      <w:t xml:space="preserve"> </w:t>
    </w:r>
    <w:r>
      <w:rPr>
        <w:rFonts w:hint="eastAsia"/>
        <w:lang w:eastAsia="zh-CN"/>
      </w:rPr>
      <w:t>余杭区政府采购公开招标文件</w:t>
    </w:r>
  </w:p>
  <w:p w14:paraId="1209CAAF">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88147">
    <w:pPr>
      <w:pStyle w:val="40"/>
      <w:jc w:val="right"/>
    </w:pPr>
    <w:r>
      <w:t></w:t>
    </w:r>
    <w:r>
      <w:rPr>
        <w:rFonts w:hint="eastAsia"/>
      </w:rPr>
      <w:t xml:space="preserve">                                                                    </w:t>
    </w:r>
    <w:r>
      <w:rPr>
        <w:rFonts w:hint="eastAsia"/>
        <w:lang w:eastAsia="zh-CN"/>
      </w:rPr>
      <w:t>余杭区政府采购公开招标文件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712D5">
    <w:pPr>
      <w:pStyle w:val="40"/>
      <w:jc w:val="right"/>
      <w:rPr>
        <w:rFonts w:ascii="仿宋_GB2312" w:eastAsia="仿宋_GB2312"/>
        <w:b/>
        <w:i/>
        <w:u w:val="single"/>
      </w:rPr>
    </w:pPr>
    <w:r>
      <w:rPr>
        <w:rFonts w:hint="eastAsia"/>
      </w:rPr>
      <w:t xml:space="preserve">                                  </w:t>
    </w:r>
    <w:r>
      <w:rPr>
        <w:rFonts w:hint="eastAsia"/>
        <w:lang w:eastAsia="zh-CN"/>
      </w:rPr>
      <w:t>余杭区政府采购公开招标文件</w:t>
    </w:r>
  </w:p>
  <w:p w14:paraId="66F89B10">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B8081">
    <w:pPr>
      <w:pStyle w:val="40"/>
      <w:jc w:val="right"/>
    </w:pPr>
    <w:r>
      <w:rPr>
        <w:rFonts w:hint="eastAsia"/>
      </w:rPr>
      <w:t xml:space="preserve">                                                                                                        </w:t>
    </w:r>
    <w:r>
      <w:rPr>
        <w:rFonts w:hint="eastAsia"/>
        <w:lang w:eastAsia="zh-CN"/>
      </w:rPr>
      <w:t>余杭区政府采购公开招标文件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0BAA5">
    <w:pPr>
      <w:pStyle w:val="40"/>
      <w:jc w:val="right"/>
      <w:rPr>
        <w:rFonts w:ascii="仿宋_GB2312" w:eastAsia="仿宋_GB2312"/>
        <w:b/>
        <w:i/>
        <w:iCs/>
        <w:u w:val="single"/>
      </w:rPr>
    </w:pPr>
    <w:r>
      <w:t></w:t>
    </w:r>
    <w:r>
      <w:rPr>
        <w:rFonts w:hint="eastAsia"/>
        <w:lang w:eastAsia="zh-CN"/>
      </w:rPr>
      <w:t>余杭区政府采购公开招标文件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78821">
    <w:pPr>
      <w:pStyle w:val="40"/>
    </w:pPr>
    <w:r>
      <w:t></w:t>
    </w:r>
    <w:r>
      <w:rPr>
        <w:rFonts w:hint="eastAsia"/>
      </w:rPr>
      <w:t xml:space="preserve">                                             </w:t>
    </w:r>
    <w:r>
      <w:rPr>
        <w:rFonts w:hint="eastAsia"/>
        <w:lang w:eastAsia="zh-CN"/>
      </w:rPr>
      <w:t>余杭区政府采购公开招标文件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F7B441"/>
    <w:multiLevelType w:val="multilevel"/>
    <w:tmpl w:val="ABF7B441"/>
    <w:lvl w:ilvl="0" w:tentative="0">
      <w:start w:val="1"/>
      <w:numFmt w:val="decimal"/>
      <w:lvlText w:val="%1."/>
      <w:lvlJc w:val="left"/>
      <w:pPr>
        <w:tabs>
          <w:tab w:val="left" w:pos="312"/>
        </w:tabs>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
    <w:nsid w:val="5B0F5384"/>
    <w:multiLevelType w:val="singleLevel"/>
    <w:tmpl w:val="5B0F5384"/>
    <w:lvl w:ilvl="0" w:tentative="0">
      <w:start w:val="1"/>
      <w:numFmt w:val="decimal"/>
      <w:lvlText w:val="%1."/>
      <w:lvlJc w:val="left"/>
      <w:pPr>
        <w:tabs>
          <w:tab w:val="left" w:pos="420"/>
        </w:tabs>
        <w:ind w:left="845" w:hanging="425"/>
      </w:pPr>
      <w:rPr>
        <w:rFonts w:hint="default"/>
      </w:rPr>
    </w:lvl>
  </w:abstractNum>
  <w:abstractNum w:abstractNumId="2">
    <w:nsid w:val="643F66CA"/>
    <w:multiLevelType w:val="singleLevel"/>
    <w:tmpl w:val="643F66CA"/>
    <w:lvl w:ilvl="0" w:tentative="0">
      <w:start w:val="1"/>
      <w:numFmt w:val="decimal"/>
      <w:suff w:val="nothing"/>
      <w:lvlText w:val="%1．"/>
      <w:lvlJc w:val="left"/>
      <w:pPr>
        <w:ind w:left="0" w:firstLine="400"/>
      </w:pPr>
      <w:rPr>
        <w:rFonts w:hint="default"/>
      </w:rPr>
    </w:lvl>
  </w:abstractNum>
  <w:abstractNum w:abstractNumId="3">
    <w:nsid w:val="643F9109"/>
    <w:multiLevelType w:val="singleLevel"/>
    <w:tmpl w:val="643F9109"/>
    <w:lvl w:ilvl="0" w:tentative="0">
      <w:start w:val="1"/>
      <w:numFmt w:val="decimalEnclosedCircleChinese"/>
      <w:suff w:val="nothing"/>
      <w:lvlText w:val="%1　"/>
      <w:lvlJc w:val="left"/>
      <w:pPr>
        <w:ind w:left="0" w:firstLine="400"/>
      </w:pPr>
      <w:rPr>
        <w:rFonts w:hint="eastAsia"/>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docVars>
    <w:docVar w:name="commondata" w:val="eyJoZGlkIjoiMDEwZmNjOGJlZmNkODgzYmVjZDY3OTc4NGU5ZWQ4NzY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29D"/>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9F7441"/>
    <w:rsid w:val="01B37585"/>
    <w:rsid w:val="01D55165"/>
    <w:rsid w:val="01DF6BF8"/>
    <w:rsid w:val="01EC2C57"/>
    <w:rsid w:val="021755C7"/>
    <w:rsid w:val="024C3F44"/>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930BB8"/>
    <w:rsid w:val="07245D42"/>
    <w:rsid w:val="07264C62"/>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B66E63"/>
    <w:rsid w:val="09C13146"/>
    <w:rsid w:val="09E04166"/>
    <w:rsid w:val="0A1C0718"/>
    <w:rsid w:val="0A3E7710"/>
    <w:rsid w:val="0A5B7E63"/>
    <w:rsid w:val="0AA374A5"/>
    <w:rsid w:val="0AAB7649"/>
    <w:rsid w:val="0ABC5606"/>
    <w:rsid w:val="0ADD2F10"/>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43D91"/>
    <w:rsid w:val="0D4A7419"/>
    <w:rsid w:val="0D827401"/>
    <w:rsid w:val="0D84094E"/>
    <w:rsid w:val="0D8A00E9"/>
    <w:rsid w:val="0D8D589E"/>
    <w:rsid w:val="0D9D3DB7"/>
    <w:rsid w:val="0DA01C73"/>
    <w:rsid w:val="0DD63300"/>
    <w:rsid w:val="0DF50604"/>
    <w:rsid w:val="0DF702FE"/>
    <w:rsid w:val="0E060E51"/>
    <w:rsid w:val="0E5604B2"/>
    <w:rsid w:val="0E6D5D79"/>
    <w:rsid w:val="0E9D0089"/>
    <w:rsid w:val="0EB803EE"/>
    <w:rsid w:val="0EDB472B"/>
    <w:rsid w:val="0EF94D4B"/>
    <w:rsid w:val="0F267BBE"/>
    <w:rsid w:val="0F4958DC"/>
    <w:rsid w:val="0F515DF7"/>
    <w:rsid w:val="0F596BA8"/>
    <w:rsid w:val="0F5D63CD"/>
    <w:rsid w:val="0F6248D2"/>
    <w:rsid w:val="0F693536"/>
    <w:rsid w:val="0F7B0511"/>
    <w:rsid w:val="0F7B76D9"/>
    <w:rsid w:val="0F816ACD"/>
    <w:rsid w:val="0F9832DB"/>
    <w:rsid w:val="0FBF3FD2"/>
    <w:rsid w:val="0FBF7FF3"/>
    <w:rsid w:val="0FDC7B96"/>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2DD0481"/>
    <w:rsid w:val="13072A44"/>
    <w:rsid w:val="135F4BE2"/>
    <w:rsid w:val="139B1A0A"/>
    <w:rsid w:val="139D25C7"/>
    <w:rsid w:val="13BF3CE4"/>
    <w:rsid w:val="141008D8"/>
    <w:rsid w:val="14125FE6"/>
    <w:rsid w:val="14620B4B"/>
    <w:rsid w:val="146D271E"/>
    <w:rsid w:val="14982588"/>
    <w:rsid w:val="149A5AD9"/>
    <w:rsid w:val="14A7619D"/>
    <w:rsid w:val="14D63518"/>
    <w:rsid w:val="150536C3"/>
    <w:rsid w:val="150C1963"/>
    <w:rsid w:val="151447A0"/>
    <w:rsid w:val="154A6454"/>
    <w:rsid w:val="15762120"/>
    <w:rsid w:val="15A439B7"/>
    <w:rsid w:val="16A8729C"/>
    <w:rsid w:val="16B33777"/>
    <w:rsid w:val="16BC70A7"/>
    <w:rsid w:val="16C6339E"/>
    <w:rsid w:val="171306A2"/>
    <w:rsid w:val="172F2D79"/>
    <w:rsid w:val="1754446E"/>
    <w:rsid w:val="17557BEF"/>
    <w:rsid w:val="17D349C1"/>
    <w:rsid w:val="17FF48A3"/>
    <w:rsid w:val="18244F26"/>
    <w:rsid w:val="1830729E"/>
    <w:rsid w:val="1870062C"/>
    <w:rsid w:val="18817102"/>
    <w:rsid w:val="18830A15"/>
    <w:rsid w:val="18852B28"/>
    <w:rsid w:val="188B5321"/>
    <w:rsid w:val="18B369CF"/>
    <w:rsid w:val="18CC6513"/>
    <w:rsid w:val="18EE5C07"/>
    <w:rsid w:val="19932372"/>
    <w:rsid w:val="19A20DD5"/>
    <w:rsid w:val="19AE03F1"/>
    <w:rsid w:val="19C15C39"/>
    <w:rsid w:val="1A071A03"/>
    <w:rsid w:val="1A1F16AE"/>
    <w:rsid w:val="1A2938DA"/>
    <w:rsid w:val="1A3B5C77"/>
    <w:rsid w:val="1A8D0483"/>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CA0FCC"/>
    <w:rsid w:val="1DF51A98"/>
    <w:rsid w:val="1E051CD9"/>
    <w:rsid w:val="1E3D060F"/>
    <w:rsid w:val="1E3F7D2E"/>
    <w:rsid w:val="1E4134E4"/>
    <w:rsid w:val="1E5062B3"/>
    <w:rsid w:val="1E523514"/>
    <w:rsid w:val="1E711450"/>
    <w:rsid w:val="1E714A66"/>
    <w:rsid w:val="1E802593"/>
    <w:rsid w:val="1E8B6156"/>
    <w:rsid w:val="1EA703CC"/>
    <w:rsid w:val="1EB7330C"/>
    <w:rsid w:val="1F0A0FF3"/>
    <w:rsid w:val="1F5771FF"/>
    <w:rsid w:val="1FD52574"/>
    <w:rsid w:val="1FE868A9"/>
    <w:rsid w:val="20034907"/>
    <w:rsid w:val="20173E4B"/>
    <w:rsid w:val="204E48BC"/>
    <w:rsid w:val="20842EB5"/>
    <w:rsid w:val="2084756F"/>
    <w:rsid w:val="208921B3"/>
    <w:rsid w:val="20973DEB"/>
    <w:rsid w:val="20B26522"/>
    <w:rsid w:val="20B44310"/>
    <w:rsid w:val="20F1079B"/>
    <w:rsid w:val="211116EB"/>
    <w:rsid w:val="216133FC"/>
    <w:rsid w:val="21CD1460"/>
    <w:rsid w:val="21D56769"/>
    <w:rsid w:val="21E52EF3"/>
    <w:rsid w:val="21FB5D7B"/>
    <w:rsid w:val="22015E94"/>
    <w:rsid w:val="220B1C3D"/>
    <w:rsid w:val="221D1D20"/>
    <w:rsid w:val="22334A87"/>
    <w:rsid w:val="22721109"/>
    <w:rsid w:val="22BE6801"/>
    <w:rsid w:val="233500BF"/>
    <w:rsid w:val="23377FF7"/>
    <w:rsid w:val="236B425F"/>
    <w:rsid w:val="23836192"/>
    <w:rsid w:val="23901F29"/>
    <w:rsid w:val="239C0061"/>
    <w:rsid w:val="23B908A4"/>
    <w:rsid w:val="23E95BEF"/>
    <w:rsid w:val="23FD0064"/>
    <w:rsid w:val="24396E36"/>
    <w:rsid w:val="245375B0"/>
    <w:rsid w:val="24642C0A"/>
    <w:rsid w:val="24B22173"/>
    <w:rsid w:val="24B95AD9"/>
    <w:rsid w:val="24BE24DA"/>
    <w:rsid w:val="24CF5825"/>
    <w:rsid w:val="24D663E6"/>
    <w:rsid w:val="24D77F2B"/>
    <w:rsid w:val="25506360"/>
    <w:rsid w:val="258B00E2"/>
    <w:rsid w:val="259D2BCF"/>
    <w:rsid w:val="25A917A6"/>
    <w:rsid w:val="25BE27CC"/>
    <w:rsid w:val="25F74A5C"/>
    <w:rsid w:val="2628662C"/>
    <w:rsid w:val="262D45DE"/>
    <w:rsid w:val="26871DC8"/>
    <w:rsid w:val="26A53EF9"/>
    <w:rsid w:val="26A94201"/>
    <w:rsid w:val="26AC274F"/>
    <w:rsid w:val="27044A29"/>
    <w:rsid w:val="271D34C8"/>
    <w:rsid w:val="276142BF"/>
    <w:rsid w:val="27783712"/>
    <w:rsid w:val="27907362"/>
    <w:rsid w:val="27EB3C28"/>
    <w:rsid w:val="2806431B"/>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BF346BB"/>
    <w:rsid w:val="2C09049E"/>
    <w:rsid w:val="2C0A653C"/>
    <w:rsid w:val="2C191F85"/>
    <w:rsid w:val="2C9930F3"/>
    <w:rsid w:val="2CE82D6F"/>
    <w:rsid w:val="2D343236"/>
    <w:rsid w:val="2D575011"/>
    <w:rsid w:val="2D7B2C21"/>
    <w:rsid w:val="2DD15014"/>
    <w:rsid w:val="2DF72DE4"/>
    <w:rsid w:val="2E0220AF"/>
    <w:rsid w:val="2E4B082A"/>
    <w:rsid w:val="2E5478F5"/>
    <w:rsid w:val="2E5D4E86"/>
    <w:rsid w:val="2E5D790B"/>
    <w:rsid w:val="2E9A3C18"/>
    <w:rsid w:val="2EBB0FEE"/>
    <w:rsid w:val="2EC63002"/>
    <w:rsid w:val="2F0A6B38"/>
    <w:rsid w:val="2F5F72A3"/>
    <w:rsid w:val="2F946CCB"/>
    <w:rsid w:val="2FD25781"/>
    <w:rsid w:val="2FDC745C"/>
    <w:rsid w:val="2FF57DEA"/>
    <w:rsid w:val="2FFD7934"/>
    <w:rsid w:val="30425274"/>
    <w:rsid w:val="30733ACD"/>
    <w:rsid w:val="308C3862"/>
    <w:rsid w:val="309379D8"/>
    <w:rsid w:val="30A270F7"/>
    <w:rsid w:val="30DF1478"/>
    <w:rsid w:val="30EC586F"/>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5D15DF"/>
    <w:rsid w:val="38BC0149"/>
    <w:rsid w:val="38D87D1C"/>
    <w:rsid w:val="38E65AE8"/>
    <w:rsid w:val="39636459"/>
    <w:rsid w:val="396B7F6C"/>
    <w:rsid w:val="39B417A9"/>
    <w:rsid w:val="39CF2452"/>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781A39"/>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EE651E8"/>
    <w:rsid w:val="3F060E16"/>
    <w:rsid w:val="3F1409C4"/>
    <w:rsid w:val="3F1D1096"/>
    <w:rsid w:val="3F2F0234"/>
    <w:rsid w:val="3F6363FE"/>
    <w:rsid w:val="3F756B8F"/>
    <w:rsid w:val="3F95482B"/>
    <w:rsid w:val="3FB63A24"/>
    <w:rsid w:val="4019356B"/>
    <w:rsid w:val="40592157"/>
    <w:rsid w:val="406E1CAE"/>
    <w:rsid w:val="40A0133A"/>
    <w:rsid w:val="40B05AAD"/>
    <w:rsid w:val="40C31A53"/>
    <w:rsid w:val="40FF545D"/>
    <w:rsid w:val="410067C8"/>
    <w:rsid w:val="411B7333"/>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30B26"/>
    <w:rsid w:val="45C63B94"/>
    <w:rsid w:val="460E7DA5"/>
    <w:rsid w:val="46422483"/>
    <w:rsid w:val="4659254A"/>
    <w:rsid w:val="465B0637"/>
    <w:rsid w:val="465E3F0D"/>
    <w:rsid w:val="466A16E6"/>
    <w:rsid w:val="46893F2B"/>
    <w:rsid w:val="46C4686E"/>
    <w:rsid w:val="477B778F"/>
    <w:rsid w:val="478203EC"/>
    <w:rsid w:val="47A3636C"/>
    <w:rsid w:val="47B025FA"/>
    <w:rsid w:val="47FA538C"/>
    <w:rsid w:val="4809698F"/>
    <w:rsid w:val="4811697D"/>
    <w:rsid w:val="48334953"/>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7A6305"/>
    <w:rsid w:val="4D905305"/>
    <w:rsid w:val="4D964A72"/>
    <w:rsid w:val="4D9C1254"/>
    <w:rsid w:val="4E1970E8"/>
    <w:rsid w:val="4E793892"/>
    <w:rsid w:val="4E800872"/>
    <w:rsid w:val="4EC569ED"/>
    <w:rsid w:val="4ED50EA1"/>
    <w:rsid w:val="4EEC050C"/>
    <w:rsid w:val="4F104EC3"/>
    <w:rsid w:val="4F47354A"/>
    <w:rsid w:val="4F911C54"/>
    <w:rsid w:val="4FC1669B"/>
    <w:rsid w:val="4FE625E0"/>
    <w:rsid w:val="5021480F"/>
    <w:rsid w:val="502B6873"/>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1D1333E"/>
    <w:rsid w:val="522E4CC3"/>
    <w:rsid w:val="5244713B"/>
    <w:rsid w:val="52615633"/>
    <w:rsid w:val="526F4DE4"/>
    <w:rsid w:val="52977FD4"/>
    <w:rsid w:val="52A25790"/>
    <w:rsid w:val="52A96B6F"/>
    <w:rsid w:val="52B45975"/>
    <w:rsid w:val="52D94AA4"/>
    <w:rsid w:val="52EA3A62"/>
    <w:rsid w:val="52F50BB8"/>
    <w:rsid w:val="53097272"/>
    <w:rsid w:val="530D4DE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69539AF"/>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917D2F"/>
    <w:rsid w:val="5894085C"/>
    <w:rsid w:val="58A734ED"/>
    <w:rsid w:val="58AE4F0C"/>
    <w:rsid w:val="58B85899"/>
    <w:rsid w:val="58E363A9"/>
    <w:rsid w:val="59166304"/>
    <w:rsid w:val="595E1678"/>
    <w:rsid w:val="596D5BD4"/>
    <w:rsid w:val="597E3DD8"/>
    <w:rsid w:val="59C04B5B"/>
    <w:rsid w:val="59F80043"/>
    <w:rsid w:val="5A09252F"/>
    <w:rsid w:val="5A0B2778"/>
    <w:rsid w:val="5A2A7C7B"/>
    <w:rsid w:val="5A3E2560"/>
    <w:rsid w:val="5A5D3B6E"/>
    <w:rsid w:val="5A637A76"/>
    <w:rsid w:val="5A6D33BA"/>
    <w:rsid w:val="5A792B1F"/>
    <w:rsid w:val="5A874767"/>
    <w:rsid w:val="5AA85BE2"/>
    <w:rsid w:val="5AAD6F28"/>
    <w:rsid w:val="5AD63A24"/>
    <w:rsid w:val="5B2E1A1D"/>
    <w:rsid w:val="5B843A1C"/>
    <w:rsid w:val="5B873E3F"/>
    <w:rsid w:val="5BE47FF0"/>
    <w:rsid w:val="5C02690E"/>
    <w:rsid w:val="5C196DA7"/>
    <w:rsid w:val="5C2A048C"/>
    <w:rsid w:val="5C80234E"/>
    <w:rsid w:val="5C8A680C"/>
    <w:rsid w:val="5D0C4701"/>
    <w:rsid w:val="5D0F0395"/>
    <w:rsid w:val="5D221076"/>
    <w:rsid w:val="5D397964"/>
    <w:rsid w:val="5D5A391C"/>
    <w:rsid w:val="5D5F10C0"/>
    <w:rsid w:val="5D7C0443"/>
    <w:rsid w:val="5D891B7B"/>
    <w:rsid w:val="5DAD38EE"/>
    <w:rsid w:val="5DCD5607"/>
    <w:rsid w:val="5E006862"/>
    <w:rsid w:val="5E0207B9"/>
    <w:rsid w:val="5E1834A1"/>
    <w:rsid w:val="5E261785"/>
    <w:rsid w:val="5E4A7017"/>
    <w:rsid w:val="5E552BBA"/>
    <w:rsid w:val="5E611C10"/>
    <w:rsid w:val="5E6A4100"/>
    <w:rsid w:val="5E7A0F3F"/>
    <w:rsid w:val="5EC81B1E"/>
    <w:rsid w:val="5EFC7377"/>
    <w:rsid w:val="5F06174D"/>
    <w:rsid w:val="5F3A3602"/>
    <w:rsid w:val="5F45733B"/>
    <w:rsid w:val="5F6277C6"/>
    <w:rsid w:val="5F6D0B1D"/>
    <w:rsid w:val="5F8D0B82"/>
    <w:rsid w:val="5F9761AC"/>
    <w:rsid w:val="5FA45AB0"/>
    <w:rsid w:val="5FCC5339"/>
    <w:rsid w:val="5FE34A5B"/>
    <w:rsid w:val="5FFE1E36"/>
    <w:rsid w:val="60232584"/>
    <w:rsid w:val="607330CE"/>
    <w:rsid w:val="60825176"/>
    <w:rsid w:val="609F2AC4"/>
    <w:rsid w:val="60BD39C0"/>
    <w:rsid w:val="60DD71C0"/>
    <w:rsid w:val="60E5393A"/>
    <w:rsid w:val="60FA2EE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496080"/>
    <w:rsid w:val="6487366D"/>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8F139F7"/>
    <w:rsid w:val="693E15D3"/>
    <w:rsid w:val="69627681"/>
    <w:rsid w:val="6977531D"/>
    <w:rsid w:val="69CC2BFF"/>
    <w:rsid w:val="69FD55B8"/>
    <w:rsid w:val="6A0B1C62"/>
    <w:rsid w:val="6A2406C8"/>
    <w:rsid w:val="6ADE0BD1"/>
    <w:rsid w:val="6AE96859"/>
    <w:rsid w:val="6B147746"/>
    <w:rsid w:val="6B24787C"/>
    <w:rsid w:val="6B573233"/>
    <w:rsid w:val="6B5B6274"/>
    <w:rsid w:val="6B935D53"/>
    <w:rsid w:val="6B996D63"/>
    <w:rsid w:val="6BD46244"/>
    <w:rsid w:val="6C196F71"/>
    <w:rsid w:val="6C226FCB"/>
    <w:rsid w:val="6C31226F"/>
    <w:rsid w:val="6C552F0B"/>
    <w:rsid w:val="6C8C67B7"/>
    <w:rsid w:val="6C9D744C"/>
    <w:rsid w:val="6CB33FE0"/>
    <w:rsid w:val="6D167928"/>
    <w:rsid w:val="6D26299B"/>
    <w:rsid w:val="6D4772EC"/>
    <w:rsid w:val="6D9078AF"/>
    <w:rsid w:val="6DAA3FEF"/>
    <w:rsid w:val="6DC0172B"/>
    <w:rsid w:val="6DCB690C"/>
    <w:rsid w:val="6DD41A5B"/>
    <w:rsid w:val="6DE37B9E"/>
    <w:rsid w:val="6DF43C2E"/>
    <w:rsid w:val="6DF51CA3"/>
    <w:rsid w:val="6E8335BD"/>
    <w:rsid w:val="6E8E12EF"/>
    <w:rsid w:val="6E972936"/>
    <w:rsid w:val="6ED446C5"/>
    <w:rsid w:val="6F043FEC"/>
    <w:rsid w:val="6F2A7D94"/>
    <w:rsid w:val="6F6A0467"/>
    <w:rsid w:val="6F8331F1"/>
    <w:rsid w:val="6F8A3A57"/>
    <w:rsid w:val="6FAE1A09"/>
    <w:rsid w:val="6FD75BF8"/>
    <w:rsid w:val="6FF35B4B"/>
    <w:rsid w:val="707723D0"/>
    <w:rsid w:val="70F5661B"/>
    <w:rsid w:val="71360107"/>
    <w:rsid w:val="713B688E"/>
    <w:rsid w:val="71AE1E81"/>
    <w:rsid w:val="71D43752"/>
    <w:rsid w:val="71F1796A"/>
    <w:rsid w:val="72154626"/>
    <w:rsid w:val="72262B5D"/>
    <w:rsid w:val="72283FF7"/>
    <w:rsid w:val="722E7212"/>
    <w:rsid w:val="723A0474"/>
    <w:rsid w:val="725923E4"/>
    <w:rsid w:val="72864BF7"/>
    <w:rsid w:val="729023FC"/>
    <w:rsid w:val="72B96D66"/>
    <w:rsid w:val="73C0646E"/>
    <w:rsid w:val="742222F5"/>
    <w:rsid w:val="74476126"/>
    <w:rsid w:val="74706664"/>
    <w:rsid w:val="747F3682"/>
    <w:rsid w:val="748A2D54"/>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BB2FC6"/>
    <w:rsid w:val="78C369CA"/>
    <w:rsid w:val="78E172CC"/>
    <w:rsid w:val="78EA1D1F"/>
    <w:rsid w:val="7904172F"/>
    <w:rsid w:val="790F7E27"/>
    <w:rsid w:val="792A231A"/>
    <w:rsid w:val="79316829"/>
    <w:rsid w:val="794C7D62"/>
    <w:rsid w:val="797A714D"/>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980BFC"/>
    <w:rsid w:val="7BEE0103"/>
    <w:rsid w:val="7C0A0FE4"/>
    <w:rsid w:val="7C254906"/>
    <w:rsid w:val="7C590818"/>
    <w:rsid w:val="7C7C10F6"/>
    <w:rsid w:val="7C853BEA"/>
    <w:rsid w:val="7C881368"/>
    <w:rsid w:val="7CD50BCE"/>
    <w:rsid w:val="7CE27788"/>
    <w:rsid w:val="7D015090"/>
    <w:rsid w:val="7D0C32F1"/>
    <w:rsid w:val="7D0F408D"/>
    <w:rsid w:val="7D491C6C"/>
    <w:rsid w:val="7D5429C0"/>
    <w:rsid w:val="7D6E6D43"/>
    <w:rsid w:val="7D823547"/>
    <w:rsid w:val="7DA96C7A"/>
    <w:rsid w:val="7DB57A34"/>
    <w:rsid w:val="7DDE686D"/>
    <w:rsid w:val="7DE60973"/>
    <w:rsid w:val="7DEF0916"/>
    <w:rsid w:val="7E1E5218"/>
    <w:rsid w:val="7E9A4E1F"/>
    <w:rsid w:val="7EA7723A"/>
    <w:rsid w:val="7EF56FBB"/>
    <w:rsid w:val="7F0768EB"/>
    <w:rsid w:val="7F143BEC"/>
    <w:rsid w:val="7F3E2D39"/>
    <w:rsid w:val="7F715AF2"/>
    <w:rsid w:val="7F886E69"/>
    <w:rsid w:val="BB7FA927"/>
    <w:rsid w:val="F5FFD31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97"/>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3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807"/>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67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819"/>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864"/>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707"/>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link w:val="70"/>
    <w:unhideWhenUsed/>
    <w:qFormat/>
    <w:uiPriority w:val="1"/>
    <w:rPr>
      <w:rFonts w:ascii="仿宋_GB2312" w:eastAsia="仿宋_GB2312"/>
      <w:b/>
      <w:sz w:val="32"/>
      <w:szCs w:val="32"/>
    </w:rPr>
  </w:style>
  <w:style w:type="table" w:default="1" w:styleId="62">
    <w:name w:val="Normal Table"/>
    <w:unhideWhenUsed/>
    <w:qFormat/>
    <w:uiPriority w:val="99"/>
    <w:tblPr>
      <w:tblCellMar>
        <w:top w:w="0" w:type="dxa"/>
        <w:left w:w="108" w:type="dxa"/>
        <w:bottom w:w="0" w:type="dxa"/>
        <w:right w:w="108" w:type="dxa"/>
      </w:tblCellMar>
    </w:tblPr>
  </w:style>
  <w:style w:type="paragraph" w:styleId="5">
    <w:name w:val="Normal Indent"/>
    <w:basedOn w:val="1"/>
    <w:link w:val="717"/>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74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724"/>
    <w:qFormat/>
    <w:uiPriority w:val="0"/>
    <w:pPr>
      <w:shd w:val="clear" w:color="auto" w:fill="000080"/>
    </w:pPr>
  </w:style>
  <w:style w:type="paragraph" w:styleId="19">
    <w:name w:val="annotation text"/>
    <w:basedOn w:val="1"/>
    <w:link w:val="852"/>
    <w:qFormat/>
    <w:uiPriority w:val="99"/>
    <w:pPr>
      <w:jc w:val="left"/>
    </w:pPr>
  </w:style>
  <w:style w:type="paragraph" w:styleId="20">
    <w:name w:val="Salutation"/>
    <w:basedOn w:val="1"/>
    <w:next w:val="1"/>
    <w:link w:val="812"/>
    <w:qFormat/>
    <w:uiPriority w:val="0"/>
    <w:rPr>
      <w:rFonts w:ascii="仿宋_GB2312" w:eastAsia="仿宋_GB2312"/>
      <w:sz w:val="28"/>
      <w:szCs w:val="20"/>
    </w:rPr>
  </w:style>
  <w:style w:type="paragraph" w:styleId="21">
    <w:name w:val="Body Text 3"/>
    <w:basedOn w:val="1"/>
    <w:link w:val="840"/>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link w:val="929"/>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780"/>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741"/>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65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706"/>
    <w:qFormat/>
    <w:uiPriority w:val="0"/>
    <w:pPr>
      <w:ind w:left="100" w:leftChars="2500"/>
    </w:pPr>
    <w:rPr>
      <w:rFonts w:ascii="宋体"/>
      <w:sz w:val="24"/>
      <w:szCs w:val="21"/>
      <w:lang w:val="zh-CN"/>
    </w:rPr>
  </w:style>
  <w:style w:type="paragraph" w:styleId="36">
    <w:name w:val="Body Text Indent 2"/>
    <w:basedOn w:val="1"/>
    <w:link w:val="820"/>
    <w:qFormat/>
    <w:uiPriority w:val="0"/>
    <w:pPr>
      <w:spacing w:line="360" w:lineRule="auto"/>
      <w:ind w:firstLine="601"/>
      <w:textAlignment w:val="baseline"/>
    </w:pPr>
    <w:rPr>
      <w:rFonts w:ascii="宋体"/>
      <w:kern w:val="0"/>
      <w:sz w:val="28"/>
      <w:szCs w:val="20"/>
    </w:rPr>
  </w:style>
  <w:style w:type="paragraph" w:styleId="37">
    <w:name w:val="endnote text"/>
    <w:basedOn w:val="1"/>
    <w:link w:val="937"/>
    <w:qFormat/>
    <w:uiPriority w:val="0"/>
    <w:rPr>
      <w:lang w:val="zh-CN"/>
    </w:rPr>
  </w:style>
  <w:style w:type="paragraph" w:styleId="38">
    <w:name w:val="Balloon Text"/>
    <w:basedOn w:val="1"/>
    <w:link w:val="713"/>
    <w:qFormat/>
    <w:uiPriority w:val="0"/>
    <w:rPr>
      <w:sz w:val="18"/>
      <w:szCs w:val="18"/>
    </w:rPr>
  </w:style>
  <w:style w:type="paragraph" w:styleId="39">
    <w:name w:val="footer"/>
    <w:basedOn w:val="1"/>
    <w:link w:val="888"/>
    <w:qFormat/>
    <w:uiPriority w:val="99"/>
    <w:pPr>
      <w:tabs>
        <w:tab w:val="center" w:pos="4153"/>
        <w:tab w:val="right" w:pos="8306"/>
      </w:tabs>
      <w:snapToGrid w:val="0"/>
      <w:jc w:val="left"/>
    </w:pPr>
    <w:rPr>
      <w:sz w:val="18"/>
      <w:szCs w:val="18"/>
    </w:rPr>
  </w:style>
  <w:style w:type="paragraph" w:styleId="40">
    <w:name w:val="header"/>
    <w:basedOn w:val="1"/>
    <w:link w:val="896"/>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85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66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822"/>
    <w:qFormat/>
    <w:uiPriority w:val="0"/>
    <w:pPr>
      <w:adjustRightInd/>
      <w:snapToGrid/>
      <w:spacing w:before="60" w:after="60" w:line="300" w:lineRule="exact"/>
      <w:ind w:firstLine="0"/>
    </w:pPr>
    <w:rPr>
      <w:rFonts w:ascii="Calibri"/>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881"/>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816"/>
    <w:qFormat/>
    <w:uiPriority w:val="0"/>
    <w:pPr>
      <w:spacing w:after="120" w:line="480" w:lineRule="auto"/>
    </w:pPr>
  </w:style>
  <w:style w:type="paragraph" w:styleId="56">
    <w:name w:val="HTML Preformatted"/>
    <w:basedOn w:val="1"/>
    <w:link w:val="81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800"/>
    <w:qFormat/>
    <w:uiPriority w:val="10"/>
    <w:pPr>
      <w:widowControl/>
      <w:overflowPunct w:val="0"/>
      <w:autoSpaceDE w:val="0"/>
      <w:autoSpaceDN w:val="0"/>
      <w:jc w:val="center"/>
      <w:textAlignment w:val="baseline"/>
    </w:pPr>
    <w:rPr>
      <w:b/>
      <w:kern w:val="0"/>
      <w:sz w:val="24"/>
      <w:szCs w:val="20"/>
    </w:rPr>
  </w:style>
  <w:style w:type="paragraph" w:styleId="59">
    <w:name w:val="annotation subject"/>
    <w:basedOn w:val="19"/>
    <w:next w:val="19"/>
    <w:link w:val="629"/>
    <w:qFormat/>
    <w:uiPriority w:val="0"/>
    <w:rPr>
      <w:b/>
      <w:bCs/>
    </w:rPr>
  </w:style>
  <w:style w:type="paragraph" w:styleId="60">
    <w:name w:val="Body Text First Indent"/>
    <w:basedOn w:val="23"/>
    <w:link w:val="831"/>
    <w:qFormat/>
    <w:uiPriority w:val="0"/>
    <w:pPr>
      <w:ind w:firstLine="420"/>
    </w:pPr>
    <w:rPr>
      <w:rFonts w:hAnsi="Calibri" w:cs="Times New Roman"/>
      <w:szCs w:val="20"/>
    </w:rPr>
  </w:style>
  <w:style w:type="paragraph" w:styleId="61">
    <w:name w:val="Body Text First Indent 2"/>
    <w:basedOn w:val="24"/>
    <w:link w:val="652"/>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paragraph" w:customStyle="1" w:styleId="70">
    <w:name w:val="Char1"/>
    <w:basedOn w:val="1"/>
    <w:link w:val="69"/>
    <w:qFormat/>
    <w:uiPriority w:val="0"/>
    <w:rPr>
      <w:rFonts w:ascii="仿宋_GB2312" w:eastAsia="仿宋_GB2312"/>
      <w:b/>
      <w:sz w:val="32"/>
      <w:szCs w:val="32"/>
    </w:r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69"/>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69"/>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表格非标题文字"/>
    <w:link w:val="618"/>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81">
    <w:name w:val="*正文"/>
    <w:basedOn w:val="1"/>
    <w:link w:val="619"/>
    <w:qFormat/>
    <w:uiPriority w:val="0"/>
    <w:pPr>
      <w:snapToGrid w:val="0"/>
      <w:spacing w:line="360" w:lineRule="auto"/>
      <w:ind w:firstLine="482"/>
      <w:jc w:val="left"/>
    </w:pPr>
    <w:rPr>
      <w:rFonts w:ascii="宋体" w:hAnsi="宋体"/>
      <w:kern w:val="0"/>
      <w:sz w:val="24"/>
      <w:szCs w:val="20"/>
    </w:rPr>
  </w:style>
  <w:style w:type="paragraph" w:customStyle="1" w:styleId="82">
    <w:name w:val="U_正文"/>
    <w:basedOn w:val="1"/>
    <w:link w:val="627"/>
    <w:qFormat/>
    <w:uiPriority w:val="0"/>
    <w:pPr>
      <w:adjustRightInd/>
      <w:spacing w:beforeLines="20" w:afterLines="20" w:line="300" w:lineRule="auto"/>
      <w:ind w:firstLine="200" w:firstLineChars="200"/>
    </w:pPr>
    <w:rPr>
      <w:kern w:val="0"/>
      <w:sz w:val="24"/>
    </w:rPr>
  </w:style>
  <w:style w:type="paragraph" w:customStyle="1" w:styleId="83">
    <w:name w:val="哈哈正文"/>
    <w:basedOn w:val="1"/>
    <w:link w:val="634"/>
    <w:qFormat/>
    <w:uiPriority w:val="0"/>
    <w:pPr>
      <w:adjustRightInd/>
      <w:spacing w:line="360" w:lineRule="auto"/>
      <w:ind w:firstLine="200" w:firstLineChars="200"/>
    </w:pPr>
    <w:rPr>
      <w:rFonts w:ascii="宋体" w:hAnsi="宋体"/>
      <w:sz w:val="24"/>
      <w:szCs w:val="20"/>
    </w:rPr>
  </w:style>
  <w:style w:type="paragraph" w:customStyle="1" w:styleId="84">
    <w:name w:val="5正文"/>
    <w:basedOn w:val="1"/>
    <w:link w:val="647"/>
    <w:qFormat/>
    <w:uiPriority w:val="0"/>
    <w:pPr>
      <w:adjustRightInd/>
      <w:spacing w:line="360" w:lineRule="auto"/>
      <w:ind w:firstLine="566" w:firstLineChars="202"/>
      <w:jc w:val="left"/>
    </w:pPr>
    <w:rPr>
      <w:rFonts w:ascii="仿宋_GB2312" w:hAnsi="微软雅黑" w:eastAsia="仿宋_GB2312"/>
      <w:kern w:val="0"/>
      <w:sz w:val="28"/>
      <w:szCs w:val="21"/>
    </w:rPr>
  </w:style>
  <w:style w:type="paragraph" w:customStyle="1" w:styleId="85">
    <w:name w:val="正文2"/>
    <w:basedOn w:val="1"/>
    <w:link w:val="661"/>
    <w:qFormat/>
    <w:uiPriority w:val="0"/>
    <w:pPr>
      <w:spacing w:before="156" w:line="360" w:lineRule="auto"/>
      <w:ind w:firstLine="510" w:firstLineChars="200"/>
    </w:pPr>
    <w:rPr>
      <w:sz w:val="24"/>
      <w:szCs w:val="20"/>
    </w:rPr>
  </w:style>
  <w:style w:type="paragraph" w:customStyle="1" w:styleId="86">
    <w:name w:val="无间隔1"/>
    <w:link w:val="669"/>
    <w:qFormat/>
    <w:uiPriority w:val="1"/>
    <w:rPr>
      <w:rFonts w:ascii="Times New Roman" w:hAnsi="Times New Roman" w:eastAsia="宋体" w:cs="Times New Roman"/>
      <w:sz w:val="22"/>
      <w:szCs w:val="22"/>
      <w:lang w:val="en-US" w:eastAsia="zh-CN" w:bidi="ar-SA"/>
    </w:rPr>
  </w:style>
  <w:style w:type="paragraph" w:customStyle="1" w:styleId="87">
    <w:name w:val="纯文本_0_0"/>
    <w:basedOn w:val="88"/>
    <w:link w:val="677"/>
    <w:qFormat/>
    <w:uiPriority w:val="0"/>
    <w:rPr>
      <w:rFonts w:ascii="宋体" w:hAnsi="Courier New"/>
      <w:szCs w:val="21"/>
    </w:rPr>
  </w:style>
  <w:style w:type="paragraph" w:customStyle="1" w:styleId="8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9">
    <w:name w:val="正文（绿盟科技）"/>
    <w:link w:val="687"/>
    <w:qFormat/>
    <w:uiPriority w:val="0"/>
    <w:pPr>
      <w:spacing w:line="300" w:lineRule="auto"/>
    </w:pPr>
    <w:rPr>
      <w:rFonts w:ascii="Arial" w:hAnsi="Arial" w:eastAsia="宋体" w:cs="Times New Roman"/>
      <w:sz w:val="21"/>
      <w:szCs w:val="21"/>
      <w:lang w:val="en-US" w:eastAsia="zh-CN" w:bidi="ar-SA"/>
    </w:rPr>
  </w:style>
  <w:style w:type="paragraph" w:customStyle="1" w:styleId="90">
    <w:name w:val="表格名称"/>
    <w:basedOn w:val="3"/>
    <w:link w:val="696"/>
    <w:qFormat/>
    <w:uiPriority w:val="0"/>
    <w:pPr>
      <w:snapToGrid w:val="0"/>
      <w:spacing w:before="240" w:after="240" w:line="240" w:lineRule="auto"/>
      <w:ind w:left="0" w:firstLine="0"/>
      <w:jc w:val="center"/>
    </w:pPr>
    <w:rPr>
      <w:rFonts w:ascii="Calibri" w:hAnsi="Calibri" w:eastAsia="宋体"/>
      <w:b w:val="0"/>
      <w:bCs w:val="0"/>
      <w:kern w:val="0"/>
      <w:szCs w:val="20"/>
    </w:rPr>
  </w:style>
  <w:style w:type="paragraph" w:customStyle="1" w:styleId="91">
    <w:name w:val="my正文"/>
    <w:basedOn w:val="1"/>
    <w:link w:val="716"/>
    <w:qFormat/>
    <w:uiPriority w:val="0"/>
    <w:pPr>
      <w:adjustRightInd/>
      <w:spacing w:line="360" w:lineRule="auto"/>
      <w:ind w:firstLine="480" w:firstLineChars="200"/>
    </w:pPr>
    <w:rPr>
      <w:rFonts w:ascii="Tahoma" w:hAnsi="Tahoma"/>
      <w:kern w:val="0"/>
      <w:sz w:val="24"/>
    </w:rPr>
  </w:style>
  <w:style w:type="paragraph" w:customStyle="1" w:styleId="92">
    <w:name w:val="3级"/>
    <w:basedOn w:val="93"/>
    <w:link w:val="722"/>
    <w:qFormat/>
    <w:uiPriority w:val="0"/>
    <w:pPr>
      <w:ind w:left="0" w:right="466" w:firstLine="288"/>
    </w:pPr>
    <w:rPr>
      <w:rFonts w:hAnsi="宋体"/>
    </w:rPr>
  </w:style>
  <w:style w:type="paragraph" w:customStyle="1" w:styleId="93">
    <w:name w:val="样式 标题 3h33rd level3BOD 0H3l3CTHeading 3 - oldLevel 3 He..."/>
    <w:basedOn w:val="4"/>
    <w:qFormat/>
    <w:uiPriority w:val="99"/>
    <w:pPr>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paragraph" w:customStyle="1" w:styleId="94">
    <w:name w:val="标题4-dyf"/>
    <w:basedOn w:val="6"/>
    <w:link w:val="744"/>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95">
    <w:name w:val="冯"/>
    <w:basedOn w:val="1"/>
    <w:link w:val="746"/>
    <w:qFormat/>
    <w:uiPriority w:val="0"/>
    <w:pPr>
      <w:widowControl/>
      <w:adjustRightInd/>
      <w:spacing w:line="360" w:lineRule="auto"/>
      <w:ind w:firstLine="480" w:firstLineChars="200"/>
    </w:pPr>
    <w:rPr>
      <w:rFonts w:ascii="宋体" w:hAnsi="宋体"/>
      <w:color w:val="000000"/>
      <w:kern w:val="0"/>
      <w:sz w:val="24"/>
    </w:rPr>
  </w:style>
  <w:style w:type="paragraph" w:customStyle="1" w:styleId="96">
    <w:name w:val="Default"/>
    <w:link w:val="75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97">
    <w:name w:val="正文样式"/>
    <w:basedOn w:val="1"/>
    <w:link w:val="764"/>
    <w:qFormat/>
    <w:uiPriority w:val="0"/>
    <w:pPr>
      <w:adjustRightInd/>
      <w:spacing w:line="360" w:lineRule="auto"/>
      <w:ind w:firstLine="480" w:firstLineChars="200"/>
    </w:pPr>
    <w:rPr>
      <w:kern w:val="0"/>
      <w:sz w:val="24"/>
    </w:rPr>
  </w:style>
  <w:style w:type="paragraph" w:customStyle="1" w:styleId="98">
    <w:name w:val="gf正文1"/>
    <w:basedOn w:val="1"/>
    <w:link w:val="770"/>
    <w:qFormat/>
    <w:uiPriority w:val="0"/>
    <w:pPr>
      <w:tabs>
        <w:tab w:val="left" w:pos="3240"/>
        <w:tab w:val="left" w:pos="3960"/>
      </w:tabs>
      <w:snapToGrid w:val="0"/>
      <w:spacing w:line="360" w:lineRule="auto"/>
      <w:ind w:firstLine="480" w:firstLineChars="200"/>
    </w:pPr>
    <w:rPr>
      <w:rFonts w:ascii="宋体" w:hAnsi="宋体"/>
      <w:sz w:val="24"/>
    </w:rPr>
  </w:style>
  <w:style w:type="paragraph" w:customStyle="1" w:styleId="99">
    <w:name w:val="列表1"/>
    <w:basedOn w:val="1"/>
    <w:next w:val="100"/>
    <w:link w:val="773"/>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100">
    <w:name w:val="List Paragraph"/>
    <w:basedOn w:val="1"/>
    <w:qFormat/>
    <w:uiPriority w:val="34"/>
    <w:pPr>
      <w:spacing w:line="360" w:lineRule="auto"/>
      <w:ind w:firstLine="200" w:firstLineChars="200"/>
    </w:pPr>
    <w:rPr>
      <w:rFonts w:eastAsia="楷体_GB2312" w:cs="Lucida Sans"/>
      <w:sz w:val="24"/>
    </w:rPr>
  </w:style>
  <w:style w:type="paragraph" w:customStyle="1" w:styleId="101">
    <w:name w:val="此正文"/>
    <w:basedOn w:val="1"/>
    <w:link w:val="795"/>
    <w:qFormat/>
    <w:uiPriority w:val="0"/>
    <w:pPr>
      <w:adjustRightInd/>
      <w:spacing w:line="360" w:lineRule="auto"/>
      <w:ind w:firstLine="200" w:firstLineChars="200"/>
    </w:pPr>
    <w:rPr>
      <w:sz w:val="24"/>
    </w:rPr>
  </w:style>
  <w:style w:type="paragraph" w:customStyle="1" w:styleId="102">
    <w:name w:val="样式 样式 标题 4h4H4Fab-4T5Ref Heading 1rh1Heading sqlsect 1.2.3.... +..."/>
    <w:basedOn w:val="103"/>
    <w:link w:val="817"/>
    <w:qFormat/>
    <w:uiPriority w:val="0"/>
    <w:pPr>
      <w:tabs>
        <w:tab w:val="left" w:pos="2356"/>
      </w:tabs>
    </w:pPr>
  </w:style>
  <w:style w:type="paragraph" w:customStyle="1" w:styleId="103">
    <w:name w:val="样式 标题 4h4H4Fab-4T5Ref Heading 1rh1Heading sqlsect 1.2.3...."/>
    <w:basedOn w:val="6"/>
    <w:link w:val="914"/>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04">
    <w:name w:val="Item List"/>
    <w:link w:val="82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105">
    <w:name w:val="纯文本1"/>
    <w:basedOn w:val="1"/>
    <w:link w:val="830"/>
    <w:qFormat/>
    <w:uiPriority w:val="0"/>
    <w:pPr>
      <w:adjustRightInd/>
    </w:pPr>
    <w:rPr>
      <w:rFonts w:ascii="宋体" w:hAnsi="Courier New"/>
      <w:kern w:val="0"/>
      <w:sz w:val="20"/>
      <w:szCs w:val="20"/>
    </w:rPr>
  </w:style>
  <w:style w:type="paragraph" w:customStyle="1" w:styleId="106">
    <w:name w:val="正文说明"/>
    <w:basedOn w:val="1"/>
    <w:link w:val="842"/>
    <w:qFormat/>
    <w:uiPriority w:val="0"/>
    <w:pPr>
      <w:adjustRightInd/>
      <w:spacing w:line="360" w:lineRule="auto"/>
    </w:pPr>
    <w:rPr>
      <w:kern w:val="0"/>
      <w:sz w:val="24"/>
    </w:rPr>
  </w:style>
  <w:style w:type="paragraph" w:customStyle="1" w:styleId="107">
    <w:name w:val="Table Text"/>
    <w:basedOn w:val="1"/>
    <w:link w:val="848"/>
    <w:qFormat/>
    <w:uiPriority w:val="0"/>
    <w:pPr>
      <w:widowControl/>
      <w:spacing w:before="60" w:after="60"/>
      <w:jc w:val="left"/>
    </w:pPr>
    <w:rPr>
      <w:kern w:val="0"/>
      <w:sz w:val="24"/>
    </w:rPr>
  </w:style>
  <w:style w:type="paragraph" w:customStyle="1" w:styleId="108">
    <w:name w:val="公文正文"/>
    <w:basedOn w:val="1"/>
    <w:link w:val="860"/>
    <w:qFormat/>
    <w:uiPriority w:val="0"/>
    <w:pPr>
      <w:adjustRightInd/>
      <w:spacing w:before="156" w:line="360" w:lineRule="auto"/>
      <w:ind w:firstLine="360" w:firstLineChars="200"/>
    </w:pPr>
    <w:rPr>
      <w:rFonts w:ascii="仿宋_GB2312" w:eastAsia="仿宋_GB2312"/>
      <w:sz w:val="24"/>
    </w:rPr>
  </w:style>
  <w:style w:type="paragraph" w:customStyle="1" w:styleId="109">
    <w:name w:val="正文（缩进2汉字）"/>
    <w:basedOn w:val="1"/>
    <w:link w:val="86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110">
    <w:name w:val="b11_01b"/>
    <w:basedOn w:val="1"/>
    <w:next w:val="1"/>
    <w:link w:val="885"/>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111">
    <w:name w:val="段落"/>
    <w:basedOn w:val="1"/>
    <w:link w:val="893"/>
    <w:qFormat/>
    <w:uiPriority w:val="0"/>
    <w:pPr>
      <w:adjustRightInd/>
      <w:spacing w:line="360" w:lineRule="auto"/>
      <w:ind w:firstLine="480" w:firstLineChars="200"/>
    </w:pPr>
    <w:rPr>
      <w:rFonts w:ascii="宋体" w:hAnsi="宋体"/>
      <w:kern w:val="0"/>
      <w:sz w:val="24"/>
      <w:szCs w:val="20"/>
    </w:rPr>
  </w:style>
  <w:style w:type="paragraph" w:customStyle="1" w:styleId="112">
    <w:name w:val="正文段"/>
    <w:basedOn w:val="1"/>
    <w:link w:val="900"/>
    <w:qFormat/>
    <w:uiPriority w:val="0"/>
    <w:pPr>
      <w:widowControl/>
      <w:snapToGrid w:val="0"/>
      <w:spacing w:after="156" w:afterLines="50"/>
      <w:ind w:firstLine="200" w:firstLineChars="200"/>
    </w:pPr>
    <w:rPr>
      <w:kern w:val="0"/>
      <w:sz w:val="24"/>
      <w:szCs w:val="20"/>
    </w:rPr>
  </w:style>
  <w:style w:type="paragraph" w:customStyle="1" w:styleId="113">
    <w:name w:val="冯广丽"/>
    <w:basedOn w:val="1"/>
    <w:link w:val="903"/>
    <w:qFormat/>
    <w:uiPriority w:val="0"/>
    <w:pPr>
      <w:adjustRightInd/>
      <w:spacing w:line="360" w:lineRule="auto"/>
      <w:ind w:firstLine="480" w:firstLineChars="200"/>
    </w:pPr>
    <w:rPr>
      <w:rFonts w:ascii="宋体" w:hAnsi="宋体"/>
      <w:sz w:val="24"/>
      <w:szCs w:val="22"/>
    </w:rPr>
  </w:style>
  <w:style w:type="paragraph" w:customStyle="1" w:styleId="114">
    <w:name w:val="编号，小四"/>
    <w:basedOn w:val="1"/>
    <w:link w:val="909"/>
    <w:qFormat/>
    <w:uiPriority w:val="0"/>
    <w:pPr>
      <w:tabs>
        <w:tab w:val="left" w:pos="432"/>
      </w:tabs>
      <w:adjustRightInd/>
      <w:spacing w:line="360" w:lineRule="auto"/>
      <w:ind w:left="432" w:hanging="432"/>
    </w:pPr>
    <w:rPr>
      <w:rFonts w:ascii="Arial" w:hAnsi="Arial"/>
      <w:kern w:val="0"/>
      <w:sz w:val="24"/>
      <w:szCs w:val="20"/>
    </w:rPr>
  </w:style>
  <w:style w:type="paragraph" w:customStyle="1" w:styleId="115">
    <w:name w:val="仿宋正文"/>
    <w:basedOn w:val="1"/>
    <w:link w:val="916"/>
    <w:qFormat/>
    <w:uiPriority w:val="0"/>
    <w:pPr>
      <w:adjustRightInd/>
      <w:spacing w:line="360" w:lineRule="auto"/>
      <w:ind w:firstLine="480" w:firstLineChars="200"/>
    </w:pPr>
    <w:rPr>
      <w:rFonts w:ascii="仿宋_GB2312" w:eastAsia="仿宋_GB2312"/>
      <w:sz w:val="24"/>
      <w:szCs w:val="20"/>
    </w:rPr>
  </w:style>
  <w:style w:type="paragraph" w:customStyle="1" w:styleId="116">
    <w:name w:val="样式 正文缩进 + 首行缩进:  2 字符"/>
    <w:basedOn w:val="5"/>
    <w:link w:val="928"/>
    <w:qFormat/>
    <w:uiPriority w:val="0"/>
    <w:pPr>
      <w:widowControl w:val="0"/>
      <w:adjustRightInd/>
      <w:snapToGrid/>
      <w:spacing w:line="360" w:lineRule="auto"/>
      <w:ind w:firstLine="200" w:firstLineChars="200"/>
    </w:pPr>
    <w:rPr>
      <w:rFonts w:ascii="Calibri"/>
      <w:color w:val="auto"/>
      <w:kern w:val="2"/>
      <w:sz w:val="24"/>
    </w:rPr>
  </w:style>
  <w:style w:type="paragraph" w:customStyle="1" w:styleId="117">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8">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119">
    <w:name w:val="正文文本 221"/>
    <w:basedOn w:val="1"/>
    <w:qFormat/>
    <w:uiPriority w:val="0"/>
    <w:pPr>
      <w:widowControl/>
      <w:overflowPunct w:val="0"/>
      <w:autoSpaceDE w:val="0"/>
      <w:autoSpaceDN w:val="0"/>
      <w:ind w:left="720" w:hanging="720"/>
      <w:textAlignment w:val="baseline"/>
    </w:pPr>
    <w:rPr>
      <w:kern w:val="0"/>
      <w:sz w:val="24"/>
      <w:szCs w:val="20"/>
    </w:rPr>
  </w:style>
  <w:style w:type="paragraph" w:customStyle="1" w:styleId="12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12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12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123">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124">
    <w:name w:val="标题4_自定义"/>
    <w:basedOn w:val="6"/>
    <w:qFormat/>
    <w:uiPriority w:val="0"/>
    <w:pPr>
      <w:adjustRightInd/>
      <w:spacing w:before="0" w:after="0" w:line="360" w:lineRule="auto"/>
    </w:pPr>
    <w:rPr>
      <w:rFonts w:ascii="Verdana" w:eastAsia="Verdana"/>
      <w:sz w:val="21"/>
      <w:lang w:val="en-US"/>
    </w:rPr>
  </w:style>
  <w:style w:type="paragraph" w:customStyle="1" w:styleId="125">
    <w:name w:val="正文 内标 序号标"/>
    <w:basedOn w:val="126"/>
    <w:qFormat/>
    <w:uiPriority w:val="0"/>
    <w:pPr>
      <w:tabs>
        <w:tab w:val="left" w:pos="0"/>
      </w:tabs>
      <w:adjustRightInd/>
      <w:spacing w:before="0"/>
      <w:ind w:firstLine="482"/>
    </w:pPr>
    <w:rPr>
      <w:rFonts w:ascii="微软雅黑" w:hAnsi="微软雅黑"/>
      <w:sz w:val="24"/>
      <w:szCs w:val="24"/>
    </w:rPr>
  </w:style>
  <w:style w:type="paragraph" w:customStyle="1" w:styleId="126">
    <w:name w:val="My正文"/>
    <w:basedOn w:val="1"/>
    <w:qFormat/>
    <w:uiPriority w:val="0"/>
    <w:pPr>
      <w:spacing w:before="120" w:line="360" w:lineRule="auto"/>
      <w:ind w:firstLine="567"/>
    </w:pPr>
    <w:rPr>
      <w:rFonts w:ascii="Arial" w:hAnsi="Arial"/>
      <w:sz w:val="20"/>
      <w:szCs w:val="20"/>
    </w:rPr>
  </w:style>
  <w:style w:type="paragraph" w:customStyle="1" w:styleId="12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128">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129">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30">
    <w:name w:val="修订2"/>
    <w:qFormat/>
    <w:uiPriority w:val="0"/>
    <w:rPr>
      <w:rFonts w:ascii="Times New Roman" w:hAnsi="Times New Roman" w:eastAsia="宋体" w:cs="Times New Roman"/>
      <w:kern w:val="2"/>
      <w:sz w:val="21"/>
      <w:lang w:val="en-US" w:eastAsia="zh-CN" w:bidi="ar-SA"/>
    </w:rPr>
  </w:style>
  <w:style w:type="paragraph" w:customStyle="1" w:styleId="13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3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33">
    <w:name w:val="文章标题"/>
    <w:next w:val="134"/>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134">
    <w:name w:val="封面公司名"/>
    <w:qFormat/>
    <w:uiPriority w:val="0"/>
    <w:pPr>
      <w:jc w:val="center"/>
    </w:pPr>
    <w:rPr>
      <w:rFonts w:ascii="Arial" w:hAnsi="Arial" w:eastAsia="楷体_GB2312" w:cs="宋体"/>
      <w:bCs/>
      <w:kern w:val="2"/>
      <w:sz w:val="28"/>
      <w:lang w:val="en-US" w:eastAsia="zh-CN" w:bidi="ar-SA"/>
    </w:rPr>
  </w:style>
  <w:style w:type="paragraph" w:customStyle="1" w:styleId="135">
    <w:name w:val="Char1 Char Char Char5"/>
    <w:basedOn w:val="1"/>
    <w:qFormat/>
    <w:uiPriority w:val="0"/>
    <w:pPr>
      <w:adjustRightInd/>
      <w:ind w:firstLine="200" w:firstLineChars="200"/>
    </w:pPr>
    <w:rPr>
      <w:rFonts w:ascii="Tahoma" w:hAnsi="Tahoma"/>
      <w:sz w:val="24"/>
      <w:szCs w:val="20"/>
    </w:rPr>
  </w:style>
  <w:style w:type="paragraph" w:customStyle="1" w:styleId="13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13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38">
    <w:name w:val="Char Char Char Char Char Char Char Char"/>
    <w:basedOn w:val="1"/>
    <w:qFormat/>
    <w:uiPriority w:val="0"/>
    <w:pPr>
      <w:tabs>
        <w:tab w:val="left" w:pos="360"/>
      </w:tabs>
    </w:pPr>
    <w:rPr>
      <w:sz w:val="24"/>
      <w:szCs w:val="20"/>
    </w:rPr>
  </w:style>
  <w:style w:type="paragraph" w:customStyle="1" w:styleId="139">
    <w:name w:val="Char Char11 Char Char Char"/>
    <w:basedOn w:val="1"/>
    <w:qFormat/>
    <w:uiPriority w:val="0"/>
    <w:pPr>
      <w:spacing w:line="360" w:lineRule="auto"/>
    </w:pPr>
    <w:rPr>
      <w:szCs w:val="20"/>
    </w:rPr>
  </w:style>
  <w:style w:type="paragraph" w:customStyle="1" w:styleId="14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val="none" w:color="000000"/>
      <w:lang w:val="en-US" w:eastAsia="zh-CN" w:bidi="ar-SA"/>
    </w:rPr>
  </w:style>
  <w:style w:type="paragraph" w:customStyle="1" w:styleId="14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142">
    <w:name w:val="样式3"/>
    <w:basedOn w:val="143"/>
    <w:qFormat/>
    <w:uiPriority w:val="0"/>
    <w:pPr>
      <w:tabs>
        <w:tab w:val="left" w:pos="2790"/>
        <w:tab w:val="left" w:pos="4230"/>
      </w:tabs>
      <w:spacing w:before="312" w:beforeLines="100"/>
      <w:jc w:val="left"/>
    </w:pPr>
  </w:style>
  <w:style w:type="paragraph" w:customStyle="1" w:styleId="143">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144">
    <w:name w:val="Char Char1 Char Char1 Char Char1"/>
    <w:basedOn w:val="1"/>
    <w:qFormat/>
    <w:uiPriority w:val="0"/>
    <w:pPr>
      <w:tabs>
        <w:tab w:val="left" w:pos="840"/>
      </w:tabs>
      <w:ind w:left="840" w:hanging="420"/>
    </w:pPr>
    <w:rPr>
      <w:rFonts w:ascii="Tahoma" w:hAnsi="Tahoma"/>
      <w:sz w:val="24"/>
    </w:rPr>
  </w:style>
  <w:style w:type="paragraph" w:customStyle="1" w:styleId="145">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146">
    <w:name w:val="标书标题2"/>
    <w:basedOn w:val="3"/>
    <w:qFormat/>
    <w:uiPriority w:val="0"/>
    <w:pPr>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14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148">
    <w:name w:val="正文21"/>
    <w:basedOn w:val="1"/>
    <w:qFormat/>
    <w:uiPriority w:val="0"/>
    <w:pPr>
      <w:adjustRightInd/>
      <w:spacing w:before="156" w:line="360" w:lineRule="auto"/>
      <w:ind w:firstLine="510" w:firstLineChars="200"/>
    </w:pPr>
    <w:rPr>
      <w:sz w:val="24"/>
      <w:szCs w:val="20"/>
    </w:rPr>
  </w:style>
  <w:style w:type="paragraph" w:customStyle="1" w:styleId="149">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150">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5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52">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153">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154">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155">
    <w:name w:val="6级标题"/>
    <w:basedOn w:val="156"/>
    <w:qFormat/>
    <w:uiPriority w:val="0"/>
    <w:pPr>
      <w:keepNext/>
      <w:tabs>
        <w:tab w:val="left" w:pos="360"/>
      </w:tabs>
      <w:spacing w:before="0" w:after="0"/>
      <w:outlineLvl w:val="5"/>
    </w:pPr>
  </w:style>
  <w:style w:type="paragraph" w:customStyle="1" w:styleId="156">
    <w:name w:val="5级标题"/>
    <w:basedOn w:val="157"/>
    <w:qFormat/>
    <w:uiPriority w:val="0"/>
    <w:pPr>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157">
    <w:name w:val="4级标题"/>
    <w:basedOn w:val="10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158">
    <w:name w:val="样式 正文文本缩进 + 段前: 2 字符"/>
    <w:basedOn w:val="1"/>
    <w:qFormat/>
    <w:uiPriority w:val="0"/>
    <w:pPr>
      <w:adjustRightInd/>
      <w:ind w:left="420" w:leftChars="200"/>
      <w:jc w:val="left"/>
    </w:pPr>
    <w:rPr>
      <w:sz w:val="28"/>
      <w:szCs w:val="20"/>
      <w:lang w:eastAsia="zh-TW"/>
    </w:rPr>
  </w:style>
  <w:style w:type="paragraph" w:customStyle="1" w:styleId="159">
    <w:name w:val="Char2 Char Char"/>
    <w:basedOn w:val="1"/>
    <w:qFormat/>
    <w:uiPriority w:val="0"/>
    <w:pPr>
      <w:adjustRightInd/>
    </w:pPr>
    <w:rPr>
      <w:rFonts w:ascii="Tahoma" w:hAnsi="Tahoma"/>
      <w:sz w:val="24"/>
      <w:szCs w:val="20"/>
    </w:rPr>
  </w:style>
  <w:style w:type="paragraph" w:customStyle="1" w:styleId="160">
    <w:name w:val="_Style 11"/>
    <w:basedOn w:val="1"/>
    <w:qFormat/>
    <w:uiPriority w:val="34"/>
    <w:pPr>
      <w:adjustRightInd/>
      <w:ind w:firstLine="420" w:firstLineChars="200"/>
    </w:pPr>
    <w:rPr>
      <w:rFonts w:eastAsia="仿宋_GB2312"/>
      <w:sz w:val="28"/>
    </w:rPr>
  </w:style>
  <w:style w:type="paragraph" w:customStyle="1" w:styleId="16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162">
    <w:name w:val="Char Char Char"/>
    <w:basedOn w:val="1"/>
    <w:qFormat/>
    <w:uiPriority w:val="0"/>
    <w:rPr>
      <w:rFonts w:ascii="Tahoma" w:hAnsi="Tahoma"/>
      <w:sz w:val="24"/>
      <w:szCs w:val="20"/>
    </w:rPr>
  </w:style>
  <w:style w:type="paragraph" w:customStyle="1" w:styleId="163">
    <w:name w:val="数字标题6"/>
    <w:basedOn w:val="8"/>
    <w:next w:val="1"/>
    <w:qFormat/>
    <w:uiPriority w:val="0"/>
    <w:pPr>
      <w:tabs>
        <w:tab w:val="left" w:pos="1080"/>
        <w:tab w:val="clear" w:pos="1152"/>
      </w:tabs>
      <w:ind w:left="1080" w:hanging="1080"/>
    </w:pPr>
    <w:rPr>
      <w:rFonts w:ascii="Times New Roman" w:hAnsi="Times New Roman" w:eastAsia="宋体"/>
      <w:i/>
    </w:rPr>
  </w:style>
  <w:style w:type="paragraph" w:customStyle="1" w:styleId="16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165">
    <w:name w:val="No Spacing"/>
    <w:basedOn w:val="1"/>
    <w:link w:val="938"/>
    <w:qFormat/>
    <w:uiPriority w:val="99"/>
    <w:rPr>
      <w:szCs w:val="22"/>
    </w:rPr>
  </w:style>
  <w:style w:type="paragraph" w:customStyle="1" w:styleId="16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167">
    <w:name w:val="Char Char Char Char Char Char Char Char Char Char Char Char1 Char1"/>
    <w:basedOn w:val="1"/>
    <w:qFormat/>
    <w:uiPriority w:val="6"/>
    <w:rPr>
      <w:rFonts w:ascii="Tahoma" w:hAnsi="Tahoma" w:cs="仿宋_GB2312"/>
      <w:sz w:val="24"/>
      <w:szCs w:val="20"/>
    </w:rPr>
  </w:style>
  <w:style w:type="paragraph" w:customStyle="1" w:styleId="16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16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17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171">
    <w:name w:val="MM Topic 2"/>
    <w:basedOn w:val="3"/>
    <w:qFormat/>
    <w:uiPriority w:val="0"/>
    <w:pPr>
      <w:tabs>
        <w:tab w:val="left" w:pos="1260"/>
        <w:tab w:val="clear" w:pos="432"/>
      </w:tabs>
      <w:ind w:left="1260" w:hanging="420"/>
    </w:pPr>
    <w:rPr>
      <w:rFonts w:ascii="Arial" w:hAnsi="Arial" w:eastAsia="黑体"/>
      <w:lang w:val="en-US"/>
    </w:rPr>
  </w:style>
  <w:style w:type="paragraph" w:customStyle="1" w:styleId="172">
    <w:name w:val="五级无标题条"/>
    <w:basedOn w:val="1"/>
    <w:qFormat/>
    <w:uiPriority w:val="0"/>
    <w:pPr>
      <w:adjustRightInd/>
    </w:pPr>
  </w:style>
  <w:style w:type="paragraph" w:customStyle="1" w:styleId="173">
    <w:name w:val="Char5"/>
    <w:basedOn w:val="1"/>
    <w:qFormat/>
    <w:uiPriority w:val="0"/>
    <w:rPr>
      <w:rFonts w:ascii="仿宋_GB2312" w:eastAsia="仿宋_GB2312"/>
      <w:b/>
      <w:sz w:val="32"/>
      <w:szCs w:val="32"/>
    </w:rPr>
  </w:style>
  <w:style w:type="paragraph" w:customStyle="1" w:styleId="174">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75">
    <w:name w:val="彩色列表 - 强调文字颜色 12"/>
    <w:basedOn w:val="1"/>
    <w:qFormat/>
    <w:uiPriority w:val="0"/>
    <w:pPr>
      <w:adjustRightInd/>
      <w:ind w:firstLine="420" w:firstLineChars="200"/>
    </w:pPr>
    <w:rPr>
      <w:rFonts w:ascii="Calibri" w:hAnsi="Calibri"/>
      <w:szCs w:val="22"/>
    </w:rPr>
  </w:style>
  <w:style w:type="paragraph" w:customStyle="1" w:styleId="17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177">
    <w:name w:val="Char2"/>
    <w:basedOn w:val="1"/>
    <w:qFormat/>
    <w:uiPriority w:val="0"/>
    <w:rPr>
      <w:rFonts w:ascii="仿宋_GB2312" w:eastAsia="仿宋_GB2312"/>
      <w:b/>
      <w:sz w:val="32"/>
      <w:szCs w:val="32"/>
    </w:rPr>
  </w:style>
  <w:style w:type="paragraph" w:customStyle="1" w:styleId="178">
    <w:name w:val="数字标题3"/>
    <w:basedOn w:val="4"/>
    <w:next w:val="1"/>
    <w:qFormat/>
    <w:uiPriority w:val="0"/>
    <w:pPr>
      <w:spacing w:line="240" w:lineRule="auto"/>
    </w:pPr>
    <w:rPr>
      <w:sz w:val="28"/>
      <w:szCs w:val="28"/>
    </w:rPr>
  </w:style>
  <w:style w:type="paragraph" w:customStyle="1" w:styleId="179">
    <w:name w:val="FA正文"/>
    <w:basedOn w:val="1"/>
    <w:qFormat/>
    <w:uiPriority w:val="0"/>
    <w:pPr>
      <w:spacing w:line="360" w:lineRule="auto"/>
      <w:ind w:firstLine="480" w:firstLineChars="200"/>
    </w:pPr>
    <w:rPr>
      <w:rFonts w:hAnsi="宋体"/>
      <w:sz w:val="24"/>
      <w:szCs w:val="20"/>
    </w:rPr>
  </w:style>
  <w:style w:type="paragraph" w:customStyle="1" w:styleId="180">
    <w:name w:val="MM Topic 5"/>
    <w:basedOn w:val="7"/>
    <w:qFormat/>
    <w:uiPriority w:val="0"/>
    <w:pPr>
      <w:tabs>
        <w:tab w:val="left" w:pos="2520"/>
        <w:tab w:val="clear" w:pos="1008"/>
      </w:tabs>
      <w:adjustRightInd/>
      <w:ind w:left="2520" w:hanging="420"/>
    </w:pPr>
  </w:style>
  <w:style w:type="paragraph" w:customStyle="1" w:styleId="181">
    <w:name w:val="Char Char Char Char Char Char Char Char Char Char1"/>
    <w:basedOn w:val="1"/>
    <w:qFormat/>
    <w:uiPriority w:val="0"/>
    <w:rPr>
      <w:rFonts w:ascii="仿宋_GB2312" w:eastAsia="仿宋_GB2312"/>
      <w:b/>
      <w:sz w:val="32"/>
      <w:szCs w:val="32"/>
    </w:rPr>
  </w:style>
  <w:style w:type="paragraph" w:customStyle="1" w:styleId="18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183">
    <w:name w:val="修订1"/>
    <w:qFormat/>
    <w:uiPriority w:val="3"/>
    <w:rPr>
      <w:rFonts w:ascii="Times New Roman" w:hAnsi="Times New Roman" w:eastAsia="宋体" w:cs="Times New Roman"/>
      <w:color w:val="000000"/>
      <w:kern w:val="1"/>
      <w:sz w:val="21"/>
      <w:lang w:val="en-US" w:eastAsia="zh-CN" w:bidi="ar-SA"/>
    </w:rPr>
  </w:style>
  <w:style w:type="paragraph" w:customStyle="1" w:styleId="184">
    <w:name w:val="Char2 Char Char Char"/>
    <w:basedOn w:val="1"/>
    <w:qFormat/>
    <w:uiPriority w:val="0"/>
    <w:rPr>
      <w:rFonts w:ascii="仿宋_GB2312" w:eastAsia="仿宋_GB2312"/>
      <w:b/>
      <w:sz w:val="32"/>
      <w:szCs w:val="32"/>
    </w:rPr>
  </w:style>
  <w:style w:type="paragraph" w:customStyle="1" w:styleId="185">
    <w:name w:val="Char2 Char Char Char1"/>
    <w:basedOn w:val="1"/>
    <w:qFormat/>
    <w:uiPriority w:val="6"/>
    <w:rPr>
      <w:rFonts w:ascii="仿宋_GB2312" w:eastAsia="仿宋_GB2312"/>
      <w:b/>
      <w:sz w:val="32"/>
      <w:szCs w:val="32"/>
    </w:rPr>
  </w:style>
  <w:style w:type="paragraph" w:customStyle="1" w:styleId="186">
    <w:name w:val="默认段落样式"/>
    <w:basedOn w:val="85"/>
    <w:qFormat/>
    <w:uiPriority w:val="0"/>
    <w:pPr>
      <w:spacing w:before="0"/>
      <w:ind w:firstLine="480"/>
      <w:outlineLvl w:val="2"/>
    </w:pPr>
    <w:rPr>
      <w:rFonts w:ascii="仿宋_GB2312" w:hAnsi="宋体" w:eastAsia="仿宋_GB2312"/>
      <w:color w:val="000000"/>
      <w:szCs w:val="24"/>
    </w:rPr>
  </w:style>
  <w:style w:type="paragraph" w:customStyle="1" w:styleId="187">
    <w:name w:val="图中文字"/>
    <w:basedOn w:val="1"/>
    <w:qFormat/>
    <w:uiPriority w:val="0"/>
    <w:pPr>
      <w:snapToGrid w:val="0"/>
      <w:spacing w:line="0" w:lineRule="atLeast"/>
      <w:ind w:firstLine="200" w:firstLineChars="200"/>
      <w:jc w:val="center"/>
    </w:pPr>
    <w:rPr>
      <w:sz w:val="24"/>
      <w:szCs w:val="20"/>
    </w:rPr>
  </w:style>
  <w:style w:type="paragraph" w:customStyle="1" w:styleId="18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89">
    <w:name w:val="MM Topic 3"/>
    <w:basedOn w:val="4"/>
    <w:qFormat/>
    <w:uiPriority w:val="0"/>
    <w:pPr>
      <w:tabs>
        <w:tab w:val="left" w:pos="1680"/>
        <w:tab w:val="clear" w:pos="900"/>
      </w:tabs>
      <w:adjustRightInd/>
      <w:ind w:left="1680" w:hanging="420"/>
    </w:pPr>
  </w:style>
  <w:style w:type="paragraph" w:customStyle="1" w:styleId="190">
    <w:name w:val="标准小四"/>
    <w:basedOn w:val="1"/>
    <w:qFormat/>
    <w:uiPriority w:val="0"/>
    <w:pPr>
      <w:spacing w:line="360" w:lineRule="auto"/>
      <w:ind w:firstLine="480" w:firstLineChars="200"/>
    </w:pPr>
    <w:rPr>
      <w:rFonts w:ascii="Arial" w:hAnsi="Arial"/>
      <w:sz w:val="24"/>
      <w:szCs w:val="21"/>
    </w:rPr>
  </w:style>
  <w:style w:type="paragraph" w:customStyle="1" w:styleId="191">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192">
    <w:name w:val="表格（小）"/>
    <w:basedOn w:val="1"/>
    <w:qFormat/>
    <w:uiPriority w:val="0"/>
    <w:pPr>
      <w:adjustRightInd/>
      <w:snapToGrid w:val="0"/>
      <w:spacing w:line="300" w:lineRule="auto"/>
    </w:pPr>
    <w:rPr>
      <w:rFonts w:eastAsia="仿宋"/>
      <w:szCs w:val="21"/>
    </w:rPr>
  </w:style>
  <w:style w:type="paragraph" w:customStyle="1" w:styleId="19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194">
    <w:name w:val="Char2 Char Char1"/>
    <w:basedOn w:val="1"/>
    <w:qFormat/>
    <w:uiPriority w:val="6"/>
    <w:pPr>
      <w:adjustRightInd/>
    </w:pPr>
    <w:rPr>
      <w:rFonts w:ascii="Tahoma" w:hAnsi="Tahoma"/>
      <w:sz w:val="24"/>
      <w:szCs w:val="20"/>
    </w:rPr>
  </w:style>
  <w:style w:type="paragraph" w:customStyle="1" w:styleId="195">
    <w:name w:val="列出段落5"/>
    <w:basedOn w:val="1"/>
    <w:qFormat/>
    <w:uiPriority w:val="0"/>
    <w:pPr>
      <w:spacing w:line="360" w:lineRule="auto"/>
      <w:ind w:firstLine="200" w:firstLineChars="200"/>
    </w:pPr>
    <w:rPr>
      <w:rFonts w:eastAsia="楷体_GB2312" w:cs="Lucida Sans"/>
      <w:sz w:val="24"/>
    </w:rPr>
  </w:style>
  <w:style w:type="paragraph" w:customStyle="1" w:styleId="19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97">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19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199">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20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20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20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03">
    <w:name w:val="_Style 3"/>
    <w:basedOn w:val="1"/>
    <w:qFormat/>
    <w:uiPriority w:val="0"/>
    <w:pPr>
      <w:adjustRightInd/>
      <w:ind w:firstLine="420" w:firstLineChars="200"/>
    </w:pPr>
    <w:rPr>
      <w:rFonts w:eastAsia="仿宋_GB2312"/>
      <w:sz w:val="28"/>
    </w:rPr>
  </w:style>
  <w:style w:type="paragraph" w:customStyle="1" w:styleId="20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05">
    <w:name w:val="Bulleting First Indent 1"/>
    <w:basedOn w:val="60"/>
    <w:qFormat/>
    <w:uiPriority w:val="0"/>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206">
    <w:name w:val="左对齐表格文字"/>
    <w:basedOn w:val="1"/>
    <w:qFormat/>
    <w:uiPriority w:val="0"/>
    <w:pPr>
      <w:adjustRightInd/>
      <w:ind w:firstLine="200" w:firstLineChars="200"/>
      <w:jc w:val="right"/>
    </w:pPr>
  </w:style>
  <w:style w:type="paragraph" w:customStyle="1" w:styleId="207">
    <w:name w:val="Char Char11 Char Char Char Char Char Char Char Char Char"/>
    <w:basedOn w:val="1"/>
    <w:qFormat/>
    <w:uiPriority w:val="0"/>
    <w:pPr>
      <w:spacing w:line="360" w:lineRule="auto"/>
    </w:pPr>
    <w:rPr>
      <w:szCs w:val="20"/>
    </w:rPr>
  </w:style>
  <w:style w:type="paragraph" w:customStyle="1" w:styleId="208">
    <w:name w:val="正文1.25"/>
    <w:basedOn w:val="1"/>
    <w:qFormat/>
    <w:uiPriority w:val="0"/>
    <w:pPr>
      <w:adjustRightInd/>
      <w:spacing w:line="300" w:lineRule="auto"/>
      <w:ind w:firstLine="480" w:firstLineChars="200"/>
    </w:pPr>
    <w:rPr>
      <w:sz w:val="24"/>
      <w:szCs w:val="20"/>
    </w:rPr>
  </w:style>
  <w:style w:type="paragraph" w:customStyle="1" w:styleId="209">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21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1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12">
    <w:name w:val="Char Char1 Char Char Char1"/>
    <w:basedOn w:val="1"/>
    <w:qFormat/>
    <w:uiPriority w:val="6"/>
    <w:rPr>
      <w:rFonts w:ascii="仿宋_GB2312" w:eastAsia="仿宋_GB2312"/>
      <w:b/>
      <w:sz w:val="32"/>
      <w:szCs w:val="20"/>
    </w:rPr>
  </w:style>
  <w:style w:type="paragraph" w:customStyle="1" w:styleId="213">
    <w:name w:val="列出段落2"/>
    <w:basedOn w:val="1"/>
    <w:qFormat/>
    <w:uiPriority w:val="0"/>
    <w:pPr>
      <w:adjustRightInd/>
      <w:ind w:firstLine="420" w:firstLineChars="200"/>
    </w:pPr>
    <w:rPr>
      <w:rFonts w:ascii="宋体" w:hAnsi="宋体"/>
      <w:sz w:val="24"/>
    </w:rPr>
  </w:style>
  <w:style w:type="paragraph" w:customStyle="1" w:styleId="214">
    <w:name w:val="默认段落字体 Para Char Char Char Char Char Char Char"/>
    <w:basedOn w:val="1"/>
    <w:qFormat/>
    <w:uiPriority w:val="0"/>
    <w:rPr>
      <w:rFonts w:eastAsia="仿宋_GB2312"/>
      <w:sz w:val="28"/>
      <w:szCs w:val="20"/>
    </w:rPr>
  </w:style>
  <w:style w:type="paragraph" w:customStyle="1" w:styleId="21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216">
    <w:name w:val="样式 标题 4PIM 4H4h4bulletblbbH41H42H43H44H45H46H47H48...1"/>
    <w:basedOn w:val="6"/>
    <w:qFormat/>
    <w:uiPriority w:val="0"/>
    <w:pPr>
      <w:widowControl/>
      <w:jc w:val="left"/>
    </w:pPr>
    <w:rPr>
      <w:rFonts w:cs="宋体"/>
      <w:sz w:val="24"/>
      <w:szCs w:val="20"/>
    </w:rPr>
  </w:style>
  <w:style w:type="paragraph" w:customStyle="1" w:styleId="217">
    <w:name w:val="彩色列表 - 强调文字颜色 11"/>
    <w:basedOn w:val="1"/>
    <w:qFormat/>
    <w:uiPriority w:val="0"/>
    <w:pPr>
      <w:adjustRightInd/>
      <w:ind w:firstLine="420" w:firstLineChars="200"/>
    </w:pPr>
    <w:rPr>
      <w:rFonts w:ascii="Calibri" w:hAnsi="Calibri"/>
      <w:szCs w:val="22"/>
    </w:rPr>
  </w:style>
  <w:style w:type="paragraph" w:customStyle="1" w:styleId="218">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21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22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221">
    <w:name w:val="Char Char Char1 Char1"/>
    <w:basedOn w:val="1"/>
    <w:qFormat/>
    <w:uiPriority w:val="6"/>
    <w:rPr>
      <w:szCs w:val="20"/>
    </w:rPr>
  </w:style>
  <w:style w:type="paragraph" w:customStyle="1" w:styleId="22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223">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22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22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22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27">
    <w:name w:val="CM14"/>
    <w:basedOn w:val="96"/>
    <w:next w:val="96"/>
    <w:qFormat/>
    <w:uiPriority w:val="0"/>
    <w:pPr>
      <w:spacing w:after="68"/>
    </w:pPr>
    <w:rPr>
      <w:rFonts w:ascii="FHLHE E+ Futura Bk" w:eastAsia="FHLHE E+ Futura Bk" w:cs="Times New Roman"/>
      <w:color w:val="auto"/>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22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230">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231">
    <w:name w:val="正文文字 2"/>
    <w:basedOn w:val="96"/>
    <w:next w:val="96"/>
    <w:qFormat/>
    <w:uiPriority w:val="0"/>
    <w:rPr>
      <w:rFonts w:ascii="宋体" w:eastAsia="宋体" w:cs="Times New Roman"/>
      <w:color w:val="auto"/>
    </w:rPr>
  </w:style>
  <w:style w:type="paragraph" w:customStyle="1" w:styleId="232">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33">
    <w:name w:val="Char Char1 Char"/>
    <w:basedOn w:val="1"/>
    <w:qFormat/>
    <w:uiPriority w:val="0"/>
    <w:rPr>
      <w:rFonts w:ascii="仿宋_GB2312" w:eastAsia="仿宋_GB2312"/>
      <w:b/>
      <w:sz w:val="32"/>
      <w:szCs w:val="32"/>
    </w:rPr>
  </w:style>
  <w:style w:type="paragraph" w:customStyle="1" w:styleId="23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3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236">
    <w:name w:val="Char Char111"/>
    <w:basedOn w:val="1"/>
    <w:qFormat/>
    <w:uiPriority w:val="0"/>
    <w:pPr>
      <w:spacing w:line="360" w:lineRule="auto"/>
    </w:pPr>
    <w:rPr>
      <w:szCs w:val="20"/>
    </w:rPr>
  </w:style>
  <w:style w:type="paragraph" w:customStyle="1" w:styleId="237">
    <w:name w:val="Char"/>
    <w:basedOn w:val="1"/>
    <w:qFormat/>
    <w:uiPriority w:val="0"/>
    <w:rPr>
      <w:rFonts w:ascii="仿宋_GB2312" w:eastAsia="仿宋_GB2312"/>
      <w:b/>
      <w:sz w:val="32"/>
      <w:szCs w:val="32"/>
    </w:rPr>
  </w:style>
  <w:style w:type="paragraph" w:customStyle="1" w:styleId="23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eastAsia="en-US"/>
    </w:rPr>
  </w:style>
  <w:style w:type="paragraph" w:customStyle="1" w:styleId="23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0">
    <w:name w:val="Char Char Char1 Char"/>
    <w:basedOn w:val="1"/>
    <w:qFormat/>
    <w:uiPriority w:val="0"/>
    <w:rPr>
      <w:szCs w:val="20"/>
    </w:rPr>
  </w:style>
  <w:style w:type="paragraph" w:customStyle="1" w:styleId="241">
    <w:name w:val="正文标准"/>
    <w:basedOn w:val="1"/>
    <w:qFormat/>
    <w:uiPriority w:val="0"/>
    <w:pPr>
      <w:adjustRightInd/>
      <w:spacing w:line="360" w:lineRule="auto"/>
      <w:ind w:firstLine="200" w:firstLineChars="200"/>
    </w:pPr>
    <w:rPr>
      <w:rFonts w:ascii="宋体" w:hAnsi="Calibri"/>
      <w:sz w:val="24"/>
    </w:rPr>
  </w:style>
  <w:style w:type="paragraph" w:customStyle="1" w:styleId="24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24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4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245">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24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24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24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4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25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53">
    <w:name w:val="标准有序列表（L1）"/>
    <w:basedOn w:val="5"/>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54">
    <w:name w:val="Char Char Char Char Char Char Char Char Char Char"/>
    <w:basedOn w:val="1"/>
    <w:qFormat/>
    <w:uiPriority w:val="0"/>
    <w:rPr>
      <w:rFonts w:ascii="仿宋_GB2312" w:eastAsia="仿宋_GB2312"/>
      <w:b/>
      <w:sz w:val="32"/>
      <w:szCs w:val="32"/>
    </w:rPr>
  </w:style>
  <w:style w:type="paragraph" w:customStyle="1" w:styleId="25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56">
    <w:name w:val="_正文段落"/>
    <w:basedOn w:val="1"/>
    <w:qFormat/>
    <w:uiPriority w:val="0"/>
    <w:pPr>
      <w:adjustRightInd/>
      <w:ind w:firstLine="560"/>
    </w:pPr>
    <w:rPr>
      <w:rFonts w:ascii="仿宋_GB2312" w:hAnsi="仿宋" w:eastAsia="仿宋_GB2312"/>
      <w:kern w:val="0"/>
      <w:sz w:val="28"/>
      <w:szCs w:val="28"/>
    </w:rPr>
  </w:style>
  <w:style w:type="paragraph" w:customStyle="1" w:styleId="25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25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59">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26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6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26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263">
    <w:name w:val="Char Char Char1 Char2"/>
    <w:basedOn w:val="1"/>
    <w:qFormat/>
    <w:uiPriority w:val="0"/>
    <w:rPr>
      <w:szCs w:val="20"/>
    </w:rPr>
  </w:style>
  <w:style w:type="paragraph" w:customStyle="1" w:styleId="26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5">
    <w:name w:val="默认段落字体 Para Char"/>
    <w:basedOn w:val="1"/>
    <w:qFormat/>
    <w:uiPriority w:val="0"/>
    <w:rPr>
      <w:rFonts w:ascii="Tahoma" w:hAnsi="Tahoma"/>
      <w:sz w:val="24"/>
      <w:szCs w:val="20"/>
    </w:rPr>
  </w:style>
  <w:style w:type="paragraph" w:customStyle="1" w:styleId="266">
    <w:name w:val="标题五"/>
    <w:basedOn w:val="1"/>
    <w:qFormat/>
    <w:uiPriority w:val="0"/>
    <w:pPr>
      <w:adjustRightInd/>
      <w:spacing w:before="156" w:beforeLines="50" w:line="360" w:lineRule="auto"/>
    </w:pPr>
    <w:rPr>
      <w:b/>
      <w:sz w:val="24"/>
    </w:rPr>
  </w:style>
  <w:style w:type="paragraph" w:customStyle="1" w:styleId="267">
    <w:name w:val="Char Char1101"/>
    <w:basedOn w:val="1"/>
    <w:qFormat/>
    <w:uiPriority w:val="0"/>
    <w:pPr>
      <w:spacing w:line="360" w:lineRule="auto"/>
    </w:pPr>
    <w:rPr>
      <w:rFonts w:ascii="Tahoma" w:hAnsi="Tahoma"/>
      <w:sz w:val="24"/>
      <w:szCs w:val="20"/>
    </w:rPr>
  </w:style>
  <w:style w:type="paragraph" w:customStyle="1" w:styleId="268">
    <w:name w:val="Char Char Char Char Char Char Char Char1"/>
    <w:basedOn w:val="1"/>
    <w:qFormat/>
    <w:uiPriority w:val="0"/>
    <w:pPr>
      <w:tabs>
        <w:tab w:val="left" w:pos="360"/>
      </w:tabs>
    </w:pPr>
    <w:rPr>
      <w:sz w:val="24"/>
      <w:szCs w:val="20"/>
    </w:rPr>
  </w:style>
  <w:style w:type="paragraph" w:customStyle="1" w:styleId="269">
    <w:name w:val="Char Char Char 字元 字元"/>
    <w:basedOn w:val="1"/>
    <w:qFormat/>
    <w:uiPriority w:val="0"/>
    <w:pPr>
      <w:adjustRightInd/>
      <w:spacing w:line="360" w:lineRule="auto"/>
      <w:ind w:firstLine="200" w:firstLineChars="200"/>
    </w:pPr>
    <w:rPr>
      <w:szCs w:val="20"/>
    </w:rPr>
  </w:style>
  <w:style w:type="paragraph" w:customStyle="1" w:styleId="27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71">
    <w:name w:val="Char Char Char Char Char Char Char"/>
    <w:basedOn w:val="1"/>
    <w:qFormat/>
    <w:uiPriority w:val="0"/>
    <w:rPr>
      <w:rFonts w:ascii="仿宋_GB2312" w:eastAsia="仿宋_GB2312"/>
      <w:b/>
      <w:sz w:val="32"/>
      <w:szCs w:val="32"/>
    </w:rPr>
  </w:style>
  <w:style w:type="paragraph" w:customStyle="1" w:styleId="27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27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74">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275">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276">
    <w:name w:val="批注框文本 Char Char"/>
    <w:basedOn w:val="1"/>
    <w:qFormat/>
    <w:uiPriority w:val="0"/>
    <w:pPr>
      <w:adjustRightInd/>
    </w:pPr>
    <w:rPr>
      <w:sz w:val="18"/>
      <w:szCs w:val="20"/>
    </w:rPr>
  </w:style>
  <w:style w:type="paragraph" w:customStyle="1" w:styleId="27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27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7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8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val="none" w:color="000000"/>
      <w:lang w:val="en-US" w:eastAsia="zh-CN" w:bidi="ar-SA"/>
    </w:rPr>
  </w:style>
  <w:style w:type="paragraph" w:customStyle="1" w:styleId="281">
    <w:name w:val="索引 11"/>
    <w:basedOn w:val="1"/>
    <w:next w:val="1"/>
    <w:qFormat/>
    <w:uiPriority w:val="99"/>
    <w:pPr>
      <w:adjustRightInd/>
      <w:spacing w:line="360" w:lineRule="auto"/>
    </w:pPr>
    <w:rPr>
      <w:rFonts w:ascii="仿宋_GB2312" w:eastAsia="仿宋_GB2312"/>
      <w:sz w:val="24"/>
      <w:szCs w:val="20"/>
    </w:rPr>
  </w:style>
  <w:style w:type="paragraph" w:customStyle="1" w:styleId="28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8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284">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285">
    <w:name w:val="文档正文"/>
    <w:basedOn w:val="1"/>
    <w:qFormat/>
    <w:uiPriority w:val="0"/>
    <w:pPr>
      <w:spacing w:line="480" w:lineRule="atLeast"/>
      <w:ind w:firstLine="567"/>
      <w:textAlignment w:val="baseline"/>
    </w:pPr>
    <w:rPr>
      <w:kern w:val="0"/>
      <w:sz w:val="24"/>
      <w:szCs w:val="20"/>
    </w:rPr>
  </w:style>
  <w:style w:type="paragraph" w:customStyle="1" w:styleId="286">
    <w:name w:val="正文文字表格居中"/>
    <w:basedOn w:val="1"/>
    <w:next w:val="55"/>
    <w:qFormat/>
    <w:uiPriority w:val="0"/>
    <w:pPr>
      <w:snapToGrid w:val="0"/>
      <w:spacing w:line="360" w:lineRule="auto"/>
    </w:pPr>
    <w:rPr>
      <w:rFonts w:ascii="宋体"/>
      <w:b/>
      <w:sz w:val="24"/>
      <w:szCs w:val="20"/>
    </w:rPr>
  </w:style>
  <w:style w:type="paragraph" w:customStyle="1" w:styleId="287">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288">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289">
    <w:name w:val="Plain Text1"/>
    <w:basedOn w:val="1"/>
    <w:qFormat/>
    <w:uiPriority w:val="7"/>
    <w:pPr>
      <w:adjustRightInd/>
    </w:pPr>
    <w:rPr>
      <w:rFonts w:ascii="宋体" w:hAnsi="Courier New"/>
    </w:rPr>
  </w:style>
  <w:style w:type="paragraph" w:customStyle="1" w:styleId="290">
    <w:name w:val="Char3"/>
    <w:basedOn w:val="1"/>
    <w:qFormat/>
    <w:uiPriority w:val="0"/>
    <w:pPr>
      <w:adjustRightInd/>
    </w:pPr>
    <w:rPr>
      <w:rFonts w:ascii="仿宋_GB2312" w:eastAsia="仿宋_GB2312"/>
      <w:b/>
      <w:sz w:val="32"/>
      <w:szCs w:val="32"/>
    </w:rPr>
  </w:style>
  <w:style w:type="paragraph" w:customStyle="1" w:styleId="29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9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293">
    <w:name w:val="标题2"/>
    <w:basedOn w:val="3"/>
    <w:next w:val="1"/>
    <w:qFormat/>
    <w:uiPriority w:val="0"/>
    <w:pPr>
      <w:tabs>
        <w:tab w:val="left" w:pos="578"/>
        <w:tab w:val="left" w:pos="900"/>
        <w:tab w:val="left" w:pos="1440"/>
        <w:tab w:val="clear" w:pos="432"/>
      </w:tabs>
      <w:ind w:left="1440" w:hanging="360"/>
    </w:pPr>
    <w:rPr>
      <w:rFonts w:ascii="仿宋" w:eastAsia="仿宋" w:cs="宋体"/>
      <w:bCs w:val="0"/>
      <w:szCs w:val="28"/>
    </w:rPr>
  </w:style>
  <w:style w:type="paragraph" w:customStyle="1" w:styleId="294">
    <w:name w:val="List Paragraph1"/>
    <w:basedOn w:val="1"/>
    <w:qFormat/>
    <w:uiPriority w:val="0"/>
    <w:pPr>
      <w:spacing w:line="360" w:lineRule="auto"/>
      <w:ind w:firstLine="200" w:firstLineChars="200"/>
    </w:pPr>
    <w:rPr>
      <w:rFonts w:eastAsia="楷体_GB2312" w:cs="Lucida Sans"/>
      <w:sz w:val="24"/>
    </w:rPr>
  </w:style>
  <w:style w:type="paragraph" w:customStyle="1" w:styleId="295">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29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9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298">
    <w:name w:val="Char3 Char Char Char"/>
    <w:basedOn w:val="1"/>
    <w:qFormat/>
    <w:uiPriority w:val="0"/>
    <w:pPr>
      <w:widowControl/>
      <w:adjustRightInd/>
      <w:spacing w:after="160" w:line="240" w:lineRule="exact"/>
      <w:jc w:val="left"/>
    </w:pPr>
    <w:rPr>
      <w:szCs w:val="20"/>
    </w:rPr>
  </w:style>
  <w:style w:type="paragraph" w:customStyle="1" w:styleId="299">
    <w:name w:val="表格标题2"/>
    <w:basedOn w:val="300"/>
    <w:qFormat/>
    <w:uiPriority w:val="0"/>
    <w:rPr>
      <w:b/>
    </w:rPr>
  </w:style>
  <w:style w:type="paragraph" w:customStyle="1" w:styleId="300">
    <w:name w:val="表格内文"/>
    <w:basedOn w:val="1"/>
    <w:qFormat/>
    <w:uiPriority w:val="0"/>
    <w:pPr>
      <w:adjustRightInd/>
      <w:spacing w:line="360" w:lineRule="auto"/>
    </w:pPr>
    <w:rPr>
      <w:rFonts w:ascii="宋体" w:hAnsi="宋体" w:cs="宋体"/>
      <w:color w:val="000000"/>
      <w:szCs w:val="20"/>
    </w:rPr>
  </w:style>
  <w:style w:type="paragraph" w:customStyle="1" w:styleId="301">
    <w:name w:val="Char Char Char Char Char Char Char Char Char Char2"/>
    <w:basedOn w:val="1"/>
    <w:qFormat/>
    <w:uiPriority w:val="0"/>
    <w:rPr>
      <w:rFonts w:ascii="仿宋_GB2312" w:eastAsia="仿宋_GB2312"/>
      <w:b/>
      <w:sz w:val="32"/>
      <w:szCs w:val="32"/>
    </w:rPr>
  </w:style>
  <w:style w:type="paragraph" w:customStyle="1" w:styleId="30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0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04">
    <w:name w:val="Char Char11 Char Char Char Char Char Char Char Char Char11"/>
    <w:basedOn w:val="1"/>
    <w:qFormat/>
    <w:uiPriority w:val="0"/>
    <w:pPr>
      <w:spacing w:line="360" w:lineRule="auto"/>
    </w:pPr>
    <w:rPr>
      <w:szCs w:val="20"/>
    </w:rPr>
  </w:style>
  <w:style w:type="paragraph" w:customStyle="1" w:styleId="30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30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307">
    <w:name w:val="MM Topic 1"/>
    <w:basedOn w:val="2"/>
    <w:qFormat/>
    <w:uiPriority w:val="0"/>
    <w:pPr>
      <w:tabs>
        <w:tab w:val="left" w:pos="840"/>
        <w:tab w:val="clear" w:pos="432"/>
      </w:tabs>
      <w:adjustRightInd/>
      <w:ind w:left="840" w:hanging="420"/>
    </w:pPr>
  </w:style>
  <w:style w:type="paragraph" w:customStyle="1" w:styleId="308">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309">
    <w:name w:val="文本正文 Char"/>
    <w:basedOn w:val="1"/>
    <w:qFormat/>
    <w:uiPriority w:val="0"/>
    <w:pPr>
      <w:spacing w:line="360" w:lineRule="auto"/>
      <w:ind w:firstLine="200" w:firstLineChars="200"/>
    </w:pPr>
    <w:rPr>
      <w:kern w:val="0"/>
      <w:sz w:val="24"/>
      <w:szCs w:val="20"/>
    </w:rPr>
  </w:style>
  <w:style w:type="paragraph" w:customStyle="1" w:styleId="310">
    <w:name w:val="表格"/>
    <w:basedOn w:val="1"/>
    <w:qFormat/>
    <w:uiPriority w:val="0"/>
    <w:pPr>
      <w:snapToGrid w:val="0"/>
      <w:ind w:firstLine="42" w:firstLineChars="21"/>
    </w:pPr>
    <w:rPr>
      <w:rFonts w:ascii="宋体" w:hAnsi="宋体"/>
      <w:kern w:val="0"/>
      <w:sz w:val="20"/>
      <w:szCs w:val="20"/>
    </w:rPr>
  </w:style>
  <w:style w:type="paragraph" w:customStyle="1" w:styleId="311">
    <w:name w:val="标书标题4"/>
    <w:basedOn w:val="6"/>
    <w:qFormat/>
    <w:uiPriority w:val="0"/>
    <w:pPr>
      <w:snapToGrid w:val="0"/>
      <w:spacing w:before="0" w:after="0" w:line="300" w:lineRule="auto"/>
    </w:pPr>
    <w:rPr>
      <w:rFonts w:ascii="Arial Narrow" w:hAnsi="Arial Narrow" w:eastAsia="仿宋_GB2312"/>
      <w:bCs w:val="0"/>
      <w:color w:val="000000"/>
      <w:kern w:val="0"/>
      <w:szCs w:val="32"/>
      <w:lang w:val="en-US"/>
    </w:rPr>
  </w:style>
  <w:style w:type="paragraph" w:customStyle="1" w:styleId="312">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31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314">
    <w:name w:val="表格项目符号 2"/>
    <w:basedOn w:val="28"/>
    <w:qFormat/>
    <w:uiPriority w:val="0"/>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315">
    <w:name w:val="EB_表格"/>
    <w:basedOn w:val="1"/>
    <w:qFormat/>
    <w:uiPriority w:val="0"/>
    <w:pPr>
      <w:adjustRightInd/>
      <w:spacing w:line="300" w:lineRule="auto"/>
      <w:jc w:val="center"/>
    </w:pPr>
  </w:style>
  <w:style w:type="paragraph" w:customStyle="1" w:styleId="316">
    <w:name w:val="_Style 6"/>
    <w:basedOn w:val="1"/>
    <w:qFormat/>
    <w:uiPriority w:val="34"/>
    <w:pPr>
      <w:adjustRightInd/>
      <w:ind w:firstLine="420" w:firstLineChars="200"/>
    </w:pPr>
    <w:rPr>
      <w:rFonts w:eastAsia="仿宋_GB2312"/>
      <w:sz w:val="28"/>
    </w:rPr>
  </w:style>
  <w:style w:type="paragraph" w:customStyle="1" w:styleId="31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1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319">
    <w:name w:val="!大节"/>
    <w:basedOn w:val="3"/>
    <w:qFormat/>
    <w:uiPriority w:val="0"/>
    <w:pPr>
      <w:spacing w:before="260" w:after="260" w:line="415" w:lineRule="auto"/>
      <w:ind w:left="420" w:hanging="420"/>
    </w:pPr>
    <w:rPr>
      <w:rFonts w:ascii="Arial" w:hAnsi="Arial" w:eastAsia="微软雅黑"/>
      <w:lang w:val="en-US"/>
    </w:rPr>
  </w:style>
  <w:style w:type="paragraph" w:customStyle="1" w:styleId="320">
    <w:name w:val="正文文本 22"/>
    <w:basedOn w:val="1"/>
    <w:qFormat/>
    <w:uiPriority w:val="0"/>
    <w:pPr>
      <w:widowControl/>
      <w:overflowPunct w:val="0"/>
      <w:autoSpaceDE w:val="0"/>
      <w:autoSpaceDN w:val="0"/>
      <w:ind w:left="720" w:hanging="720"/>
      <w:textAlignment w:val="baseline"/>
    </w:pPr>
    <w:rPr>
      <w:kern w:val="0"/>
      <w:sz w:val="24"/>
      <w:szCs w:val="20"/>
    </w:rPr>
  </w:style>
  <w:style w:type="paragraph" w:customStyle="1" w:styleId="321">
    <w:name w:val="正文表标题"/>
    <w:next w:val="32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2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3">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324">
    <w:name w:val="trademark"/>
    <w:qFormat/>
    <w:uiPriority w:val="0"/>
    <w:pPr>
      <w:spacing w:after="60"/>
    </w:pPr>
    <w:rPr>
      <w:rFonts w:ascii="Futura Bk" w:hAnsi="Futura Bk" w:eastAsia="宋体" w:cs="Times New Roman"/>
      <w:sz w:val="15"/>
      <w:lang w:val="en-US" w:eastAsia="en-US" w:bidi="ar-SA"/>
    </w:rPr>
  </w:style>
  <w:style w:type="paragraph" w:customStyle="1" w:styleId="32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eastAsia="en-US"/>
    </w:rPr>
  </w:style>
  <w:style w:type="paragraph" w:customStyle="1" w:styleId="326">
    <w:name w:val="Char Char1 Char Char Char Char Char Char1"/>
    <w:basedOn w:val="1"/>
    <w:qFormat/>
    <w:uiPriority w:val="0"/>
    <w:rPr>
      <w:rFonts w:ascii="仿宋_GB2312" w:eastAsia="仿宋_GB2312"/>
      <w:b/>
      <w:sz w:val="32"/>
      <w:szCs w:val="20"/>
    </w:rPr>
  </w:style>
  <w:style w:type="paragraph" w:customStyle="1" w:styleId="32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328">
    <w:name w:val="Char1 Char Char Char1"/>
    <w:basedOn w:val="1"/>
    <w:qFormat/>
    <w:uiPriority w:val="0"/>
    <w:pPr>
      <w:adjustRightInd/>
      <w:ind w:firstLine="200" w:firstLineChars="200"/>
    </w:pPr>
    <w:rPr>
      <w:rFonts w:ascii="Tahoma" w:hAnsi="Tahoma"/>
      <w:sz w:val="24"/>
      <w:szCs w:val="20"/>
    </w:rPr>
  </w:style>
  <w:style w:type="paragraph" w:customStyle="1" w:styleId="329">
    <w:name w:val="a1"/>
    <w:basedOn w:val="1"/>
    <w:qFormat/>
    <w:uiPriority w:val="0"/>
    <w:pPr>
      <w:widowControl/>
      <w:spacing w:line="300" w:lineRule="atLeast"/>
      <w:jc w:val="left"/>
    </w:pPr>
    <w:rPr>
      <w:rFonts w:ascii="宋体" w:hAnsi="宋体"/>
      <w:kern w:val="0"/>
      <w:sz w:val="18"/>
      <w:szCs w:val="20"/>
    </w:rPr>
  </w:style>
  <w:style w:type="paragraph" w:customStyle="1" w:styleId="330">
    <w:name w:val="样式7"/>
    <w:basedOn w:val="331"/>
    <w:next w:val="1"/>
    <w:qFormat/>
    <w:uiPriority w:val="0"/>
    <w:pPr>
      <w:spacing w:after="156" w:afterLines="50"/>
      <w:jc w:val="left"/>
      <w:outlineLvl w:val="3"/>
    </w:pPr>
    <w:rPr>
      <w:sz w:val="24"/>
      <w:szCs w:val="24"/>
    </w:rPr>
  </w:style>
  <w:style w:type="paragraph" w:customStyle="1" w:styleId="33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3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3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34">
    <w:name w:val="样式 样式2 + 左侧:  1 字符 右侧:  1 字符"/>
    <w:basedOn w:val="143"/>
    <w:qFormat/>
    <w:uiPriority w:val="0"/>
    <w:pPr>
      <w:tabs>
        <w:tab w:val="clear" w:pos="2790"/>
        <w:tab w:val="clear" w:pos="4230"/>
      </w:tabs>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35">
    <w:name w:val="Char2 Char Char2"/>
    <w:basedOn w:val="1"/>
    <w:qFormat/>
    <w:uiPriority w:val="0"/>
    <w:pPr>
      <w:adjustRightInd/>
    </w:pPr>
    <w:rPr>
      <w:rFonts w:ascii="Tahoma" w:hAnsi="Tahoma"/>
      <w:sz w:val="24"/>
      <w:szCs w:val="20"/>
    </w:rPr>
  </w:style>
  <w:style w:type="paragraph" w:customStyle="1" w:styleId="33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37">
    <w:name w:val="三级条标题"/>
    <w:basedOn w:val="338"/>
    <w:next w:val="322"/>
    <w:qFormat/>
    <w:uiPriority w:val="0"/>
    <w:pPr>
      <w:tabs>
        <w:tab w:val="left" w:pos="1260"/>
        <w:tab w:val="left" w:pos="1680"/>
        <w:tab w:val="left" w:pos="2100"/>
        <w:tab w:val="left" w:pos="2520"/>
      </w:tabs>
      <w:ind w:left="2520"/>
      <w:outlineLvl w:val="4"/>
    </w:pPr>
  </w:style>
  <w:style w:type="paragraph" w:customStyle="1" w:styleId="338">
    <w:name w:val="二级条标题"/>
    <w:basedOn w:val="339"/>
    <w:next w:val="322"/>
    <w:qFormat/>
    <w:uiPriority w:val="0"/>
    <w:pPr>
      <w:tabs>
        <w:tab w:val="left" w:pos="1260"/>
        <w:tab w:val="left" w:pos="1680"/>
        <w:tab w:val="left" w:pos="2100"/>
      </w:tabs>
      <w:ind w:left="0"/>
      <w:outlineLvl w:val="3"/>
    </w:pPr>
  </w:style>
  <w:style w:type="paragraph" w:customStyle="1" w:styleId="339">
    <w:name w:val="一级条标题"/>
    <w:basedOn w:val="340"/>
    <w:next w:val="322"/>
    <w:qFormat/>
    <w:uiPriority w:val="0"/>
    <w:pPr>
      <w:tabs>
        <w:tab w:val="left" w:pos="1260"/>
        <w:tab w:val="left" w:pos="1680"/>
      </w:tabs>
      <w:spacing w:before="0" w:beforeLines="0" w:after="0" w:afterLines="0"/>
      <w:ind w:left="1680"/>
      <w:outlineLvl w:val="2"/>
    </w:pPr>
  </w:style>
  <w:style w:type="paragraph" w:customStyle="1" w:styleId="340">
    <w:name w:val="章标题"/>
    <w:next w:val="322"/>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341">
    <w:name w:val="数字标题2"/>
    <w:basedOn w:val="3"/>
    <w:next w:val="1"/>
    <w:qFormat/>
    <w:uiPriority w:val="0"/>
    <w:pPr>
      <w:tabs>
        <w:tab w:val="left" w:pos="480"/>
        <w:tab w:val="clear" w:pos="432"/>
      </w:tabs>
      <w:ind w:left="480" w:hanging="480"/>
    </w:pPr>
    <w:rPr>
      <w:rFonts w:ascii="Times New Roman" w:eastAsia="宋体"/>
      <w:i/>
      <w:sz w:val="36"/>
      <w:szCs w:val="36"/>
      <w:lang w:val="en-US"/>
    </w:rPr>
  </w:style>
  <w:style w:type="paragraph" w:customStyle="1" w:styleId="34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43">
    <w:name w:val="样式 标题 1Level 1 HeadPIM 1Section Headh1l11Heading 0Datash..."/>
    <w:basedOn w:val="2"/>
    <w:qFormat/>
    <w:uiPriority w:val="0"/>
    <w:pPr>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34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45">
    <w:name w:val="样式 标题 1章节第一层h1H"/>
    <w:basedOn w:val="2"/>
    <w:qFormat/>
    <w:uiPriority w:val="0"/>
    <w:pPr>
      <w:autoSpaceDE w:val="0"/>
      <w:autoSpaceDN w:val="0"/>
      <w:spacing w:before="0" w:after="0" w:line="240" w:lineRule="auto"/>
      <w:ind w:left="0" w:firstLine="0"/>
      <w:jc w:val="left"/>
      <w:outlineLvl w:val="9"/>
    </w:pPr>
    <w:rPr>
      <w:kern w:val="0"/>
      <w:sz w:val="52"/>
      <w:szCs w:val="52"/>
      <w:lang w:val="zh-CN"/>
    </w:rPr>
  </w:style>
  <w:style w:type="paragraph" w:customStyle="1" w:styleId="34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47">
    <w:name w:val="正文 项目2"/>
    <w:basedOn w:val="348"/>
    <w:qFormat/>
    <w:uiPriority w:val="0"/>
    <w:pPr>
      <w:tabs>
        <w:tab w:val="left" w:pos="840"/>
      </w:tabs>
      <w:spacing w:after="0"/>
      <w:ind w:left="900"/>
    </w:pPr>
  </w:style>
  <w:style w:type="paragraph" w:customStyle="1" w:styleId="348">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49">
    <w:name w:val="Body Text 2*"/>
    <w:basedOn w:val="1"/>
    <w:qFormat/>
    <w:uiPriority w:val="6"/>
    <w:pPr>
      <w:widowControl/>
      <w:adjustRightInd/>
      <w:ind w:left="720" w:hanging="720"/>
    </w:pPr>
    <w:rPr>
      <w:color w:val="000000"/>
      <w:kern w:val="0"/>
      <w:sz w:val="24"/>
      <w:szCs w:val="20"/>
    </w:rPr>
  </w:style>
  <w:style w:type="paragraph" w:customStyle="1" w:styleId="350">
    <w:name w:val="表1"/>
    <w:basedOn w:val="1"/>
    <w:qFormat/>
    <w:uiPriority w:val="0"/>
    <w:pPr>
      <w:tabs>
        <w:tab w:val="left" w:pos="703"/>
      </w:tabs>
      <w:adjustRightInd/>
      <w:spacing w:line="360" w:lineRule="auto"/>
      <w:ind w:left="703"/>
      <w:jc w:val="center"/>
    </w:pPr>
  </w:style>
  <w:style w:type="paragraph" w:customStyle="1" w:styleId="35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35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353">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354">
    <w:name w:val="2级标题"/>
    <w:basedOn w:val="355"/>
    <w:qFormat/>
    <w:uiPriority w:val="0"/>
    <w:pPr>
      <w:jc w:val="left"/>
      <w:outlineLvl w:val="1"/>
    </w:pPr>
    <w:rPr>
      <w:rFonts w:ascii="Times New Roman" w:hAnsi="Times New Roman" w:eastAsia="仿宋"/>
      <w:sz w:val="30"/>
    </w:rPr>
  </w:style>
  <w:style w:type="paragraph" w:customStyle="1" w:styleId="355">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35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35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5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5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60">
    <w:name w:val="bullet"/>
    <w:basedOn w:val="1"/>
    <w:qFormat/>
    <w:uiPriority w:val="0"/>
    <w:pPr>
      <w:tabs>
        <w:tab w:val="left" w:pos="840"/>
      </w:tabs>
      <w:adjustRightInd/>
      <w:ind w:left="840" w:hanging="420"/>
    </w:pPr>
  </w:style>
  <w:style w:type="paragraph" w:customStyle="1" w:styleId="36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36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36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36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6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36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368">
    <w:name w:val="MM Topic 4"/>
    <w:basedOn w:val="6"/>
    <w:qFormat/>
    <w:uiPriority w:val="0"/>
    <w:pPr>
      <w:tabs>
        <w:tab w:val="left" w:pos="2100"/>
        <w:tab w:val="clear" w:pos="864"/>
      </w:tabs>
      <w:adjustRightInd/>
      <w:ind w:left="2100" w:hanging="420"/>
    </w:pPr>
    <w:rPr>
      <w:lang w:val="en-US"/>
    </w:rPr>
  </w:style>
  <w:style w:type="paragraph" w:customStyle="1" w:styleId="369">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370">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val="none" w:color="000000"/>
      <w:lang w:val="en-US" w:eastAsia="zh-CN" w:bidi="ar-SA"/>
    </w:rPr>
  </w:style>
  <w:style w:type="paragraph" w:customStyle="1" w:styleId="371">
    <w:name w:val="Char Char11 Char Char Char Char Char Char Char Char Char1"/>
    <w:basedOn w:val="1"/>
    <w:qFormat/>
    <w:uiPriority w:val="6"/>
    <w:pPr>
      <w:spacing w:line="360" w:lineRule="auto"/>
    </w:pPr>
    <w:rPr>
      <w:szCs w:val="20"/>
    </w:rPr>
  </w:style>
  <w:style w:type="paragraph" w:customStyle="1" w:styleId="372">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37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374">
    <w:name w:val="body text bold"/>
    <w:basedOn w:val="23"/>
    <w:qFormat/>
    <w:uiPriority w:val="0"/>
    <w:pPr>
      <w:widowControl/>
      <w:adjustRightInd/>
      <w:spacing w:line="240" w:lineRule="auto"/>
      <w:ind w:firstLine="200" w:firstLineChars="200"/>
      <w:jc w:val="left"/>
    </w:pPr>
    <w:rPr>
      <w:rFonts w:ascii="Futura Hv" w:hAnsi="Futura Hv"/>
      <w:kern w:val="0"/>
      <w:sz w:val="18"/>
      <w:szCs w:val="20"/>
      <w:lang w:val="en-US" w:eastAsia="en-US"/>
    </w:rPr>
  </w:style>
  <w:style w:type="paragraph" w:customStyle="1" w:styleId="37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7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37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37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7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8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81">
    <w:name w:val="单元格居中"/>
    <w:basedOn w:val="1"/>
    <w:qFormat/>
    <w:uiPriority w:val="0"/>
    <w:pPr>
      <w:adjustRightInd/>
      <w:spacing w:line="360" w:lineRule="auto"/>
      <w:jc w:val="center"/>
    </w:pPr>
    <w:rPr>
      <w:sz w:val="24"/>
    </w:rPr>
  </w:style>
  <w:style w:type="paragraph" w:customStyle="1" w:styleId="382">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383">
    <w:name w:val="Char Char Char Char Char Char Char1"/>
    <w:basedOn w:val="1"/>
    <w:qFormat/>
    <w:uiPriority w:val="6"/>
    <w:rPr>
      <w:rFonts w:ascii="仿宋_GB2312" w:eastAsia="仿宋_GB2312"/>
      <w:b/>
      <w:sz w:val="32"/>
      <w:szCs w:val="32"/>
    </w:rPr>
  </w:style>
  <w:style w:type="paragraph" w:customStyle="1" w:styleId="384">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8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86">
    <w:name w:val="Char3 Char Char Char11"/>
    <w:basedOn w:val="1"/>
    <w:qFormat/>
    <w:uiPriority w:val="0"/>
    <w:pPr>
      <w:widowControl/>
      <w:adjustRightInd/>
      <w:spacing w:after="160" w:line="240" w:lineRule="exact"/>
      <w:jc w:val="left"/>
    </w:pPr>
    <w:rPr>
      <w:szCs w:val="20"/>
    </w:rPr>
  </w:style>
  <w:style w:type="paragraph" w:customStyle="1" w:styleId="387">
    <w:name w:val="Char Char1121"/>
    <w:basedOn w:val="1"/>
    <w:qFormat/>
    <w:uiPriority w:val="0"/>
    <w:pPr>
      <w:spacing w:line="360" w:lineRule="auto"/>
    </w:pPr>
    <w:rPr>
      <w:szCs w:val="20"/>
    </w:rPr>
  </w:style>
  <w:style w:type="paragraph" w:customStyle="1" w:styleId="38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8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val="none" w:color="000000"/>
      <w:lang w:val="en-US" w:eastAsia="zh-CN" w:bidi="ar-SA"/>
    </w:rPr>
  </w:style>
  <w:style w:type="paragraph" w:customStyle="1" w:styleId="390">
    <w:name w:val="Normal0"/>
    <w:qFormat/>
    <w:uiPriority w:val="0"/>
    <w:rPr>
      <w:rFonts w:ascii="Times New Roman" w:hAnsi="Times New Roman" w:eastAsia="宋体" w:cs="Times New Roman"/>
      <w:lang w:val="en-US" w:eastAsia="en-US" w:bidi="ar-SA"/>
    </w:rPr>
  </w:style>
  <w:style w:type="paragraph" w:customStyle="1" w:styleId="391">
    <w:name w:val="带编号样式"/>
    <w:basedOn w:val="309"/>
    <w:qFormat/>
    <w:uiPriority w:val="0"/>
    <w:pPr>
      <w:tabs>
        <w:tab w:val="left" w:pos="840"/>
      </w:tabs>
      <w:snapToGrid w:val="0"/>
      <w:ind w:left="840" w:hanging="420" w:firstLineChars="0"/>
    </w:pPr>
    <w:rPr>
      <w:rFonts w:ascii="仿宋_GB2312" w:eastAsia="仿宋_GB2312"/>
      <w:color w:val="000000"/>
    </w:rPr>
  </w:style>
  <w:style w:type="paragraph" w:customStyle="1" w:styleId="39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39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394">
    <w:name w:val="封面"/>
    <w:basedOn w:val="1"/>
    <w:qFormat/>
    <w:uiPriority w:val="0"/>
    <w:pPr>
      <w:spacing w:line="360" w:lineRule="atLeast"/>
      <w:jc w:val="right"/>
      <w:textAlignment w:val="baseline"/>
    </w:pPr>
    <w:rPr>
      <w:rFonts w:ascii="Symbol" w:hAnsi="Symbol"/>
      <w:kern w:val="0"/>
      <w:szCs w:val="20"/>
    </w:rPr>
  </w:style>
  <w:style w:type="paragraph" w:customStyle="1" w:styleId="39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39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397">
    <w:name w:val="默认段落字体 Para Char Char Char1 Char"/>
    <w:basedOn w:val="1"/>
    <w:qFormat/>
    <w:uiPriority w:val="0"/>
    <w:pPr>
      <w:spacing w:line="240" w:lineRule="atLeast"/>
      <w:ind w:left="420" w:firstLine="420"/>
    </w:pPr>
    <w:rPr>
      <w:sz w:val="24"/>
    </w:rPr>
  </w:style>
  <w:style w:type="paragraph" w:customStyle="1" w:styleId="398">
    <w:name w:val="WW-正文文字缩进 2"/>
    <w:basedOn w:val="1"/>
    <w:qFormat/>
    <w:uiPriority w:val="0"/>
    <w:pPr>
      <w:suppressAutoHyphens/>
      <w:adjustRightInd/>
      <w:ind w:firstLine="420"/>
    </w:pPr>
    <w:rPr>
      <w:kern w:val="1"/>
      <w:szCs w:val="20"/>
    </w:rPr>
  </w:style>
  <w:style w:type="paragraph" w:customStyle="1" w:styleId="39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00">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401">
    <w:name w:val="有符号正文"/>
    <w:basedOn w:val="1"/>
    <w:qFormat/>
    <w:uiPriority w:val="0"/>
    <w:pPr>
      <w:adjustRightInd/>
      <w:spacing w:line="400" w:lineRule="exact"/>
      <w:ind w:firstLine="200" w:firstLineChars="200"/>
    </w:pPr>
    <w:rPr>
      <w:rFonts w:ascii="Arial" w:hAnsi="Arial"/>
    </w:rPr>
  </w:style>
  <w:style w:type="paragraph" w:customStyle="1" w:styleId="40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0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404">
    <w:name w:val="4"/>
    <w:basedOn w:val="1"/>
    <w:next w:val="36"/>
    <w:qFormat/>
    <w:uiPriority w:val="0"/>
    <w:pPr>
      <w:spacing w:after="120" w:line="480" w:lineRule="auto"/>
      <w:ind w:left="420" w:leftChars="200"/>
    </w:pPr>
    <w:rPr>
      <w:sz w:val="24"/>
      <w:szCs w:val="20"/>
    </w:rPr>
  </w:style>
  <w:style w:type="paragraph" w:customStyle="1" w:styleId="40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0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07">
    <w:name w:val="样式 标题 3H3 + 两端对齐"/>
    <w:basedOn w:val="4"/>
    <w:qFormat/>
    <w:uiPriority w:val="0"/>
    <w:pPr>
      <w:spacing w:before="0" w:after="0" w:line="240" w:lineRule="auto"/>
      <w:jc w:val="left"/>
    </w:pPr>
    <w:rPr>
      <w:rFonts w:cs="宋体"/>
      <w:sz w:val="21"/>
      <w:szCs w:val="20"/>
    </w:rPr>
  </w:style>
  <w:style w:type="paragraph" w:customStyle="1" w:styleId="40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40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1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1">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41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413">
    <w:name w:val="Char Char1 Char Char Char"/>
    <w:basedOn w:val="1"/>
    <w:qFormat/>
    <w:uiPriority w:val="0"/>
    <w:rPr>
      <w:rFonts w:ascii="仿宋_GB2312" w:eastAsia="仿宋_GB2312"/>
      <w:b/>
      <w:sz w:val="32"/>
      <w:szCs w:val="20"/>
    </w:rPr>
  </w:style>
  <w:style w:type="paragraph" w:customStyle="1" w:styleId="414">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41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16">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417">
    <w:name w:val="Char Char1 Char Char Char2"/>
    <w:basedOn w:val="1"/>
    <w:qFormat/>
    <w:uiPriority w:val="0"/>
    <w:rPr>
      <w:rFonts w:ascii="仿宋_GB2312" w:eastAsia="仿宋_GB2312"/>
      <w:b/>
      <w:sz w:val="32"/>
      <w:szCs w:val="32"/>
    </w:rPr>
  </w:style>
  <w:style w:type="paragraph" w:customStyle="1" w:styleId="418">
    <w:name w:val="Char3 Char Char Char1"/>
    <w:basedOn w:val="1"/>
    <w:qFormat/>
    <w:uiPriority w:val="6"/>
    <w:pPr>
      <w:widowControl/>
      <w:adjustRightInd/>
      <w:spacing w:after="160" w:line="240" w:lineRule="exact"/>
      <w:jc w:val="left"/>
    </w:pPr>
    <w:rPr>
      <w:szCs w:val="20"/>
    </w:rPr>
  </w:style>
  <w:style w:type="paragraph" w:customStyle="1" w:styleId="419">
    <w:name w:val="Char1 Char Char Char21"/>
    <w:basedOn w:val="1"/>
    <w:qFormat/>
    <w:uiPriority w:val="0"/>
    <w:rPr>
      <w:rFonts w:ascii="Tahoma" w:hAnsi="Tahoma"/>
      <w:sz w:val="24"/>
      <w:szCs w:val="20"/>
    </w:rPr>
  </w:style>
  <w:style w:type="paragraph" w:customStyle="1" w:styleId="42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21">
    <w:name w:val="正文（标题三）"/>
    <w:basedOn w:val="1"/>
    <w:qFormat/>
    <w:uiPriority w:val="0"/>
    <w:pPr>
      <w:spacing w:line="360" w:lineRule="auto"/>
      <w:ind w:firstLine="200" w:firstLineChars="200"/>
    </w:pPr>
    <w:rPr>
      <w:sz w:val="24"/>
    </w:rPr>
  </w:style>
  <w:style w:type="paragraph" w:customStyle="1" w:styleId="42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42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2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42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42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427">
    <w:name w:val="Char1 Char Char Char4"/>
    <w:basedOn w:val="1"/>
    <w:qFormat/>
    <w:uiPriority w:val="0"/>
    <w:pPr>
      <w:adjustRightInd/>
      <w:ind w:firstLine="200" w:firstLineChars="200"/>
    </w:pPr>
    <w:rPr>
      <w:rFonts w:ascii="Tahoma" w:hAnsi="Tahoma"/>
      <w:sz w:val="24"/>
      <w:szCs w:val="20"/>
    </w:rPr>
  </w:style>
  <w:style w:type="paragraph" w:customStyle="1" w:styleId="428">
    <w:name w:val="_标题2"/>
    <w:basedOn w:val="395"/>
    <w:next w:val="395"/>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429">
    <w:name w:val="样式1 + (中宋体"/>
    <w:basedOn w:val="406"/>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43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3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43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433">
    <w:name w:val="四号　首行缩进"/>
    <w:basedOn w:val="1"/>
    <w:qFormat/>
    <w:uiPriority w:val="0"/>
    <w:pPr>
      <w:adjustRightInd/>
      <w:spacing w:line="360" w:lineRule="auto"/>
    </w:pPr>
    <w:rPr>
      <w:rFonts w:ascii="宋体" w:hAnsi="宋体"/>
      <w:szCs w:val="20"/>
    </w:rPr>
  </w:style>
  <w:style w:type="paragraph" w:customStyle="1" w:styleId="43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35">
    <w:name w:val="Char Char Char Char Char Char Char Char Char Char Char1 Char"/>
    <w:basedOn w:val="1"/>
    <w:qFormat/>
    <w:uiPriority w:val="0"/>
    <w:pPr>
      <w:adjustRightInd/>
    </w:pPr>
    <w:rPr>
      <w:rFonts w:ascii="Tahoma" w:hAnsi="Tahoma"/>
      <w:sz w:val="24"/>
    </w:rPr>
  </w:style>
  <w:style w:type="paragraph" w:customStyle="1" w:styleId="436">
    <w:name w:val="Char Char Char Char11"/>
    <w:basedOn w:val="1"/>
    <w:qFormat/>
    <w:uiPriority w:val="0"/>
    <w:rPr>
      <w:rFonts w:ascii="Tahoma" w:hAnsi="Tahoma"/>
      <w:sz w:val="24"/>
      <w:szCs w:val="20"/>
    </w:rPr>
  </w:style>
  <w:style w:type="paragraph" w:customStyle="1" w:styleId="43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438">
    <w:name w:val="Char Char Char Char"/>
    <w:basedOn w:val="1"/>
    <w:qFormat/>
    <w:uiPriority w:val="0"/>
    <w:rPr>
      <w:rFonts w:ascii="Tahoma" w:hAnsi="Tahoma"/>
      <w:sz w:val="24"/>
      <w:szCs w:val="20"/>
    </w:rPr>
  </w:style>
  <w:style w:type="paragraph" w:customStyle="1" w:styleId="439">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40">
    <w:name w:val="Char19"/>
    <w:basedOn w:val="1"/>
    <w:qFormat/>
    <w:uiPriority w:val="0"/>
    <w:pPr>
      <w:adjustRightInd/>
    </w:pPr>
    <w:rPr>
      <w:szCs w:val="20"/>
    </w:rPr>
  </w:style>
  <w:style w:type="paragraph" w:customStyle="1" w:styleId="44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42">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443">
    <w:name w:val="_Style 5"/>
    <w:basedOn w:val="1"/>
    <w:qFormat/>
    <w:uiPriority w:val="34"/>
    <w:pPr>
      <w:adjustRightInd/>
      <w:ind w:firstLine="420" w:firstLineChars="200"/>
    </w:pPr>
    <w:rPr>
      <w:rFonts w:eastAsia="仿宋_GB2312"/>
      <w:sz w:val="28"/>
    </w:rPr>
  </w:style>
  <w:style w:type="paragraph" w:customStyle="1" w:styleId="44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45">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44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447">
    <w:name w:val="标书表格字体格式"/>
    <w:next w:val="441"/>
    <w:qFormat/>
    <w:uiPriority w:val="0"/>
    <w:rPr>
      <w:rFonts w:ascii="Times New Roman" w:hAnsi="Times New Roman" w:eastAsia="宋体" w:cs="Times New Roman"/>
      <w:kern w:val="2"/>
      <w:sz w:val="21"/>
      <w:szCs w:val="24"/>
      <w:lang w:val="en-US" w:eastAsia="zh-CN" w:bidi="ar-SA"/>
    </w:rPr>
  </w:style>
  <w:style w:type="paragraph" w:customStyle="1" w:styleId="44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449">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50">
    <w:name w:val="修订3"/>
    <w:qFormat/>
    <w:uiPriority w:val="0"/>
    <w:rPr>
      <w:rFonts w:ascii="Times New Roman" w:hAnsi="Times New Roman" w:eastAsia="宋体" w:cs="Times New Roman"/>
      <w:kern w:val="2"/>
      <w:sz w:val="21"/>
      <w:lang w:val="en-US" w:eastAsia="zh-CN" w:bidi="ar-SA"/>
    </w:rPr>
  </w:style>
  <w:style w:type="paragraph" w:customStyle="1" w:styleId="451">
    <w:name w:val="CSS1级正文 Char"/>
    <w:basedOn w:val="23"/>
    <w:qFormat/>
    <w:uiPriority w:val="0"/>
    <w:pPr>
      <w:snapToGrid w:val="0"/>
      <w:ind w:firstLine="480" w:firstLineChars="200"/>
    </w:pPr>
    <w:rPr>
      <w:rFonts w:ascii="Times New Roman"/>
      <w:szCs w:val="24"/>
      <w:lang w:val="en-US"/>
    </w:rPr>
  </w:style>
  <w:style w:type="paragraph" w:customStyle="1" w:styleId="452">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3">
    <w:name w:val="表文字"/>
    <w:qFormat/>
    <w:uiPriority w:val="0"/>
    <w:rPr>
      <w:rFonts w:ascii="宋体" w:hAnsi="Times New Roman" w:eastAsia="宋体" w:cs="Times New Roman"/>
      <w:kern w:val="2"/>
      <w:lang w:val="en-US" w:eastAsia="zh-CN" w:bidi="ar-SA"/>
    </w:rPr>
  </w:style>
  <w:style w:type="paragraph" w:customStyle="1" w:styleId="454">
    <w:name w:val="MM Title"/>
    <w:basedOn w:val="58"/>
    <w:qFormat/>
    <w:uiPriority w:val="0"/>
    <w:pPr>
      <w:widowControl w:val="0"/>
      <w:adjustRightInd/>
      <w:spacing w:before="240" w:after="60"/>
      <w:textAlignment w:val="auto"/>
      <w:outlineLvl w:val="0"/>
    </w:pPr>
    <w:rPr>
      <w:rFonts w:ascii="Arial" w:hAnsi="Arial" w:cs="Arial"/>
      <w:bCs/>
      <w:kern w:val="2"/>
      <w:sz w:val="32"/>
      <w:szCs w:val="32"/>
      <w:lang w:val="en-US"/>
    </w:rPr>
  </w:style>
  <w:style w:type="paragraph" w:customStyle="1" w:styleId="45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5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57">
    <w:name w:val="Char Char Char Char Char Char Char Char2"/>
    <w:basedOn w:val="1"/>
    <w:qFormat/>
    <w:uiPriority w:val="0"/>
    <w:pPr>
      <w:tabs>
        <w:tab w:val="left" w:pos="360"/>
      </w:tabs>
    </w:pPr>
    <w:rPr>
      <w:sz w:val="24"/>
      <w:szCs w:val="20"/>
    </w:rPr>
  </w:style>
  <w:style w:type="paragraph" w:customStyle="1" w:styleId="45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459">
    <w:name w:val="正文文本 21"/>
    <w:basedOn w:val="1"/>
    <w:qFormat/>
    <w:uiPriority w:val="0"/>
    <w:pPr>
      <w:widowControl/>
      <w:overflowPunct w:val="0"/>
      <w:autoSpaceDE w:val="0"/>
      <w:autoSpaceDN w:val="0"/>
      <w:ind w:left="720" w:hanging="720"/>
      <w:textAlignment w:val="baseline"/>
    </w:pPr>
    <w:rPr>
      <w:kern w:val="0"/>
      <w:sz w:val="24"/>
      <w:szCs w:val="20"/>
    </w:rPr>
  </w:style>
  <w:style w:type="paragraph" w:customStyle="1" w:styleId="460">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46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46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63">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46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465">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466">
    <w:name w:val="p0"/>
    <w:basedOn w:val="1"/>
    <w:qFormat/>
    <w:uiPriority w:val="0"/>
    <w:pPr>
      <w:widowControl/>
      <w:adjustRightInd/>
    </w:pPr>
    <w:rPr>
      <w:kern w:val="0"/>
      <w:szCs w:val="21"/>
    </w:rPr>
  </w:style>
  <w:style w:type="paragraph" w:customStyle="1" w:styleId="467">
    <w:name w:val="Char6"/>
    <w:basedOn w:val="1"/>
    <w:qFormat/>
    <w:uiPriority w:val="0"/>
    <w:rPr>
      <w:rFonts w:ascii="仿宋_GB2312" w:eastAsia="仿宋_GB2312"/>
      <w:b/>
      <w:sz w:val="32"/>
      <w:szCs w:val="32"/>
    </w:rPr>
  </w:style>
  <w:style w:type="paragraph" w:customStyle="1" w:styleId="468">
    <w:name w:val="Char111"/>
    <w:basedOn w:val="1"/>
    <w:qFormat/>
    <w:uiPriority w:val="0"/>
    <w:rPr>
      <w:rFonts w:ascii="仿宋_GB2312" w:eastAsia="仿宋_GB2312"/>
      <w:b/>
      <w:sz w:val="32"/>
      <w:szCs w:val="32"/>
    </w:rPr>
  </w:style>
  <w:style w:type="paragraph" w:customStyle="1" w:styleId="469">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47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47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472">
    <w:name w:val="Char1 Char Char Char2"/>
    <w:basedOn w:val="1"/>
    <w:qFormat/>
    <w:uiPriority w:val="0"/>
    <w:pPr>
      <w:adjustRightInd/>
      <w:ind w:firstLine="200" w:firstLineChars="200"/>
    </w:pPr>
    <w:rPr>
      <w:rFonts w:ascii="Tahoma" w:hAnsi="Tahoma"/>
      <w:sz w:val="24"/>
      <w:szCs w:val="20"/>
    </w:rPr>
  </w:style>
  <w:style w:type="paragraph" w:customStyle="1" w:styleId="473">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474">
    <w:name w:val="样式 标题 1 + 黑色 段前: 0.5 行 段后: 0.5 行1"/>
    <w:basedOn w:val="2"/>
    <w:qFormat/>
    <w:uiPriority w:val="0"/>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475">
    <w:name w:val="Char Char Char Char Char Char Char2"/>
    <w:basedOn w:val="1"/>
    <w:qFormat/>
    <w:uiPriority w:val="0"/>
    <w:rPr>
      <w:rFonts w:ascii="仿宋_GB2312" w:eastAsia="仿宋_GB2312"/>
      <w:b/>
      <w:sz w:val="32"/>
      <w:szCs w:val="32"/>
    </w:rPr>
  </w:style>
  <w:style w:type="paragraph" w:customStyle="1" w:styleId="476">
    <w:name w:val="五级条标题"/>
    <w:basedOn w:val="477"/>
    <w:next w:val="322"/>
    <w:qFormat/>
    <w:uiPriority w:val="0"/>
    <w:pPr>
      <w:tabs>
        <w:tab w:val="left" w:pos="1260"/>
        <w:tab w:val="left" w:pos="1680"/>
        <w:tab w:val="left" w:pos="2100"/>
        <w:tab w:val="left" w:pos="2940"/>
        <w:tab w:val="left" w:pos="3360"/>
      </w:tabs>
      <w:ind w:left="3360"/>
      <w:outlineLvl w:val="6"/>
    </w:pPr>
  </w:style>
  <w:style w:type="paragraph" w:customStyle="1" w:styleId="477">
    <w:name w:val="四级条标题"/>
    <w:basedOn w:val="337"/>
    <w:next w:val="322"/>
    <w:qFormat/>
    <w:uiPriority w:val="0"/>
    <w:pPr>
      <w:tabs>
        <w:tab w:val="left" w:pos="2940"/>
        <w:tab w:val="clear" w:pos="1260"/>
        <w:tab w:val="clear" w:pos="1680"/>
        <w:tab w:val="clear" w:pos="2100"/>
        <w:tab w:val="clear" w:pos="2520"/>
      </w:tabs>
      <w:ind w:left="2940"/>
      <w:outlineLvl w:val="5"/>
    </w:pPr>
  </w:style>
  <w:style w:type="paragraph" w:customStyle="1" w:styleId="47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479">
    <w:name w:val="Char23"/>
    <w:basedOn w:val="1"/>
    <w:qFormat/>
    <w:uiPriority w:val="0"/>
    <w:rPr>
      <w:rFonts w:ascii="仿宋_GB2312" w:eastAsia="仿宋_GB2312"/>
      <w:b/>
      <w:sz w:val="32"/>
      <w:szCs w:val="32"/>
    </w:rPr>
  </w:style>
  <w:style w:type="paragraph" w:customStyle="1" w:styleId="48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48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482">
    <w:name w:val="首行缩进"/>
    <w:basedOn w:val="1"/>
    <w:qFormat/>
    <w:uiPriority w:val="0"/>
    <w:pPr>
      <w:spacing w:line="360" w:lineRule="auto"/>
      <w:ind w:firstLine="480" w:firstLineChars="200"/>
    </w:pPr>
    <w:rPr>
      <w:rFonts w:ascii="宋体"/>
      <w:sz w:val="24"/>
      <w:szCs w:val="20"/>
    </w:rPr>
  </w:style>
  <w:style w:type="paragraph" w:customStyle="1" w:styleId="48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484">
    <w:name w:val="单元格左对齐"/>
    <w:basedOn w:val="1"/>
    <w:qFormat/>
    <w:uiPriority w:val="0"/>
    <w:pPr>
      <w:adjustRightInd/>
      <w:spacing w:line="360" w:lineRule="auto"/>
    </w:pPr>
    <w:rPr>
      <w:sz w:val="24"/>
    </w:rPr>
  </w:style>
  <w:style w:type="paragraph" w:customStyle="1" w:styleId="485">
    <w:name w:val="正文主体"/>
    <w:basedOn w:val="306"/>
    <w:qFormat/>
    <w:uiPriority w:val="0"/>
  </w:style>
  <w:style w:type="paragraph" w:customStyle="1" w:styleId="486">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87">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488">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489">
    <w:name w:val="正文（首行缩进2字符）"/>
    <w:basedOn w:val="1"/>
    <w:qFormat/>
    <w:uiPriority w:val="0"/>
    <w:pPr>
      <w:adjustRightInd/>
      <w:spacing w:line="360" w:lineRule="auto"/>
      <w:ind w:firstLine="480" w:firstLineChars="200"/>
    </w:pPr>
    <w:rPr>
      <w:sz w:val="24"/>
      <w:szCs w:val="20"/>
    </w:rPr>
  </w:style>
  <w:style w:type="paragraph" w:customStyle="1" w:styleId="490">
    <w:name w:val="P1"/>
    <w:basedOn w:val="1"/>
    <w:qFormat/>
    <w:uiPriority w:val="0"/>
    <w:pPr>
      <w:adjustRightInd/>
      <w:spacing w:line="288" w:lineRule="auto"/>
      <w:ind w:firstLine="425" w:firstLineChars="200"/>
    </w:pPr>
  </w:style>
  <w:style w:type="paragraph" w:customStyle="1" w:styleId="491">
    <w:name w:val="列表内容"/>
    <w:basedOn w:val="1"/>
    <w:next w:val="1"/>
    <w:qFormat/>
    <w:uiPriority w:val="0"/>
    <w:pPr>
      <w:widowControl/>
      <w:tabs>
        <w:tab w:val="left" w:pos="840"/>
      </w:tabs>
      <w:ind w:left="840" w:hanging="420"/>
      <w:jc w:val="left"/>
    </w:pPr>
    <w:rPr>
      <w:kern w:val="0"/>
      <w:sz w:val="18"/>
    </w:rPr>
  </w:style>
  <w:style w:type="paragraph" w:customStyle="1" w:styleId="492">
    <w:name w:val="Char Char11 Char Char Char1"/>
    <w:basedOn w:val="1"/>
    <w:qFormat/>
    <w:uiPriority w:val="6"/>
    <w:pPr>
      <w:spacing w:line="360" w:lineRule="auto"/>
    </w:pPr>
    <w:rPr>
      <w:szCs w:val="20"/>
    </w:rPr>
  </w:style>
  <w:style w:type="paragraph" w:customStyle="1" w:styleId="49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494">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495">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49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497">
    <w:name w:val="正文文字缩进2字"/>
    <w:basedOn w:val="23"/>
    <w:qFormat/>
    <w:uiPriority w:val="0"/>
    <w:pPr>
      <w:adjustRightInd/>
      <w:spacing w:before="60" w:after="60"/>
      <w:ind w:firstLine="200" w:firstLineChars="200"/>
    </w:pPr>
    <w:rPr>
      <w:rFonts w:ascii="Times New Roman"/>
      <w:szCs w:val="20"/>
      <w:lang w:val="en-US"/>
    </w:rPr>
  </w:style>
  <w:style w:type="paragraph" w:customStyle="1" w:styleId="498">
    <w:name w:val="默认段落字体 Para Char Char Char Char"/>
    <w:basedOn w:val="1"/>
    <w:qFormat/>
    <w:uiPriority w:val="0"/>
    <w:pPr>
      <w:spacing w:line="360" w:lineRule="auto"/>
    </w:pPr>
    <w:rPr>
      <w:szCs w:val="20"/>
    </w:rPr>
  </w:style>
  <w:style w:type="paragraph" w:customStyle="1" w:styleId="49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500">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01">
    <w:name w:val="Char2 Char Char Char2"/>
    <w:basedOn w:val="1"/>
    <w:qFormat/>
    <w:uiPriority w:val="0"/>
    <w:rPr>
      <w:rFonts w:ascii="仿宋_GB2312" w:eastAsia="仿宋_GB2312"/>
      <w:b/>
      <w:sz w:val="32"/>
      <w:szCs w:val="32"/>
    </w:rPr>
  </w:style>
  <w:style w:type="paragraph" w:customStyle="1" w:styleId="502">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503">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04">
    <w:name w:val="正文 首行缩进:  2 字符 Char"/>
    <w:basedOn w:val="1"/>
    <w:qFormat/>
    <w:uiPriority w:val="0"/>
    <w:pPr>
      <w:adjustRightInd/>
      <w:spacing w:line="360" w:lineRule="auto"/>
      <w:ind w:firstLine="480"/>
    </w:pPr>
    <w:rPr>
      <w:rFonts w:cs="宋体"/>
      <w:sz w:val="24"/>
      <w:szCs w:val="20"/>
    </w:rPr>
  </w:style>
  <w:style w:type="paragraph" w:customStyle="1" w:styleId="505">
    <w:name w:val="Char Char4 Char Char"/>
    <w:basedOn w:val="1"/>
    <w:qFormat/>
    <w:uiPriority w:val="0"/>
    <w:pPr>
      <w:widowControl/>
      <w:adjustRightInd/>
      <w:spacing w:after="160" w:line="240" w:lineRule="exact"/>
      <w:jc w:val="left"/>
    </w:pPr>
  </w:style>
  <w:style w:type="paragraph" w:customStyle="1" w:styleId="506">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07">
    <w:name w:val="Char Char11 Char Char Char2"/>
    <w:basedOn w:val="1"/>
    <w:qFormat/>
    <w:uiPriority w:val="0"/>
    <w:pPr>
      <w:spacing w:line="360" w:lineRule="auto"/>
    </w:pPr>
    <w:rPr>
      <w:szCs w:val="20"/>
    </w:rPr>
  </w:style>
  <w:style w:type="paragraph" w:customStyle="1" w:styleId="508">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09">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0">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511">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512">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51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14">
    <w:name w:val="Char311"/>
    <w:basedOn w:val="1"/>
    <w:qFormat/>
    <w:uiPriority w:val="0"/>
    <w:pPr>
      <w:adjustRightInd/>
      <w:ind w:firstLine="200" w:firstLineChars="200"/>
    </w:pPr>
    <w:rPr>
      <w:rFonts w:ascii="Tahoma" w:hAnsi="Tahoma"/>
      <w:sz w:val="24"/>
      <w:szCs w:val="20"/>
    </w:rPr>
  </w:style>
  <w:style w:type="paragraph" w:customStyle="1" w:styleId="515">
    <w:name w:val="正文文本 23"/>
    <w:basedOn w:val="1"/>
    <w:qFormat/>
    <w:uiPriority w:val="0"/>
    <w:pPr>
      <w:widowControl/>
      <w:overflowPunct w:val="0"/>
      <w:autoSpaceDE w:val="0"/>
      <w:autoSpaceDN w:val="0"/>
      <w:ind w:left="720" w:hanging="720"/>
      <w:textAlignment w:val="baseline"/>
    </w:pPr>
    <w:rPr>
      <w:kern w:val="0"/>
      <w:sz w:val="24"/>
      <w:szCs w:val="20"/>
    </w:rPr>
  </w:style>
  <w:style w:type="paragraph" w:customStyle="1" w:styleId="51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517">
    <w:name w:val="正文 内标"/>
    <w:basedOn w:val="432"/>
    <w:qFormat/>
    <w:uiPriority w:val="0"/>
    <w:pPr>
      <w:tabs>
        <w:tab w:val="left" w:pos="0"/>
      </w:tabs>
      <w:ind w:left="900" w:firstLine="0" w:firstLineChars="0"/>
    </w:pPr>
  </w:style>
  <w:style w:type="paragraph" w:customStyle="1" w:styleId="518">
    <w:name w:val="Bulleted List"/>
    <w:basedOn w:val="1"/>
    <w:qFormat/>
    <w:uiPriority w:val="0"/>
    <w:pPr>
      <w:tabs>
        <w:tab w:val="left" w:pos="1260"/>
      </w:tabs>
      <w:adjustRightInd/>
      <w:ind w:left="1260" w:hanging="420"/>
    </w:pPr>
  </w:style>
  <w:style w:type="paragraph" w:customStyle="1" w:styleId="519">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520">
    <w:name w:val="样式 左侧:  0.85 厘米"/>
    <w:basedOn w:val="1"/>
    <w:qFormat/>
    <w:uiPriority w:val="2"/>
    <w:pPr>
      <w:adjustRightInd/>
      <w:spacing w:line="360" w:lineRule="auto"/>
    </w:pPr>
    <w:rPr>
      <w:rFonts w:cs="宋体"/>
      <w:sz w:val="24"/>
      <w:szCs w:val="20"/>
    </w:rPr>
  </w:style>
  <w:style w:type="paragraph" w:customStyle="1" w:styleId="521">
    <w:name w:val="Char Char Char Char Char Char Char Char Char Char Char Char1 Char"/>
    <w:basedOn w:val="1"/>
    <w:qFormat/>
    <w:uiPriority w:val="0"/>
    <w:rPr>
      <w:rFonts w:ascii="Tahoma" w:hAnsi="Tahoma" w:cs="仿宋_GB2312"/>
      <w:sz w:val="24"/>
      <w:szCs w:val="20"/>
    </w:rPr>
  </w:style>
  <w:style w:type="paragraph" w:customStyle="1" w:styleId="522">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523">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52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5">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526">
    <w:name w:val="Char Char1 Char Char Char Char Char Char"/>
    <w:basedOn w:val="1"/>
    <w:qFormat/>
    <w:uiPriority w:val="0"/>
    <w:rPr>
      <w:rFonts w:ascii="仿宋_GB2312" w:eastAsia="仿宋_GB2312"/>
      <w:b/>
      <w:sz w:val="32"/>
      <w:szCs w:val="20"/>
    </w:rPr>
  </w:style>
  <w:style w:type="paragraph" w:customStyle="1" w:styleId="52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528">
    <w:name w:val="Char Char1 Char Char Char Char Char Char2"/>
    <w:basedOn w:val="1"/>
    <w:qFormat/>
    <w:uiPriority w:val="0"/>
    <w:rPr>
      <w:rFonts w:ascii="仿宋_GB2312" w:eastAsia="仿宋_GB2312"/>
      <w:b/>
      <w:sz w:val="32"/>
      <w:szCs w:val="20"/>
    </w:rPr>
  </w:style>
  <w:style w:type="paragraph" w:customStyle="1" w:styleId="529">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53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531">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53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33">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534">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53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53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7">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38">
    <w:name w:val="Char31"/>
    <w:basedOn w:val="1"/>
    <w:qFormat/>
    <w:uiPriority w:val="0"/>
    <w:pPr>
      <w:adjustRightInd/>
    </w:pPr>
    <w:rPr>
      <w:rFonts w:ascii="仿宋_GB2312" w:eastAsia="仿宋_GB2312"/>
      <w:b/>
      <w:sz w:val="32"/>
      <w:szCs w:val="32"/>
    </w:rPr>
  </w:style>
  <w:style w:type="paragraph" w:customStyle="1" w:styleId="539">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54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54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42">
    <w:name w:val="Char Char1"/>
    <w:basedOn w:val="1"/>
    <w:qFormat/>
    <w:uiPriority w:val="0"/>
    <w:pPr>
      <w:widowControl/>
      <w:spacing w:after="160" w:line="240" w:lineRule="exact"/>
      <w:jc w:val="left"/>
    </w:pPr>
    <w:rPr>
      <w:rFonts w:eastAsia="仿宋_GB2312"/>
      <w:sz w:val="28"/>
    </w:rPr>
  </w:style>
  <w:style w:type="paragraph" w:customStyle="1" w:styleId="543">
    <w:name w:val="Char21"/>
    <w:basedOn w:val="1"/>
    <w:qFormat/>
    <w:uiPriority w:val="0"/>
    <w:pPr>
      <w:adjustRightInd/>
      <w:ind w:firstLine="200" w:firstLineChars="200"/>
    </w:pPr>
    <w:rPr>
      <w:rFonts w:ascii="仿宋_GB2312" w:eastAsia="仿宋_GB2312"/>
      <w:b/>
      <w:sz w:val="32"/>
      <w:szCs w:val="32"/>
    </w:rPr>
  </w:style>
  <w:style w:type="paragraph" w:customStyle="1" w:styleId="544">
    <w:name w:val="列表段落1"/>
    <w:basedOn w:val="1"/>
    <w:qFormat/>
    <w:uiPriority w:val="34"/>
    <w:pPr>
      <w:adjustRightInd/>
      <w:ind w:right="238" w:firstLine="420"/>
    </w:pPr>
    <w:rPr>
      <w:rFonts w:ascii="Calibri" w:hAnsi="Calibri"/>
      <w:sz w:val="24"/>
    </w:rPr>
  </w:style>
  <w:style w:type="paragraph" w:customStyle="1" w:styleId="545">
    <w:name w:val="Char Char110"/>
    <w:basedOn w:val="1"/>
    <w:qFormat/>
    <w:uiPriority w:val="6"/>
    <w:pPr>
      <w:spacing w:line="360" w:lineRule="auto"/>
    </w:pPr>
    <w:rPr>
      <w:rFonts w:ascii="Tahoma" w:hAnsi="Tahoma"/>
      <w:sz w:val="24"/>
      <w:szCs w:val="20"/>
    </w:rPr>
  </w:style>
  <w:style w:type="paragraph" w:customStyle="1" w:styleId="54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54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48">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54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550">
    <w:name w:val="Char Char Char Char Char Char Char Char Char Char Char Char1 Char2"/>
    <w:basedOn w:val="1"/>
    <w:qFormat/>
    <w:uiPriority w:val="0"/>
    <w:rPr>
      <w:rFonts w:ascii="Tahoma" w:hAnsi="Tahoma" w:cs="仿宋_GB2312"/>
      <w:sz w:val="24"/>
      <w:szCs w:val="20"/>
    </w:rPr>
  </w:style>
  <w:style w:type="paragraph" w:customStyle="1" w:styleId="551">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552">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553">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55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555">
    <w:name w:val="_Style 12"/>
    <w:basedOn w:val="18"/>
    <w:qFormat/>
    <w:uiPriority w:val="0"/>
    <w:pPr>
      <w:snapToGrid w:val="0"/>
      <w:spacing w:line="360" w:lineRule="auto"/>
    </w:pPr>
  </w:style>
  <w:style w:type="paragraph" w:customStyle="1" w:styleId="556">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55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58">
    <w:name w:val="_Style 94"/>
    <w:basedOn w:val="1"/>
    <w:next w:val="100"/>
    <w:qFormat/>
    <w:uiPriority w:val="34"/>
    <w:pPr>
      <w:adjustRightInd/>
      <w:spacing w:line="360" w:lineRule="auto"/>
      <w:ind w:firstLine="200" w:firstLineChars="200"/>
    </w:pPr>
    <w:rPr>
      <w:rFonts w:ascii="Calibri" w:hAnsi="Calibri"/>
      <w:sz w:val="28"/>
      <w:szCs w:val="20"/>
    </w:rPr>
  </w:style>
  <w:style w:type="paragraph" w:customStyle="1" w:styleId="559">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60">
    <w:name w:val="正文 A"/>
    <w:qFormat/>
    <w:uiPriority w:val="0"/>
    <w:pPr>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paragraph" w:customStyle="1" w:styleId="56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562">
    <w:name w:val="3级标题"/>
    <w:basedOn w:val="354"/>
    <w:qFormat/>
    <w:uiPriority w:val="0"/>
    <w:pPr>
      <w:outlineLvl w:val="2"/>
    </w:pPr>
  </w:style>
  <w:style w:type="paragraph" w:customStyle="1" w:styleId="56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64">
    <w:name w:val="Char1 Char Char Char3"/>
    <w:basedOn w:val="1"/>
    <w:qFormat/>
    <w:uiPriority w:val="0"/>
    <w:pPr>
      <w:adjustRightInd/>
      <w:ind w:firstLine="200" w:firstLineChars="200"/>
    </w:pPr>
    <w:rPr>
      <w:rFonts w:ascii="Tahoma" w:hAnsi="Tahoma"/>
      <w:sz w:val="24"/>
      <w:szCs w:val="20"/>
    </w:rPr>
  </w:style>
  <w:style w:type="paragraph" w:customStyle="1" w:styleId="56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566">
    <w:name w:val="MM Empty"/>
    <w:basedOn w:val="1"/>
    <w:qFormat/>
    <w:uiPriority w:val="0"/>
    <w:pPr>
      <w:adjustRightInd/>
    </w:pPr>
  </w:style>
  <w:style w:type="paragraph" w:customStyle="1" w:styleId="567">
    <w:name w:val="Char24"/>
    <w:basedOn w:val="1"/>
    <w:qFormat/>
    <w:uiPriority w:val="0"/>
    <w:rPr>
      <w:rFonts w:ascii="仿宋_GB2312" w:eastAsia="仿宋_GB2312"/>
      <w:b/>
      <w:sz w:val="32"/>
      <w:szCs w:val="32"/>
    </w:rPr>
  </w:style>
  <w:style w:type="paragraph" w:customStyle="1" w:styleId="568">
    <w:name w:val="正文箭头"/>
    <w:basedOn w:val="220"/>
    <w:qFormat/>
    <w:uiPriority w:val="0"/>
  </w:style>
  <w:style w:type="paragraph" w:customStyle="1" w:styleId="569">
    <w:name w:val="U_编号2"/>
    <w:basedOn w:val="1"/>
    <w:qFormat/>
    <w:uiPriority w:val="0"/>
    <w:pPr>
      <w:tabs>
        <w:tab w:val="left" w:pos="785"/>
      </w:tabs>
      <w:adjustRightInd/>
      <w:spacing w:beforeLines="10" w:afterLines="10" w:line="300" w:lineRule="auto"/>
    </w:pPr>
    <w:rPr>
      <w:sz w:val="24"/>
    </w:rPr>
  </w:style>
  <w:style w:type="paragraph" w:customStyle="1" w:styleId="57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7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72">
    <w:name w:val="标书标题3"/>
    <w:basedOn w:val="4"/>
    <w:qFormat/>
    <w:uiPriority w:val="0"/>
    <w:pPr>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73">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74">
    <w:name w:val="_Style 1"/>
    <w:basedOn w:val="1"/>
    <w:qFormat/>
    <w:uiPriority w:val="34"/>
    <w:pPr>
      <w:adjustRightInd/>
      <w:ind w:firstLine="420" w:firstLineChars="200"/>
    </w:pPr>
    <w:rPr>
      <w:rFonts w:eastAsia="仿宋_GB2312"/>
      <w:sz w:val="28"/>
    </w:rPr>
  </w:style>
  <w:style w:type="paragraph" w:customStyle="1" w:styleId="575">
    <w:name w:val="表格 内容"/>
    <w:basedOn w:val="411"/>
    <w:qFormat/>
    <w:uiPriority w:val="0"/>
    <w:rPr>
      <w:b w:val="0"/>
      <w:sz w:val="20"/>
    </w:rPr>
  </w:style>
  <w:style w:type="paragraph" w:customStyle="1" w:styleId="576">
    <w:name w:val="正文首行缩进1"/>
    <w:basedOn w:val="23"/>
    <w:qFormat/>
    <w:uiPriority w:val="0"/>
    <w:pPr>
      <w:suppressAutoHyphens/>
      <w:adjustRightInd/>
      <w:spacing w:after="120" w:line="240" w:lineRule="auto"/>
      <w:ind w:firstLine="420"/>
      <w:jc w:val="left"/>
    </w:pPr>
    <w:rPr>
      <w:rFonts w:ascii="Times New Roman"/>
      <w:kern w:val="1"/>
      <w:sz w:val="28"/>
      <w:szCs w:val="24"/>
      <w:lang w:val="en-US" w:eastAsia="ar-SA"/>
    </w:rPr>
  </w:style>
  <w:style w:type="paragraph" w:customStyle="1" w:styleId="57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578">
    <w:name w:val="数字标题5"/>
    <w:basedOn w:val="7"/>
    <w:next w:val="1"/>
    <w:qFormat/>
    <w:uiPriority w:val="0"/>
    <w:pPr>
      <w:tabs>
        <w:tab w:val="left" w:pos="1080"/>
        <w:tab w:val="clear" w:pos="1008"/>
      </w:tabs>
      <w:ind w:left="1080" w:hanging="1080"/>
    </w:pPr>
  </w:style>
  <w:style w:type="paragraph" w:customStyle="1" w:styleId="579">
    <w:name w:val="数字标题1"/>
    <w:basedOn w:val="2"/>
    <w:next w:val="1"/>
    <w:qFormat/>
    <w:uiPriority w:val="0"/>
    <w:pPr>
      <w:tabs>
        <w:tab w:val="left" w:pos="480"/>
        <w:tab w:val="clear" w:pos="432"/>
      </w:tabs>
      <w:ind w:left="480" w:hanging="480"/>
    </w:pPr>
  </w:style>
  <w:style w:type="paragraph" w:customStyle="1" w:styleId="58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58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8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eastAsia="en-US"/>
    </w:rPr>
  </w:style>
  <w:style w:type="paragraph" w:customStyle="1" w:styleId="58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58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586">
    <w:name w:val="0"/>
    <w:basedOn w:val="1"/>
    <w:qFormat/>
    <w:uiPriority w:val="0"/>
    <w:pPr>
      <w:widowControl/>
    </w:pPr>
    <w:rPr>
      <w:kern w:val="0"/>
      <w:sz w:val="24"/>
      <w:szCs w:val="20"/>
    </w:rPr>
  </w:style>
  <w:style w:type="paragraph" w:customStyle="1" w:styleId="587">
    <w:name w:val="Char Char113"/>
    <w:basedOn w:val="1"/>
    <w:qFormat/>
    <w:uiPriority w:val="0"/>
    <w:pPr>
      <w:widowControl/>
      <w:spacing w:after="160" w:line="240" w:lineRule="exact"/>
      <w:jc w:val="left"/>
    </w:pPr>
    <w:rPr>
      <w:rFonts w:eastAsia="仿宋_GB2312"/>
      <w:sz w:val="28"/>
    </w:rPr>
  </w:style>
  <w:style w:type="paragraph" w:customStyle="1" w:styleId="58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589">
    <w:name w:val="_Style 8"/>
    <w:basedOn w:val="1"/>
    <w:qFormat/>
    <w:uiPriority w:val="34"/>
    <w:pPr>
      <w:adjustRightInd/>
      <w:ind w:firstLine="420" w:firstLineChars="200"/>
    </w:pPr>
    <w:rPr>
      <w:rFonts w:eastAsia="仿宋_GB2312"/>
      <w:sz w:val="28"/>
    </w:rPr>
  </w:style>
  <w:style w:type="paragraph" w:customStyle="1" w:styleId="59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91">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59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59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595">
    <w:name w:val="Char Char112"/>
    <w:basedOn w:val="1"/>
    <w:qFormat/>
    <w:uiPriority w:val="6"/>
    <w:pPr>
      <w:widowControl/>
      <w:spacing w:after="160" w:line="240" w:lineRule="exact"/>
      <w:jc w:val="left"/>
    </w:pPr>
    <w:rPr>
      <w:rFonts w:eastAsia="仿宋_GB2312"/>
      <w:sz w:val="28"/>
    </w:rPr>
  </w:style>
  <w:style w:type="paragraph" w:customStyle="1" w:styleId="596">
    <w:name w:val="正文 图"/>
    <w:basedOn w:val="126"/>
    <w:qFormat/>
    <w:uiPriority w:val="0"/>
    <w:pPr>
      <w:adjustRightInd/>
      <w:spacing w:before="0"/>
      <w:ind w:firstLine="0"/>
      <w:jc w:val="center"/>
    </w:pPr>
    <w:rPr>
      <w:rFonts w:ascii="微软雅黑" w:hAnsi="微软雅黑"/>
    </w:rPr>
  </w:style>
  <w:style w:type="paragraph" w:customStyle="1" w:styleId="59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9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599">
    <w:name w:val="Thf"/>
    <w:basedOn w:val="244"/>
    <w:qFormat/>
    <w:uiPriority w:val="0"/>
    <w:pPr>
      <w:ind w:left="0"/>
    </w:pPr>
  </w:style>
  <w:style w:type="paragraph" w:customStyle="1" w:styleId="60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0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602">
    <w:name w:val="注释"/>
    <w:basedOn w:val="1"/>
    <w:qFormat/>
    <w:uiPriority w:val="0"/>
    <w:pPr>
      <w:adjustRightInd/>
      <w:spacing w:line="360" w:lineRule="auto"/>
      <w:ind w:firstLine="480"/>
    </w:pPr>
    <w:rPr>
      <w:sz w:val="24"/>
    </w:rPr>
  </w:style>
  <w:style w:type="paragraph" w:customStyle="1" w:styleId="603">
    <w:name w:val="列出段落111"/>
    <w:basedOn w:val="1"/>
    <w:qFormat/>
    <w:uiPriority w:val="34"/>
    <w:pPr>
      <w:ind w:firstLine="420" w:firstLineChars="200"/>
    </w:pPr>
  </w:style>
  <w:style w:type="paragraph" w:customStyle="1" w:styleId="604">
    <w:name w:val="标准文本"/>
    <w:basedOn w:val="1"/>
    <w:link w:val="939"/>
    <w:qFormat/>
    <w:uiPriority w:val="0"/>
    <w:pPr>
      <w:adjustRightInd/>
      <w:spacing w:line="360" w:lineRule="auto"/>
      <w:ind w:firstLine="480" w:firstLineChars="200"/>
    </w:pPr>
    <w:rPr>
      <w:rFonts w:cs="宋体"/>
      <w:sz w:val="24"/>
      <w:szCs w:val="20"/>
    </w:rPr>
  </w:style>
  <w:style w:type="paragraph" w:customStyle="1" w:styleId="605">
    <w:name w:val="_Style 947"/>
    <w:basedOn w:val="1"/>
    <w:next w:val="100"/>
    <w:qFormat/>
    <w:uiPriority w:val="34"/>
    <w:pPr>
      <w:adjustRightInd/>
      <w:ind w:firstLine="420" w:firstLineChars="200"/>
    </w:pPr>
  </w:style>
  <w:style w:type="paragraph" w:customStyle="1" w:styleId="606">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607">
    <w:name w:val="纯文本2"/>
    <w:basedOn w:val="1"/>
    <w:qFormat/>
    <w:uiPriority w:val="0"/>
    <w:pPr>
      <w:adjustRightInd/>
      <w:snapToGrid w:val="0"/>
      <w:jc w:val="left"/>
    </w:pPr>
    <w:rPr>
      <w:rFonts w:ascii="Century Gothic" w:hAnsi="楷体_GB2312" w:eastAsia="Century Gothic"/>
      <w:szCs w:val="20"/>
    </w:rPr>
  </w:style>
  <w:style w:type="paragraph" w:customStyle="1" w:styleId="608">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609">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610">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611">
    <w:name w:val="Blockquote"/>
    <w:basedOn w:val="1"/>
    <w:qFormat/>
    <w:uiPriority w:val="0"/>
    <w:pPr>
      <w:autoSpaceDE w:val="0"/>
      <w:autoSpaceDN w:val="0"/>
      <w:spacing w:before="100" w:after="100"/>
      <w:ind w:left="360" w:right="360"/>
      <w:jc w:val="left"/>
    </w:pPr>
    <w:rPr>
      <w:kern w:val="0"/>
      <w:sz w:val="24"/>
      <w:szCs w:val="20"/>
    </w:rPr>
  </w:style>
  <w:style w:type="paragraph" w:customStyle="1" w:styleId="612">
    <w:name w:val="p1"/>
    <w:basedOn w:val="1"/>
    <w:qFormat/>
    <w:uiPriority w:val="0"/>
    <w:pPr>
      <w:widowControl/>
      <w:adjustRightInd/>
      <w:jc w:val="left"/>
    </w:pPr>
    <w:rPr>
      <w:rFonts w:ascii=".PingFang SC" w:eastAsia=".PingFang SC"/>
      <w:color w:val="454545"/>
      <w:kern w:val="0"/>
      <w:sz w:val="18"/>
      <w:szCs w:val="18"/>
    </w:rPr>
  </w:style>
  <w:style w:type="paragraph" w:customStyle="1" w:styleId="613">
    <w:name w:val="Table Paragraph"/>
    <w:basedOn w:val="1"/>
    <w:qFormat/>
    <w:uiPriority w:val="0"/>
    <w:pPr>
      <w:adjustRightInd/>
      <w:jc w:val="left"/>
    </w:pPr>
    <w:rPr>
      <w:rFonts w:ascii="Calibri" w:hAnsi="Calibri"/>
      <w:kern w:val="0"/>
      <w:sz w:val="22"/>
      <w:szCs w:val="22"/>
      <w:lang w:eastAsia="en-US"/>
    </w:rPr>
  </w:style>
  <w:style w:type="paragraph" w:customStyle="1" w:styleId="61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615">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616">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17">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618">
    <w:name w:val="表格非标题文字 Char"/>
    <w:link w:val="80"/>
    <w:qFormat/>
    <w:uiPriority w:val="0"/>
    <w:rPr>
      <w:rFonts w:ascii="Futura Bk" w:hAnsi="Futura Bk"/>
      <w:kern w:val="2"/>
      <w:sz w:val="18"/>
      <w:szCs w:val="21"/>
      <w:lang w:val="en-US" w:eastAsia="zh-CN" w:bidi="ar-SA"/>
    </w:rPr>
  </w:style>
  <w:style w:type="character" w:customStyle="1" w:styleId="619">
    <w:name w:val="*正文 Char"/>
    <w:link w:val="81"/>
    <w:qFormat/>
    <w:locked/>
    <w:uiPriority w:val="0"/>
    <w:rPr>
      <w:rFonts w:ascii="宋体" w:hAnsi="宋体"/>
      <w:sz w:val="24"/>
    </w:rPr>
  </w:style>
  <w:style w:type="character" w:customStyle="1" w:styleId="620">
    <w:name w:val="Char Char71"/>
    <w:semiHidden/>
    <w:qFormat/>
    <w:uiPriority w:val="0"/>
    <w:rPr>
      <w:rFonts w:eastAsia="宋体"/>
      <w:kern w:val="2"/>
      <w:sz w:val="21"/>
      <w:szCs w:val="24"/>
      <w:lang w:val="en-US" w:eastAsia="zh-CN" w:bidi="ar-SA"/>
    </w:rPr>
  </w:style>
  <w:style w:type="character" w:customStyle="1" w:styleId="621">
    <w:name w:val="Char Char6"/>
    <w:qFormat/>
    <w:uiPriority w:val="0"/>
    <w:rPr>
      <w:rFonts w:eastAsia="宋体"/>
      <w:kern w:val="2"/>
      <w:sz w:val="21"/>
      <w:szCs w:val="24"/>
      <w:lang w:val="en-US" w:eastAsia="zh-CN" w:bidi="ar-SA"/>
    </w:rPr>
  </w:style>
  <w:style w:type="character" w:customStyle="1" w:styleId="622">
    <w:name w:val="正文缩进 Char"/>
    <w:qFormat/>
    <w:uiPriority w:val="0"/>
    <w:rPr>
      <w:rFonts w:eastAsia="宋体"/>
      <w:kern w:val="2"/>
      <w:sz w:val="21"/>
      <w:lang w:val="en-US" w:eastAsia="zh-CN"/>
    </w:rPr>
  </w:style>
  <w:style w:type="character" w:customStyle="1" w:styleId="623">
    <w:name w:val="正文首行缩进 Char1"/>
    <w:qFormat/>
    <w:uiPriority w:val="0"/>
    <w:rPr>
      <w:rFonts w:ascii="宋体" w:hAnsi="Times New Roman" w:eastAsia="宋体" w:cs="Times New Roman"/>
      <w:snapToGrid w:val="0"/>
      <w:kern w:val="2"/>
      <w:sz w:val="24"/>
      <w:szCs w:val="21"/>
      <w:lang w:val="zh-CN"/>
    </w:rPr>
  </w:style>
  <w:style w:type="character" w:customStyle="1" w:styleId="624">
    <w:name w:val="Char Char28"/>
    <w:qFormat/>
    <w:uiPriority w:val="6"/>
    <w:rPr>
      <w:rFonts w:ascii="仿宋_GB2312" w:hAnsi="仿宋_GB2312" w:eastAsia="仿宋_GB2312"/>
      <w:kern w:val="1"/>
      <w:sz w:val="28"/>
    </w:rPr>
  </w:style>
  <w:style w:type="character" w:customStyle="1" w:styleId="625">
    <w:name w:val="标题 3 Char1"/>
    <w:qFormat/>
    <w:uiPriority w:val="0"/>
    <w:rPr>
      <w:rFonts w:hint="eastAsia" w:ascii="华文中宋" w:hAnsi="华文中宋" w:eastAsia="华文中宋"/>
      <w:b/>
      <w:bCs/>
      <w:kern w:val="2"/>
      <w:sz w:val="32"/>
      <w:szCs w:val="32"/>
      <w:lang w:val="en-US" w:eastAsia="zh-CN" w:bidi="ar-SA"/>
    </w:rPr>
  </w:style>
  <w:style w:type="character" w:customStyle="1" w:styleId="626">
    <w:name w:val="Heading 1 Char"/>
    <w:qFormat/>
    <w:uiPriority w:val="6"/>
    <w:rPr>
      <w:rFonts w:ascii="Times New Roman" w:hAnsi="Times New Roman" w:eastAsia="黑体" w:cs="Times New Roman"/>
      <w:b/>
      <w:kern w:val="0"/>
      <w:sz w:val="24"/>
      <w:szCs w:val="24"/>
    </w:rPr>
  </w:style>
  <w:style w:type="character" w:customStyle="1" w:styleId="627">
    <w:name w:val="U_正文 Char"/>
    <w:link w:val="82"/>
    <w:qFormat/>
    <w:uiPriority w:val="0"/>
    <w:rPr>
      <w:sz w:val="24"/>
      <w:szCs w:val="24"/>
    </w:rPr>
  </w:style>
  <w:style w:type="character" w:customStyle="1" w:styleId="628">
    <w:name w:val="HTML 地址 Char1"/>
    <w:qFormat/>
    <w:uiPriority w:val="0"/>
    <w:rPr>
      <w:rFonts w:ascii="Times New Roman" w:hAnsi="Times New Roman" w:eastAsia="宋体" w:cs="Times New Roman"/>
      <w:i/>
      <w:iCs/>
      <w:szCs w:val="24"/>
    </w:rPr>
  </w:style>
  <w:style w:type="character" w:customStyle="1" w:styleId="629">
    <w:name w:val="批注主题 Char1"/>
    <w:link w:val="59"/>
    <w:qFormat/>
    <w:uiPriority w:val="0"/>
    <w:rPr>
      <w:b/>
      <w:bCs/>
      <w:kern w:val="2"/>
      <w:sz w:val="21"/>
      <w:szCs w:val="24"/>
    </w:rPr>
  </w:style>
  <w:style w:type="character" w:customStyle="1" w:styleId="630">
    <w:name w:val="Char Char51"/>
    <w:qFormat/>
    <w:uiPriority w:val="0"/>
    <w:rPr>
      <w:rFonts w:ascii="宋体" w:hAnsi="Courier New" w:eastAsia="宋体"/>
      <w:kern w:val="2"/>
      <w:sz w:val="21"/>
      <w:lang w:val="en-US" w:eastAsia="zh-CN"/>
    </w:rPr>
  </w:style>
  <w:style w:type="character" w:customStyle="1" w:styleId="631">
    <w:name w:val="表正文 Char"/>
    <w:qFormat/>
    <w:uiPriority w:val="0"/>
    <w:rPr>
      <w:rFonts w:ascii="宋体" w:eastAsia="宋体"/>
      <w:snapToGrid w:val="0"/>
      <w:color w:val="000000"/>
      <w:kern w:val="28"/>
      <w:sz w:val="28"/>
      <w:lang w:val="en-US" w:eastAsia="zh-CN" w:bidi="ar-SA"/>
    </w:rPr>
  </w:style>
  <w:style w:type="character" w:customStyle="1" w:styleId="632">
    <w:name w:val="Char Char34"/>
    <w:qFormat/>
    <w:uiPriority w:val="6"/>
    <w:rPr>
      <w:b/>
      <w:kern w:val="1"/>
      <w:sz w:val="28"/>
      <w:szCs w:val="28"/>
    </w:rPr>
  </w:style>
  <w:style w:type="character" w:customStyle="1" w:styleId="633">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634">
    <w:name w:val="哈哈正文 Char"/>
    <w:link w:val="83"/>
    <w:qFormat/>
    <w:uiPriority w:val="0"/>
    <w:rPr>
      <w:rFonts w:ascii="宋体" w:hAnsi="宋体" w:eastAsia="宋体"/>
      <w:kern w:val="2"/>
      <w:sz w:val="24"/>
      <w:lang w:bidi="ar-SA"/>
    </w:rPr>
  </w:style>
  <w:style w:type="character" w:customStyle="1" w:styleId="635">
    <w:name w:val="未处理的提及1"/>
    <w:qFormat/>
    <w:uiPriority w:val="0"/>
    <w:rPr>
      <w:color w:val="808080"/>
      <w:shd w:val="clear" w:color="auto" w:fill="E6E6E6"/>
    </w:rPr>
  </w:style>
  <w:style w:type="character" w:customStyle="1" w:styleId="636">
    <w:name w:val="txt"/>
    <w:qFormat/>
    <w:uiPriority w:val="0"/>
    <w:rPr>
      <w:rFonts w:ascii="仿宋_GB2312" w:eastAsia="微软雅黑"/>
      <w:b/>
      <w:kern w:val="2"/>
      <w:sz w:val="32"/>
      <w:szCs w:val="32"/>
      <w:lang w:val="en-US" w:eastAsia="zh-CN" w:bidi="ar-SA"/>
    </w:rPr>
  </w:style>
  <w:style w:type="character" w:customStyle="1" w:styleId="637">
    <w:name w:val="二级标题 Char Char"/>
    <w:qFormat/>
    <w:uiPriority w:val="0"/>
    <w:rPr>
      <w:rFonts w:ascii="宋体" w:hAnsi="宋体" w:eastAsia="宋体"/>
      <w:b/>
      <w:snapToGrid w:val="0"/>
      <w:kern w:val="2"/>
      <w:sz w:val="24"/>
      <w:szCs w:val="24"/>
      <w:lang w:val="en-US" w:eastAsia="zh-CN" w:bidi="ar-SA"/>
    </w:rPr>
  </w:style>
  <w:style w:type="character" w:customStyle="1" w:styleId="638">
    <w:name w:val="Char Char32"/>
    <w:qFormat/>
    <w:uiPriority w:val="6"/>
    <w:rPr>
      <w:b/>
      <w:kern w:val="1"/>
      <w:sz w:val="24"/>
      <w:szCs w:val="24"/>
    </w:rPr>
  </w:style>
  <w:style w:type="character" w:customStyle="1" w:styleId="639">
    <w:name w:val="PI Char1"/>
    <w:qFormat/>
    <w:uiPriority w:val="0"/>
    <w:rPr>
      <w:rFonts w:ascii="宋体" w:hAnsi="宋体"/>
      <w:kern w:val="2"/>
      <w:sz w:val="24"/>
      <w:szCs w:val="24"/>
    </w:rPr>
  </w:style>
  <w:style w:type="character" w:customStyle="1" w:styleId="640">
    <w:name w:val="tw4winTerm"/>
    <w:qFormat/>
    <w:uiPriority w:val="0"/>
    <w:rPr>
      <w:color w:val="0000FF"/>
    </w:rPr>
  </w:style>
  <w:style w:type="character" w:customStyle="1" w:styleId="641">
    <w:name w:val="Footer Char"/>
    <w:qFormat/>
    <w:locked/>
    <w:uiPriority w:val="0"/>
    <w:rPr>
      <w:rFonts w:eastAsia="宋体"/>
      <w:kern w:val="2"/>
      <w:sz w:val="18"/>
      <w:lang w:val="en-US" w:eastAsia="zh-CN" w:bidi="ar-SA"/>
    </w:rPr>
  </w:style>
  <w:style w:type="character" w:customStyle="1" w:styleId="642">
    <w:name w:val="普通文字 Char Char1"/>
    <w:qFormat/>
    <w:uiPriority w:val="0"/>
    <w:rPr>
      <w:rFonts w:ascii="宋体" w:hAnsi="Courier New"/>
      <w:kern w:val="2"/>
      <w:sz w:val="21"/>
    </w:rPr>
  </w:style>
  <w:style w:type="character" w:customStyle="1" w:styleId="643">
    <w:name w:val="Char Char101"/>
    <w:qFormat/>
    <w:uiPriority w:val="6"/>
    <w:rPr>
      <w:rFonts w:ascii="宋体" w:hAnsi="宋体"/>
      <w:kern w:val="2"/>
      <w:sz w:val="21"/>
      <w:szCs w:val="24"/>
      <w:lang w:val="en-US" w:eastAsia="zh-CN"/>
    </w:rPr>
  </w:style>
  <w:style w:type="character" w:customStyle="1" w:styleId="644">
    <w:name w:val="标题 4 Char"/>
    <w:qFormat/>
    <w:uiPriority w:val="0"/>
    <w:rPr>
      <w:rFonts w:ascii="Arial" w:hAnsi="Arial" w:eastAsia="黑体"/>
      <w:b/>
      <w:kern w:val="2"/>
      <w:sz w:val="28"/>
    </w:rPr>
  </w:style>
  <w:style w:type="character" w:customStyle="1" w:styleId="645">
    <w:name w:val="链接"/>
    <w:qFormat/>
    <w:uiPriority w:val="0"/>
    <w:rPr>
      <w:color w:val="0000FF"/>
      <w:sz w:val="21"/>
      <w:szCs w:val="21"/>
      <w:u w:val="single"/>
    </w:rPr>
  </w:style>
  <w:style w:type="character" w:customStyle="1" w:styleId="646">
    <w:name w:val="h4 Char"/>
    <w:qFormat/>
    <w:uiPriority w:val="0"/>
    <w:rPr>
      <w:rFonts w:ascii="Arial" w:hAnsi="Arial" w:eastAsia="黑体"/>
      <w:b/>
      <w:bCs/>
      <w:kern w:val="2"/>
      <w:sz w:val="28"/>
      <w:szCs w:val="28"/>
      <w:lang w:val="zh-CN" w:eastAsia="zh-CN" w:bidi="ar-SA"/>
    </w:rPr>
  </w:style>
  <w:style w:type="character" w:customStyle="1" w:styleId="647">
    <w:name w:val="5正文 Char"/>
    <w:link w:val="84"/>
    <w:qFormat/>
    <w:uiPriority w:val="0"/>
    <w:rPr>
      <w:rFonts w:ascii="仿宋_GB2312" w:hAnsi="微软雅黑" w:eastAsia="仿宋_GB2312"/>
      <w:sz w:val="28"/>
      <w:szCs w:val="21"/>
    </w:rPr>
  </w:style>
  <w:style w:type="character" w:customStyle="1" w:styleId="648">
    <w:name w:val="标题 3 字符"/>
    <w:qFormat/>
    <w:uiPriority w:val="9"/>
    <w:rPr>
      <w:b/>
      <w:bCs/>
      <w:kern w:val="2"/>
      <w:sz w:val="32"/>
      <w:szCs w:val="32"/>
    </w:rPr>
  </w:style>
  <w:style w:type="character" w:customStyle="1" w:styleId="649">
    <w:name w:val="样式6 Char"/>
    <w:qFormat/>
    <w:uiPriority w:val="0"/>
    <w:rPr>
      <w:rFonts w:ascii="仿宋_GB2312" w:hAnsi="宋体" w:eastAsia="仿宋_GB2312"/>
      <w:b/>
      <w:bCs/>
      <w:kern w:val="2"/>
      <w:sz w:val="24"/>
      <w:szCs w:val="24"/>
      <w:lang w:val="en-US" w:eastAsia="zh-CN" w:bidi="ar-SA"/>
    </w:rPr>
  </w:style>
  <w:style w:type="character" w:customStyle="1" w:styleId="650">
    <w:name w:val="Char Char14"/>
    <w:qFormat/>
    <w:uiPriority w:val="6"/>
    <w:rPr>
      <w:rFonts w:ascii="黑体" w:hAnsi="黑体" w:eastAsia="黑体"/>
    </w:rPr>
  </w:style>
  <w:style w:type="character" w:customStyle="1" w:styleId="651">
    <w:name w:val="Heading 2 Hidden Char"/>
    <w:qFormat/>
    <w:uiPriority w:val="0"/>
    <w:rPr>
      <w:rFonts w:ascii="仿宋_GB2312" w:eastAsia="仿宋_GB2312"/>
      <w:b/>
      <w:bCs/>
      <w:kern w:val="2"/>
      <w:sz w:val="24"/>
      <w:szCs w:val="24"/>
      <w:lang w:val="zh-CN" w:eastAsia="zh-CN" w:bidi="ar-SA"/>
    </w:rPr>
  </w:style>
  <w:style w:type="character" w:customStyle="1" w:styleId="652">
    <w:name w:val="正文首行缩进 2 Char"/>
    <w:link w:val="61"/>
    <w:qFormat/>
    <w:uiPriority w:val="0"/>
    <w:rPr>
      <w:rFonts w:ascii="宋体" w:hAnsi="宋体"/>
      <w:kern w:val="2"/>
      <w:sz w:val="21"/>
      <w:szCs w:val="24"/>
    </w:rPr>
  </w:style>
  <w:style w:type="character" w:customStyle="1" w:styleId="653">
    <w:name w:val="font11"/>
    <w:qFormat/>
    <w:uiPriority w:val="0"/>
    <w:rPr>
      <w:rFonts w:hint="default" w:ascii="Times New Roman" w:hAnsi="Times New Roman" w:cs="Times New Roman"/>
      <w:color w:val="000000"/>
      <w:sz w:val="22"/>
      <w:szCs w:val="22"/>
      <w:u w:val="none"/>
    </w:rPr>
  </w:style>
  <w:style w:type="character" w:customStyle="1" w:styleId="654">
    <w:name w:val="表正文 Char1"/>
    <w:qFormat/>
    <w:uiPriority w:val="0"/>
    <w:rPr>
      <w:rFonts w:ascii="宋体" w:eastAsia="宋体"/>
      <w:snapToGrid w:val="0"/>
      <w:color w:val="000000"/>
      <w:kern w:val="28"/>
      <w:sz w:val="28"/>
    </w:rPr>
  </w:style>
  <w:style w:type="character" w:customStyle="1" w:styleId="655">
    <w:name w:val="blue1"/>
    <w:basedOn w:val="69"/>
    <w:qFormat/>
    <w:uiPriority w:val="0"/>
    <w:rPr>
      <w:rFonts w:ascii="Arial" w:hAnsi="Arial" w:eastAsia="黑体" w:cs="Arial"/>
      <w:snapToGrid w:val="0"/>
      <w:kern w:val="0"/>
      <w:szCs w:val="21"/>
    </w:rPr>
  </w:style>
  <w:style w:type="character" w:customStyle="1" w:styleId="65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657">
    <w:name w:val="标书1 Char"/>
    <w:qFormat/>
    <w:uiPriority w:val="0"/>
    <w:rPr>
      <w:rFonts w:eastAsia="宋体"/>
      <w:b/>
      <w:bCs/>
      <w:kern w:val="44"/>
      <w:sz w:val="44"/>
      <w:szCs w:val="44"/>
      <w:lang w:val="en-US" w:eastAsia="zh-CN" w:bidi="ar-SA"/>
    </w:rPr>
  </w:style>
  <w:style w:type="character" w:customStyle="1" w:styleId="658">
    <w:name w:val="样式5 Char"/>
    <w:qFormat/>
    <w:uiPriority w:val="0"/>
    <w:rPr>
      <w:rFonts w:ascii="仿宋_GB2312" w:hAnsi="仿宋" w:eastAsia="仿宋_GB2312"/>
      <w:kern w:val="2"/>
      <w:sz w:val="24"/>
      <w:szCs w:val="24"/>
    </w:rPr>
  </w:style>
  <w:style w:type="character" w:customStyle="1" w:styleId="659">
    <w:name w:val="样式4 Char"/>
    <w:qFormat/>
    <w:uiPriority w:val="0"/>
    <w:rPr>
      <w:rFonts w:ascii="仿宋_GB2312" w:hAnsi="仿宋" w:eastAsia="仿宋_GB2312"/>
      <w:b/>
      <w:kern w:val="2"/>
      <w:sz w:val="32"/>
      <w:szCs w:val="32"/>
      <w:lang w:bidi="ar-SA"/>
    </w:rPr>
  </w:style>
  <w:style w:type="character" w:customStyle="1" w:styleId="660">
    <w:name w:val="插图说明 Char"/>
    <w:qFormat/>
    <w:uiPriority w:val="0"/>
    <w:rPr>
      <w:rFonts w:eastAsia="黑体"/>
      <w:sz w:val="24"/>
      <w:lang w:val="en-US" w:eastAsia="zh-CN"/>
    </w:rPr>
  </w:style>
  <w:style w:type="character" w:customStyle="1" w:styleId="661">
    <w:name w:val="正文2 Char Char"/>
    <w:link w:val="85"/>
    <w:qFormat/>
    <w:uiPriority w:val="0"/>
    <w:rPr>
      <w:rFonts w:eastAsia="宋体"/>
      <w:kern w:val="2"/>
      <w:sz w:val="24"/>
      <w:lang w:val="en-US" w:eastAsia="zh-CN" w:bidi="ar-SA"/>
    </w:rPr>
  </w:style>
  <w:style w:type="character" w:customStyle="1" w:styleId="662">
    <w:name w:val="Char Char24"/>
    <w:qFormat/>
    <w:uiPriority w:val="6"/>
    <w:rPr>
      <w:kern w:val="1"/>
      <w:sz w:val="21"/>
    </w:rPr>
  </w:style>
  <w:style w:type="character" w:customStyle="1" w:styleId="663">
    <w:name w:val="副标题 Char"/>
    <w:link w:val="46"/>
    <w:qFormat/>
    <w:uiPriority w:val="0"/>
    <w:rPr>
      <w:rFonts w:ascii="Arial" w:hAnsi="Arial" w:eastAsia="隶书"/>
      <w:b/>
      <w:bCs/>
      <w:kern w:val="28"/>
      <w:sz w:val="44"/>
      <w:szCs w:val="32"/>
      <w:lang w:val="en-US" w:eastAsia="zh-CN" w:bidi="ar-SA"/>
    </w:rPr>
  </w:style>
  <w:style w:type="character" w:customStyle="1" w:styleId="664">
    <w:name w:val="普通文字 Char1 Char"/>
    <w:qFormat/>
    <w:uiPriority w:val="0"/>
    <w:rPr>
      <w:rFonts w:ascii="宋体" w:hAnsi="Courier New" w:eastAsia="宋体"/>
      <w:kern w:val="2"/>
      <w:sz w:val="21"/>
      <w:szCs w:val="24"/>
      <w:lang w:val="en-US" w:eastAsia="zh-CN" w:bidi="ar-SA"/>
    </w:rPr>
  </w:style>
  <w:style w:type="character" w:customStyle="1" w:styleId="665">
    <w:name w:val="h3 Char1"/>
    <w:qFormat/>
    <w:uiPriority w:val="0"/>
    <w:rPr>
      <w:rFonts w:eastAsia="宋体"/>
      <w:b/>
      <w:bCs/>
      <w:kern w:val="2"/>
      <w:sz w:val="32"/>
      <w:szCs w:val="32"/>
      <w:lang w:bidi="ar-SA"/>
    </w:rPr>
  </w:style>
  <w:style w:type="character" w:customStyle="1" w:styleId="666">
    <w:name w:val="标题 Char1"/>
    <w:qFormat/>
    <w:uiPriority w:val="0"/>
    <w:rPr>
      <w:rFonts w:ascii="Cambria" w:hAnsi="Cambria" w:eastAsia="宋体" w:cs="Times New Roman"/>
      <w:b/>
      <w:bCs/>
      <w:sz w:val="32"/>
      <w:szCs w:val="32"/>
      <w:lang w:bidi="ar-SA"/>
    </w:rPr>
  </w:style>
  <w:style w:type="character" w:customStyle="1" w:styleId="667">
    <w:name w:val="gf正文1 Char"/>
    <w:qFormat/>
    <w:uiPriority w:val="0"/>
    <w:rPr>
      <w:rFonts w:ascii="宋体" w:hAnsi="宋体" w:eastAsia="宋体" w:cs="宋体"/>
      <w:kern w:val="2"/>
      <w:sz w:val="24"/>
      <w:szCs w:val="24"/>
      <w:lang w:val="en-US" w:eastAsia="zh-CN" w:bidi="ar-SA"/>
    </w:rPr>
  </w:style>
  <w:style w:type="character" w:customStyle="1" w:styleId="668">
    <w:name w:val="正文文本缩进 Char1"/>
    <w:qFormat/>
    <w:uiPriority w:val="0"/>
    <w:rPr>
      <w:rFonts w:ascii="Calibri" w:hAnsi="Calibri"/>
      <w:sz w:val="28"/>
    </w:rPr>
  </w:style>
  <w:style w:type="character" w:customStyle="1" w:styleId="669">
    <w:name w:val="No Spacing Char"/>
    <w:link w:val="86"/>
    <w:qFormat/>
    <w:uiPriority w:val="1"/>
    <w:rPr>
      <w:sz w:val="22"/>
      <w:szCs w:val="22"/>
      <w:lang w:val="en-US" w:eastAsia="zh-CN" w:bidi="ar-SA"/>
    </w:rPr>
  </w:style>
  <w:style w:type="character" w:customStyle="1" w:styleId="670">
    <w:name w:val="样式7 Char"/>
    <w:qFormat/>
    <w:uiPriority w:val="0"/>
    <w:rPr>
      <w:rFonts w:ascii="仿宋_GB2312" w:hAnsi="仿宋" w:eastAsia="仿宋_GB2312"/>
      <w:b/>
      <w:kern w:val="2"/>
      <w:sz w:val="24"/>
      <w:szCs w:val="24"/>
    </w:rPr>
  </w:style>
  <w:style w:type="character" w:customStyle="1" w:styleId="671">
    <w:name w:val="font12gray1"/>
    <w:qFormat/>
    <w:uiPriority w:val="0"/>
    <w:rPr>
      <w:rFonts w:ascii="仿宋_GB2312" w:eastAsia="微软雅黑"/>
      <w:b/>
      <w:spacing w:val="300"/>
      <w:kern w:val="2"/>
      <w:sz w:val="18"/>
      <w:szCs w:val="18"/>
      <w:lang w:val="en-US" w:eastAsia="zh-CN" w:bidi="ar-SA"/>
    </w:rPr>
  </w:style>
  <w:style w:type="character" w:customStyle="1" w:styleId="672">
    <w:name w:val="Char Char7"/>
    <w:semiHidden/>
    <w:qFormat/>
    <w:uiPriority w:val="0"/>
    <w:rPr>
      <w:rFonts w:eastAsia="宋体"/>
      <w:kern w:val="2"/>
      <w:sz w:val="21"/>
      <w:szCs w:val="24"/>
      <w:lang w:val="en-US" w:eastAsia="zh-CN" w:bidi="ar-SA"/>
    </w:rPr>
  </w:style>
  <w:style w:type="character" w:customStyle="1" w:styleId="673">
    <w:name w:val="表名 Char"/>
    <w:qFormat/>
    <w:uiPriority w:val="0"/>
    <w:rPr>
      <w:rFonts w:eastAsia="宋体"/>
      <w:b/>
      <w:bCs/>
      <w:kern w:val="2"/>
      <w:sz w:val="24"/>
      <w:szCs w:val="24"/>
      <w:lang w:val="en-US" w:eastAsia="zh-CN" w:bidi="ar-SA"/>
    </w:rPr>
  </w:style>
  <w:style w:type="character" w:customStyle="1" w:styleId="674">
    <w:name w:val="Document Map Char"/>
    <w:qFormat/>
    <w:locked/>
    <w:uiPriority w:val="0"/>
    <w:rPr>
      <w:rFonts w:eastAsia="宋体"/>
      <w:kern w:val="2"/>
      <w:sz w:val="21"/>
      <w:szCs w:val="24"/>
      <w:lang w:val="en-US" w:eastAsia="zh-CN" w:bidi="ar-SA"/>
    </w:rPr>
  </w:style>
  <w:style w:type="character" w:customStyle="1" w:styleId="675">
    <w:name w:val="font41"/>
    <w:qFormat/>
    <w:uiPriority w:val="0"/>
    <w:rPr>
      <w:rFonts w:hint="eastAsia" w:ascii="仿宋_GB2312" w:eastAsia="仿宋_GB2312" w:cs="仿宋_GB2312"/>
      <w:color w:val="000000"/>
      <w:sz w:val="22"/>
      <w:szCs w:val="22"/>
      <w:u w:val="none"/>
    </w:rPr>
  </w:style>
  <w:style w:type="character" w:customStyle="1" w:styleId="676">
    <w:name w:val="标题 6 Char"/>
    <w:link w:val="8"/>
    <w:qFormat/>
    <w:uiPriority w:val="0"/>
    <w:rPr>
      <w:rFonts w:ascii="Arial" w:hAnsi="Arial" w:eastAsia="黑体"/>
      <w:b/>
      <w:bCs/>
      <w:kern w:val="2"/>
      <w:sz w:val="24"/>
      <w:szCs w:val="24"/>
    </w:rPr>
  </w:style>
  <w:style w:type="character" w:customStyle="1" w:styleId="677">
    <w:name w:val="纯文本 Char_0"/>
    <w:link w:val="87"/>
    <w:qFormat/>
    <w:uiPriority w:val="0"/>
    <w:rPr>
      <w:rFonts w:ascii="宋体" w:hAnsi="Courier New"/>
      <w:kern w:val="2"/>
      <w:sz w:val="21"/>
      <w:szCs w:val="21"/>
      <w:lang w:val="en-US" w:eastAsia="zh-CN"/>
    </w:rPr>
  </w:style>
  <w:style w:type="character" w:customStyle="1" w:styleId="678">
    <w:name w:val="Balloon Text Char"/>
    <w:qFormat/>
    <w:locked/>
    <w:uiPriority w:val="0"/>
    <w:rPr>
      <w:rFonts w:eastAsia="宋体"/>
      <w:kern w:val="2"/>
      <w:sz w:val="18"/>
      <w:szCs w:val="18"/>
      <w:lang w:val="en-US" w:eastAsia="zh-CN" w:bidi="ar-SA"/>
    </w:rPr>
  </w:style>
  <w:style w:type="character" w:customStyle="1" w:styleId="679">
    <w:name w:val="正文 项目2 Char"/>
    <w:basedOn w:val="680"/>
    <w:qFormat/>
    <w:uiPriority w:val="0"/>
    <w:rPr>
      <w:rFonts w:ascii="仿宋_GB2312" w:hAnsi="仿宋_GB2312" w:eastAsia="仿宋_GB2312"/>
      <w:kern w:val="2"/>
      <w:sz w:val="24"/>
      <w:lang w:bidi="ar-SA"/>
    </w:rPr>
  </w:style>
  <w:style w:type="character" w:customStyle="1" w:styleId="680">
    <w:name w:val="正文 项目 Char"/>
    <w:qFormat/>
    <w:uiPriority w:val="0"/>
    <w:rPr>
      <w:rFonts w:ascii="仿宋_GB2312" w:hAnsi="仿宋_GB2312" w:eastAsia="仿宋_GB2312"/>
      <w:kern w:val="2"/>
      <w:sz w:val="24"/>
      <w:lang w:bidi="ar-SA"/>
    </w:rPr>
  </w:style>
  <w:style w:type="character" w:customStyle="1" w:styleId="681">
    <w:name w:val="h Char Char1"/>
    <w:qFormat/>
    <w:uiPriority w:val="0"/>
    <w:rPr>
      <w:rFonts w:eastAsia="宋体"/>
      <w:kern w:val="2"/>
      <w:sz w:val="18"/>
      <w:szCs w:val="18"/>
      <w:lang w:val="en-US" w:eastAsia="zh-CN" w:bidi="ar-SA"/>
    </w:rPr>
  </w:style>
  <w:style w:type="character" w:customStyle="1" w:styleId="682">
    <w:name w:val="Char Char27"/>
    <w:qFormat/>
    <w:uiPriority w:val="6"/>
    <w:rPr>
      <w:rFonts w:ascii="宋体" w:hAnsi="宋体" w:eastAsia="宋体"/>
      <w:color w:val="000000"/>
      <w:kern w:val="1"/>
      <w:sz w:val="28"/>
      <w:lang w:val="en-US" w:eastAsia="zh-CN" w:bidi="ar-SA"/>
    </w:rPr>
  </w:style>
  <w:style w:type="character" w:customStyle="1" w:styleId="683">
    <w:name w:val="px14"/>
    <w:qFormat/>
    <w:uiPriority w:val="0"/>
    <w:rPr>
      <w:rFonts w:ascii="仿宋_GB2312" w:eastAsia="微软雅黑" w:cs="Times New Roman"/>
      <w:b/>
      <w:kern w:val="2"/>
      <w:sz w:val="32"/>
      <w:szCs w:val="32"/>
      <w:lang w:val="en-US" w:eastAsia="zh-CN" w:bidi="ar-SA"/>
    </w:rPr>
  </w:style>
  <w:style w:type="character" w:customStyle="1" w:styleId="684">
    <w:name w:val="HTML 预设格式 Char1"/>
    <w:qFormat/>
    <w:uiPriority w:val="0"/>
    <w:rPr>
      <w:rFonts w:ascii="Courier New" w:hAnsi="Courier New" w:eastAsia="宋体" w:cs="Courier New"/>
      <w:sz w:val="20"/>
      <w:szCs w:val="20"/>
    </w:rPr>
  </w:style>
  <w:style w:type="character" w:customStyle="1" w:styleId="685">
    <w:name w:val="普通文字 Char1"/>
    <w:qFormat/>
    <w:uiPriority w:val="0"/>
    <w:rPr>
      <w:rFonts w:ascii="宋体" w:hAnsi="Courier New" w:eastAsia="宋体"/>
      <w:kern w:val="2"/>
      <w:sz w:val="21"/>
      <w:lang w:val="en-US" w:eastAsia="zh-CN"/>
    </w:rPr>
  </w:style>
  <w:style w:type="character" w:customStyle="1" w:styleId="686">
    <w:name w:val="hei16b1"/>
    <w:qFormat/>
    <w:uiPriority w:val="0"/>
    <w:rPr>
      <w:rFonts w:hint="default" w:ascii="Arial" w:hAnsi="Arial" w:cs="Arial"/>
      <w:b/>
      <w:bCs/>
      <w:color w:val="000000"/>
      <w:sz w:val="24"/>
      <w:szCs w:val="24"/>
    </w:rPr>
  </w:style>
  <w:style w:type="character" w:customStyle="1" w:styleId="687">
    <w:name w:val="正文（绿盟科技） Char"/>
    <w:link w:val="89"/>
    <w:qFormat/>
    <w:uiPriority w:val="0"/>
    <w:rPr>
      <w:rFonts w:ascii="Arial" w:hAnsi="Arial"/>
      <w:sz w:val="21"/>
      <w:szCs w:val="21"/>
    </w:rPr>
  </w:style>
  <w:style w:type="character" w:customStyle="1" w:styleId="688">
    <w:name w:val="Char Char19"/>
    <w:qFormat/>
    <w:uiPriority w:val="6"/>
    <w:rPr>
      <w:rFonts w:ascii="宋体" w:hAnsi="宋体"/>
      <w:i/>
      <w:sz w:val="24"/>
      <w:szCs w:val="24"/>
    </w:rPr>
  </w:style>
  <w:style w:type="character" w:customStyle="1" w:styleId="689">
    <w:name w:val="页脚 Char"/>
    <w:qFormat/>
    <w:uiPriority w:val="0"/>
    <w:rPr>
      <w:rFonts w:eastAsia="仿宋_GB2312"/>
      <w:kern w:val="2"/>
      <w:sz w:val="18"/>
      <w:lang w:val="en-US" w:eastAsia="zh-CN"/>
    </w:rPr>
  </w:style>
  <w:style w:type="character" w:customStyle="1" w:styleId="690">
    <w:name w:val="批注主题 Char"/>
    <w:qFormat/>
    <w:uiPriority w:val="0"/>
    <w:rPr>
      <w:rFonts w:eastAsia="宋体"/>
      <w:b/>
      <w:bCs/>
      <w:kern w:val="2"/>
      <w:sz w:val="21"/>
      <w:szCs w:val="24"/>
      <w:lang w:val="en-US" w:eastAsia="zh-CN" w:bidi="ar-SA"/>
    </w:rPr>
  </w:style>
  <w:style w:type="character" w:customStyle="1" w:styleId="691">
    <w:name w:val="Comment Text Char"/>
    <w:qFormat/>
    <w:locked/>
    <w:uiPriority w:val="0"/>
    <w:rPr>
      <w:rFonts w:ascii="宋体" w:hAnsi="宋体" w:eastAsia="宋体"/>
      <w:kern w:val="2"/>
      <w:sz w:val="24"/>
      <w:lang w:val="en-US" w:eastAsia="zh-CN" w:bidi="ar-SA"/>
    </w:rPr>
  </w:style>
  <w:style w:type="character" w:customStyle="1" w:styleId="692">
    <w:name w:val="标题 2 字符"/>
    <w:qFormat/>
    <w:uiPriority w:val="1"/>
    <w:rPr>
      <w:rFonts w:ascii="仿宋_GB2312" w:hAnsi="Times New Roman" w:eastAsia="仿宋_GB2312" w:cs="Times New Roman"/>
      <w:b/>
      <w:kern w:val="2"/>
      <w:sz w:val="24"/>
      <w:lang w:val="zh-CN"/>
    </w:rPr>
  </w:style>
  <w:style w:type="character" w:customStyle="1" w:styleId="693">
    <w:name w:val="Char Char72"/>
    <w:qFormat/>
    <w:uiPriority w:val="0"/>
    <w:rPr>
      <w:rFonts w:eastAsia="宋体"/>
      <w:kern w:val="2"/>
      <w:sz w:val="21"/>
      <w:szCs w:val="24"/>
      <w:lang w:val="en-US" w:eastAsia="zh-CN" w:bidi="ar-SA"/>
    </w:rPr>
  </w:style>
  <w:style w:type="character" w:customStyle="1" w:styleId="694">
    <w:name w:val="正文文本缩进 Char2"/>
    <w:qFormat/>
    <w:uiPriority w:val="0"/>
    <w:rPr>
      <w:rFonts w:ascii="Times New Roman" w:hAnsi="Times New Roman" w:eastAsia="宋体" w:cs="Times New Roman"/>
      <w:snapToGrid w:val="0"/>
      <w:kern w:val="0"/>
      <w:szCs w:val="24"/>
    </w:rPr>
  </w:style>
  <w:style w:type="character" w:customStyle="1" w:styleId="695">
    <w:name w:val="样式2 Char"/>
    <w:qFormat/>
    <w:uiPriority w:val="0"/>
    <w:rPr>
      <w:rFonts w:ascii="仿宋_GB2312" w:hAnsi="仿宋" w:eastAsia="仿宋_GB2312" w:cs="仿宋_GB2312"/>
      <w:b/>
      <w:bCs/>
      <w:sz w:val="32"/>
      <w:szCs w:val="30"/>
      <w:lang w:val="zh-CN"/>
    </w:rPr>
  </w:style>
  <w:style w:type="character" w:customStyle="1" w:styleId="696">
    <w:name w:val="表格名称[858D7CFB-ED40-4347-BF05-701D383B685F]"/>
    <w:link w:val="90"/>
    <w:qFormat/>
    <w:uiPriority w:val="0"/>
    <w:rPr>
      <w:sz w:val="32"/>
    </w:rPr>
  </w:style>
  <w:style w:type="character" w:customStyle="1" w:styleId="697">
    <w:name w:val="Char Char4"/>
    <w:qFormat/>
    <w:uiPriority w:val="0"/>
    <w:rPr>
      <w:rFonts w:eastAsia="宋体"/>
      <w:b/>
      <w:sz w:val="24"/>
      <w:lang w:eastAsia="zh-CN" w:bidi="ar-SA"/>
    </w:rPr>
  </w:style>
  <w:style w:type="character" w:customStyle="1" w:styleId="698">
    <w:name w:val="c7 style3"/>
    <w:qFormat/>
    <w:uiPriority w:val="0"/>
  </w:style>
  <w:style w:type="character" w:customStyle="1" w:styleId="699">
    <w:name w:val="正文文本 3 Char1"/>
    <w:semiHidden/>
    <w:qFormat/>
    <w:uiPriority w:val="99"/>
    <w:rPr>
      <w:rFonts w:ascii="Times New Roman" w:hAnsi="Times New Roman" w:eastAsia="宋体" w:cs="Times New Roman"/>
      <w:sz w:val="16"/>
      <w:szCs w:val="16"/>
    </w:rPr>
  </w:style>
  <w:style w:type="character" w:customStyle="1" w:styleId="700">
    <w:name w:val="tw4winInternal"/>
    <w:qFormat/>
    <w:uiPriority w:val="0"/>
    <w:rPr>
      <w:rFonts w:ascii="Courier New" w:hAnsi="Courier New" w:cs="Courier New"/>
      <w:color w:val="FF0000"/>
      <w:lang w:val="en-US" w:eastAsia="zh-CN"/>
    </w:rPr>
  </w:style>
  <w:style w:type="character" w:customStyle="1" w:styleId="701">
    <w:name w:val="Char Char10"/>
    <w:semiHidden/>
    <w:qFormat/>
    <w:uiPriority w:val="0"/>
    <w:rPr>
      <w:rFonts w:ascii="宋体" w:hAnsi="宋体"/>
      <w:kern w:val="2"/>
      <w:sz w:val="21"/>
      <w:szCs w:val="24"/>
      <w:lang w:val="en-US" w:eastAsia="zh-CN"/>
    </w:rPr>
  </w:style>
  <w:style w:type="character" w:customStyle="1" w:styleId="702">
    <w:name w:val="shadow11"/>
    <w:qFormat/>
    <w:uiPriority w:val="0"/>
    <w:rPr>
      <w:color w:val="000000"/>
      <w:sz w:val="21"/>
    </w:rPr>
  </w:style>
  <w:style w:type="character" w:customStyle="1" w:styleId="703">
    <w:name w:val="正文非缩进 Char3"/>
    <w:qFormat/>
    <w:uiPriority w:val="0"/>
    <w:rPr>
      <w:rFonts w:ascii="宋体" w:eastAsia="宋体"/>
      <w:snapToGrid w:val="0"/>
      <w:color w:val="000000"/>
      <w:kern w:val="28"/>
      <w:sz w:val="28"/>
      <w:lang w:val="en-US" w:eastAsia="zh-CN" w:bidi="ar-SA"/>
    </w:rPr>
  </w:style>
  <w:style w:type="character" w:customStyle="1" w:styleId="704">
    <w:name w:val="Char Char"/>
    <w:qFormat/>
    <w:uiPriority w:val="0"/>
    <w:rPr>
      <w:rFonts w:ascii="宋体" w:hAnsi="Courier New" w:eastAsia="宋体"/>
      <w:kern w:val="2"/>
      <w:sz w:val="21"/>
      <w:lang w:val="en-US" w:eastAsia="zh-CN" w:bidi="ar-SA"/>
    </w:rPr>
  </w:style>
  <w:style w:type="character" w:customStyle="1" w:styleId="705">
    <w:name w:val="签名 Char1"/>
    <w:qFormat/>
    <w:uiPriority w:val="0"/>
    <w:rPr>
      <w:rFonts w:ascii="Times New Roman" w:hAnsi="Times New Roman" w:eastAsia="宋体" w:cs="Times New Roman"/>
      <w:szCs w:val="24"/>
    </w:rPr>
  </w:style>
  <w:style w:type="character" w:customStyle="1" w:styleId="706">
    <w:name w:val="日期 Char"/>
    <w:link w:val="35"/>
    <w:qFormat/>
    <w:uiPriority w:val="0"/>
    <w:rPr>
      <w:rFonts w:ascii="宋体"/>
      <w:kern w:val="2"/>
      <w:sz w:val="24"/>
      <w:szCs w:val="21"/>
      <w:lang w:val="zh-CN"/>
    </w:rPr>
  </w:style>
  <w:style w:type="character" w:customStyle="1" w:styleId="707">
    <w:name w:val="标题 9 Char"/>
    <w:link w:val="11"/>
    <w:qFormat/>
    <w:uiPriority w:val="0"/>
    <w:rPr>
      <w:rFonts w:ascii="Arial" w:hAnsi="Arial" w:eastAsia="黑体"/>
      <w:kern w:val="2"/>
      <w:sz w:val="21"/>
      <w:szCs w:val="21"/>
    </w:rPr>
  </w:style>
  <w:style w:type="character" w:customStyle="1" w:styleId="708">
    <w:name w:val="Char Char18"/>
    <w:qFormat/>
    <w:uiPriority w:val="6"/>
    <w:rPr>
      <w:rFonts w:ascii="宋体" w:hAnsi="宋体"/>
      <w:sz w:val="28"/>
    </w:rPr>
  </w:style>
  <w:style w:type="character" w:customStyle="1" w:styleId="709">
    <w:name w:val="批注文字 Char"/>
    <w:qFormat/>
    <w:uiPriority w:val="0"/>
    <w:rPr>
      <w:kern w:val="2"/>
      <w:sz w:val="21"/>
      <w:szCs w:val="24"/>
    </w:rPr>
  </w:style>
  <w:style w:type="character" w:customStyle="1" w:styleId="710">
    <w:name w:val="Char Char22"/>
    <w:qFormat/>
    <w:uiPriority w:val="6"/>
    <w:rPr>
      <w:rFonts w:ascii="宋体" w:hAnsi="宋体"/>
      <w:kern w:val="1"/>
      <w:sz w:val="24"/>
      <w:szCs w:val="24"/>
    </w:rPr>
  </w:style>
  <w:style w:type="character" w:customStyle="1" w:styleId="711">
    <w:name w:val="pt141"/>
    <w:qFormat/>
    <w:uiPriority w:val="0"/>
    <w:rPr>
      <w:color w:val="330066"/>
      <w:sz w:val="22"/>
      <w:szCs w:val="22"/>
    </w:rPr>
  </w:style>
  <w:style w:type="character" w:customStyle="1" w:styleId="712">
    <w:name w:val="正文文本缩进 2 Char1"/>
    <w:semiHidden/>
    <w:qFormat/>
    <w:uiPriority w:val="99"/>
    <w:rPr>
      <w:rFonts w:ascii="Times New Roman" w:hAnsi="Times New Roman" w:eastAsia="宋体" w:cs="Times New Roman"/>
      <w:szCs w:val="24"/>
    </w:rPr>
  </w:style>
  <w:style w:type="character" w:customStyle="1" w:styleId="713">
    <w:name w:val="批注框文本 Char"/>
    <w:link w:val="38"/>
    <w:qFormat/>
    <w:uiPriority w:val="0"/>
    <w:rPr>
      <w:kern w:val="2"/>
      <w:sz w:val="18"/>
      <w:szCs w:val="18"/>
    </w:rPr>
  </w:style>
  <w:style w:type="character" w:customStyle="1" w:styleId="714">
    <w:name w:val="Char Char611"/>
    <w:qFormat/>
    <w:uiPriority w:val="0"/>
    <w:rPr>
      <w:rFonts w:eastAsia="宋体"/>
      <w:kern w:val="2"/>
      <w:sz w:val="21"/>
      <w:szCs w:val="24"/>
      <w:lang w:val="en-US" w:eastAsia="zh-CN" w:bidi="ar-SA"/>
    </w:rPr>
  </w:style>
  <w:style w:type="character" w:customStyle="1" w:styleId="715">
    <w:name w:val="highlight1"/>
    <w:qFormat/>
    <w:uiPriority w:val="0"/>
    <w:rPr>
      <w:rFonts w:ascii="仿宋_GB2312" w:eastAsia="微软雅黑"/>
      <w:b/>
      <w:kern w:val="2"/>
      <w:sz w:val="23"/>
      <w:szCs w:val="23"/>
      <w:lang w:val="en-US" w:eastAsia="zh-CN" w:bidi="ar-SA"/>
    </w:rPr>
  </w:style>
  <w:style w:type="character" w:customStyle="1" w:styleId="716">
    <w:name w:val="my正文 Char"/>
    <w:link w:val="91"/>
    <w:qFormat/>
    <w:locked/>
    <w:uiPriority w:val="0"/>
    <w:rPr>
      <w:rFonts w:ascii="Tahoma" w:hAnsi="Tahoma"/>
      <w:sz w:val="24"/>
      <w:szCs w:val="24"/>
    </w:rPr>
  </w:style>
  <w:style w:type="character" w:customStyle="1" w:styleId="717">
    <w:name w:val="正文缩进 Char2"/>
    <w:link w:val="5"/>
    <w:qFormat/>
    <w:uiPriority w:val="0"/>
    <w:rPr>
      <w:rFonts w:ascii="宋体" w:eastAsia="宋体"/>
      <w:snapToGrid w:val="0"/>
      <w:color w:val="000000"/>
      <w:kern w:val="28"/>
      <w:sz w:val="28"/>
      <w:lang w:val="en-US" w:eastAsia="zh-CN" w:bidi="ar-SA"/>
    </w:rPr>
  </w:style>
  <w:style w:type="character" w:customStyle="1" w:styleId="718">
    <w:name w:val="Used by Word for text of Help footnotes Char Char1"/>
    <w:qFormat/>
    <w:uiPriority w:val="0"/>
    <w:rPr>
      <w:color w:val="0000FF"/>
      <w:sz w:val="21"/>
    </w:rPr>
  </w:style>
  <w:style w:type="character" w:customStyle="1" w:styleId="719">
    <w:name w:val="页眉 Char"/>
    <w:qFormat/>
    <w:uiPriority w:val="0"/>
    <w:rPr>
      <w:rFonts w:eastAsia="仿宋_GB2312"/>
      <w:kern w:val="2"/>
      <w:sz w:val="18"/>
      <w:lang w:val="en-US" w:eastAsia="zh-CN"/>
    </w:rPr>
  </w:style>
  <w:style w:type="character" w:customStyle="1" w:styleId="720">
    <w:name w:val="FA正文 Char Char"/>
    <w:qFormat/>
    <w:uiPriority w:val="0"/>
    <w:rPr>
      <w:rFonts w:hAnsi="宋体"/>
      <w:kern w:val="2"/>
      <w:sz w:val="24"/>
      <w:lang w:bidi="ar-SA"/>
    </w:rPr>
  </w:style>
  <w:style w:type="character" w:customStyle="1" w:styleId="721">
    <w:name w:val="纯文本 字符"/>
    <w:qFormat/>
    <w:uiPriority w:val="0"/>
    <w:rPr>
      <w:rFonts w:ascii="宋体" w:hAnsi="Courier New" w:eastAsia="宋体" w:cs="Arial"/>
      <w:snapToGrid w:val="0"/>
      <w:kern w:val="2"/>
      <w:sz w:val="21"/>
      <w:szCs w:val="21"/>
      <w:lang w:val="en-US" w:eastAsia="zh-CN" w:bidi="ar-SA"/>
    </w:rPr>
  </w:style>
  <w:style w:type="character" w:customStyle="1" w:styleId="722">
    <w:name w:val="3级 Char"/>
    <w:link w:val="92"/>
    <w:qFormat/>
    <w:uiPriority w:val="0"/>
    <w:rPr>
      <w:rFonts w:ascii="宋体" w:hAnsi="宋体"/>
      <w:b/>
      <w:bCs/>
      <w:sz w:val="28"/>
    </w:rPr>
  </w:style>
  <w:style w:type="character" w:customStyle="1" w:styleId="723">
    <w:name w:val="myp11"/>
    <w:qFormat/>
    <w:uiPriority w:val="0"/>
    <w:rPr>
      <w:rFonts w:ascii="仿宋_GB2312" w:eastAsia="微软雅黑"/>
      <w:b/>
      <w:kern w:val="2"/>
      <w:sz w:val="32"/>
      <w:szCs w:val="32"/>
      <w:lang w:val="en-US" w:eastAsia="zh-CN" w:bidi="ar-SA"/>
    </w:rPr>
  </w:style>
  <w:style w:type="character" w:customStyle="1" w:styleId="724">
    <w:name w:val="文档结构图 Char1"/>
    <w:link w:val="18"/>
    <w:qFormat/>
    <w:uiPriority w:val="0"/>
    <w:rPr>
      <w:kern w:val="2"/>
      <w:sz w:val="21"/>
      <w:szCs w:val="24"/>
      <w:shd w:val="clear" w:color="auto" w:fill="000080"/>
    </w:rPr>
  </w:style>
  <w:style w:type="character" w:customStyle="1" w:styleId="725">
    <w:name w:val="H6 Char"/>
    <w:qFormat/>
    <w:uiPriority w:val="0"/>
    <w:rPr>
      <w:rFonts w:ascii="Arial" w:hAnsi="Arial" w:eastAsia="黑体"/>
      <w:b/>
      <w:bCs/>
      <w:kern w:val="2"/>
      <w:sz w:val="24"/>
      <w:szCs w:val="24"/>
    </w:rPr>
  </w:style>
  <w:style w:type="character" w:customStyle="1" w:styleId="726">
    <w:name w:val="Char Char91"/>
    <w:qFormat/>
    <w:uiPriority w:val="0"/>
    <w:rPr>
      <w:rFonts w:eastAsia="宋体"/>
      <w:kern w:val="2"/>
      <w:sz w:val="18"/>
      <w:szCs w:val="18"/>
      <w:lang w:val="en-US" w:eastAsia="zh-CN" w:bidi="ar-SA"/>
    </w:rPr>
  </w:style>
  <w:style w:type="character" w:customStyle="1" w:styleId="727">
    <w:name w:val="副标题 Char1"/>
    <w:qFormat/>
    <w:uiPriority w:val="0"/>
    <w:rPr>
      <w:rFonts w:ascii="Cambria" w:hAnsi="Cambria" w:eastAsia="宋体" w:cs="Times New Roman"/>
      <w:b/>
      <w:bCs/>
      <w:snapToGrid w:val="0"/>
      <w:kern w:val="28"/>
      <w:sz w:val="32"/>
      <w:szCs w:val="32"/>
    </w:rPr>
  </w:style>
  <w:style w:type="character" w:customStyle="1" w:styleId="728">
    <w:name w:val="font61"/>
    <w:qFormat/>
    <w:uiPriority w:val="0"/>
    <w:rPr>
      <w:rFonts w:hint="eastAsia" w:ascii="仿宋" w:hAnsi="仿宋" w:eastAsia="仿宋" w:cs="仿宋"/>
      <w:color w:val="000000"/>
      <w:sz w:val="20"/>
      <w:szCs w:val="20"/>
      <w:u w:val="none"/>
    </w:rPr>
  </w:style>
  <w:style w:type="character" w:customStyle="1" w:styleId="72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730">
    <w:name w:val="Char Char211"/>
    <w:qFormat/>
    <w:uiPriority w:val="0"/>
    <w:rPr>
      <w:rFonts w:eastAsia="宋体"/>
      <w:b/>
      <w:bCs/>
      <w:kern w:val="2"/>
      <w:sz w:val="21"/>
      <w:szCs w:val="24"/>
      <w:lang w:val="en-US" w:eastAsia="zh-CN" w:bidi="ar-SA"/>
    </w:rPr>
  </w:style>
  <w:style w:type="character" w:customStyle="1" w:styleId="731">
    <w:name w:val="标题 2 Char"/>
    <w:qFormat/>
    <w:uiPriority w:val="0"/>
    <w:rPr>
      <w:rFonts w:ascii="Arial" w:hAnsi="Arial" w:eastAsia="黑体"/>
      <w:b/>
      <w:kern w:val="2"/>
      <w:sz w:val="32"/>
      <w:lang w:val="en-US" w:eastAsia="zh-CN"/>
    </w:rPr>
  </w:style>
  <w:style w:type="character" w:customStyle="1" w:styleId="732">
    <w:name w:val="maywed421"/>
    <w:qFormat/>
    <w:uiPriority w:val="0"/>
    <w:rPr>
      <w:color w:val="366FB6"/>
      <w:u w:val="none"/>
    </w:rPr>
  </w:style>
  <w:style w:type="character" w:customStyle="1" w:styleId="733">
    <w:name w:val="正文文本缩进 Char"/>
    <w:qFormat/>
    <w:uiPriority w:val="0"/>
    <w:rPr>
      <w:rFonts w:ascii="宋体" w:hAnsi="宋体"/>
      <w:kern w:val="2"/>
      <w:sz w:val="24"/>
      <w:szCs w:val="24"/>
    </w:rPr>
  </w:style>
  <w:style w:type="character" w:customStyle="1" w:styleId="734">
    <w:name w:val="Char Char102"/>
    <w:semiHidden/>
    <w:qFormat/>
    <w:uiPriority w:val="0"/>
    <w:rPr>
      <w:rFonts w:ascii="宋体" w:hAnsi="宋体"/>
      <w:kern w:val="2"/>
      <w:sz w:val="21"/>
      <w:szCs w:val="24"/>
      <w:lang w:val="en-US" w:eastAsia="zh-CN"/>
    </w:rPr>
  </w:style>
  <w:style w:type="character" w:customStyle="1" w:styleId="735">
    <w:name w:val="页眉 Char1"/>
    <w:qFormat/>
    <w:uiPriority w:val="0"/>
    <w:rPr>
      <w:rFonts w:eastAsia="宋体"/>
      <w:kern w:val="2"/>
      <w:sz w:val="18"/>
      <w:szCs w:val="18"/>
      <w:lang w:val="en-US" w:eastAsia="zh-CN" w:bidi="ar-SA"/>
    </w:rPr>
  </w:style>
  <w:style w:type="character" w:customStyle="1" w:styleId="736">
    <w:name w:val="md"/>
    <w:basedOn w:val="69"/>
    <w:qFormat/>
    <w:uiPriority w:val="0"/>
    <w:rPr>
      <w:rFonts w:ascii="Arial" w:hAnsi="Arial" w:eastAsia="黑体" w:cs="Arial"/>
      <w:snapToGrid w:val="0"/>
      <w:kern w:val="0"/>
      <w:szCs w:val="21"/>
    </w:rPr>
  </w:style>
  <w:style w:type="character" w:customStyle="1" w:styleId="737">
    <w:name w:val="big1"/>
    <w:qFormat/>
    <w:uiPriority w:val="0"/>
    <w:rPr>
      <w:rFonts w:hint="eastAsia" w:ascii="宋体" w:hAnsi="宋体" w:eastAsia="宋体"/>
      <w:color w:val="333333"/>
      <w:sz w:val="22"/>
      <w:szCs w:val="22"/>
    </w:rPr>
  </w:style>
  <w:style w:type="character" w:customStyle="1" w:styleId="738">
    <w:name w:val="Char Char311"/>
    <w:qFormat/>
    <w:uiPriority w:val="0"/>
    <w:rPr>
      <w:rFonts w:eastAsia="宋体"/>
      <w:kern w:val="2"/>
      <w:sz w:val="21"/>
      <w:szCs w:val="24"/>
      <w:lang w:val="en-US" w:eastAsia="zh-CN" w:bidi="ar-SA"/>
    </w:rPr>
  </w:style>
  <w:style w:type="character" w:customStyle="1" w:styleId="739">
    <w:name w:val="Char Char81"/>
    <w:qFormat/>
    <w:uiPriority w:val="6"/>
    <w:rPr>
      <w:rFonts w:eastAsia="宋体"/>
      <w:b/>
      <w:sz w:val="24"/>
      <w:lang w:eastAsia="zh-CN"/>
    </w:rPr>
  </w:style>
  <w:style w:type="character" w:customStyle="1" w:styleId="740">
    <w:name w:val="样式3 Char"/>
    <w:basedOn w:val="695"/>
    <w:qFormat/>
    <w:uiPriority w:val="0"/>
    <w:rPr>
      <w:rFonts w:ascii="仿宋_GB2312" w:hAnsi="仿宋" w:eastAsia="仿宋_GB2312" w:cs="仿宋_GB2312"/>
      <w:sz w:val="32"/>
      <w:szCs w:val="30"/>
      <w:lang w:val="zh-CN"/>
    </w:rPr>
  </w:style>
  <w:style w:type="character" w:customStyle="1" w:styleId="741">
    <w:name w:val="HTML 地址 Char"/>
    <w:link w:val="29"/>
    <w:qFormat/>
    <w:uiPriority w:val="0"/>
    <w:rPr>
      <w:rFonts w:ascii="宋体" w:hAnsi="宋体"/>
      <w:i/>
      <w:iCs/>
      <w:sz w:val="24"/>
      <w:szCs w:val="24"/>
    </w:rPr>
  </w:style>
  <w:style w:type="character" w:customStyle="1" w:styleId="742">
    <w:name w:val="正文首行缩进 2 Char1"/>
    <w:qFormat/>
    <w:uiPriority w:val="0"/>
    <w:rPr>
      <w:rFonts w:ascii="Times New Roman" w:hAnsi="Times New Roman" w:eastAsia="宋体" w:cs="Times New Roman"/>
      <w:kern w:val="2"/>
      <w:sz w:val="24"/>
      <w:szCs w:val="24"/>
    </w:rPr>
  </w:style>
  <w:style w:type="character" w:customStyle="1" w:styleId="743">
    <w:name w:val="副标题 Char2"/>
    <w:qFormat/>
    <w:uiPriority w:val="0"/>
    <w:rPr>
      <w:rFonts w:ascii="Cambria" w:hAnsi="Cambria" w:eastAsia="宋体" w:cs="Times New Roman"/>
      <w:b/>
      <w:bCs/>
      <w:snapToGrid w:val="0"/>
      <w:kern w:val="28"/>
      <w:sz w:val="32"/>
      <w:szCs w:val="32"/>
    </w:rPr>
  </w:style>
  <w:style w:type="character" w:customStyle="1" w:styleId="744">
    <w:name w:val="标题4-dyf Char"/>
    <w:link w:val="94"/>
    <w:qFormat/>
    <w:uiPriority w:val="0"/>
    <w:rPr>
      <w:rFonts w:ascii="Cambria" w:hAnsi="Cambria"/>
      <w:b/>
      <w:bCs/>
      <w:color w:val="000000"/>
      <w:kern w:val="2"/>
      <w:sz w:val="21"/>
      <w:szCs w:val="21"/>
    </w:rPr>
  </w:style>
  <w:style w:type="character" w:customStyle="1" w:styleId="745">
    <w:name w:val="dectext1"/>
    <w:qFormat/>
    <w:uiPriority w:val="0"/>
    <w:rPr>
      <w:rFonts w:ascii="宋体" w:hAnsi="宋体" w:eastAsia="宋体"/>
      <w:color w:val="333333"/>
      <w:sz w:val="21"/>
      <w:szCs w:val="21"/>
      <w:u w:val="none"/>
    </w:rPr>
  </w:style>
  <w:style w:type="character" w:customStyle="1" w:styleId="746">
    <w:name w:val="冯 Char"/>
    <w:link w:val="95"/>
    <w:qFormat/>
    <w:uiPriority w:val="0"/>
    <w:rPr>
      <w:rFonts w:ascii="宋体" w:hAnsi="宋体"/>
      <w:color w:val="000000"/>
      <w:sz w:val="24"/>
      <w:szCs w:val="24"/>
    </w:rPr>
  </w:style>
  <w:style w:type="character" w:customStyle="1" w:styleId="747">
    <w:name w:val="Header Char"/>
    <w:qFormat/>
    <w:locked/>
    <w:uiPriority w:val="0"/>
    <w:rPr>
      <w:rFonts w:eastAsia="宋体"/>
      <w:kern w:val="2"/>
      <w:sz w:val="18"/>
      <w:szCs w:val="18"/>
      <w:lang w:val="en-US" w:eastAsia="zh-CN" w:bidi="ar-SA"/>
    </w:rPr>
  </w:style>
  <w:style w:type="character" w:customStyle="1" w:styleId="748">
    <w:name w:val="Char Char12"/>
    <w:qFormat/>
    <w:uiPriority w:val="0"/>
    <w:rPr>
      <w:rFonts w:ascii="仿宋_GB2312" w:eastAsia="仿宋_GB2312"/>
      <w:b/>
      <w:bCs/>
      <w:kern w:val="2"/>
      <w:sz w:val="24"/>
      <w:szCs w:val="24"/>
      <w:lang w:val="zh-CN" w:eastAsia="zh-CN" w:bidi="ar-SA"/>
    </w:rPr>
  </w:style>
  <w:style w:type="character" w:customStyle="1" w:styleId="749">
    <w:name w:val="题注 Char"/>
    <w:link w:val="16"/>
    <w:qFormat/>
    <w:uiPriority w:val="0"/>
    <w:rPr>
      <w:b/>
      <w:kern w:val="2"/>
      <w:sz w:val="28"/>
    </w:rPr>
  </w:style>
  <w:style w:type="character" w:customStyle="1" w:styleId="750">
    <w:name w:val="普通文字 Char3"/>
    <w:qFormat/>
    <w:uiPriority w:val="0"/>
    <w:rPr>
      <w:rFonts w:ascii="宋体" w:hAnsi="Courier New" w:eastAsia="宋体"/>
      <w:kern w:val="2"/>
      <w:sz w:val="21"/>
      <w:lang w:val="en-US" w:eastAsia="zh-CN" w:bidi="ar-SA"/>
    </w:rPr>
  </w:style>
  <w:style w:type="character" w:customStyle="1" w:styleId="751">
    <w:name w:val="公文正文 Char"/>
    <w:qFormat/>
    <w:uiPriority w:val="0"/>
    <w:rPr>
      <w:rFonts w:ascii="仿宋_GB2312" w:eastAsia="仿宋_GB2312"/>
      <w:kern w:val="2"/>
      <w:sz w:val="24"/>
      <w:szCs w:val="24"/>
      <w:lang w:val="en-US" w:eastAsia="zh-CN" w:bidi="ar-SA"/>
    </w:rPr>
  </w:style>
  <w:style w:type="character" w:customStyle="1" w:styleId="752">
    <w:name w:val="正文首行缩进 Char Char Char Char Char"/>
    <w:qFormat/>
    <w:uiPriority w:val="0"/>
    <w:rPr>
      <w:rFonts w:ascii="宋体"/>
      <w:kern w:val="2"/>
      <w:sz w:val="24"/>
      <w:lang w:val="zh-CN"/>
    </w:rPr>
  </w:style>
  <w:style w:type="character" w:customStyle="1" w:styleId="753">
    <w:name w:val="PI Char"/>
    <w:qFormat/>
    <w:uiPriority w:val="0"/>
    <w:rPr>
      <w:rFonts w:ascii="宋体" w:hAnsi="宋体" w:eastAsia="宋体"/>
      <w:kern w:val="2"/>
      <w:sz w:val="24"/>
      <w:szCs w:val="24"/>
      <w:lang w:val="en-US" w:eastAsia="zh-CN" w:bidi="ar-SA"/>
    </w:rPr>
  </w:style>
  <w:style w:type="character" w:customStyle="1" w:styleId="754">
    <w:name w:val="Default Char"/>
    <w:link w:val="96"/>
    <w:qFormat/>
    <w:uiPriority w:val="0"/>
    <w:rPr>
      <w:rFonts w:ascii="仿宋_GB2312" w:eastAsia="仿宋_GB2312" w:cs="仿宋_GB2312"/>
      <w:color w:val="000000"/>
      <w:sz w:val="24"/>
      <w:szCs w:val="24"/>
      <w:lang w:val="en-US" w:eastAsia="zh-CN" w:bidi="ar-SA"/>
    </w:rPr>
  </w:style>
  <w:style w:type="character" w:customStyle="1" w:styleId="755">
    <w:name w:val="style91"/>
    <w:qFormat/>
    <w:uiPriority w:val="0"/>
    <w:rPr>
      <w:color w:val="333333"/>
    </w:rPr>
  </w:style>
  <w:style w:type="character" w:customStyle="1" w:styleId="756">
    <w:name w:val="列出段落 Char2"/>
    <w:qFormat/>
    <w:uiPriority w:val="34"/>
    <w:rPr>
      <w:rFonts w:ascii="Calibri" w:hAnsi="Calibri"/>
      <w:kern w:val="2"/>
      <w:sz w:val="28"/>
    </w:rPr>
  </w:style>
  <w:style w:type="character" w:customStyle="1" w:styleId="757">
    <w:name w:val="mdeck"/>
    <w:qFormat/>
    <w:uiPriority w:val="0"/>
    <w:rPr>
      <w:rFonts w:ascii="仿宋_GB2312" w:eastAsia="微软雅黑"/>
      <w:b/>
      <w:kern w:val="2"/>
      <w:sz w:val="32"/>
      <w:szCs w:val="32"/>
      <w:lang w:val="en-US" w:eastAsia="zh-CN" w:bidi="ar-SA"/>
    </w:rPr>
  </w:style>
  <w:style w:type="character" w:customStyle="1" w:styleId="758">
    <w:name w:val="unnamed11"/>
    <w:qFormat/>
    <w:uiPriority w:val="0"/>
    <w:rPr>
      <w:sz w:val="20"/>
      <w:szCs w:val="20"/>
    </w:rPr>
  </w:style>
  <w:style w:type="character" w:customStyle="1" w:styleId="759">
    <w:name w:val="正文文本 Char2"/>
    <w:semiHidden/>
    <w:qFormat/>
    <w:uiPriority w:val="99"/>
    <w:rPr>
      <w:rFonts w:ascii="Times New Roman" w:hAnsi="Times New Roman" w:eastAsia="宋体" w:cs="Times New Roman"/>
      <w:snapToGrid w:val="0"/>
      <w:kern w:val="0"/>
      <w:szCs w:val="24"/>
    </w:rPr>
  </w:style>
  <w:style w:type="character" w:customStyle="1" w:styleId="760">
    <w:name w:val="标书正文格式 Char"/>
    <w:qFormat/>
    <w:uiPriority w:val="0"/>
    <w:rPr>
      <w:rFonts w:eastAsia="楷体_GB2312"/>
      <w:kern w:val="2"/>
      <w:sz w:val="24"/>
      <w:szCs w:val="24"/>
      <w:lang w:bidi="ar-SA"/>
    </w:rPr>
  </w:style>
  <w:style w:type="character" w:customStyle="1" w:styleId="761">
    <w:name w:val="Char Char11"/>
    <w:qFormat/>
    <w:locked/>
    <w:uiPriority w:val="0"/>
    <w:rPr>
      <w:rFonts w:ascii="宋体" w:hAnsi="宋体" w:eastAsia="宋体"/>
      <w:b/>
      <w:kern w:val="2"/>
      <w:sz w:val="24"/>
      <w:szCs w:val="24"/>
      <w:lang w:val="en-US" w:eastAsia="zh-CN" w:bidi="ar-SA"/>
    </w:rPr>
  </w:style>
  <w:style w:type="character" w:customStyle="1" w:styleId="762">
    <w:name w:val="ca-131"/>
    <w:qFormat/>
    <w:uiPriority w:val="0"/>
    <w:rPr>
      <w:rFonts w:hint="eastAsia" w:ascii="仿宋_GB2312" w:eastAsia="仿宋_GB2312"/>
      <w:b/>
      <w:bCs/>
      <w:color w:val="000000"/>
      <w:spacing w:val="-20"/>
      <w:sz w:val="24"/>
      <w:szCs w:val="24"/>
    </w:rPr>
  </w:style>
  <w:style w:type="character" w:customStyle="1" w:styleId="763">
    <w:name w:val="tw4winMark"/>
    <w:qFormat/>
    <w:uiPriority w:val="0"/>
    <w:rPr>
      <w:rFonts w:ascii="Courier New" w:hAnsi="Courier New" w:cs="Courier New"/>
      <w:vanish/>
      <w:color w:val="800080"/>
      <w:sz w:val="24"/>
      <w:szCs w:val="24"/>
      <w:vertAlign w:val="subscript"/>
    </w:rPr>
  </w:style>
  <w:style w:type="character" w:customStyle="1" w:styleId="764">
    <w:name w:val="正文样式 Char"/>
    <w:link w:val="97"/>
    <w:qFormat/>
    <w:uiPriority w:val="0"/>
    <w:rPr>
      <w:rFonts w:ascii="Calibri" w:hAnsi="Calibri"/>
      <w:sz w:val="24"/>
      <w:szCs w:val="24"/>
    </w:rPr>
  </w:style>
  <w:style w:type="character" w:customStyle="1" w:styleId="765">
    <w:name w:val="表正文 Char3"/>
    <w:qFormat/>
    <w:uiPriority w:val="0"/>
    <w:rPr>
      <w:rFonts w:eastAsia="宋体"/>
    </w:rPr>
  </w:style>
  <w:style w:type="character" w:customStyle="1" w:styleId="766">
    <w:name w:val="H5 Char"/>
    <w:qFormat/>
    <w:uiPriority w:val="0"/>
    <w:rPr>
      <w:b/>
      <w:bCs/>
      <w:kern w:val="2"/>
      <w:sz w:val="28"/>
      <w:szCs w:val="28"/>
    </w:rPr>
  </w:style>
  <w:style w:type="character" w:customStyle="1" w:styleId="767">
    <w:name w:val="Char Char3"/>
    <w:qFormat/>
    <w:uiPriority w:val="0"/>
    <w:rPr>
      <w:rFonts w:eastAsia="宋体"/>
      <w:kern w:val="2"/>
      <w:sz w:val="21"/>
      <w:szCs w:val="24"/>
      <w:lang w:val="en-US" w:eastAsia="zh-CN" w:bidi="ar-SA"/>
    </w:rPr>
  </w:style>
  <w:style w:type="character" w:customStyle="1" w:styleId="768">
    <w:name w:val="正文 编号 Char"/>
    <w:qFormat/>
    <w:uiPriority w:val="0"/>
    <w:rPr>
      <w:rFonts w:ascii="仿宋_GB2312" w:hAnsi="仿宋_GB2312" w:eastAsia="仿宋_GB2312"/>
      <w:kern w:val="2"/>
      <w:sz w:val="24"/>
      <w:lang w:bidi="ar-SA"/>
    </w:rPr>
  </w:style>
  <w:style w:type="character" w:customStyle="1" w:styleId="769">
    <w:name w:val="question-title2"/>
    <w:qFormat/>
    <w:uiPriority w:val="6"/>
    <w:rPr>
      <w:rFonts w:ascii="Arial" w:hAnsi="Arial" w:eastAsia="黑体" w:cs="Arial"/>
      <w:snapToGrid w:val="0"/>
      <w:kern w:val="0"/>
      <w:szCs w:val="21"/>
    </w:rPr>
  </w:style>
  <w:style w:type="character" w:customStyle="1" w:styleId="770">
    <w:name w:val="gf正文1 Char Char"/>
    <w:link w:val="98"/>
    <w:qFormat/>
    <w:uiPriority w:val="0"/>
    <w:rPr>
      <w:rFonts w:ascii="宋体" w:hAnsi="宋体" w:cs="宋体"/>
      <w:kern w:val="2"/>
      <w:sz w:val="24"/>
      <w:szCs w:val="24"/>
    </w:rPr>
  </w:style>
  <w:style w:type="character" w:customStyle="1" w:styleId="771">
    <w:name w:val="Char Char15"/>
    <w:qFormat/>
    <w:uiPriority w:val="6"/>
    <w:rPr>
      <w:rFonts w:ascii="宋体" w:hAnsi="宋体"/>
      <w:kern w:val="1"/>
      <w:sz w:val="21"/>
    </w:rPr>
  </w:style>
  <w:style w:type="character" w:customStyle="1" w:styleId="772">
    <w:name w:val="正文缩进 Char3"/>
    <w:qFormat/>
    <w:uiPriority w:val="0"/>
    <w:rPr>
      <w:rFonts w:ascii="宋体" w:eastAsia="宋体"/>
      <w:snapToGrid w:val="0"/>
      <w:color w:val="000000"/>
      <w:kern w:val="28"/>
      <w:sz w:val="28"/>
      <w:lang w:val="en-US" w:eastAsia="zh-CN" w:bidi="ar-SA"/>
    </w:rPr>
  </w:style>
  <w:style w:type="character" w:customStyle="1" w:styleId="773">
    <w:name w:val="列出段落 Char1"/>
    <w:link w:val="99"/>
    <w:qFormat/>
    <w:uiPriority w:val="0"/>
    <w:rPr>
      <w:rFonts w:ascii="Calibri" w:hAnsi="Calibri"/>
      <w:sz w:val="24"/>
      <w:lang w:eastAsia="en-US"/>
    </w:rPr>
  </w:style>
  <w:style w:type="character" w:customStyle="1" w:styleId="774">
    <w:name w:val="Char Char8"/>
    <w:qFormat/>
    <w:uiPriority w:val="0"/>
    <w:rPr>
      <w:rFonts w:eastAsia="宋体"/>
      <w:b/>
      <w:sz w:val="24"/>
      <w:lang w:eastAsia="zh-CN"/>
    </w:rPr>
  </w:style>
  <w:style w:type="character" w:customStyle="1" w:styleId="775">
    <w:name w:val="Normal Indent Char Char"/>
    <w:qFormat/>
    <w:uiPriority w:val="0"/>
    <w:rPr>
      <w:rFonts w:eastAsia="宋体"/>
      <w:kern w:val="2"/>
      <w:sz w:val="21"/>
      <w:lang w:val="en-US" w:eastAsia="zh-CN" w:bidi="ar-SA"/>
    </w:rPr>
  </w:style>
  <w:style w:type="character" w:customStyle="1" w:styleId="776">
    <w:name w:val="列表段落 字符"/>
    <w:qFormat/>
    <w:uiPriority w:val="99"/>
  </w:style>
  <w:style w:type="character" w:customStyle="1" w:styleId="777">
    <w:name w:val="Ò³Ã¼ Char Char1"/>
    <w:qFormat/>
    <w:uiPriority w:val="0"/>
    <w:rPr>
      <w:rFonts w:eastAsia="宋体"/>
      <w:kern w:val="2"/>
      <w:sz w:val="18"/>
      <w:szCs w:val="18"/>
      <w:lang w:val="en-US" w:eastAsia="zh-CN" w:bidi="ar-SA"/>
    </w:rPr>
  </w:style>
  <w:style w:type="character" w:customStyle="1" w:styleId="778">
    <w:name w:val="方案正文 Char"/>
    <w:qFormat/>
    <w:uiPriority w:val="0"/>
    <w:rPr>
      <w:rFonts w:ascii="仿宋_GB2312" w:eastAsia="仿宋_GB2312"/>
      <w:b/>
      <w:color w:val="000000"/>
      <w:kern w:val="2"/>
      <w:sz w:val="24"/>
      <w:lang w:val="en-US" w:eastAsia="zh-CN" w:bidi="ar-SA"/>
    </w:rPr>
  </w:style>
  <w:style w:type="character" w:customStyle="1" w:styleId="779">
    <w:name w:val="Char Char30"/>
    <w:qFormat/>
    <w:uiPriority w:val="6"/>
    <w:rPr>
      <w:rFonts w:ascii="Arial" w:hAnsi="Arial" w:eastAsia="黑体"/>
      <w:kern w:val="1"/>
      <w:sz w:val="21"/>
      <w:szCs w:val="21"/>
    </w:rPr>
  </w:style>
  <w:style w:type="character" w:customStyle="1" w:styleId="780">
    <w:name w:val="正文文本缩进 Char3"/>
    <w:link w:val="24"/>
    <w:qFormat/>
    <w:uiPriority w:val="0"/>
    <w:rPr>
      <w:rFonts w:ascii="宋体" w:hAnsi="宋体"/>
      <w:kern w:val="2"/>
      <w:sz w:val="24"/>
      <w:szCs w:val="24"/>
    </w:rPr>
  </w:style>
  <w:style w:type="character" w:customStyle="1" w:styleId="781">
    <w:name w:val="font01"/>
    <w:qFormat/>
    <w:uiPriority w:val="0"/>
    <w:rPr>
      <w:rFonts w:hint="eastAsia" w:ascii="微软雅黑" w:hAnsi="微软雅黑" w:eastAsia="微软雅黑" w:cs="微软雅黑"/>
      <w:color w:val="000000"/>
      <w:sz w:val="20"/>
      <w:szCs w:val="20"/>
      <w:u w:val="none"/>
    </w:rPr>
  </w:style>
  <w:style w:type="character" w:customStyle="1" w:styleId="782">
    <w:name w:val="Char Char20"/>
    <w:qFormat/>
    <w:uiPriority w:val="6"/>
    <w:rPr>
      <w:kern w:val="1"/>
      <w:sz w:val="24"/>
    </w:rPr>
  </w:style>
  <w:style w:type="character" w:customStyle="1" w:styleId="783">
    <w:name w:val="tw4winExternal"/>
    <w:qFormat/>
    <w:uiPriority w:val="0"/>
    <w:rPr>
      <w:rFonts w:ascii="Courier New" w:hAnsi="Courier New" w:cs="Courier New"/>
      <w:color w:val="808080"/>
      <w:lang w:val="en-US" w:eastAsia="zh-CN"/>
    </w:rPr>
  </w:style>
  <w:style w:type="character" w:customStyle="1" w:styleId="784">
    <w:name w:val="标题 4 Char1"/>
    <w:qFormat/>
    <w:uiPriority w:val="9"/>
    <w:rPr>
      <w:rFonts w:ascii="Cambria" w:hAnsi="Cambria" w:eastAsia="宋体" w:cs="Times New Roman"/>
      <w:b/>
      <w:bCs/>
      <w:kern w:val="2"/>
      <w:sz w:val="28"/>
      <w:szCs w:val="28"/>
    </w:rPr>
  </w:style>
  <w:style w:type="character" w:customStyle="1" w:styleId="785">
    <w:name w:val="批注文字 Char2"/>
    <w:qFormat/>
    <w:uiPriority w:val="99"/>
    <w:rPr>
      <w:rFonts w:ascii="Times New Roman" w:hAnsi="Times New Roman" w:eastAsia="宋体" w:cs="Times New Roman"/>
      <w:snapToGrid w:val="0"/>
      <w:kern w:val="0"/>
      <w:szCs w:val="24"/>
    </w:rPr>
  </w:style>
  <w:style w:type="character" w:customStyle="1" w:styleId="786">
    <w:name w:val="正文文本 2 Char"/>
    <w:qFormat/>
    <w:uiPriority w:val="0"/>
    <w:rPr>
      <w:rFonts w:eastAsia="宋体"/>
      <w:kern w:val="2"/>
      <w:sz w:val="21"/>
      <w:szCs w:val="24"/>
      <w:lang w:val="en-US" w:eastAsia="zh-CN" w:bidi="ar-SA"/>
    </w:rPr>
  </w:style>
  <w:style w:type="character" w:customStyle="1" w:styleId="787">
    <w:name w:val="Ò³Ã¼ Char Char"/>
    <w:qFormat/>
    <w:uiPriority w:val="0"/>
    <w:rPr>
      <w:rFonts w:eastAsia="宋体"/>
      <w:kern w:val="2"/>
      <w:sz w:val="18"/>
      <w:lang w:val="en-US" w:eastAsia="zh-CN" w:bidi="ar-SA"/>
    </w:rPr>
  </w:style>
  <w:style w:type="character" w:customStyle="1" w:styleId="788">
    <w:name w:val="message1"/>
    <w:qFormat/>
    <w:uiPriority w:val="0"/>
    <w:rPr>
      <w:rFonts w:hint="default" w:ascii="Tahoma" w:hAnsi="Tahoma" w:cs="Tahoma"/>
      <w:sz w:val="18"/>
      <w:szCs w:val="18"/>
    </w:rPr>
  </w:style>
  <w:style w:type="character" w:customStyle="1" w:styleId="789">
    <w:name w:val="Char Char23"/>
    <w:qFormat/>
    <w:uiPriority w:val="6"/>
    <w:rPr>
      <w:color w:val="0000FF"/>
      <w:sz w:val="21"/>
    </w:rPr>
  </w:style>
  <w:style w:type="character" w:customStyle="1" w:styleId="790">
    <w:name w:val="批注框文本 字符"/>
    <w:qFormat/>
    <w:uiPriority w:val="0"/>
    <w:rPr>
      <w:rFonts w:ascii="Arial" w:hAnsi="Arial" w:eastAsia="黑体" w:cs="Arial"/>
      <w:snapToGrid w:val="0"/>
      <w:kern w:val="0"/>
      <w:sz w:val="18"/>
      <w:szCs w:val="18"/>
    </w:rPr>
  </w:style>
  <w:style w:type="character" w:customStyle="1" w:styleId="791">
    <w:name w:val="纯文本 Char2"/>
    <w:semiHidden/>
    <w:qFormat/>
    <w:uiPriority w:val="99"/>
    <w:rPr>
      <w:rFonts w:ascii="宋体" w:hAnsi="Courier New" w:eastAsia="宋体" w:cs="Courier New"/>
    </w:rPr>
  </w:style>
  <w:style w:type="character" w:customStyle="1" w:styleId="792">
    <w:name w:val="Char Char25"/>
    <w:qFormat/>
    <w:uiPriority w:val="6"/>
    <w:rPr>
      <w:rFonts w:ascii="宋体" w:hAnsi="宋体"/>
      <w:kern w:val="1"/>
      <w:sz w:val="24"/>
      <w:lang w:val="zh-CN"/>
    </w:rPr>
  </w:style>
  <w:style w:type="character" w:customStyle="1" w:styleId="793">
    <w:name w:val="Char Char411"/>
    <w:qFormat/>
    <w:uiPriority w:val="0"/>
    <w:rPr>
      <w:rFonts w:eastAsia="宋体"/>
      <w:b/>
      <w:sz w:val="24"/>
      <w:lang w:eastAsia="zh-CN" w:bidi="ar-SA"/>
    </w:rPr>
  </w:style>
  <w:style w:type="character" w:customStyle="1" w:styleId="794">
    <w:name w:val="Heading 7 Char"/>
    <w:qFormat/>
    <w:locked/>
    <w:uiPriority w:val="0"/>
    <w:rPr>
      <w:rFonts w:ascii="宋体" w:hAnsi="宋体" w:eastAsia="宋体"/>
      <w:b/>
      <w:bCs/>
      <w:kern w:val="2"/>
      <w:sz w:val="24"/>
      <w:szCs w:val="24"/>
      <w:lang w:val="en-US" w:eastAsia="zh-CN" w:bidi="ar-SA"/>
    </w:rPr>
  </w:style>
  <w:style w:type="character" w:customStyle="1" w:styleId="795">
    <w:name w:val="此正文 Char"/>
    <w:link w:val="101"/>
    <w:qFormat/>
    <w:uiPriority w:val="0"/>
    <w:rPr>
      <w:kern w:val="2"/>
      <w:sz w:val="24"/>
      <w:szCs w:val="24"/>
    </w:rPr>
  </w:style>
  <w:style w:type="character" w:customStyle="1" w:styleId="796">
    <w:name w:val="Char Char2"/>
    <w:qFormat/>
    <w:uiPriority w:val="0"/>
    <w:rPr>
      <w:rFonts w:eastAsia="宋体"/>
      <w:b/>
      <w:bCs/>
      <w:kern w:val="2"/>
      <w:sz w:val="21"/>
      <w:szCs w:val="24"/>
      <w:lang w:val="en-US" w:eastAsia="zh-CN" w:bidi="ar-SA"/>
    </w:rPr>
  </w:style>
  <w:style w:type="character" w:customStyle="1" w:styleId="797">
    <w:name w:val="标题 1 Char"/>
    <w:link w:val="2"/>
    <w:qFormat/>
    <w:uiPriority w:val="9"/>
    <w:rPr>
      <w:b/>
      <w:bCs/>
      <w:kern w:val="44"/>
      <w:sz w:val="44"/>
      <w:szCs w:val="44"/>
    </w:rPr>
  </w:style>
  <w:style w:type="character" w:customStyle="1" w:styleId="798">
    <w:name w:val="Footer-Even Char1"/>
    <w:qFormat/>
    <w:uiPriority w:val="0"/>
    <w:rPr>
      <w:rFonts w:eastAsia="宋体"/>
      <w:kern w:val="2"/>
      <w:sz w:val="18"/>
      <w:szCs w:val="18"/>
      <w:lang w:val="en-US" w:eastAsia="zh-CN" w:bidi="ar-SA"/>
    </w:rPr>
  </w:style>
  <w:style w:type="character" w:customStyle="1" w:styleId="799">
    <w:name w:val="Char Char29"/>
    <w:qFormat/>
    <w:uiPriority w:val="6"/>
    <w:rPr>
      <w:rFonts w:ascii="Arial" w:hAnsi="Arial" w:eastAsia="微软雅黑"/>
      <w:b/>
      <w:kern w:val="1"/>
      <w:sz w:val="44"/>
      <w:szCs w:val="32"/>
      <w:lang w:val="en-US" w:eastAsia="zh-CN" w:bidi="ar-SA"/>
    </w:rPr>
  </w:style>
  <w:style w:type="character" w:customStyle="1" w:styleId="800">
    <w:name w:val="标题 Char2"/>
    <w:link w:val="58"/>
    <w:qFormat/>
    <w:uiPriority w:val="10"/>
    <w:rPr>
      <w:b/>
      <w:sz w:val="24"/>
    </w:rPr>
  </w:style>
  <w:style w:type="character" w:customStyle="1" w:styleId="801">
    <w:name w:val="font81"/>
    <w:qFormat/>
    <w:uiPriority w:val="0"/>
    <w:rPr>
      <w:rFonts w:ascii="微软雅黑" w:hAnsi="微软雅黑" w:eastAsia="微软雅黑" w:cs="微软雅黑"/>
      <w:color w:val="000000"/>
      <w:sz w:val="20"/>
      <w:szCs w:val="20"/>
      <w:u w:val="none"/>
    </w:rPr>
  </w:style>
  <w:style w:type="character" w:customStyle="1" w:styleId="802">
    <w:name w:val="Char Char312"/>
    <w:qFormat/>
    <w:uiPriority w:val="0"/>
    <w:rPr>
      <w:rFonts w:ascii="Times New Roman" w:hAnsi="Times New Roman" w:eastAsia="宋体" w:cs="Times New Roman"/>
      <w:b/>
      <w:kern w:val="2"/>
      <w:sz w:val="32"/>
      <w:szCs w:val="24"/>
      <w:lang w:val="en-US" w:eastAsia="zh-CN" w:bidi="ar-SA"/>
    </w:rPr>
  </w:style>
  <w:style w:type="character" w:customStyle="1" w:styleId="803">
    <w:name w:val="t21"/>
    <w:qFormat/>
    <w:uiPriority w:val="0"/>
    <w:rPr>
      <w:rFonts w:ascii="仿宋_GB2312" w:eastAsia="微软雅黑"/>
      <w:b/>
      <w:kern w:val="2"/>
      <w:sz w:val="23"/>
      <w:szCs w:val="23"/>
      <w:lang w:val="en-US" w:eastAsia="zh-CN" w:bidi="ar-SA"/>
    </w:rPr>
  </w:style>
  <w:style w:type="character" w:customStyle="1" w:styleId="804">
    <w:name w:val="样式8 Char"/>
    <w:qFormat/>
    <w:uiPriority w:val="0"/>
    <w:rPr>
      <w:rFonts w:ascii="仿宋_GB2312" w:hAnsi="宋体" w:eastAsia="仿宋_GB2312"/>
      <w:b/>
      <w:bCs/>
      <w:kern w:val="2"/>
      <w:sz w:val="24"/>
      <w:szCs w:val="24"/>
    </w:rPr>
  </w:style>
  <w:style w:type="character" w:customStyle="1" w:styleId="805">
    <w:name w:val="表格 Char Char"/>
    <w:qFormat/>
    <w:uiPriority w:val="0"/>
    <w:rPr>
      <w:rFonts w:ascii="宋体" w:hAnsi="宋体" w:eastAsia="宋体"/>
      <w:lang w:bidi="ar-SA"/>
    </w:rPr>
  </w:style>
  <w:style w:type="character" w:customStyle="1" w:styleId="806">
    <w:name w:val="正文文本 字符1"/>
    <w:qFormat/>
    <w:uiPriority w:val="0"/>
    <w:rPr>
      <w:rFonts w:ascii="Calibri" w:hAnsi="Calibri" w:eastAsia="黑体" w:cs="Arial"/>
      <w:snapToGrid w:val="0"/>
      <w:kern w:val="2"/>
      <w:sz w:val="28"/>
      <w:szCs w:val="21"/>
    </w:rPr>
  </w:style>
  <w:style w:type="character" w:customStyle="1" w:styleId="807">
    <w:name w:val="标题 5 Char"/>
    <w:link w:val="7"/>
    <w:qFormat/>
    <w:uiPriority w:val="9"/>
    <w:rPr>
      <w:b/>
      <w:bCs/>
      <w:kern w:val="2"/>
      <w:sz w:val="28"/>
      <w:szCs w:val="28"/>
    </w:rPr>
  </w:style>
  <w:style w:type="character" w:customStyle="1" w:styleId="808">
    <w:name w:val="标题 6 Char1"/>
    <w:qFormat/>
    <w:uiPriority w:val="0"/>
    <w:rPr>
      <w:rFonts w:ascii="Arial" w:hAnsi="Arial" w:eastAsia="黑体" w:cs="Times New Roman"/>
      <w:b/>
      <w:sz w:val="24"/>
      <w:szCs w:val="20"/>
      <w:lang w:bidi="ar-SA"/>
    </w:rPr>
  </w:style>
  <w:style w:type="character" w:customStyle="1" w:styleId="809">
    <w:name w:val="带编号样式 Char"/>
    <w:qFormat/>
    <w:uiPriority w:val="0"/>
    <w:rPr>
      <w:rFonts w:ascii="仿宋_GB2312" w:eastAsia="仿宋_GB2312"/>
      <w:color w:val="000000"/>
      <w:sz w:val="24"/>
      <w:lang w:bidi="ar-SA"/>
    </w:rPr>
  </w:style>
  <w:style w:type="character" w:customStyle="1" w:styleId="810">
    <w:name w:val="unnamed31"/>
    <w:qFormat/>
    <w:uiPriority w:val="0"/>
    <w:rPr>
      <w:rFonts w:ascii="Tahoma" w:hAnsi="Tahoma" w:eastAsia="宋体"/>
      <w:b/>
      <w:kern w:val="2"/>
      <w:sz w:val="24"/>
      <w:szCs w:val="32"/>
      <w:u w:val="none"/>
      <w:lang w:val="en-US" w:eastAsia="zh-CN" w:bidi="ar-SA"/>
    </w:rPr>
  </w:style>
  <w:style w:type="character" w:customStyle="1" w:styleId="811">
    <w:name w:val="正文首行缩进 Char Char Char Char Char Char1"/>
    <w:qFormat/>
    <w:uiPriority w:val="0"/>
    <w:rPr>
      <w:rFonts w:ascii="宋体" w:eastAsia="宋体"/>
      <w:kern w:val="2"/>
      <w:sz w:val="24"/>
      <w:szCs w:val="24"/>
      <w:lang w:val="zh-CN" w:bidi="ar-SA"/>
    </w:rPr>
  </w:style>
  <w:style w:type="character" w:customStyle="1" w:styleId="812">
    <w:name w:val="称呼 Char"/>
    <w:link w:val="20"/>
    <w:qFormat/>
    <w:uiPriority w:val="0"/>
    <w:rPr>
      <w:rFonts w:ascii="仿宋_GB2312" w:eastAsia="仿宋_GB2312"/>
      <w:kern w:val="2"/>
      <w:sz w:val="28"/>
    </w:rPr>
  </w:style>
  <w:style w:type="character" w:customStyle="1" w:styleId="813">
    <w:name w:val="文本正文 Char Char"/>
    <w:qFormat/>
    <w:locked/>
    <w:uiPriority w:val="0"/>
    <w:rPr>
      <w:sz w:val="24"/>
      <w:lang w:bidi="ar-SA"/>
    </w:rPr>
  </w:style>
  <w:style w:type="character" w:customStyle="1" w:styleId="814">
    <w:name w:val="正文缩进 字符"/>
    <w:qFormat/>
    <w:uiPriority w:val="0"/>
    <w:rPr>
      <w:rFonts w:ascii="宋体" w:eastAsia="宋体"/>
      <w:snapToGrid w:val="0"/>
      <w:color w:val="000000"/>
      <w:kern w:val="28"/>
      <w:sz w:val="28"/>
      <w:lang w:val="en-US" w:eastAsia="zh-CN" w:bidi="ar-SA"/>
    </w:rPr>
  </w:style>
  <w:style w:type="character" w:customStyle="1" w:styleId="815">
    <w:name w:val="HTML 预设格式 Char"/>
    <w:link w:val="56"/>
    <w:qFormat/>
    <w:uiPriority w:val="0"/>
    <w:rPr>
      <w:rFonts w:ascii="黑体" w:hAnsi="Courier New" w:eastAsia="黑体"/>
    </w:rPr>
  </w:style>
  <w:style w:type="character" w:customStyle="1" w:styleId="816">
    <w:name w:val="正文文本 2 Char1"/>
    <w:link w:val="55"/>
    <w:qFormat/>
    <w:uiPriority w:val="0"/>
    <w:rPr>
      <w:kern w:val="2"/>
      <w:sz w:val="21"/>
      <w:szCs w:val="24"/>
    </w:rPr>
  </w:style>
  <w:style w:type="character" w:customStyle="1" w:styleId="817">
    <w:name w:val="样式 样式 标题 4h4H4Fab-4T5Ref Heading 1rh1Heading sqlsect 1.2.3.... +... Char"/>
    <w:link w:val="102"/>
    <w:qFormat/>
    <w:uiPriority w:val="0"/>
    <w:rPr>
      <w:rFonts w:ascii="微软雅黑" w:hAnsi="微软雅黑" w:eastAsia="微软雅黑"/>
      <w:b/>
      <w:bCs/>
      <w:kern w:val="2"/>
      <w:sz w:val="24"/>
      <w:szCs w:val="28"/>
    </w:rPr>
  </w:style>
  <w:style w:type="character" w:customStyle="1" w:styleId="818">
    <w:name w:val="正文非缩进 Char"/>
    <w:qFormat/>
    <w:uiPriority w:val="0"/>
    <w:rPr>
      <w:rFonts w:ascii="宋体" w:eastAsia="宋体"/>
      <w:snapToGrid w:val="0"/>
      <w:color w:val="000000"/>
      <w:kern w:val="28"/>
      <w:sz w:val="28"/>
      <w:lang w:val="en-US" w:eastAsia="zh-CN" w:bidi="ar-SA"/>
    </w:rPr>
  </w:style>
  <w:style w:type="character" w:customStyle="1" w:styleId="819">
    <w:name w:val="标题 7 Char"/>
    <w:link w:val="9"/>
    <w:qFormat/>
    <w:uiPriority w:val="0"/>
    <w:rPr>
      <w:b/>
      <w:bCs/>
      <w:kern w:val="2"/>
      <w:sz w:val="24"/>
      <w:szCs w:val="24"/>
    </w:rPr>
  </w:style>
  <w:style w:type="character" w:customStyle="1" w:styleId="820">
    <w:name w:val="正文文本缩进 2 Char"/>
    <w:link w:val="36"/>
    <w:qFormat/>
    <w:uiPriority w:val="0"/>
    <w:rPr>
      <w:rFonts w:ascii="宋体"/>
      <w:sz w:val="28"/>
    </w:rPr>
  </w:style>
  <w:style w:type="character" w:customStyle="1" w:styleId="821">
    <w:name w:val="Char Char5"/>
    <w:qFormat/>
    <w:uiPriority w:val="0"/>
    <w:rPr>
      <w:rFonts w:ascii="宋体" w:hAnsi="Courier New" w:eastAsia="宋体"/>
      <w:kern w:val="2"/>
      <w:sz w:val="21"/>
      <w:lang w:val="en-US" w:eastAsia="zh-CN"/>
    </w:rPr>
  </w:style>
  <w:style w:type="character" w:customStyle="1" w:styleId="822">
    <w:name w:val="脚注文本 Char"/>
    <w:link w:val="49"/>
    <w:qFormat/>
    <w:uiPriority w:val="0"/>
    <w:rPr>
      <w:color w:val="0000FF"/>
      <w:sz w:val="21"/>
    </w:rPr>
  </w:style>
  <w:style w:type="character" w:customStyle="1" w:styleId="823">
    <w:name w:val="称呼 Char1"/>
    <w:qFormat/>
    <w:uiPriority w:val="0"/>
    <w:rPr>
      <w:rFonts w:ascii="Times New Roman" w:hAnsi="Times New Roman" w:eastAsia="宋体" w:cs="Times New Roman"/>
      <w:szCs w:val="24"/>
    </w:rPr>
  </w:style>
  <w:style w:type="character" w:customStyle="1" w:styleId="824">
    <w:name w:val="正文1 Char"/>
    <w:qFormat/>
    <w:uiPriority w:val="0"/>
    <w:rPr>
      <w:rFonts w:ascii="宋体" w:eastAsia="宋体"/>
      <w:snapToGrid w:val="0"/>
      <w:color w:val="000000"/>
      <w:kern w:val="28"/>
      <w:sz w:val="28"/>
      <w:lang w:val="en-US" w:eastAsia="zh-CN" w:bidi="ar-SA"/>
    </w:rPr>
  </w:style>
  <w:style w:type="character" w:customStyle="1" w:styleId="825">
    <w:name w:val="正文缩进 Char1"/>
    <w:qFormat/>
    <w:uiPriority w:val="0"/>
    <w:rPr>
      <w:rFonts w:ascii="宋体" w:eastAsia="宋体"/>
      <w:snapToGrid w:val="0"/>
      <w:color w:val="000000"/>
      <w:kern w:val="28"/>
      <w:sz w:val="28"/>
      <w:lang w:val="en-US" w:eastAsia="zh-CN" w:bidi="ar-SA"/>
    </w:rPr>
  </w:style>
  <w:style w:type="character" w:customStyle="1" w:styleId="826">
    <w:name w:val="font21"/>
    <w:qFormat/>
    <w:uiPriority w:val="0"/>
    <w:rPr>
      <w:rFonts w:hint="eastAsia" w:ascii="宋体" w:hAnsi="宋体" w:eastAsia="宋体"/>
      <w:kern w:val="2"/>
      <w:sz w:val="28"/>
      <w:szCs w:val="28"/>
      <w:lang w:val="en-US" w:eastAsia="zh-CN" w:bidi="ar-SA"/>
    </w:rPr>
  </w:style>
  <w:style w:type="character" w:customStyle="1" w:styleId="827">
    <w:name w:val="Char Char26"/>
    <w:qFormat/>
    <w:uiPriority w:val="6"/>
    <w:rPr>
      <w:kern w:val="1"/>
      <w:sz w:val="21"/>
      <w:szCs w:val="24"/>
    </w:rPr>
  </w:style>
  <w:style w:type="character" w:customStyle="1" w:styleId="828">
    <w:name w:val="Item List Char"/>
    <w:link w:val="104"/>
    <w:qFormat/>
    <w:uiPriority w:val="0"/>
    <w:rPr>
      <w:rFonts w:ascii="Arial"/>
      <w:bCs/>
      <w:sz w:val="21"/>
      <w:szCs w:val="21"/>
      <w:lang w:val="en-US" w:eastAsia="zh-CN" w:bidi="ar-SA"/>
    </w:rPr>
  </w:style>
  <w:style w:type="character" w:customStyle="1" w:styleId="829">
    <w:name w:val="批注框文本 Char1"/>
    <w:qFormat/>
    <w:uiPriority w:val="0"/>
    <w:rPr>
      <w:rFonts w:ascii="Times New Roman" w:hAnsi="Times New Roman" w:eastAsia="宋体" w:cs="Times New Roman"/>
      <w:sz w:val="18"/>
      <w:szCs w:val="18"/>
    </w:rPr>
  </w:style>
  <w:style w:type="character" w:customStyle="1" w:styleId="830">
    <w:name w:val="纯文本 Char1"/>
    <w:link w:val="105"/>
    <w:qFormat/>
    <w:uiPriority w:val="0"/>
    <w:rPr>
      <w:rFonts w:ascii="宋体" w:hAnsi="Courier New"/>
    </w:rPr>
  </w:style>
  <w:style w:type="character" w:customStyle="1" w:styleId="831">
    <w:name w:val="正文首行缩进 Char"/>
    <w:link w:val="60"/>
    <w:qFormat/>
    <w:uiPriority w:val="0"/>
    <w:rPr>
      <w:rFonts w:ascii="宋体"/>
      <w:kern w:val="2"/>
      <w:sz w:val="24"/>
      <w:lang w:val="zh-CN"/>
    </w:rPr>
  </w:style>
  <w:style w:type="character" w:customStyle="1" w:styleId="832">
    <w:name w:val="h3 Char"/>
    <w:qFormat/>
    <w:uiPriority w:val="0"/>
    <w:rPr>
      <w:rFonts w:eastAsia="宋体"/>
      <w:b/>
      <w:kern w:val="2"/>
      <w:sz w:val="32"/>
      <w:lang w:val="en-US" w:eastAsia="zh-CN" w:bidi="ar-SA"/>
    </w:rPr>
  </w:style>
  <w:style w:type="character" w:customStyle="1" w:styleId="833">
    <w:name w:val="dandyren_title1"/>
    <w:qFormat/>
    <w:uiPriority w:val="0"/>
    <w:rPr>
      <w:b/>
      <w:bCs/>
      <w:color w:val="FF6633"/>
      <w:sz w:val="18"/>
      <w:szCs w:val="18"/>
    </w:rPr>
  </w:style>
  <w:style w:type="character" w:customStyle="1" w:styleId="834">
    <w:name w:val="Char Char31"/>
    <w:qFormat/>
    <w:uiPriority w:val="6"/>
    <w:rPr>
      <w:rFonts w:ascii="Arial" w:hAnsi="Arial" w:eastAsia="黑体"/>
      <w:kern w:val="1"/>
      <w:sz w:val="24"/>
      <w:szCs w:val="24"/>
    </w:rPr>
  </w:style>
  <w:style w:type="character" w:customStyle="1" w:styleId="835">
    <w:name w:val="h Char1"/>
    <w:qFormat/>
    <w:uiPriority w:val="0"/>
    <w:rPr>
      <w:sz w:val="18"/>
      <w:szCs w:val="18"/>
    </w:rPr>
  </w:style>
  <w:style w:type="character" w:customStyle="1" w:styleId="836">
    <w:name w:val="solutionfonts"/>
    <w:qFormat/>
    <w:uiPriority w:val="0"/>
  </w:style>
  <w:style w:type="character" w:customStyle="1" w:styleId="837">
    <w:name w:val="标题 4 Char2"/>
    <w:link w:val="6"/>
    <w:qFormat/>
    <w:uiPriority w:val="9"/>
    <w:rPr>
      <w:rFonts w:ascii="Arial" w:hAnsi="Arial" w:eastAsia="黑体"/>
      <w:b/>
      <w:bCs/>
      <w:kern w:val="2"/>
      <w:sz w:val="28"/>
      <w:szCs w:val="28"/>
      <w:lang w:val="zh-CN"/>
    </w:rPr>
  </w:style>
  <w:style w:type="character" w:customStyle="1" w:styleId="838">
    <w:name w:val="首行缩进 Char"/>
    <w:qFormat/>
    <w:uiPriority w:val="0"/>
    <w:rPr>
      <w:rFonts w:ascii="宋体" w:eastAsia="宋体"/>
      <w:kern w:val="2"/>
      <w:sz w:val="24"/>
      <w:lang w:val="en-US" w:eastAsia="zh-CN" w:bidi="ar-SA"/>
    </w:rPr>
  </w:style>
  <w:style w:type="character" w:customStyle="1" w:styleId="839">
    <w:name w:val="Char Char52"/>
    <w:qFormat/>
    <w:uiPriority w:val="0"/>
    <w:rPr>
      <w:rFonts w:ascii="宋体" w:hAnsi="Courier New" w:eastAsia="宋体"/>
      <w:kern w:val="2"/>
      <w:sz w:val="21"/>
      <w:lang w:val="en-US" w:eastAsia="zh-CN"/>
    </w:rPr>
  </w:style>
  <w:style w:type="character" w:customStyle="1" w:styleId="840">
    <w:name w:val="正文文本 3 Char"/>
    <w:link w:val="21"/>
    <w:qFormat/>
    <w:uiPriority w:val="0"/>
    <w:rPr>
      <w:kern w:val="2"/>
      <w:sz w:val="21"/>
    </w:rPr>
  </w:style>
  <w:style w:type="character" w:customStyle="1" w:styleId="841">
    <w:name w:val="font31"/>
    <w:qFormat/>
    <w:uiPriority w:val="0"/>
    <w:rPr>
      <w:rFonts w:hint="eastAsia" w:ascii="仿宋" w:hAnsi="仿宋" w:eastAsia="仿宋" w:cs="仿宋"/>
      <w:color w:val="000000"/>
      <w:sz w:val="20"/>
      <w:szCs w:val="20"/>
      <w:u w:val="none"/>
    </w:rPr>
  </w:style>
  <w:style w:type="character" w:customStyle="1" w:styleId="842">
    <w:name w:val="正文说明 Char"/>
    <w:link w:val="106"/>
    <w:qFormat/>
    <w:uiPriority w:val="0"/>
    <w:rPr>
      <w:sz w:val="24"/>
      <w:szCs w:val="24"/>
    </w:rPr>
  </w:style>
  <w:style w:type="character" w:customStyle="1" w:styleId="843">
    <w:name w:val="脚注文本 Char1"/>
    <w:qFormat/>
    <w:uiPriority w:val="0"/>
    <w:rPr>
      <w:rFonts w:ascii="Times New Roman" w:hAnsi="Times New Roman" w:eastAsia="宋体" w:cs="Times New Roman"/>
      <w:sz w:val="18"/>
      <w:szCs w:val="18"/>
    </w:rPr>
  </w:style>
  <w:style w:type="character" w:customStyle="1" w:styleId="844">
    <w:name w:val="Char Char1211"/>
    <w:qFormat/>
    <w:uiPriority w:val="0"/>
    <w:rPr>
      <w:rFonts w:ascii="仿宋_GB2312" w:eastAsia="仿宋_GB2312"/>
      <w:b/>
      <w:bCs/>
      <w:kern w:val="2"/>
      <w:sz w:val="24"/>
      <w:szCs w:val="24"/>
      <w:lang w:val="zh-CN" w:eastAsia="zh-CN" w:bidi="ar-SA"/>
    </w:rPr>
  </w:style>
  <w:style w:type="character" w:customStyle="1" w:styleId="845">
    <w:name w:val="标题 Char"/>
    <w:qFormat/>
    <w:uiPriority w:val="0"/>
    <w:rPr>
      <w:rFonts w:eastAsia="宋体"/>
      <w:b/>
      <w:sz w:val="24"/>
      <w:lang w:eastAsia="zh-CN" w:bidi="ar-SA"/>
    </w:rPr>
  </w:style>
  <w:style w:type="character" w:customStyle="1" w:styleId="846">
    <w:name w:val="Char Char35"/>
    <w:qFormat/>
    <w:uiPriority w:val="6"/>
    <w:rPr>
      <w:rFonts w:ascii="Arial" w:hAnsi="Arial" w:eastAsia="黑体"/>
      <w:b/>
      <w:kern w:val="1"/>
      <w:sz w:val="28"/>
      <w:szCs w:val="28"/>
      <w:lang w:val="zh-CN"/>
    </w:rPr>
  </w:style>
  <w:style w:type="character" w:customStyle="1" w:styleId="847">
    <w:name w:val="纯文本 Char Char Char"/>
    <w:qFormat/>
    <w:uiPriority w:val="0"/>
    <w:rPr>
      <w:rFonts w:ascii="宋体" w:hAnsi="Courier New" w:eastAsia="宋体"/>
      <w:kern w:val="2"/>
      <w:sz w:val="21"/>
      <w:lang w:val="en-US" w:eastAsia="zh-CN" w:bidi="ar-SA"/>
    </w:rPr>
  </w:style>
  <w:style w:type="character" w:customStyle="1" w:styleId="848">
    <w:name w:val="Table Text Char"/>
    <w:link w:val="107"/>
    <w:qFormat/>
    <w:uiPriority w:val="0"/>
    <w:rPr>
      <w:sz w:val="24"/>
      <w:szCs w:val="24"/>
    </w:rPr>
  </w:style>
  <w:style w:type="character" w:customStyle="1" w:styleId="849">
    <w:name w:val="正文1 Char1"/>
    <w:qFormat/>
    <w:uiPriority w:val="0"/>
    <w:rPr>
      <w:rFonts w:ascii="仿宋_GB2312" w:hAnsi="Courier New" w:eastAsia="仿宋_GB2312"/>
      <w:kern w:val="28"/>
      <w:sz w:val="24"/>
      <w:szCs w:val="24"/>
      <w:lang w:val="en-US" w:eastAsia="zh-CN"/>
    </w:rPr>
  </w:style>
  <w:style w:type="character" w:customStyle="1" w:styleId="850">
    <w:name w:val="页脚 Char1"/>
    <w:qFormat/>
    <w:uiPriority w:val="0"/>
    <w:rPr>
      <w:rFonts w:eastAsia="宋体"/>
      <w:kern w:val="2"/>
      <w:sz w:val="18"/>
      <w:szCs w:val="18"/>
      <w:lang w:val="en-US" w:eastAsia="zh-CN" w:bidi="ar-SA"/>
    </w:rPr>
  </w:style>
  <w:style w:type="character" w:customStyle="1" w:styleId="851">
    <w:name w:val="Bold"/>
    <w:qFormat/>
    <w:uiPriority w:val="0"/>
    <w:rPr>
      <w:rFonts w:ascii="Arial" w:hAnsi="Arial" w:eastAsia="黑体" w:cs="Times New Roman"/>
      <w:b/>
      <w:kern w:val="2"/>
      <w:sz w:val="32"/>
      <w:szCs w:val="32"/>
      <w:lang w:val="en-US" w:eastAsia="zh-CN" w:bidi="ar-SA"/>
    </w:rPr>
  </w:style>
  <w:style w:type="character" w:customStyle="1" w:styleId="852">
    <w:name w:val="批注文字 Char1"/>
    <w:link w:val="19"/>
    <w:qFormat/>
    <w:uiPriority w:val="0"/>
    <w:rPr>
      <w:kern w:val="2"/>
      <w:sz w:val="21"/>
      <w:szCs w:val="24"/>
    </w:rPr>
  </w:style>
  <w:style w:type="character" w:customStyle="1" w:styleId="853">
    <w:name w:val="签名 Char"/>
    <w:link w:val="41"/>
    <w:qFormat/>
    <w:uiPriority w:val="0"/>
    <w:rPr>
      <w:rFonts w:eastAsia="仿宋_GB2312"/>
      <w:sz w:val="24"/>
    </w:rPr>
  </w:style>
  <w:style w:type="character" w:customStyle="1" w:styleId="854">
    <w:name w:val="hui3"/>
    <w:qFormat/>
    <w:uiPriority w:val="0"/>
    <w:rPr>
      <w:color w:val="333333"/>
    </w:rPr>
  </w:style>
  <w:style w:type="character" w:customStyle="1" w:styleId="855">
    <w:name w:val="Char Char17"/>
    <w:qFormat/>
    <w:uiPriority w:val="6"/>
    <w:rPr>
      <w:rFonts w:eastAsia="仿宋_GB2312"/>
      <w:sz w:val="24"/>
    </w:rPr>
  </w:style>
  <w:style w:type="character" w:customStyle="1" w:styleId="856">
    <w:name w:val="标题 4 字符"/>
    <w:qFormat/>
    <w:uiPriority w:val="9"/>
    <w:rPr>
      <w:rFonts w:ascii="等线 Light" w:hAnsi="等线 Light" w:eastAsia="等线 Light" w:cs="Times New Roman"/>
      <w:b/>
      <w:bCs/>
      <w:snapToGrid w:val="0"/>
      <w:kern w:val="0"/>
      <w:sz w:val="28"/>
      <w:szCs w:val="28"/>
    </w:rPr>
  </w:style>
  <w:style w:type="character" w:customStyle="1" w:styleId="857">
    <w:name w:val="Char Char37"/>
    <w:qFormat/>
    <w:uiPriority w:val="6"/>
    <w:rPr>
      <w:b/>
      <w:kern w:val="1"/>
      <w:sz w:val="44"/>
      <w:szCs w:val="44"/>
    </w:rPr>
  </w:style>
  <w:style w:type="character" w:customStyle="1" w:styleId="858">
    <w:name w:val="列出段落 Char"/>
    <w:qFormat/>
    <w:uiPriority w:val="0"/>
    <w:rPr>
      <w:rFonts w:eastAsia="楷体_GB2312" w:cs="Lucida Sans"/>
      <w:kern w:val="2"/>
      <w:sz w:val="24"/>
      <w:szCs w:val="24"/>
      <w:lang w:val="en-US" w:eastAsia="zh-CN" w:bidi="ar-SA"/>
    </w:rPr>
  </w:style>
  <w:style w:type="character" w:customStyle="1" w:styleId="859">
    <w:name w:val="正文文本缩进 3 Char1"/>
    <w:semiHidden/>
    <w:qFormat/>
    <w:uiPriority w:val="99"/>
    <w:rPr>
      <w:rFonts w:ascii="Times New Roman" w:hAnsi="Times New Roman" w:eastAsia="宋体" w:cs="Times New Roman"/>
      <w:sz w:val="16"/>
      <w:szCs w:val="16"/>
    </w:rPr>
  </w:style>
  <w:style w:type="character" w:customStyle="1" w:styleId="860">
    <w:name w:val="公文正文 Char Char"/>
    <w:link w:val="108"/>
    <w:qFormat/>
    <w:uiPriority w:val="0"/>
    <w:rPr>
      <w:rFonts w:ascii="仿宋_GB2312" w:eastAsia="仿宋_GB2312"/>
      <w:kern w:val="2"/>
      <w:sz w:val="24"/>
      <w:szCs w:val="24"/>
    </w:rPr>
  </w:style>
  <w:style w:type="character" w:customStyle="1" w:styleId="861">
    <w:name w:val="Table Text Char1"/>
    <w:qFormat/>
    <w:uiPriority w:val="0"/>
    <w:rPr>
      <w:rFonts w:eastAsia="宋体"/>
      <w:sz w:val="24"/>
      <w:szCs w:val="24"/>
      <w:lang w:val="en-US" w:eastAsia="zh-CN" w:bidi="ar-SA"/>
    </w:rPr>
  </w:style>
  <w:style w:type="character" w:customStyle="1" w:styleId="862">
    <w:name w:val="标题 1 Char Char"/>
    <w:qFormat/>
    <w:uiPriority w:val="0"/>
    <w:rPr>
      <w:rFonts w:hint="eastAsia" w:ascii="宋体" w:hAnsi="宋体" w:eastAsia="宋体"/>
      <w:b/>
      <w:spacing w:val="-2"/>
      <w:sz w:val="24"/>
      <w:lang w:val="en-US" w:eastAsia="zh-CN" w:bidi="ar-SA"/>
    </w:rPr>
  </w:style>
  <w:style w:type="character" w:customStyle="1" w:styleId="863">
    <w:name w:val="正文（缩进2汉字） Char"/>
    <w:link w:val="109"/>
    <w:qFormat/>
    <w:uiPriority w:val="0"/>
    <w:rPr>
      <w:rFonts w:ascii="宋体"/>
    </w:rPr>
  </w:style>
  <w:style w:type="character" w:customStyle="1" w:styleId="864">
    <w:name w:val="标题 8 Char"/>
    <w:link w:val="10"/>
    <w:qFormat/>
    <w:uiPriority w:val="0"/>
    <w:rPr>
      <w:rFonts w:ascii="Arial" w:hAnsi="Arial" w:eastAsia="黑体"/>
      <w:kern w:val="2"/>
      <w:sz w:val="24"/>
      <w:szCs w:val="24"/>
    </w:rPr>
  </w:style>
  <w:style w:type="character" w:customStyle="1" w:styleId="865">
    <w:name w:val="标书表格字体格式 Char"/>
    <w:qFormat/>
    <w:uiPriority w:val="0"/>
    <w:rPr>
      <w:kern w:val="2"/>
      <w:sz w:val="21"/>
      <w:szCs w:val="24"/>
      <w:lang w:bidi="ar-SA"/>
    </w:rPr>
  </w:style>
  <w:style w:type="character" w:customStyle="1" w:styleId="866">
    <w:name w:val="tw4winError"/>
    <w:qFormat/>
    <w:uiPriority w:val="0"/>
    <w:rPr>
      <w:rFonts w:ascii="Courier New" w:hAnsi="Courier New" w:cs="Courier New"/>
      <w:color w:val="00FF00"/>
      <w:sz w:val="40"/>
      <w:szCs w:val="40"/>
    </w:rPr>
  </w:style>
  <w:style w:type="character" w:customStyle="1" w:styleId="867">
    <w:name w:val="Body Text(ch) Char Char"/>
    <w:qFormat/>
    <w:uiPriority w:val="0"/>
    <w:rPr>
      <w:rFonts w:ascii="宋体"/>
      <w:kern w:val="2"/>
      <w:sz w:val="24"/>
      <w:szCs w:val="21"/>
      <w:lang w:val="zh-CN"/>
    </w:rPr>
  </w:style>
  <w:style w:type="character" w:customStyle="1" w:styleId="868">
    <w:name w:val="正文首行缩进两字 Char"/>
    <w:qFormat/>
    <w:uiPriority w:val="0"/>
    <w:rPr>
      <w:sz w:val="24"/>
      <w:szCs w:val="24"/>
      <w:lang w:val="en-US" w:eastAsia="zh-CN" w:bidi="ar-SA"/>
    </w:rPr>
  </w:style>
  <w:style w:type="character" w:customStyle="1" w:styleId="869">
    <w:name w:val="正文文本 Char"/>
    <w:qFormat/>
    <w:uiPriority w:val="0"/>
    <w:rPr>
      <w:rFonts w:eastAsia="宋体"/>
      <w:kern w:val="2"/>
      <w:sz w:val="24"/>
      <w:szCs w:val="24"/>
      <w:lang w:val="en-US" w:eastAsia="zh-CN" w:bidi="ar-SA"/>
    </w:rPr>
  </w:style>
  <w:style w:type="character" w:customStyle="1" w:styleId="870">
    <w:name w:val="文档结构图 字符1"/>
    <w:qFormat/>
    <w:uiPriority w:val="0"/>
    <w:rPr>
      <w:rFonts w:ascii="宋体" w:hAnsi="Calibri" w:eastAsia="黑体" w:cs="Arial"/>
      <w:snapToGrid w:val="0"/>
      <w:kern w:val="2"/>
      <w:sz w:val="18"/>
      <w:szCs w:val="18"/>
    </w:rPr>
  </w:style>
  <w:style w:type="character" w:customStyle="1" w:styleId="871">
    <w:name w:val="content"/>
    <w:qFormat/>
    <w:uiPriority w:val="0"/>
  </w:style>
  <w:style w:type="character" w:customStyle="1" w:styleId="872">
    <w:name w:val="tw4winPopup"/>
    <w:qFormat/>
    <w:uiPriority w:val="0"/>
    <w:rPr>
      <w:rFonts w:ascii="Courier New" w:hAnsi="Courier New" w:cs="Courier New"/>
      <w:color w:val="008000"/>
      <w:lang w:val="en-US" w:eastAsia="zh-CN"/>
    </w:rPr>
  </w:style>
  <w:style w:type="character" w:customStyle="1" w:styleId="873">
    <w:name w:val="param-name"/>
    <w:qFormat/>
    <w:uiPriority w:val="99"/>
    <w:rPr>
      <w:rFonts w:ascii="Arial" w:hAnsi="Arial" w:eastAsia="黑体" w:cs="Arial"/>
      <w:snapToGrid w:val="0"/>
      <w:kern w:val="0"/>
      <w:szCs w:val="21"/>
    </w:rPr>
  </w:style>
  <w:style w:type="character" w:customStyle="1" w:styleId="874">
    <w:name w:val="标准正文格式 Char"/>
    <w:qFormat/>
    <w:uiPriority w:val="0"/>
    <w:rPr>
      <w:rFonts w:ascii="宋体" w:eastAsia="仿宋_GB2312" w:cs="宋体"/>
      <w:color w:val="000000"/>
      <w:sz w:val="24"/>
      <w:lang w:val="en-US" w:eastAsia="zh-CN" w:bidi="ar-SA"/>
    </w:rPr>
  </w:style>
  <w:style w:type="character" w:customStyle="1" w:styleId="875">
    <w:name w:val="Char Char212"/>
    <w:qFormat/>
    <w:uiPriority w:val="0"/>
    <w:rPr>
      <w:rFonts w:eastAsia="宋体"/>
      <w:b/>
      <w:bCs/>
      <w:kern w:val="2"/>
      <w:sz w:val="21"/>
      <w:szCs w:val="24"/>
      <w:lang w:val="en-US" w:eastAsia="zh-CN" w:bidi="ar-SA"/>
    </w:rPr>
  </w:style>
  <w:style w:type="character" w:customStyle="1" w:styleId="876">
    <w:name w:val="文档结构图 Char"/>
    <w:qFormat/>
    <w:uiPriority w:val="0"/>
    <w:rPr>
      <w:rFonts w:eastAsia="宋体"/>
      <w:kern w:val="2"/>
      <w:sz w:val="21"/>
      <w:szCs w:val="24"/>
      <w:lang w:val="en-US" w:eastAsia="zh-CN" w:bidi="ar-SA"/>
    </w:rPr>
  </w:style>
  <w:style w:type="character" w:customStyle="1" w:styleId="877">
    <w:name w:val="zbggmain style9"/>
    <w:qFormat/>
    <w:uiPriority w:val="0"/>
  </w:style>
  <w:style w:type="character" w:customStyle="1" w:styleId="878">
    <w:name w:val="Char Char16"/>
    <w:qFormat/>
    <w:uiPriority w:val="6"/>
    <w:rPr>
      <w:kern w:val="1"/>
      <w:sz w:val="18"/>
      <w:szCs w:val="18"/>
    </w:rPr>
  </w:style>
  <w:style w:type="character" w:customStyle="1" w:styleId="879">
    <w:name w:val="font51"/>
    <w:qFormat/>
    <w:uiPriority w:val="0"/>
    <w:rPr>
      <w:rFonts w:hint="eastAsia" w:ascii="仿宋" w:hAnsi="仿宋" w:eastAsia="仿宋" w:cs="仿宋"/>
      <w:color w:val="000000"/>
      <w:sz w:val="20"/>
      <w:szCs w:val="20"/>
      <w:u w:val="none"/>
    </w:rPr>
  </w:style>
  <w:style w:type="character" w:customStyle="1" w:styleId="880">
    <w:name w:val="Char Char82"/>
    <w:qFormat/>
    <w:uiPriority w:val="0"/>
    <w:rPr>
      <w:rFonts w:eastAsia="宋体"/>
      <w:b/>
      <w:sz w:val="24"/>
      <w:lang w:eastAsia="zh-CN"/>
    </w:rPr>
  </w:style>
  <w:style w:type="character" w:customStyle="1" w:styleId="881">
    <w:name w:val="正文文本缩进 3 Char"/>
    <w:link w:val="52"/>
    <w:qFormat/>
    <w:uiPriority w:val="0"/>
    <w:rPr>
      <w:kern w:val="2"/>
      <w:sz w:val="24"/>
    </w:rPr>
  </w:style>
  <w:style w:type="character" w:customStyle="1" w:styleId="882">
    <w:name w:val="日期 Char1"/>
    <w:semiHidden/>
    <w:qFormat/>
    <w:uiPriority w:val="99"/>
    <w:rPr>
      <w:rFonts w:ascii="Times New Roman" w:hAnsi="Times New Roman" w:eastAsia="宋体" w:cs="Times New Roman"/>
      <w:szCs w:val="24"/>
    </w:rPr>
  </w:style>
  <w:style w:type="character" w:customStyle="1" w:styleId="883">
    <w:name w:val="页眉 字符"/>
    <w:qFormat/>
    <w:uiPriority w:val="99"/>
    <w:rPr>
      <w:kern w:val="2"/>
      <w:sz w:val="18"/>
      <w:szCs w:val="18"/>
    </w:rPr>
  </w:style>
  <w:style w:type="character" w:customStyle="1" w:styleId="884">
    <w:name w:val="Char Char33"/>
    <w:qFormat/>
    <w:uiPriority w:val="6"/>
    <w:rPr>
      <w:rFonts w:ascii="Arial" w:hAnsi="Arial" w:eastAsia="黑体"/>
      <w:b/>
      <w:kern w:val="1"/>
      <w:sz w:val="24"/>
      <w:szCs w:val="24"/>
    </w:rPr>
  </w:style>
  <w:style w:type="character" w:customStyle="1" w:styleId="885">
    <w:name w:val="b11_01b Char"/>
    <w:link w:val="110"/>
    <w:qFormat/>
    <w:uiPriority w:val="0"/>
    <w:rPr>
      <w:rFonts w:ascii="Verdana" w:hAnsi="Verdana"/>
      <w:b/>
      <w:bCs/>
      <w:color w:val="4A82CA"/>
      <w:sz w:val="17"/>
      <w:szCs w:val="17"/>
    </w:rPr>
  </w:style>
  <w:style w:type="character" w:customStyle="1" w:styleId="886">
    <w:name w:val="Char Char121"/>
    <w:qFormat/>
    <w:uiPriority w:val="6"/>
    <w:rPr>
      <w:rFonts w:ascii="仿宋_GB2312" w:eastAsia="仿宋_GB2312"/>
      <w:b/>
      <w:bCs/>
      <w:kern w:val="2"/>
      <w:sz w:val="24"/>
      <w:szCs w:val="24"/>
      <w:lang w:val="zh-CN" w:eastAsia="zh-CN" w:bidi="ar-SA"/>
    </w:rPr>
  </w:style>
  <w:style w:type="character" w:customStyle="1" w:styleId="887">
    <w:name w:val="Footer-Even Char"/>
    <w:qFormat/>
    <w:uiPriority w:val="0"/>
    <w:rPr>
      <w:rFonts w:eastAsia="宋体"/>
      <w:kern w:val="2"/>
      <w:sz w:val="18"/>
      <w:lang w:val="en-US" w:eastAsia="zh-CN" w:bidi="ar-SA"/>
    </w:rPr>
  </w:style>
  <w:style w:type="character" w:customStyle="1" w:styleId="888">
    <w:name w:val="页脚 Char2"/>
    <w:link w:val="39"/>
    <w:qFormat/>
    <w:locked/>
    <w:uiPriority w:val="99"/>
    <w:rPr>
      <w:kern w:val="2"/>
      <w:sz w:val="18"/>
      <w:szCs w:val="18"/>
    </w:rPr>
  </w:style>
  <w:style w:type="character" w:customStyle="1" w:styleId="889">
    <w:name w:val="Char Char36"/>
    <w:qFormat/>
    <w:uiPriority w:val="6"/>
    <w:rPr>
      <w:rFonts w:ascii="仿宋_GB2312" w:hAnsi="仿宋_GB2312" w:eastAsia="仿宋_GB2312" w:cs="Arial"/>
      <w:b/>
      <w:kern w:val="1"/>
      <w:sz w:val="32"/>
      <w:szCs w:val="32"/>
      <w:lang w:val="zh-CN" w:eastAsia="zh-CN" w:bidi="ar-SA"/>
    </w:rPr>
  </w:style>
  <w:style w:type="character" w:customStyle="1" w:styleId="890">
    <w:name w:val="Char Char61"/>
    <w:qFormat/>
    <w:uiPriority w:val="6"/>
    <w:rPr>
      <w:rFonts w:eastAsia="宋体"/>
      <w:kern w:val="2"/>
      <w:sz w:val="21"/>
      <w:szCs w:val="24"/>
      <w:lang w:val="en-US" w:eastAsia="zh-CN" w:bidi="ar-SA"/>
    </w:rPr>
  </w:style>
  <w:style w:type="character" w:customStyle="1" w:styleId="891">
    <w:name w:val="正文文字缩进 2 Char Char"/>
    <w:qFormat/>
    <w:uiPriority w:val="0"/>
    <w:rPr>
      <w:rFonts w:ascii="宋体"/>
      <w:sz w:val="28"/>
    </w:rPr>
  </w:style>
  <w:style w:type="character" w:customStyle="1" w:styleId="892">
    <w:name w:val="f141"/>
    <w:qFormat/>
    <w:uiPriority w:val="0"/>
    <w:rPr>
      <w:rFonts w:ascii="Tahoma" w:hAnsi="Tahoma" w:eastAsia="宋体"/>
      <w:b/>
      <w:kern w:val="2"/>
      <w:sz w:val="21"/>
      <w:szCs w:val="21"/>
      <w:lang w:val="en-US" w:eastAsia="zh-CN" w:bidi="ar-SA"/>
    </w:rPr>
  </w:style>
  <w:style w:type="character" w:customStyle="1" w:styleId="893">
    <w:name w:val="段落 Char Char"/>
    <w:link w:val="111"/>
    <w:qFormat/>
    <w:uiPriority w:val="0"/>
    <w:rPr>
      <w:rFonts w:ascii="宋体" w:hAnsi="宋体"/>
      <w:sz w:val="24"/>
    </w:rPr>
  </w:style>
  <w:style w:type="character" w:customStyle="1" w:styleId="894">
    <w:name w:val="标题 3 Char2"/>
    <w:qFormat/>
    <w:uiPriority w:val="0"/>
    <w:rPr>
      <w:rFonts w:eastAsia="宋体"/>
      <w:b/>
      <w:bCs/>
      <w:kern w:val="2"/>
      <w:sz w:val="32"/>
      <w:szCs w:val="32"/>
      <w:lang w:val="en-US" w:eastAsia="zh-CN" w:bidi="ar-SA"/>
    </w:rPr>
  </w:style>
  <w:style w:type="character" w:customStyle="1" w:styleId="895">
    <w:name w:val="apple-converted-space"/>
    <w:qFormat/>
    <w:uiPriority w:val="0"/>
  </w:style>
  <w:style w:type="character" w:customStyle="1" w:styleId="896">
    <w:name w:val="页眉 Char2"/>
    <w:link w:val="40"/>
    <w:qFormat/>
    <w:uiPriority w:val="99"/>
    <w:rPr>
      <w:kern w:val="2"/>
      <w:sz w:val="18"/>
      <w:szCs w:val="18"/>
    </w:rPr>
  </w:style>
  <w:style w:type="character" w:customStyle="1" w:styleId="897">
    <w:name w:val="Char Char9"/>
    <w:qFormat/>
    <w:uiPriority w:val="0"/>
    <w:rPr>
      <w:rFonts w:eastAsia="宋体"/>
      <w:kern w:val="2"/>
      <w:sz w:val="18"/>
      <w:szCs w:val="18"/>
      <w:lang w:val="en-US" w:eastAsia="zh-CN" w:bidi="ar-SA"/>
    </w:rPr>
  </w:style>
  <w:style w:type="character" w:customStyle="1" w:styleId="898">
    <w:name w:val="Char Char41"/>
    <w:qFormat/>
    <w:uiPriority w:val="0"/>
    <w:rPr>
      <w:rFonts w:eastAsia="宋体"/>
      <w:b/>
      <w:sz w:val="24"/>
      <w:lang w:eastAsia="zh-CN" w:bidi="ar-SA"/>
    </w:rPr>
  </w:style>
  <w:style w:type="character" w:customStyle="1" w:styleId="899">
    <w:name w:val="large1"/>
    <w:qFormat/>
    <w:uiPriority w:val="0"/>
    <w:rPr>
      <w:rFonts w:hint="eastAsia" w:ascii="宋体" w:hAnsi="宋体" w:eastAsia="宋体"/>
      <w:sz w:val="21"/>
      <w:szCs w:val="21"/>
    </w:rPr>
  </w:style>
  <w:style w:type="character" w:customStyle="1" w:styleId="900">
    <w:name w:val="正文段 Char"/>
    <w:link w:val="112"/>
    <w:qFormat/>
    <w:uiPriority w:val="0"/>
    <w:rPr>
      <w:sz w:val="24"/>
    </w:rPr>
  </w:style>
  <w:style w:type="character" w:customStyle="1" w:styleId="901">
    <w:name w:val="Char Char13"/>
    <w:qFormat/>
    <w:uiPriority w:val="6"/>
    <w:rPr>
      <w:rFonts w:ascii="宋体" w:hAnsi="宋体"/>
      <w:kern w:val="1"/>
      <w:sz w:val="21"/>
      <w:szCs w:val="24"/>
    </w:rPr>
  </w:style>
  <w:style w:type="character" w:customStyle="1" w:styleId="9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903">
    <w:name w:val="冯广丽 Char"/>
    <w:link w:val="113"/>
    <w:qFormat/>
    <w:uiPriority w:val="0"/>
    <w:rPr>
      <w:rFonts w:ascii="宋体" w:hAnsi="宋体"/>
      <w:kern w:val="2"/>
      <w:sz w:val="24"/>
      <w:szCs w:val="22"/>
    </w:rPr>
  </w:style>
  <w:style w:type="character" w:customStyle="1" w:styleId="904">
    <w:name w:val="批注文字 字符"/>
    <w:qFormat/>
    <w:uiPriority w:val="0"/>
    <w:rPr>
      <w:rFonts w:ascii="Arial" w:hAnsi="Arial" w:eastAsia="黑体" w:cs="Arial"/>
      <w:snapToGrid w:val="0"/>
      <w:kern w:val="0"/>
      <w:szCs w:val="21"/>
    </w:rPr>
  </w:style>
  <w:style w:type="character" w:customStyle="1" w:styleId="905">
    <w:name w:val="Char Char161"/>
    <w:qFormat/>
    <w:uiPriority w:val="0"/>
    <w:rPr>
      <w:rFonts w:eastAsia="宋体"/>
      <w:b/>
      <w:kern w:val="2"/>
      <w:sz w:val="32"/>
      <w:lang w:val="en-US" w:eastAsia="zh-CN"/>
    </w:rPr>
  </w:style>
  <w:style w:type="character" w:customStyle="1" w:styleId="906">
    <w:name w:val="javascript"/>
    <w:qFormat/>
    <w:uiPriority w:val="0"/>
  </w:style>
  <w:style w:type="character" w:customStyle="1" w:styleId="907">
    <w:name w:val="图名 Char"/>
    <w:qFormat/>
    <w:uiPriority w:val="0"/>
    <w:rPr>
      <w:rFonts w:ascii="Arial" w:hAnsi="Arial" w:eastAsia="黑体"/>
      <w:kern w:val="2"/>
      <w:sz w:val="24"/>
      <w:szCs w:val="24"/>
      <w:lang w:val="en-US" w:eastAsia="zh-CN" w:bidi="ar-SA"/>
    </w:rPr>
  </w:style>
  <w:style w:type="character" w:customStyle="1" w:styleId="908">
    <w:name w:val="Used by Word for text of Help footnotes Char Char"/>
    <w:qFormat/>
    <w:uiPriority w:val="0"/>
    <w:rPr>
      <w:rFonts w:ascii="Times New Roman" w:hAnsi="Times New Roman" w:eastAsia="宋体" w:cs="Times New Roman"/>
      <w:sz w:val="20"/>
      <w:szCs w:val="20"/>
    </w:rPr>
  </w:style>
  <w:style w:type="character" w:customStyle="1" w:styleId="909">
    <w:name w:val="编号，小四 Char"/>
    <w:link w:val="114"/>
    <w:qFormat/>
    <w:uiPriority w:val="0"/>
    <w:rPr>
      <w:rFonts w:ascii="Arial" w:hAnsi="Arial"/>
      <w:sz w:val="24"/>
    </w:rPr>
  </w:style>
  <w:style w:type="character" w:customStyle="1" w:styleId="910">
    <w:name w:val="Font Style82"/>
    <w:qFormat/>
    <w:uiPriority w:val="99"/>
    <w:rPr>
      <w:rFonts w:ascii="宋体" w:eastAsia="宋体" w:cs="宋体"/>
      <w:color w:val="000000"/>
      <w:sz w:val="14"/>
      <w:szCs w:val="14"/>
    </w:rPr>
  </w:style>
  <w:style w:type="character" w:customStyle="1" w:styleId="911">
    <w:name w:val="标题 2 Char Char"/>
    <w:qFormat/>
    <w:uiPriority w:val="0"/>
    <w:rPr>
      <w:rFonts w:ascii="楷体_GB2312" w:hAnsi="Arial" w:eastAsia="楷体_GB2312"/>
      <w:b/>
      <w:bCs/>
      <w:kern w:val="2"/>
      <w:sz w:val="24"/>
      <w:szCs w:val="32"/>
      <w:lang w:val="en-US" w:eastAsia="zh-CN" w:bidi="ar-SA"/>
    </w:rPr>
  </w:style>
  <w:style w:type="character" w:customStyle="1" w:styleId="912">
    <w:name w:val="未用 Char"/>
    <w:qFormat/>
    <w:uiPriority w:val="0"/>
    <w:rPr>
      <w:rFonts w:ascii="Arial" w:hAnsi="Arial" w:eastAsia="黑体"/>
      <w:kern w:val="2"/>
      <w:sz w:val="21"/>
      <w:szCs w:val="21"/>
      <w:lang w:val="en-US" w:eastAsia="zh-CN" w:bidi="ar-SA"/>
    </w:rPr>
  </w:style>
  <w:style w:type="character" w:customStyle="1" w:styleId="913">
    <w:name w:val="myp1111"/>
    <w:qFormat/>
    <w:uiPriority w:val="0"/>
    <w:rPr>
      <w:rFonts w:hint="default" w:ascii="ˎ̥" w:hAnsi="ˎ̥"/>
      <w:color w:val="000000"/>
      <w:sz w:val="20"/>
      <w:szCs w:val="20"/>
      <w:u w:val="none"/>
    </w:rPr>
  </w:style>
  <w:style w:type="character" w:customStyle="1" w:styleId="914">
    <w:name w:val="样式 标题 4h4H4Fab-4T5Ref Heading 1rh1Heading sqlsect 1.2.3.... Char"/>
    <w:link w:val="103"/>
    <w:qFormat/>
    <w:uiPriority w:val="0"/>
    <w:rPr>
      <w:rFonts w:ascii="微软雅黑" w:hAnsi="微软雅黑" w:eastAsia="微软雅黑"/>
      <w:b/>
      <w:bCs/>
      <w:kern w:val="2"/>
      <w:sz w:val="24"/>
      <w:szCs w:val="28"/>
    </w:rPr>
  </w:style>
  <w:style w:type="character" w:customStyle="1" w:styleId="915">
    <w:name w:val="h Char Char"/>
    <w:qFormat/>
    <w:uiPriority w:val="0"/>
    <w:rPr>
      <w:rFonts w:eastAsia="宋体"/>
      <w:kern w:val="2"/>
      <w:sz w:val="18"/>
      <w:lang w:val="en-US" w:eastAsia="zh-CN" w:bidi="ar-SA"/>
    </w:rPr>
  </w:style>
  <w:style w:type="character" w:customStyle="1" w:styleId="916">
    <w:name w:val="仿宋正文 Char"/>
    <w:link w:val="115"/>
    <w:qFormat/>
    <w:uiPriority w:val="0"/>
    <w:rPr>
      <w:rFonts w:ascii="仿宋_GB2312" w:eastAsia="仿宋_GB2312"/>
      <w:kern w:val="2"/>
      <w:sz w:val="24"/>
      <w:lang w:val="en-US" w:eastAsia="zh-CN" w:bidi="ar-SA"/>
    </w:rPr>
  </w:style>
  <w:style w:type="character" w:customStyle="1" w:styleId="917">
    <w:name w:val="正文首行缩进 Char Char Char Char Char Char"/>
    <w:qFormat/>
    <w:uiPriority w:val="0"/>
    <w:rPr>
      <w:rFonts w:ascii="宋体" w:eastAsia="宋体"/>
      <w:kern w:val="2"/>
      <w:sz w:val="24"/>
      <w:lang w:val="zh-CN" w:bidi="ar-SA"/>
    </w:rPr>
  </w:style>
  <w:style w:type="character" w:customStyle="1" w:styleId="918">
    <w:name w:val="样式 宋体"/>
    <w:qFormat/>
    <w:uiPriority w:val="0"/>
    <w:rPr>
      <w:rFonts w:ascii="宋体" w:hAnsi="宋体"/>
      <w:sz w:val="24"/>
    </w:rPr>
  </w:style>
  <w:style w:type="character" w:customStyle="1" w:styleId="919">
    <w:name w:val="tw4winJump"/>
    <w:qFormat/>
    <w:uiPriority w:val="0"/>
    <w:rPr>
      <w:rFonts w:ascii="Courier New" w:hAnsi="Courier New" w:cs="Courier New"/>
      <w:color w:val="008080"/>
      <w:lang w:val="en-US" w:eastAsia="zh-CN"/>
    </w:rPr>
  </w:style>
  <w:style w:type="character" w:customStyle="1" w:styleId="920">
    <w:name w:val="标题 1 字符"/>
    <w:qFormat/>
    <w:uiPriority w:val="9"/>
    <w:rPr>
      <w:rFonts w:ascii="Arial" w:hAnsi="Arial" w:eastAsia="黑体" w:cs="Arial"/>
      <w:b/>
      <w:bCs/>
      <w:snapToGrid w:val="0"/>
      <w:kern w:val="44"/>
      <w:sz w:val="44"/>
      <w:szCs w:val="44"/>
    </w:rPr>
  </w:style>
  <w:style w:type="character" w:customStyle="1" w:styleId="921">
    <w:name w:val="style36"/>
    <w:basedOn w:val="69"/>
    <w:qFormat/>
    <w:uiPriority w:val="0"/>
    <w:rPr>
      <w:rFonts w:ascii="Arial" w:hAnsi="Arial" w:eastAsia="黑体" w:cs="Arial"/>
      <w:snapToGrid w:val="0"/>
      <w:kern w:val="0"/>
      <w:szCs w:val="21"/>
    </w:rPr>
  </w:style>
  <w:style w:type="character" w:customStyle="1" w:styleId="922">
    <w:name w:val="pt9"/>
    <w:qFormat/>
    <w:uiPriority w:val="0"/>
    <w:rPr>
      <w:rFonts w:ascii="仿宋_GB2312" w:eastAsia="微软雅黑"/>
      <w:b/>
      <w:kern w:val="2"/>
      <w:sz w:val="32"/>
      <w:szCs w:val="32"/>
      <w:lang w:val="en-US" w:eastAsia="zh-CN" w:bidi="ar-SA"/>
    </w:rPr>
  </w:style>
  <w:style w:type="character" w:customStyle="1" w:styleId="923">
    <w:name w:val="DO_NOT_TRANSLATE"/>
    <w:qFormat/>
    <w:uiPriority w:val="0"/>
    <w:rPr>
      <w:rFonts w:ascii="Courier New" w:hAnsi="Courier New" w:cs="Courier New"/>
      <w:color w:val="800000"/>
      <w:lang w:val="en-US" w:eastAsia="zh-CN"/>
    </w:rPr>
  </w:style>
  <w:style w:type="character" w:customStyle="1" w:styleId="924">
    <w:name w:val="标书1 Char1"/>
    <w:qFormat/>
    <w:uiPriority w:val="0"/>
    <w:rPr>
      <w:rFonts w:eastAsia="宋体"/>
      <w:b/>
      <w:bCs/>
      <w:kern w:val="44"/>
      <w:sz w:val="44"/>
      <w:szCs w:val="44"/>
      <w:lang w:val="en-US" w:eastAsia="zh-CN" w:bidi="ar-SA"/>
    </w:rPr>
  </w:style>
  <w:style w:type="character" w:customStyle="1" w:styleId="925">
    <w:name w:val="页脚 字符"/>
    <w:qFormat/>
    <w:uiPriority w:val="99"/>
    <w:rPr>
      <w:kern w:val="2"/>
      <w:sz w:val="18"/>
      <w:szCs w:val="18"/>
    </w:rPr>
  </w:style>
  <w:style w:type="character" w:customStyle="1" w:styleId="926">
    <w:name w:val="正文2 Char"/>
    <w:qFormat/>
    <w:uiPriority w:val="0"/>
    <w:rPr>
      <w:rFonts w:eastAsia="宋体"/>
      <w:kern w:val="2"/>
      <w:sz w:val="24"/>
      <w:lang w:val="en-US" w:eastAsia="zh-CN" w:bidi="ar-SA"/>
    </w:rPr>
  </w:style>
  <w:style w:type="character" w:customStyle="1" w:styleId="927">
    <w:name w:val="Char Char21"/>
    <w:qFormat/>
    <w:uiPriority w:val="6"/>
    <w:rPr>
      <w:rFonts w:ascii="宋体" w:hAnsi="宋体"/>
      <w:kern w:val="1"/>
      <w:sz w:val="24"/>
      <w:szCs w:val="21"/>
      <w:lang w:val="zh-CN"/>
    </w:rPr>
  </w:style>
  <w:style w:type="character" w:customStyle="1" w:styleId="928">
    <w:name w:val="样式 正文缩进 + 首行缩进:  2 字符 Char Char"/>
    <w:link w:val="116"/>
    <w:qFormat/>
    <w:uiPriority w:val="0"/>
    <w:rPr>
      <w:rFonts w:cs="宋体"/>
      <w:kern w:val="2"/>
      <w:sz w:val="24"/>
    </w:rPr>
  </w:style>
  <w:style w:type="character" w:customStyle="1" w:styleId="9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930">
    <w:name w:val="gray6"/>
    <w:basedOn w:val="69"/>
    <w:qFormat/>
    <w:uiPriority w:val="0"/>
    <w:rPr>
      <w:rFonts w:ascii="Arial" w:hAnsi="Arial" w:eastAsia="黑体" w:cs="Arial"/>
      <w:snapToGrid w:val="0"/>
      <w:kern w:val="0"/>
      <w:szCs w:val="21"/>
    </w:rPr>
  </w:style>
  <w:style w:type="character" w:customStyle="1" w:styleId="931">
    <w:name w:val="hui"/>
    <w:basedOn w:val="69"/>
    <w:qFormat/>
    <w:uiPriority w:val="0"/>
    <w:rPr>
      <w:rFonts w:ascii="Arial" w:hAnsi="Arial" w:eastAsia="黑体" w:cs="Arial"/>
      <w:snapToGrid w:val="0"/>
      <w:kern w:val="0"/>
      <w:szCs w:val="21"/>
    </w:rPr>
  </w:style>
  <w:style w:type="character" w:customStyle="1" w:styleId="932">
    <w:name w:val="哈哈正文 Char Char"/>
    <w:qFormat/>
    <w:uiPriority w:val="0"/>
    <w:rPr>
      <w:rFonts w:ascii="宋体" w:hAnsi="宋体" w:eastAsia="宋体" w:cs="宋体"/>
      <w:kern w:val="2"/>
      <w:sz w:val="24"/>
      <w:lang w:val="en-US" w:eastAsia="zh-CN" w:bidi="ar-SA"/>
    </w:rPr>
  </w:style>
  <w:style w:type="character" w:customStyle="1" w:styleId="933">
    <w:name w:val="交叉引用"/>
    <w:qFormat/>
    <w:uiPriority w:val="1"/>
    <w:rPr>
      <w:rFonts w:ascii="Arial" w:hAnsi="Arial" w:eastAsia="黑体"/>
      <w:snapToGrid w:val="0"/>
      <w:color w:val="0000FF"/>
      <w:kern w:val="0"/>
      <w:sz w:val="20"/>
      <w:szCs w:val="21"/>
      <w:u w:val="single"/>
      <w:lang w:val="en-US" w:eastAsia="zh-CN"/>
    </w:rPr>
  </w:style>
  <w:style w:type="character" w:customStyle="1" w:styleId="934">
    <w:name w:val="正文缩进 字符1"/>
    <w:qFormat/>
    <w:uiPriority w:val="0"/>
    <w:rPr>
      <w:rFonts w:ascii="宋体" w:eastAsia="宋体"/>
      <w:snapToGrid w:val="0"/>
      <w:color w:val="000000"/>
      <w:kern w:val="28"/>
      <w:sz w:val="28"/>
      <w:lang w:val="en-US" w:eastAsia="zh-CN" w:bidi="ar-SA"/>
    </w:rPr>
  </w:style>
  <w:style w:type="character" w:customStyle="1" w:styleId="935">
    <w:name w:val="页脚 字符1"/>
    <w:qFormat/>
    <w:locked/>
    <w:uiPriority w:val="99"/>
    <w:rPr>
      <w:kern w:val="2"/>
      <w:sz w:val="18"/>
      <w:szCs w:val="18"/>
    </w:rPr>
  </w:style>
  <w:style w:type="character" w:customStyle="1" w:styleId="936">
    <w:name w:val="页眉 字符1"/>
    <w:qFormat/>
    <w:uiPriority w:val="99"/>
    <w:rPr>
      <w:kern w:val="2"/>
      <w:sz w:val="18"/>
      <w:szCs w:val="18"/>
    </w:rPr>
  </w:style>
  <w:style w:type="character" w:customStyle="1" w:styleId="937">
    <w:name w:val="尾注文本 Char"/>
    <w:link w:val="37"/>
    <w:qFormat/>
    <w:uiPriority w:val="0"/>
    <w:rPr>
      <w:kern w:val="2"/>
      <w:sz w:val="21"/>
      <w:szCs w:val="24"/>
      <w:lang w:val="zh-CN"/>
    </w:rPr>
  </w:style>
  <w:style w:type="character" w:customStyle="1" w:styleId="938">
    <w:name w:val="无间隔 Char"/>
    <w:link w:val="165"/>
    <w:qFormat/>
    <w:uiPriority w:val="99"/>
    <w:rPr>
      <w:kern w:val="2"/>
      <w:sz w:val="21"/>
      <w:szCs w:val="22"/>
    </w:rPr>
  </w:style>
  <w:style w:type="character" w:customStyle="1" w:styleId="939">
    <w:name w:val="标准文本 Char Char"/>
    <w:link w:val="604"/>
    <w:qFormat/>
    <w:uiPriority w:val="0"/>
    <w:rPr>
      <w:rFonts w:cs="宋体"/>
      <w:kern w:val="2"/>
      <w:sz w:val="24"/>
    </w:rPr>
  </w:style>
  <w:style w:type="character" w:customStyle="1" w:styleId="940">
    <w:name w:val="Char Char213"/>
    <w:qFormat/>
    <w:uiPriority w:val="0"/>
    <w:rPr>
      <w:rFonts w:eastAsia="Century Gothic"/>
      <w:b/>
      <w:bCs/>
      <w:kern w:val="44"/>
      <w:sz w:val="32"/>
      <w:szCs w:val="44"/>
      <w:lang w:val="en-US" w:eastAsia="zh-CN" w:bidi="ar-SA"/>
    </w:rPr>
  </w:style>
  <w:style w:type="character" w:customStyle="1" w:styleId="941">
    <w:name w:val="apple-style-span"/>
    <w:qFormat/>
    <w:uiPriority w:val="0"/>
    <w:rPr>
      <w:rFonts w:ascii="Arial" w:hAnsi="Arial" w:eastAsia="黑体" w:cs="Arial"/>
      <w:snapToGrid w:val="0"/>
      <w:kern w:val="0"/>
      <w:szCs w:val="21"/>
    </w:rPr>
  </w:style>
  <w:style w:type="character" w:customStyle="1" w:styleId="942">
    <w:name w:val="15"/>
    <w:qFormat/>
    <w:uiPriority w:val="0"/>
    <w:rPr>
      <w:rFonts w:hint="default" w:ascii="Calibri" w:hAnsi="Calibri"/>
      <w:color w:val="0000FF"/>
      <w:u w:val="single"/>
    </w:rPr>
  </w:style>
  <w:style w:type="character" w:customStyle="1" w:styleId="943">
    <w:name w:val="16"/>
    <w:qFormat/>
    <w:uiPriority w:val="0"/>
    <w:rPr>
      <w:rFonts w:hint="eastAsia" w:ascii="宋体" w:hAnsi="宋体" w:eastAsia="宋体"/>
      <w:color w:val="000000"/>
      <w:sz w:val="20"/>
      <w:szCs w:val="20"/>
    </w:rPr>
  </w:style>
  <w:style w:type="character" w:customStyle="1" w:styleId="944">
    <w:name w:val="edui-unclickable"/>
    <w:qFormat/>
    <w:uiPriority w:val="0"/>
    <w:rPr>
      <w:color w:val="808080"/>
    </w:rPr>
  </w:style>
  <w:style w:type="character" w:customStyle="1" w:styleId="945">
    <w:name w:val="tpc_content1"/>
    <w:qFormat/>
    <w:uiPriority w:val="0"/>
    <w:rPr>
      <w:sz w:val="20"/>
      <w:szCs w:val="20"/>
    </w:rPr>
  </w:style>
  <w:style w:type="character" w:customStyle="1" w:styleId="946">
    <w:name w:val="正文文本缩进 字符"/>
    <w:qFormat/>
    <w:uiPriority w:val="0"/>
    <w:rPr>
      <w:rFonts w:ascii="Century Gothic" w:hAnsi="Century Gothic" w:eastAsia="Century Gothic"/>
      <w:kern w:val="2"/>
      <w:sz w:val="24"/>
      <w:lang w:val="en-US" w:eastAsia="zh-CN" w:bidi="ar-SA"/>
    </w:rPr>
  </w:style>
  <w:style w:type="character" w:customStyle="1" w:styleId="947">
    <w:name w:val="正文文本 2 字符"/>
    <w:qFormat/>
    <w:uiPriority w:val="0"/>
    <w:rPr>
      <w:rFonts w:ascii="Arial" w:hAnsi="Arial" w:eastAsia="宋体"/>
      <w:kern w:val="2"/>
      <w:sz w:val="24"/>
      <w:szCs w:val="24"/>
      <w:lang w:val="en-US" w:eastAsia="zh-CN" w:bidi="ar-SA"/>
    </w:rPr>
  </w:style>
  <w:style w:type="character" w:customStyle="1" w:styleId="948">
    <w:name w:val="edui-clickable2"/>
    <w:qFormat/>
    <w:uiPriority w:val="0"/>
    <w:rPr>
      <w:color w:val="0000FF"/>
      <w:u w:val="single"/>
    </w:rPr>
  </w:style>
  <w:style w:type="character" w:customStyle="1" w:styleId="949">
    <w:name w:val="style1"/>
    <w:qFormat/>
    <w:uiPriority w:val="0"/>
    <w:rPr>
      <w:rFonts w:ascii="Arial" w:hAnsi="Arial" w:eastAsia="黑体" w:cs="Arial"/>
      <w:snapToGrid w:val="0"/>
      <w:kern w:val="0"/>
      <w:szCs w:val="21"/>
    </w:rPr>
  </w:style>
  <w:style w:type="character" w:customStyle="1" w:styleId="950">
    <w:name w:val="zbggtop11 style5"/>
    <w:qFormat/>
    <w:uiPriority w:val="0"/>
    <w:rPr>
      <w:rFonts w:ascii="Arial" w:hAnsi="Arial" w:eastAsia="黑体" w:cs="Arial"/>
      <w:snapToGrid w:val="0"/>
      <w:kern w:val="0"/>
      <w:szCs w:val="21"/>
    </w:rPr>
  </w:style>
  <w:style w:type="character" w:customStyle="1" w:styleId="951">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2">
    <w:name w:val="bulletintext1"/>
    <w:qFormat/>
    <w:uiPriority w:val="0"/>
    <w:rPr>
      <w:color w:val="000000"/>
      <w:sz w:val="18"/>
    </w:rPr>
  </w:style>
  <w:style w:type="character" w:customStyle="1" w:styleId="953">
    <w:name w:val="ksfind_class_select1"/>
    <w:basedOn w:val="69"/>
    <w:qFormat/>
    <w:uiPriority w:val="0"/>
    <w:rPr>
      <w:color w:val="000000"/>
      <w:shd w:val="clear" w:color="auto" w:fill="EFD200"/>
    </w:rPr>
  </w:style>
  <w:style w:type="character" w:customStyle="1" w:styleId="954">
    <w:name w:val="font71"/>
    <w:qFormat/>
    <w:uiPriority w:val="0"/>
    <w:rPr>
      <w:rFonts w:hint="eastAsia" w:ascii="宋体" w:hAnsi="宋体" w:eastAsia="宋体" w:cs="宋体"/>
      <w:color w:val="000000"/>
      <w:sz w:val="22"/>
      <w:szCs w:val="22"/>
      <w:u w:val="none"/>
    </w:rPr>
  </w:style>
  <w:style w:type="character" w:customStyle="1" w:styleId="955">
    <w:name w:val="font91"/>
    <w:qFormat/>
    <w:uiPriority w:val="0"/>
    <w:rPr>
      <w:rFonts w:hint="eastAsia" w:ascii="仿宋" w:hAnsi="仿宋" w:eastAsia="仿宋" w:cs="仿宋"/>
      <w:color w:val="000000"/>
      <w:sz w:val="22"/>
      <w:szCs w:val="22"/>
      <w:u w:val="none"/>
    </w:rPr>
  </w:style>
  <w:style w:type="table" w:customStyle="1" w:styleId="956">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57">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58">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59">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0">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1">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6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78.png"/><Relationship Id="rId98" Type="http://schemas.openxmlformats.org/officeDocument/2006/relationships/image" Target="media/image77.png"/><Relationship Id="rId97" Type="http://schemas.openxmlformats.org/officeDocument/2006/relationships/image" Target="media/image76.png"/><Relationship Id="rId96" Type="http://schemas.openxmlformats.org/officeDocument/2006/relationships/image" Target="media/image75.png"/><Relationship Id="rId95" Type="http://schemas.openxmlformats.org/officeDocument/2006/relationships/image" Target="media/image74.png"/><Relationship Id="rId94" Type="http://schemas.openxmlformats.org/officeDocument/2006/relationships/image" Target="media/image73.png"/><Relationship Id="rId93" Type="http://schemas.openxmlformats.org/officeDocument/2006/relationships/image" Target="media/image72.png"/><Relationship Id="rId92" Type="http://schemas.openxmlformats.org/officeDocument/2006/relationships/image" Target="media/image71.png"/><Relationship Id="rId91" Type="http://schemas.openxmlformats.org/officeDocument/2006/relationships/image" Target="media/image70.png"/><Relationship Id="rId90" Type="http://schemas.openxmlformats.org/officeDocument/2006/relationships/image" Target="media/image69.png"/><Relationship Id="rId9" Type="http://schemas.openxmlformats.org/officeDocument/2006/relationships/header" Target="header4.xml"/><Relationship Id="rId89" Type="http://schemas.openxmlformats.org/officeDocument/2006/relationships/image" Target="media/image68.png"/><Relationship Id="rId88" Type="http://schemas.openxmlformats.org/officeDocument/2006/relationships/image" Target="media/image67.png"/><Relationship Id="rId87" Type="http://schemas.openxmlformats.org/officeDocument/2006/relationships/image" Target="media/image66.png"/><Relationship Id="rId86" Type="http://schemas.openxmlformats.org/officeDocument/2006/relationships/image" Target="media/image65.png"/><Relationship Id="rId85" Type="http://schemas.openxmlformats.org/officeDocument/2006/relationships/image" Target="media/image64.png"/><Relationship Id="rId84" Type="http://schemas.openxmlformats.org/officeDocument/2006/relationships/image" Target="media/image63.png"/><Relationship Id="rId83" Type="http://schemas.openxmlformats.org/officeDocument/2006/relationships/image" Target="media/image62.png"/><Relationship Id="rId82" Type="http://schemas.openxmlformats.org/officeDocument/2006/relationships/image" Target="media/image61.png"/><Relationship Id="rId81" Type="http://schemas.openxmlformats.org/officeDocument/2006/relationships/image" Target="media/image60.png"/><Relationship Id="rId80" Type="http://schemas.openxmlformats.org/officeDocument/2006/relationships/image" Target="media/image59.png"/><Relationship Id="rId8" Type="http://schemas.openxmlformats.org/officeDocument/2006/relationships/header" Target="header3.xml"/><Relationship Id="rId79" Type="http://schemas.openxmlformats.org/officeDocument/2006/relationships/image" Target="media/image58.png"/><Relationship Id="rId78" Type="http://schemas.openxmlformats.org/officeDocument/2006/relationships/image" Target="media/image57.png"/><Relationship Id="rId77" Type="http://schemas.openxmlformats.org/officeDocument/2006/relationships/image" Target="media/image56.png"/><Relationship Id="rId76" Type="http://schemas.openxmlformats.org/officeDocument/2006/relationships/image" Target="media/image55.png"/><Relationship Id="rId75" Type="http://schemas.openxmlformats.org/officeDocument/2006/relationships/image" Target="media/image54.png"/><Relationship Id="rId74" Type="http://schemas.openxmlformats.org/officeDocument/2006/relationships/image" Target="media/image53.png"/><Relationship Id="rId73" Type="http://schemas.openxmlformats.org/officeDocument/2006/relationships/image" Target="media/image52.png"/><Relationship Id="rId72" Type="http://schemas.openxmlformats.org/officeDocument/2006/relationships/image" Target="media/image51.png"/><Relationship Id="rId71" Type="http://schemas.openxmlformats.org/officeDocument/2006/relationships/image" Target="media/image50.png"/><Relationship Id="rId70" Type="http://schemas.openxmlformats.org/officeDocument/2006/relationships/image" Target="media/image49.png"/><Relationship Id="rId7" Type="http://schemas.openxmlformats.org/officeDocument/2006/relationships/footer" Target="footer3.xml"/><Relationship Id="rId69" Type="http://schemas.openxmlformats.org/officeDocument/2006/relationships/image" Target="media/image48.png"/><Relationship Id="rId68" Type="http://schemas.openxmlformats.org/officeDocument/2006/relationships/image" Target="media/image47.png"/><Relationship Id="rId67" Type="http://schemas.openxmlformats.org/officeDocument/2006/relationships/image" Target="media/image46.png"/><Relationship Id="rId66" Type="http://schemas.openxmlformats.org/officeDocument/2006/relationships/image" Target="media/image45.png"/><Relationship Id="rId65" Type="http://schemas.openxmlformats.org/officeDocument/2006/relationships/image" Target="media/image44.png"/><Relationship Id="rId64" Type="http://schemas.openxmlformats.org/officeDocument/2006/relationships/image" Target="media/image43.png"/><Relationship Id="rId63" Type="http://schemas.openxmlformats.org/officeDocument/2006/relationships/image" Target="media/image42.png"/><Relationship Id="rId62" Type="http://schemas.openxmlformats.org/officeDocument/2006/relationships/image" Target="media/image41.png"/><Relationship Id="rId61" Type="http://schemas.openxmlformats.org/officeDocument/2006/relationships/image" Target="media/image40.png"/><Relationship Id="rId60" Type="http://schemas.openxmlformats.org/officeDocument/2006/relationships/image" Target="media/image39.png"/><Relationship Id="rId6" Type="http://schemas.openxmlformats.org/officeDocument/2006/relationships/footer" Target="footer2.xml"/><Relationship Id="rId59" Type="http://schemas.openxmlformats.org/officeDocument/2006/relationships/image" Target="media/image38.png"/><Relationship Id="rId58" Type="http://schemas.openxmlformats.org/officeDocument/2006/relationships/image" Target="media/image37.png"/><Relationship Id="rId57" Type="http://schemas.openxmlformats.org/officeDocument/2006/relationships/image" Target="media/image36.png"/><Relationship Id="rId56" Type="http://schemas.openxmlformats.org/officeDocument/2006/relationships/image" Target="media/image35.png"/><Relationship Id="rId55" Type="http://schemas.openxmlformats.org/officeDocument/2006/relationships/image" Target="media/image34.png"/><Relationship Id="rId54" Type="http://schemas.openxmlformats.org/officeDocument/2006/relationships/image" Target="media/image33.png"/><Relationship Id="rId53" Type="http://schemas.openxmlformats.org/officeDocument/2006/relationships/image" Target="media/image32.png"/><Relationship Id="rId52" Type="http://schemas.openxmlformats.org/officeDocument/2006/relationships/image" Target="media/image31.png"/><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footer" Target="footer1.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header" Target="header2.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4" Type="http://schemas.openxmlformats.org/officeDocument/2006/relationships/fontTable" Target="fontTable.xml"/><Relationship Id="rId143" Type="http://schemas.openxmlformats.org/officeDocument/2006/relationships/numbering" Target="numbering.xml"/><Relationship Id="rId142" Type="http://schemas.openxmlformats.org/officeDocument/2006/relationships/customXml" Target="../customXml/item1.xml"/><Relationship Id="rId141" Type="http://schemas.openxmlformats.org/officeDocument/2006/relationships/image" Target="media/image120.png"/><Relationship Id="rId140" Type="http://schemas.openxmlformats.org/officeDocument/2006/relationships/image" Target="media/image119.png"/><Relationship Id="rId14" Type="http://schemas.openxmlformats.org/officeDocument/2006/relationships/footer" Target="footer6.xml"/><Relationship Id="rId139" Type="http://schemas.openxmlformats.org/officeDocument/2006/relationships/image" Target="media/image118.png"/><Relationship Id="rId138" Type="http://schemas.openxmlformats.org/officeDocument/2006/relationships/image" Target="media/image117.png"/><Relationship Id="rId137" Type="http://schemas.openxmlformats.org/officeDocument/2006/relationships/image" Target="media/image116.png"/><Relationship Id="rId136" Type="http://schemas.openxmlformats.org/officeDocument/2006/relationships/image" Target="media/image115.png"/><Relationship Id="rId135" Type="http://schemas.openxmlformats.org/officeDocument/2006/relationships/image" Target="media/image114.png"/><Relationship Id="rId134" Type="http://schemas.openxmlformats.org/officeDocument/2006/relationships/image" Target="media/image113.png"/><Relationship Id="rId133" Type="http://schemas.openxmlformats.org/officeDocument/2006/relationships/image" Target="media/image112.png"/><Relationship Id="rId132" Type="http://schemas.openxmlformats.org/officeDocument/2006/relationships/image" Target="media/image111.png"/><Relationship Id="rId131" Type="http://schemas.openxmlformats.org/officeDocument/2006/relationships/image" Target="media/image110.png"/><Relationship Id="rId130" Type="http://schemas.openxmlformats.org/officeDocument/2006/relationships/image" Target="media/image109.png"/><Relationship Id="rId13" Type="http://schemas.openxmlformats.org/officeDocument/2006/relationships/header" Target="header6.xml"/><Relationship Id="rId129" Type="http://schemas.openxmlformats.org/officeDocument/2006/relationships/image" Target="media/image108.png"/><Relationship Id="rId128" Type="http://schemas.openxmlformats.org/officeDocument/2006/relationships/image" Target="media/image107.png"/><Relationship Id="rId127" Type="http://schemas.openxmlformats.org/officeDocument/2006/relationships/image" Target="media/image106.png"/><Relationship Id="rId126" Type="http://schemas.openxmlformats.org/officeDocument/2006/relationships/image" Target="media/image105.png"/><Relationship Id="rId125" Type="http://schemas.openxmlformats.org/officeDocument/2006/relationships/image" Target="media/image104.png"/><Relationship Id="rId124" Type="http://schemas.openxmlformats.org/officeDocument/2006/relationships/image" Target="media/image103.png"/><Relationship Id="rId123" Type="http://schemas.openxmlformats.org/officeDocument/2006/relationships/image" Target="media/image102.png"/><Relationship Id="rId122" Type="http://schemas.openxmlformats.org/officeDocument/2006/relationships/image" Target="media/image101.png"/><Relationship Id="rId121" Type="http://schemas.openxmlformats.org/officeDocument/2006/relationships/image" Target="media/image100.png"/><Relationship Id="rId120" Type="http://schemas.openxmlformats.org/officeDocument/2006/relationships/image" Target="media/image99.png"/><Relationship Id="rId12" Type="http://schemas.openxmlformats.org/officeDocument/2006/relationships/header" Target="header5.xml"/><Relationship Id="rId119" Type="http://schemas.openxmlformats.org/officeDocument/2006/relationships/image" Target="media/image98.png"/><Relationship Id="rId118" Type="http://schemas.openxmlformats.org/officeDocument/2006/relationships/image" Target="media/image97.png"/><Relationship Id="rId117" Type="http://schemas.openxmlformats.org/officeDocument/2006/relationships/image" Target="media/image96.png"/><Relationship Id="rId116" Type="http://schemas.openxmlformats.org/officeDocument/2006/relationships/image" Target="media/image95.png"/><Relationship Id="rId115" Type="http://schemas.openxmlformats.org/officeDocument/2006/relationships/image" Target="media/image94.png"/><Relationship Id="rId114" Type="http://schemas.openxmlformats.org/officeDocument/2006/relationships/image" Target="media/image93.png"/><Relationship Id="rId113" Type="http://schemas.openxmlformats.org/officeDocument/2006/relationships/image" Target="media/image92.png"/><Relationship Id="rId112" Type="http://schemas.openxmlformats.org/officeDocument/2006/relationships/image" Target="media/image91.png"/><Relationship Id="rId111" Type="http://schemas.openxmlformats.org/officeDocument/2006/relationships/image" Target="media/image90.png"/><Relationship Id="rId110" Type="http://schemas.openxmlformats.org/officeDocument/2006/relationships/image" Target="media/image89.png"/><Relationship Id="rId11" Type="http://schemas.openxmlformats.org/officeDocument/2006/relationships/footer" Target="footer5.xml"/><Relationship Id="rId109" Type="http://schemas.openxmlformats.org/officeDocument/2006/relationships/image" Target="media/image88.png"/><Relationship Id="rId108" Type="http://schemas.openxmlformats.org/officeDocument/2006/relationships/image" Target="media/image87.png"/><Relationship Id="rId107" Type="http://schemas.openxmlformats.org/officeDocument/2006/relationships/image" Target="media/image86.png"/><Relationship Id="rId106" Type="http://schemas.openxmlformats.org/officeDocument/2006/relationships/image" Target="media/image85.png"/><Relationship Id="rId105" Type="http://schemas.openxmlformats.org/officeDocument/2006/relationships/image" Target="media/image84.png"/><Relationship Id="rId104" Type="http://schemas.openxmlformats.org/officeDocument/2006/relationships/image" Target="media/image83.png"/><Relationship Id="rId103" Type="http://schemas.openxmlformats.org/officeDocument/2006/relationships/image" Target="media/image82.png"/><Relationship Id="rId102" Type="http://schemas.openxmlformats.org/officeDocument/2006/relationships/image" Target="media/image81.png"/><Relationship Id="rId101" Type="http://schemas.openxmlformats.org/officeDocument/2006/relationships/image" Target="media/image80.png"/><Relationship Id="rId100" Type="http://schemas.openxmlformats.org/officeDocument/2006/relationships/image" Target="media/image79.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161</Pages>
  <Words>14572</Words>
  <Characters>15626</Characters>
  <Lines>279</Lines>
  <Paragraphs>78</Paragraphs>
  <TotalTime>511</TotalTime>
  <ScaleCrop>false</ScaleCrop>
  <LinksUpToDate>false</LinksUpToDate>
  <CharactersWithSpaces>16117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C_SOOKIE</cp:lastModifiedBy>
  <cp:lastPrinted>2021-12-27T03:06:00Z</cp:lastPrinted>
  <dcterms:modified xsi:type="dcterms:W3CDTF">2025-01-27T02:18:07Z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eyJoZGlkIjoiYTc2ZGZiNzZiNDVlOGViOWVmM2JhOTY0NGJkNjUyYzgifQ==</vt:lpwstr>
  </property>
</Properties>
</file>