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3993E5">
      <w:pPr>
        <w:adjustRightInd/>
        <w:spacing w:line="360" w:lineRule="auto"/>
        <w:jc w:val="both"/>
        <w:rPr>
          <w:rFonts w:hint="eastAsia" w:ascii="宋体" w:hAnsi="宋体" w:eastAsia="宋体" w:cs="宋体"/>
          <w:b/>
          <w:color w:val="auto"/>
          <w:sz w:val="48"/>
          <w:szCs w:val="48"/>
          <w:highlight w:val="none"/>
          <w:lang w:val="en-US" w:eastAsia="zh-CN"/>
        </w:rPr>
      </w:pPr>
    </w:p>
    <w:p w14:paraId="0F01F23D">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2025年余杭街道雪亮工程(城南片)服务项目</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TKZXCG-2025-022</w:t>
      </w:r>
    </w:p>
    <w:p w14:paraId="5BBD926D">
      <w:pPr>
        <w:adjustRightInd/>
        <w:spacing w:line="360" w:lineRule="auto"/>
        <w:rPr>
          <w:rFonts w:ascii="宋体" w:hAnsi="宋体" w:cs="宋体"/>
          <w:color w:val="auto"/>
          <w:sz w:val="28"/>
          <w:szCs w:val="20"/>
          <w:highlight w:val="none"/>
        </w:rPr>
      </w:pPr>
    </w:p>
    <w:p w14:paraId="20F4FED2">
      <w:pPr>
        <w:pStyle w:val="79"/>
        <w:rPr>
          <w:rFonts w:ascii="宋体" w:hAnsi="宋体" w:cs="宋体"/>
          <w:color w:val="auto"/>
          <w:sz w:val="28"/>
          <w:szCs w:val="20"/>
          <w:highlight w:val="none"/>
        </w:rPr>
      </w:pPr>
    </w:p>
    <w:p w14:paraId="17E363B9">
      <w:pPr>
        <w:pStyle w:val="79"/>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仿宋" w:hAnsi="仿宋" w:eastAsia="仿宋" w:cs="仿宋"/>
          <w:b/>
          <w:sz w:val="44"/>
          <w:szCs w:val="44"/>
        </w:rPr>
        <w:drawing>
          <wp:inline distT="0" distB="0" distL="114300" distR="114300">
            <wp:extent cx="4740910" cy="1256030"/>
            <wp:effectExtent l="0" t="0" r="2540" b="1270"/>
            <wp:docPr id="2" name="图片 2" descr="天坤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天坤LOGO"/>
                    <pic:cNvPicPr>
                      <a:picLocks noChangeAspect="1"/>
                    </pic:cNvPicPr>
                  </pic:nvPicPr>
                  <pic:blipFill>
                    <a:blip r:embed="rId26"/>
                    <a:stretch>
                      <a:fillRect/>
                    </a:stretch>
                  </pic:blipFill>
                  <pic:spPr>
                    <a:xfrm>
                      <a:off x="0" y="0"/>
                      <a:ext cx="4740910" cy="1256030"/>
                    </a:xfrm>
                    <a:prstGeom prst="rect">
                      <a:avLst/>
                    </a:prstGeom>
                  </pic:spPr>
                </pic:pic>
              </a:graphicData>
            </a:graphic>
          </wp:inline>
        </w:drawing>
      </w: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48366948">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val="en-US" w:eastAsia="zh-CN"/>
        </w:rPr>
        <w:t>采购人：</w:t>
      </w:r>
      <w:r>
        <w:rPr>
          <w:rFonts w:hint="eastAsia" w:ascii="宋体" w:hAnsi="宋体" w:cs="宋体"/>
          <w:color w:val="auto"/>
          <w:sz w:val="32"/>
          <w:szCs w:val="32"/>
          <w:highlight w:val="none"/>
          <w:lang w:eastAsia="zh-CN"/>
        </w:rPr>
        <w:t>杭州市余杭区人民政府余杭街道办事处</w:t>
      </w:r>
    </w:p>
    <w:p w14:paraId="289DCB78">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val="en-US" w:eastAsia="zh-CN"/>
        </w:rPr>
        <w:t>采购代理机构：</w:t>
      </w:r>
      <w:r>
        <w:rPr>
          <w:rFonts w:hint="eastAsia" w:ascii="宋体" w:hAnsi="宋体" w:cs="宋体"/>
          <w:bCs/>
          <w:color w:val="auto"/>
          <w:sz w:val="32"/>
          <w:szCs w:val="32"/>
          <w:highlight w:val="none"/>
          <w:lang w:eastAsia="zh-CN"/>
        </w:rPr>
        <w:t>杭州天坤建设咨询有限公司</w:t>
      </w:r>
    </w:p>
    <w:p w14:paraId="59BEA590">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二</w:t>
      </w:r>
      <w:r>
        <w:rPr>
          <w:rFonts w:hint="eastAsia" w:ascii="宋体" w:hAnsi="宋体" w:cs="宋体"/>
          <w:bCs/>
          <w:color w:val="auto"/>
          <w:sz w:val="32"/>
          <w:szCs w:val="32"/>
          <w:highlight w:val="none"/>
        </w:rPr>
        <w:t>日</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7"/>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29822"/>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2025年余杭街道雪亮工程(城南片)服务项目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23</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9</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TKZXCG-2025-022</w:t>
      </w:r>
    </w:p>
    <w:p w14:paraId="0312DF7F">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2025年余杭街道雪亮工程(城南片)服务项目</w:t>
      </w:r>
    </w:p>
    <w:p w14:paraId="1C6D4CA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9300000</w:t>
      </w:r>
      <w:r>
        <w:rPr>
          <w:rFonts w:ascii="宋体" w:hAnsi="宋体" w:cs="宋体"/>
          <w:color w:val="auto"/>
          <w:sz w:val="24"/>
          <w:highlight w:val="none"/>
        </w:rPr>
        <w:t xml:space="preserve"> </w:t>
      </w:r>
    </w:p>
    <w:p w14:paraId="524783DF">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9300000</w:t>
      </w:r>
      <w:r>
        <w:rPr>
          <w:rFonts w:ascii="宋体" w:hAnsi="宋体" w:cs="宋体"/>
          <w:color w:val="auto"/>
          <w:sz w:val="24"/>
          <w:highlight w:val="none"/>
        </w:rPr>
        <w:t xml:space="preserve"> </w:t>
      </w:r>
    </w:p>
    <w:p w14:paraId="6EC5DB8E">
      <w:pPr>
        <w:pStyle w:val="6"/>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2025年余杭街道雪亮工程(城南片)服务项目</w:t>
      </w:r>
      <w:r>
        <w:rPr>
          <w:rFonts w:hint="eastAsia" w:hAnsi="宋体" w:cs="宋体"/>
          <w:bCs/>
          <w:snapToGrid/>
          <w:color w:val="auto"/>
          <w:kern w:val="2"/>
          <w:sz w:val="24"/>
          <w:szCs w:val="24"/>
          <w:highlight w:val="none"/>
        </w:rPr>
        <w:t>主要内容：</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CF83623">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
          <w:color w:val="auto"/>
          <w:highlight w:val="none"/>
          <w:lang w:val="en-US" w:eastAsia="zh-CN"/>
        </w:rPr>
        <w:t>3年。</w:t>
      </w:r>
      <w:r>
        <w:rPr>
          <w:rFonts w:ascii="宋体" w:hAnsi="宋体" w:cs="宋体"/>
          <w:color w:val="auto"/>
          <w:highlight w:val="none"/>
        </w:rPr>
        <w:t xml:space="preserve"> </w:t>
      </w:r>
    </w:p>
    <w:p w14:paraId="07281B02">
      <w:pPr>
        <w:pStyle w:val="6"/>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lang w:val="en-US" w:eastAsia="zh-CN"/>
        </w:rPr>
        <w:t>40</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lang w:val="en-US" w:eastAsia="zh-CN"/>
        </w:rPr>
        <w:t>70</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3D960DB3">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名    称：杭州市余杭区人民政府余杭街道办事处 </w:t>
      </w:r>
    </w:p>
    <w:p w14:paraId="5ED4610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地    址：杭州市余杭区余杭街道城南路9号       </w:t>
      </w:r>
    </w:p>
    <w:p w14:paraId="2C2B7B3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项目联系人（询问）：阮超海       </w:t>
      </w:r>
    </w:p>
    <w:p w14:paraId="4A0898B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项目联系方式（询问）：0571-89519057 </w:t>
      </w:r>
    </w:p>
    <w:p w14:paraId="54A8871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质疑联系人：胡书迪                   </w:t>
      </w:r>
    </w:p>
    <w:p w14:paraId="6722B27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质疑联系方式：0571-89519052   </w:t>
      </w:r>
    </w:p>
    <w:p w14:paraId="4A6470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1703D83A">
      <w:pPr>
        <w:spacing w:line="360" w:lineRule="auto"/>
        <w:ind w:firstLine="480"/>
        <w:rPr>
          <w:rFonts w:ascii="宋体" w:hAnsi="宋体" w:cs="宋体"/>
          <w:sz w:val="24"/>
        </w:rPr>
      </w:pPr>
      <w:r>
        <w:rPr>
          <w:rFonts w:hint="eastAsia" w:ascii="宋体" w:hAnsi="宋体" w:cs="宋体"/>
          <w:sz w:val="24"/>
        </w:rPr>
        <w:t>名    称：杭州天坤建设咨询有限公司</w:t>
      </w:r>
    </w:p>
    <w:p w14:paraId="01AE1A22">
      <w:pPr>
        <w:spacing w:line="360" w:lineRule="auto"/>
        <w:ind w:firstLine="480" w:firstLineChars="200"/>
        <w:rPr>
          <w:rFonts w:ascii="宋体" w:hAnsi="宋体" w:cs="宋体"/>
          <w:sz w:val="24"/>
        </w:rPr>
      </w:pPr>
      <w:r>
        <w:rPr>
          <w:rFonts w:hint="eastAsia" w:ascii="宋体" w:hAnsi="宋体" w:cs="宋体"/>
          <w:sz w:val="24"/>
        </w:rPr>
        <w:t>地    址：杭州市余杭区余杭街道智溢路136号金生科创园3号楼3楼</w:t>
      </w:r>
    </w:p>
    <w:p w14:paraId="09300F2D">
      <w:pPr>
        <w:spacing w:line="360" w:lineRule="auto"/>
        <w:ind w:firstLine="480" w:firstLineChars="200"/>
        <w:rPr>
          <w:rFonts w:ascii="宋体" w:hAnsi="宋体" w:cs="宋体"/>
          <w:sz w:val="24"/>
        </w:rPr>
      </w:pPr>
      <w:r>
        <w:rPr>
          <w:rFonts w:hint="eastAsia" w:ascii="宋体" w:hAnsi="宋体" w:cs="宋体"/>
          <w:sz w:val="24"/>
        </w:rPr>
        <w:t xml:space="preserve">项目联系人（询问）：杨杨         </w:t>
      </w:r>
    </w:p>
    <w:p w14:paraId="33F4B639">
      <w:pPr>
        <w:spacing w:line="360" w:lineRule="auto"/>
        <w:ind w:firstLine="480" w:firstLineChars="200"/>
        <w:rPr>
          <w:rFonts w:ascii="宋体" w:hAnsi="宋体" w:cs="宋体"/>
          <w:sz w:val="24"/>
        </w:rPr>
      </w:pPr>
      <w:r>
        <w:rPr>
          <w:rFonts w:hint="eastAsia" w:ascii="宋体" w:hAnsi="宋体" w:cs="宋体"/>
          <w:sz w:val="24"/>
        </w:rPr>
        <w:t>项目联系方式（询问）：13735806559 </w:t>
      </w:r>
    </w:p>
    <w:p w14:paraId="63981362">
      <w:pPr>
        <w:spacing w:line="360" w:lineRule="auto"/>
        <w:ind w:firstLine="480" w:firstLineChars="200"/>
        <w:rPr>
          <w:rFonts w:ascii="宋体" w:hAnsi="宋体" w:cs="宋体"/>
          <w:sz w:val="24"/>
        </w:rPr>
      </w:pPr>
      <w:r>
        <w:rPr>
          <w:rFonts w:hint="eastAsia" w:ascii="宋体" w:hAnsi="宋体" w:cs="宋体"/>
          <w:sz w:val="24"/>
        </w:rPr>
        <w:t xml:space="preserve">质疑联系人：周嘉文               </w:t>
      </w:r>
    </w:p>
    <w:p w14:paraId="2A006008">
      <w:pPr>
        <w:spacing w:line="360" w:lineRule="auto"/>
        <w:ind w:firstLine="480" w:firstLineChars="200"/>
        <w:rPr>
          <w:rFonts w:ascii="宋体" w:hAnsi="宋体" w:cs="宋体"/>
          <w:color w:val="auto"/>
          <w:sz w:val="24"/>
          <w:highlight w:val="none"/>
        </w:rPr>
      </w:pPr>
      <w:r>
        <w:rPr>
          <w:rFonts w:hint="eastAsia" w:ascii="宋体" w:hAnsi="宋体" w:cs="宋体"/>
          <w:sz w:val="24"/>
        </w:rPr>
        <w:t>质疑联系方式：15715746046</w:t>
      </w: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0BA22B1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sz w:val="24"/>
                <w:highlight w:val="none"/>
                <w:u w:val="single"/>
                <w:lang w:eastAsia="zh-CN"/>
              </w:rPr>
              <w:t>余杭街道雪亮工程(城北片)服务</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lang w:val="en-US" w:eastAsia="zh-CN"/>
              </w:rPr>
              <w:t>软件合信息技术服务</w:t>
            </w:r>
            <w:r>
              <w:rPr>
                <w:rFonts w:hint="eastAsia" w:ascii="宋体" w:hAnsi="宋体" w:cs="宋体"/>
                <w:color w:val="auto"/>
                <w:kern w:val="0"/>
                <w:sz w:val="24"/>
                <w:highlight w:val="none"/>
              </w:rPr>
              <w:t>行业；</w:t>
            </w:r>
          </w:p>
          <w:p w14:paraId="27019300">
            <w:pPr>
              <w:snapToGrid w:val="0"/>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宋体" w:hAnsi="宋体" w:cs="宋体"/>
                <w:color w:val="auto"/>
                <w:kern w:val="0"/>
                <w:sz w:val="24"/>
                <w:highlight w:val="none"/>
                <w:u w:val="single"/>
                <w:lang w:val="en-US" w:eastAsia="zh-CN"/>
              </w:rPr>
              <w:t>软件合信息技术服务</w:t>
            </w:r>
            <w:r>
              <w:rPr>
                <w:rFonts w:hint="eastAsia" w:ascii="宋体" w:hAnsi="宋体" w:eastAsia="宋体" w:cs="宋体"/>
                <w:b w:val="0"/>
                <w:bCs w:val="0"/>
                <w:color w:val="auto"/>
                <w:kern w:val="0"/>
                <w:sz w:val="24"/>
                <w:szCs w:val="24"/>
                <w:highlight w:val="none"/>
                <w:lang w:val="en-US" w:eastAsia="zh-CN" w:bidi="ar-SA"/>
              </w:rPr>
              <w:t>行业。从业人员</w:t>
            </w:r>
            <w:r>
              <w:rPr>
                <w:rFonts w:hint="eastAsia" w:ascii="宋体" w:hAnsi="宋体" w:cs="宋体"/>
                <w:b w:val="0"/>
                <w:bCs w:val="0"/>
                <w:color w:val="auto"/>
                <w:kern w:val="0"/>
                <w:sz w:val="24"/>
                <w:szCs w:val="24"/>
                <w:highlight w:val="none"/>
                <w:lang w:val="en-US" w:eastAsia="zh-CN" w:bidi="ar-SA"/>
              </w:rPr>
              <w:t>300</w:t>
            </w:r>
            <w:r>
              <w:rPr>
                <w:rFonts w:hint="eastAsia" w:ascii="宋体" w:hAnsi="宋体" w:eastAsia="宋体" w:cs="宋体"/>
                <w:b w:val="0"/>
                <w:bCs w:val="0"/>
                <w:color w:val="auto"/>
                <w:kern w:val="0"/>
                <w:sz w:val="24"/>
                <w:szCs w:val="24"/>
                <w:highlight w:val="none"/>
                <w:lang w:val="en-US" w:eastAsia="zh-CN" w:bidi="ar-SA"/>
              </w:rPr>
              <w:t>人以下或营业收入</w:t>
            </w:r>
            <w:r>
              <w:rPr>
                <w:rFonts w:hint="eastAsia" w:ascii="宋体" w:hAnsi="宋体" w:cs="宋体"/>
                <w:b w:val="0"/>
                <w:bCs w:val="0"/>
                <w:color w:val="auto"/>
                <w:kern w:val="0"/>
                <w:sz w:val="24"/>
                <w:szCs w:val="24"/>
                <w:highlight w:val="none"/>
                <w:lang w:val="en-US" w:eastAsia="zh-CN" w:bidi="ar-SA"/>
              </w:rPr>
              <w:t>100000</w:t>
            </w:r>
            <w:r>
              <w:rPr>
                <w:rFonts w:hint="eastAsia" w:ascii="宋体" w:hAnsi="宋体" w:eastAsia="宋体" w:cs="宋体"/>
                <w:b w:val="0"/>
                <w:bCs w:val="0"/>
                <w:color w:val="auto"/>
                <w:kern w:val="0"/>
                <w:sz w:val="24"/>
                <w:szCs w:val="24"/>
                <w:highlight w:val="none"/>
                <w:lang w:val="en-US" w:eastAsia="zh-CN" w:bidi="ar-SA"/>
              </w:rPr>
              <w:t>万元以下的为中小微型企业。其中，从业人员</w:t>
            </w:r>
            <w:r>
              <w:rPr>
                <w:rFonts w:hint="eastAsia" w:ascii="宋体" w:hAnsi="宋体" w:cs="宋体"/>
                <w:b w:val="0"/>
                <w:bCs w:val="0"/>
                <w:color w:val="auto"/>
                <w:kern w:val="0"/>
                <w:sz w:val="24"/>
                <w:szCs w:val="24"/>
                <w:highlight w:val="none"/>
                <w:lang w:val="en-US" w:eastAsia="zh-CN" w:bidi="ar-SA"/>
              </w:rPr>
              <w:t>100</w:t>
            </w:r>
            <w:r>
              <w:rPr>
                <w:rFonts w:hint="eastAsia" w:ascii="宋体" w:hAnsi="宋体" w:eastAsia="宋体" w:cs="宋体"/>
                <w:b w:val="0"/>
                <w:bCs w:val="0"/>
                <w:color w:val="auto"/>
                <w:kern w:val="0"/>
                <w:sz w:val="24"/>
                <w:szCs w:val="24"/>
                <w:highlight w:val="none"/>
                <w:lang w:val="en-US" w:eastAsia="zh-CN" w:bidi="ar-SA"/>
              </w:rPr>
              <w:t>人及以上，且营业收入</w:t>
            </w:r>
            <w:r>
              <w:rPr>
                <w:rFonts w:hint="eastAsia" w:ascii="宋体" w:hAnsi="宋体" w:cs="宋体"/>
                <w:b w:val="0"/>
                <w:bCs w:val="0"/>
                <w:color w:val="auto"/>
                <w:kern w:val="0"/>
                <w:sz w:val="24"/>
                <w:szCs w:val="24"/>
                <w:highlight w:val="none"/>
                <w:lang w:val="en-US" w:eastAsia="zh-CN" w:bidi="ar-SA"/>
              </w:rPr>
              <w:t>1000</w:t>
            </w:r>
            <w:r>
              <w:rPr>
                <w:rFonts w:hint="eastAsia" w:ascii="宋体" w:hAnsi="宋体" w:eastAsia="宋体" w:cs="宋体"/>
                <w:b w:val="0"/>
                <w:bCs w:val="0"/>
                <w:color w:val="auto"/>
                <w:kern w:val="0"/>
                <w:sz w:val="24"/>
                <w:szCs w:val="24"/>
                <w:highlight w:val="none"/>
                <w:lang w:val="en-US" w:eastAsia="zh-CN" w:bidi="ar-SA"/>
              </w:rPr>
              <w:t>万元及以上的为中型企业；从业人员</w:t>
            </w:r>
            <w:r>
              <w:rPr>
                <w:rFonts w:hint="eastAsia" w:ascii="宋体" w:hAnsi="宋体" w:cs="宋体"/>
                <w:b w:val="0"/>
                <w:bCs w:val="0"/>
                <w:color w:val="auto"/>
                <w:kern w:val="0"/>
                <w:sz w:val="24"/>
                <w:szCs w:val="24"/>
                <w:highlight w:val="none"/>
                <w:lang w:val="en-US" w:eastAsia="zh-CN" w:bidi="ar-SA"/>
              </w:rPr>
              <w:t>10</w:t>
            </w:r>
            <w:r>
              <w:rPr>
                <w:rFonts w:hint="eastAsia" w:ascii="宋体" w:hAnsi="宋体" w:eastAsia="宋体" w:cs="宋体"/>
                <w:b w:val="0"/>
                <w:bCs w:val="0"/>
                <w:color w:val="auto"/>
                <w:kern w:val="0"/>
                <w:sz w:val="24"/>
                <w:szCs w:val="24"/>
                <w:highlight w:val="none"/>
                <w:lang w:val="en-US" w:eastAsia="zh-CN" w:bidi="ar-SA"/>
              </w:rPr>
              <w:t>人及以上，且营业收入</w:t>
            </w:r>
            <w:r>
              <w:rPr>
                <w:rFonts w:hint="eastAsia" w:ascii="宋体" w:hAnsi="宋体" w:cs="宋体"/>
                <w:b w:val="0"/>
                <w:bCs w:val="0"/>
                <w:color w:val="auto"/>
                <w:kern w:val="0"/>
                <w:sz w:val="24"/>
                <w:szCs w:val="24"/>
                <w:highlight w:val="none"/>
                <w:lang w:val="en-US" w:eastAsia="zh-CN" w:bidi="ar-SA"/>
              </w:rPr>
              <w:t>50</w:t>
            </w:r>
            <w:r>
              <w:rPr>
                <w:rFonts w:hint="eastAsia" w:ascii="宋体" w:hAnsi="宋体" w:eastAsia="宋体" w:cs="宋体"/>
                <w:b w:val="0"/>
                <w:bCs w:val="0"/>
                <w:color w:val="auto"/>
                <w:kern w:val="0"/>
                <w:sz w:val="24"/>
                <w:szCs w:val="24"/>
                <w:highlight w:val="none"/>
                <w:lang w:val="en-US" w:eastAsia="zh-CN" w:bidi="ar-SA"/>
              </w:rPr>
              <w:t>万元及以上的为小型企业；从业人员</w:t>
            </w:r>
            <w:r>
              <w:rPr>
                <w:rFonts w:hint="eastAsia" w:ascii="宋体" w:hAnsi="宋体" w:cs="宋体"/>
                <w:b w:val="0"/>
                <w:bCs w:val="0"/>
                <w:color w:val="auto"/>
                <w:kern w:val="0"/>
                <w:sz w:val="24"/>
                <w:szCs w:val="24"/>
                <w:highlight w:val="none"/>
                <w:lang w:val="en-US" w:eastAsia="zh-CN" w:bidi="ar-SA"/>
              </w:rPr>
              <w:t>10</w:t>
            </w:r>
            <w:r>
              <w:rPr>
                <w:rFonts w:hint="eastAsia" w:ascii="宋体" w:hAnsi="宋体" w:eastAsia="宋体" w:cs="宋体"/>
                <w:b w:val="0"/>
                <w:bCs w:val="0"/>
                <w:color w:val="auto"/>
                <w:kern w:val="0"/>
                <w:sz w:val="24"/>
                <w:szCs w:val="24"/>
                <w:highlight w:val="none"/>
                <w:lang w:val="en-US" w:eastAsia="zh-CN" w:bidi="ar-SA"/>
              </w:rPr>
              <w:t>人以下或营业收入</w:t>
            </w:r>
            <w:r>
              <w:rPr>
                <w:rFonts w:hint="eastAsia" w:ascii="宋体" w:hAnsi="宋体" w:cs="宋体"/>
                <w:b w:val="0"/>
                <w:bCs w:val="0"/>
                <w:color w:val="auto"/>
                <w:kern w:val="0"/>
                <w:sz w:val="24"/>
                <w:szCs w:val="24"/>
                <w:highlight w:val="none"/>
                <w:lang w:val="en-US" w:eastAsia="zh-CN" w:bidi="ar-SA"/>
              </w:rPr>
              <w:t>50</w:t>
            </w:r>
            <w:r>
              <w:rPr>
                <w:rFonts w:hint="eastAsia" w:ascii="宋体" w:hAnsi="宋体" w:eastAsia="宋体" w:cs="宋体"/>
                <w:b w:val="0"/>
                <w:bCs w:val="0"/>
                <w:color w:val="auto"/>
                <w:kern w:val="0"/>
                <w:sz w:val="24"/>
                <w:szCs w:val="24"/>
                <w:highlight w:val="none"/>
                <w:lang w:val="en-US" w:eastAsia="zh-CN" w:bidi="ar-SA"/>
              </w:rPr>
              <w:t>万元以下的为微型企业。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D8B43B8">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部分</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681655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79"/>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79"/>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ascii="宋体" w:hAnsi="宋体" w:eastAsia="宋体" w:cs="宋体"/>
                <w:color w:val="auto"/>
                <w:kern w:val="28"/>
                <w:sz w:val="24"/>
                <w:szCs w:val="24"/>
                <w:highlight w:val="none"/>
                <w:u w:val="single"/>
                <w:lang w:eastAsia="zh-CN"/>
              </w:rPr>
              <w:t>杭州市余杭区余杭街道</w:t>
            </w:r>
            <w:r>
              <w:rPr>
                <w:rFonts w:hint="eastAsia" w:ascii="宋体" w:hAnsi="宋体" w:eastAsia="宋体" w:cs="宋体"/>
                <w:color w:val="auto"/>
                <w:kern w:val="28"/>
                <w:sz w:val="24"/>
                <w:szCs w:val="24"/>
                <w:highlight w:val="none"/>
                <w:u w:val="single"/>
                <w:lang w:val="en-US" w:eastAsia="zh-CN"/>
              </w:rPr>
              <w:t>智溢</w:t>
            </w:r>
            <w:r>
              <w:rPr>
                <w:rFonts w:hint="eastAsia" w:ascii="宋体" w:hAnsi="宋体" w:eastAsia="宋体" w:cs="宋体"/>
                <w:color w:val="auto"/>
                <w:kern w:val="28"/>
                <w:sz w:val="24"/>
                <w:szCs w:val="24"/>
                <w:highlight w:val="none"/>
                <w:u w:val="single"/>
                <w:lang w:eastAsia="zh-CN"/>
              </w:rPr>
              <w:t>路</w:t>
            </w:r>
            <w:r>
              <w:rPr>
                <w:rFonts w:hint="eastAsia" w:ascii="宋体" w:hAnsi="宋体" w:eastAsia="宋体" w:cs="宋体"/>
                <w:color w:val="auto"/>
                <w:kern w:val="28"/>
                <w:sz w:val="24"/>
                <w:szCs w:val="24"/>
                <w:highlight w:val="none"/>
                <w:u w:val="single"/>
                <w:lang w:val="en-US" w:eastAsia="zh-CN"/>
              </w:rPr>
              <w:t>136</w:t>
            </w:r>
            <w:r>
              <w:rPr>
                <w:rFonts w:hint="eastAsia" w:ascii="宋体" w:hAnsi="宋体" w:eastAsia="宋体" w:cs="宋体"/>
                <w:color w:val="auto"/>
                <w:kern w:val="28"/>
                <w:sz w:val="24"/>
                <w:szCs w:val="24"/>
                <w:highlight w:val="none"/>
                <w:u w:val="single"/>
                <w:lang w:eastAsia="zh-CN"/>
              </w:rPr>
              <w:t>号</w:t>
            </w:r>
            <w:r>
              <w:rPr>
                <w:rFonts w:hint="eastAsia" w:ascii="宋体" w:hAnsi="宋体" w:eastAsia="宋体" w:cs="宋体"/>
                <w:color w:val="auto"/>
                <w:kern w:val="28"/>
                <w:sz w:val="24"/>
                <w:szCs w:val="24"/>
                <w:highlight w:val="none"/>
                <w:u w:val="single"/>
                <w:lang w:val="en-US" w:eastAsia="zh-CN"/>
              </w:rPr>
              <w:t>金生科创园3号楼3楼</w:t>
            </w:r>
            <w:r>
              <w:rPr>
                <w:rFonts w:hint="eastAsia" w:hAnsi="宋体" w:cs="宋体"/>
                <w:color w:val="auto"/>
                <w:kern w:val="28"/>
                <w:sz w:val="24"/>
                <w:szCs w:val="24"/>
                <w:highlight w:val="none"/>
              </w:rPr>
              <w:t>；备份投标文件签收人员联系电话：</w:t>
            </w:r>
            <w:r>
              <w:rPr>
                <w:rFonts w:hint="eastAsia" w:hAnsi="宋体" w:cs="宋体"/>
                <w:color w:val="auto"/>
                <w:kern w:val="28"/>
                <w:sz w:val="24"/>
                <w:szCs w:val="24"/>
                <w:highlight w:val="none"/>
                <w:u w:val="single"/>
                <w:lang w:val="en-US" w:eastAsia="zh-CN"/>
              </w:rPr>
              <w:t>13735806559</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eastAsia="MS Mincho" w:cs="MS Mincho"/>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0E043798">
            <w:pPr>
              <w:spacing w:line="360" w:lineRule="auto"/>
              <w:rPr>
                <w:rFonts w:hint="eastAsia" w:ascii="宋体" w:hAnsi="宋体" w:eastAsia="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r>
              <w:rPr>
                <w:rFonts w:hint="eastAsia" w:ascii="宋体" w:hAnsi="宋体" w:eastAsia="宋体" w:cs="宋体"/>
                <w:snapToGrid w:val="0"/>
                <w:color w:val="auto"/>
                <w:kern w:val="28"/>
                <w:sz w:val="24"/>
                <w:highlight w:val="none"/>
              </w:rPr>
              <w:t>▲供应商以联合体形式投标的：在按招标文件要求提供联合协议，联合体投标的联合体各方承担连带责任。</w:t>
            </w:r>
          </w:p>
          <w:p w14:paraId="4A564D2D">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▲以联合体形式参加政府采购活动的，联合体各方不得再单独参加或者与其他供应商另外组成联合体参加同一合同项下的政府采购活动，否则相关投标均无效。</w:t>
            </w:r>
          </w:p>
          <w:p w14:paraId="0844C007">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采购人。</w:t>
            </w:r>
          </w:p>
          <w:p w14:paraId="74D65CAC">
            <w:pPr>
              <w:spacing w:line="360" w:lineRule="auto"/>
              <w:rPr>
                <w:rFonts w:ascii="宋体" w:hAnsi="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▲联合体中有同类资质的供应商按照联合体分工承担相同工作的，应当按照资质等级较低的供应商确定资质等级。</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000000" w:sz="8" w:space="0"/>
              <w:right w:val="single" w:color="auto" w:sz="4" w:space="0"/>
            </w:tcBorders>
            <w:vAlign w:val="center"/>
          </w:tcPr>
          <w:p w14:paraId="7D09D241">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本次招标代理服务费由中标人支付，招标代理服务费按照国家计委印发的《招标代理服务收费管理暂行办法》计价格[2002]1980号</w:t>
            </w:r>
            <w:r>
              <w:rPr>
                <w:rFonts w:hint="eastAsia" w:ascii="宋体" w:hAnsi="宋体" w:eastAsia="宋体" w:cs="宋体"/>
                <w:color w:val="auto"/>
                <w:sz w:val="24"/>
                <w:szCs w:val="24"/>
                <w:highlight w:val="none"/>
                <w:lang w:val="en-US" w:eastAsia="zh-CN"/>
              </w:rPr>
              <w:t>文件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以中标价为收费基数进行计取</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      </w:t>
            </w:r>
          </w:p>
          <w:p w14:paraId="40CCF1D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由中标人在领取中标通知书前支付给招标代理机构，各投标人应在投标报价中予以考虑，不单独列项报价。</w:t>
            </w:r>
          </w:p>
          <w:p w14:paraId="04E8A213">
            <w:pPr>
              <w:pStyle w:val="4"/>
              <w:ind w:left="433" w:leftChars="202" w:hanging="9" w:hangingChars="4"/>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中标服务费的交纳方式：以转帐的形式支付；</w:t>
            </w:r>
          </w:p>
          <w:p w14:paraId="5CC25960">
            <w:pPr>
              <w:pStyle w:val="4"/>
              <w:ind w:left="433" w:leftChars="202" w:hanging="9" w:hangingChars="4"/>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开户行名称：台州银行余杭凤新路小微企业专营支行；</w:t>
            </w:r>
          </w:p>
          <w:p w14:paraId="0C5B97F3">
            <w:pPr>
              <w:pStyle w:val="4"/>
              <w:ind w:left="433" w:leftChars="202" w:hanging="9" w:hangingChars="4"/>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帐号：550884964700015；</w:t>
            </w:r>
          </w:p>
          <w:p w14:paraId="2CD1132A">
            <w:pPr>
              <w:pStyle w:val="4"/>
              <w:ind w:left="433" w:leftChars="202" w:hanging="9" w:hangingChars="4"/>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收款单位（账户名称）：杭州天坤建设咨询有限公司；</w:t>
            </w:r>
          </w:p>
          <w:p w14:paraId="492E9BEE">
            <w:pPr>
              <w:pStyle w:val="4"/>
              <w:ind w:left="433" w:leftChars="202" w:hanging="9" w:hangingChars="4"/>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中标单位需在领取中标通知书时缴纳中标服务费，缴</w:t>
            </w:r>
          </w:p>
          <w:p w14:paraId="1A9D9F9A">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b w:val="0"/>
                <w:bCs w:val="0"/>
                <w:color w:val="auto"/>
                <w:kern w:val="2"/>
                <w:sz w:val="24"/>
                <w:szCs w:val="24"/>
                <w:highlight w:val="none"/>
                <w:lang w:val="en-US" w:eastAsia="zh-CN" w:bidi="ar-SA"/>
              </w:rPr>
              <w:t>纳时</w:t>
            </w:r>
            <w:r>
              <w:rPr>
                <w:rFonts w:hint="eastAsia" w:ascii="宋体" w:hAnsi="宋体" w:eastAsia="宋体" w:cs="宋体"/>
                <w:b w:val="0"/>
                <w:bCs w:val="0"/>
                <w:color w:val="auto"/>
                <w:kern w:val="2"/>
                <w:sz w:val="24"/>
                <w:szCs w:val="24"/>
                <w:highlight w:val="none"/>
                <w:lang w:val="en-US" w:eastAsia="zh-CN" w:bidi="ar-SA"/>
              </w:rPr>
              <w:drawing>
                <wp:anchor distT="0" distB="0" distL="114300" distR="114300" simplePos="0" relativeHeight="251661312" behindDoc="0" locked="0" layoutInCell="1" allowOverlap="1">
                  <wp:simplePos x="0" y="0"/>
                  <wp:positionH relativeFrom="column">
                    <wp:posOffset>99695</wp:posOffset>
                  </wp:positionH>
                  <wp:positionV relativeFrom="paragraph">
                    <wp:posOffset>314960</wp:posOffset>
                  </wp:positionV>
                  <wp:extent cx="3604260" cy="2195830"/>
                  <wp:effectExtent l="0" t="0" r="15240" b="13970"/>
                  <wp:wrapSquare wrapText="bothSides"/>
                  <wp:docPr id="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6"/>
                          <pic:cNvPicPr>
                            <a:picLocks noChangeAspect="1"/>
                          </pic:cNvPicPr>
                        </pic:nvPicPr>
                        <pic:blipFill>
                          <a:blip r:embed="rId27">
                            <a:lum/>
                          </a:blip>
                          <a:stretch>
                            <a:fillRect/>
                          </a:stretch>
                        </pic:blipFill>
                        <pic:spPr>
                          <a:xfrm>
                            <a:off x="0" y="0"/>
                            <a:ext cx="3604260" cy="2195830"/>
                          </a:xfrm>
                          <a:prstGeom prst="rect">
                            <a:avLst/>
                          </a:prstGeom>
                          <a:noFill/>
                          <a:ln>
                            <a:noFill/>
                          </a:ln>
                        </pic:spPr>
                      </pic:pic>
                    </a:graphicData>
                  </a:graphic>
                </wp:anchor>
              </w:drawing>
            </w:r>
            <w:r>
              <w:rPr>
                <w:rFonts w:hint="eastAsia" w:ascii="宋体" w:hAnsi="宋体" w:eastAsia="宋体" w:cs="宋体"/>
                <w:b w:val="0"/>
                <w:bCs w:val="0"/>
                <w:color w:val="auto"/>
                <w:kern w:val="2"/>
                <w:sz w:val="24"/>
                <w:szCs w:val="24"/>
                <w:highlight w:val="none"/>
                <w:lang w:val="en-US" w:eastAsia="zh-CN" w:bidi="ar-SA"/>
              </w:rPr>
              <w:t>注明招标编号。</w:t>
            </w:r>
          </w:p>
        </w:tc>
      </w:tr>
      <w:tr w14:paraId="079A93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40EFF4F3">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843" w:type="dxa"/>
            <w:tcBorders>
              <w:top w:val="single" w:color="auto" w:sz="4" w:space="0"/>
              <w:left w:val="single" w:color="000000" w:sz="2" w:space="0"/>
              <w:bottom w:val="single" w:color="auto" w:sz="4" w:space="0"/>
              <w:right w:val="single" w:color="auto" w:sz="4" w:space="0"/>
            </w:tcBorders>
            <w:vAlign w:val="center"/>
          </w:tcPr>
          <w:p w14:paraId="36E17066">
            <w:pPr>
              <w:adjustRightInd/>
              <w:snapToGrid w:val="0"/>
              <w:spacing w:line="360" w:lineRule="auto"/>
              <w:jc w:val="center"/>
              <w:outlineLvl w:val="9"/>
              <w:rPr>
                <w:rFonts w:hint="eastAsia" w:cs="仿宋_GB2312" w:asciiTheme="minorEastAsia" w:hAnsiTheme="minorEastAsia" w:eastAsiaTheme="minorEastAsia"/>
                <w:b/>
                <w:color w:val="auto"/>
                <w:sz w:val="24"/>
                <w:highlight w:val="none"/>
                <w:lang w:val="en" w:eastAsia="zh-CN"/>
              </w:rPr>
            </w:pPr>
            <w:r>
              <w:rPr>
                <w:rFonts w:hint="eastAsia" w:ascii="宋体" w:hAnsi="宋体" w:eastAsia="宋体" w:cs="宋体"/>
                <w:b/>
                <w:bCs/>
                <w:snapToGrid/>
                <w:color w:val="auto"/>
                <w:kern w:val="2"/>
                <w:sz w:val="24"/>
                <w:highlight w:val="none"/>
              </w:rPr>
              <w:t>纸质投标文件</w:t>
            </w:r>
          </w:p>
        </w:tc>
        <w:tc>
          <w:tcPr>
            <w:tcW w:w="6095" w:type="dxa"/>
            <w:tcBorders>
              <w:top w:val="single" w:color="000000" w:sz="8" w:space="0"/>
              <w:left w:val="single" w:color="auto" w:sz="4" w:space="0"/>
              <w:bottom w:val="single" w:color="auto" w:sz="4" w:space="0"/>
              <w:right w:val="single" w:color="auto" w:sz="4" w:space="0"/>
            </w:tcBorders>
            <w:vAlign w:val="center"/>
          </w:tcPr>
          <w:p w14:paraId="2693110C">
            <w:pPr>
              <w:adjustRightInd/>
              <w:spacing w:line="360" w:lineRule="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snapToGrid w:val="0"/>
                <w:color w:val="auto"/>
                <w:kern w:val="28"/>
                <w:sz w:val="24"/>
                <w:highlight w:val="none"/>
              </w:rPr>
              <w:t>中标单位需在领取中标通知书时，提供本项目纸质投标文件（“资格文件”、“报价文件”和“商务技术文件”）</w:t>
            </w:r>
            <w:r>
              <w:rPr>
                <w:rFonts w:hint="eastAsia" w:ascii="宋体" w:hAnsi="宋体" w:eastAsia="宋体" w:cs="宋体"/>
                <w:b/>
                <w:snapToGrid w:val="0"/>
                <w:color w:val="auto"/>
                <w:kern w:val="28"/>
                <w:sz w:val="24"/>
                <w:highlight w:val="none"/>
                <w:lang w:val="en-US" w:eastAsia="zh-CN"/>
              </w:rPr>
              <w:t>五</w:t>
            </w:r>
            <w:r>
              <w:rPr>
                <w:rFonts w:hint="eastAsia" w:ascii="宋体" w:hAnsi="宋体" w:eastAsia="宋体" w:cs="宋体"/>
                <w:b/>
                <w:snapToGrid w:val="0"/>
                <w:color w:val="auto"/>
                <w:kern w:val="28"/>
                <w:sz w:val="24"/>
                <w:highlight w:val="none"/>
              </w:rPr>
              <w:t>份（正本一份，副本</w:t>
            </w:r>
            <w:r>
              <w:rPr>
                <w:rFonts w:hint="eastAsia" w:ascii="宋体" w:hAnsi="宋体" w:eastAsia="宋体" w:cs="宋体"/>
                <w:b/>
                <w:snapToGrid w:val="0"/>
                <w:color w:val="auto"/>
                <w:kern w:val="28"/>
                <w:sz w:val="24"/>
                <w:highlight w:val="none"/>
                <w:lang w:val="en-US" w:eastAsia="zh-CN"/>
              </w:rPr>
              <w:t>四</w:t>
            </w:r>
            <w:r>
              <w:rPr>
                <w:rFonts w:hint="eastAsia" w:ascii="宋体" w:hAnsi="宋体" w:eastAsia="宋体" w:cs="宋体"/>
                <w:b/>
                <w:snapToGrid w:val="0"/>
                <w:color w:val="auto"/>
                <w:kern w:val="28"/>
                <w:sz w:val="24"/>
                <w:highlight w:val="none"/>
              </w:rPr>
              <w:t>份）并提供电子投标文件与纸质投标文件内容一致承诺书（格式自拟）三份。</w:t>
            </w:r>
          </w:p>
        </w:tc>
      </w:tr>
    </w:tbl>
    <w:p w14:paraId="23D8B3B7">
      <w:pPr>
        <w:snapToGrid w:val="0"/>
        <w:spacing w:line="360" w:lineRule="auto"/>
        <w:jc w:val="center"/>
        <w:rPr>
          <w:rFonts w:ascii="宋体" w:hAnsi="宋体" w:cs="宋体"/>
          <w:b/>
          <w:color w:val="auto"/>
          <w:sz w:val="32"/>
          <w:szCs w:val="20"/>
          <w:highlight w:val="none"/>
        </w:rPr>
      </w:pPr>
    </w:p>
    <w:bookmarkEnd w:id="10"/>
    <w:p w14:paraId="1AFC29D3">
      <w:pPr>
        <w:rPr>
          <w:rFonts w:hint="eastAsia"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br w:type="page"/>
      </w:r>
    </w:p>
    <w:p w14:paraId="75264CA2">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4"/>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6"/>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89"/>
        <w:shd w:val="clear" w:color="auto" w:fill="FFFFFF"/>
        <w:snapToGrid w:val="0"/>
        <w:spacing w:after="240" w:afterAutospacing="0" w:line="360" w:lineRule="auto"/>
        <w:ind w:firstLine="400"/>
        <w:contextualSpacing/>
        <w:rPr>
          <w:rFonts w:hint="eastAsia"/>
          <w:color w:val="auto"/>
          <w:highlight w:val="none"/>
        </w:rPr>
      </w:pPr>
    </w:p>
    <w:p w14:paraId="72BB4CF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1"/>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6"/>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4"/>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ascii="宋体" w:hAnsi="宋体" w:cs="宋体"/>
          <w:b/>
          <w:color w:val="auto"/>
          <w:sz w:val="32"/>
          <w:highlight w:val="none"/>
        </w:rPr>
      </w:pPr>
    </w:p>
    <w:p w14:paraId="25870E80">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1"/>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0"/>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4"/>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4"/>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4"/>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0"/>
        <w:rPr>
          <w:color w:val="auto"/>
          <w:highlight w:val="none"/>
        </w:rPr>
      </w:pPr>
    </w:p>
    <w:bookmarkEnd w:id="13"/>
    <w:p w14:paraId="4A7945A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101"/>
      <w:bookmarkEnd w:id="15"/>
      <w:bookmarkStart w:id="16" w:name="_Hlt74707468"/>
      <w:bookmarkEnd w:id="16"/>
      <w:bookmarkStart w:id="17" w:name="_Hlt74729768"/>
      <w:bookmarkEnd w:id="17"/>
      <w:bookmarkStart w:id="18" w:name="_Hlt74714665"/>
      <w:bookmarkEnd w:id="18"/>
      <w:bookmarkStart w:id="19" w:name="_Hlt68072998"/>
      <w:bookmarkEnd w:id="19"/>
      <w:bookmarkStart w:id="20" w:name="_Hlt75236011"/>
      <w:bookmarkEnd w:id="20"/>
      <w:bookmarkStart w:id="21" w:name="_Hlt68057669"/>
      <w:bookmarkEnd w:id="21"/>
      <w:bookmarkStart w:id="22" w:name="_Hlt68403820"/>
      <w:bookmarkEnd w:id="22"/>
      <w:bookmarkStart w:id="23" w:name="_Hlt68073093"/>
      <w:bookmarkEnd w:id="23"/>
      <w:bookmarkStart w:id="24" w:name="_Hlt75236290"/>
      <w:bookmarkEnd w:id="24"/>
      <w:bookmarkStart w:id="25" w:name="_Hlt74730295"/>
      <w:bookmarkEnd w:id="25"/>
      <w:bookmarkStart w:id="26" w:name="_Hlt68072990"/>
      <w:bookmarkEnd w:id="26"/>
    </w:p>
    <w:bookmarkEnd w:id="11"/>
    <w:bookmarkEnd w:id="12"/>
    <w:p w14:paraId="763BF435">
      <w:pPr>
        <w:adjustRightInd w:val="0"/>
        <w:spacing w:line="360" w:lineRule="auto"/>
        <w:jc w:val="center"/>
        <w:outlineLvl w:val="0"/>
        <w:rPr>
          <w:rFonts w:hint="eastAsia" w:cs="仿宋" w:asciiTheme="minorEastAsia" w:hAnsiTheme="minorEastAsia" w:eastAsiaTheme="minorEastAsia"/>
          <w:b/>
          <w:sz w:val="36"/>
          <w:szCs w:val="36"/>
        </w:rPr>
      </w:pPr>
      <w:bookmarkStart w:id="27" w:name="第四部分"/>
      <w:r>
        <w:rPr>
          <w:rFonts w:hint="eastAsia" w:cs="仿宋" w:asciiTheme="minorEastAsia" w:hAnsiTheme="minorEastAsia" w:eastAsiaTheme="minorEastAsia"/>
          <w:b/>
          <w:sz w:val="36"/>
          <w:szCs w:val="36"/>
        </w:rPr>
        <w:t>第三部</w:t>
      </w:r>
      <w:r>
        <w:rPr>
          <w:rFonts w:hint="eastAsia" w:cs="仿宋" w:asciiTheme="minorEastAsia" w:hAnsiTheme="minorEastAsia" w:eastAsiaTheme="minorEastAsia"/>
          <w:b/>
          <w:spacing w:val="362"/>
          <w:kern w:val="0"/>
          <w:sz w:val="36"/>
          <w:szCs w:val="36"/>
          <w:fitText w:val="1444" w:id="719986850"/>
        </w:rPr>
        <w:t>分</w:t>
      </w:r>
      <w:r>
        <w:rPr>
          <w:rFonts w:hint="eastAsia" w:cs="仿宋" w:asciiTheme="minorEastAsia" w:hAnsiTheme="minorEastAsia" w:eastAsiaTheme="minorEastAsia"/>
          <w:b/>
          <w:spacing w:val="0"/>
          <w:kern w:val="0"/>
          <w:sz w:val="36"/>
          <w:szCs w:val="36"/>
          <w:fitText w:val="1444" w:id="719986850"/>
        </w:rPr>
        <w:t>采</w:t>
      </w:r>
      <w:r>
        <w:rPr>
          <w:rFonts w:hint="eastAsia" w:cs="仿宋" w:asciiTheme="minorEastAsia" w:hAnsiTheme="minorEastAsia" w:eastAsiaTheme="minorEastAsia"/>
          <w:b/>
          <w:sz w:val="36"/>
          <w:szCs w:val="36"/>
        </w:rPr>
        <w:t>购需求</w:t>
      </w:r>
    </w:p>
    <w:p w14:paraId="2D7E0563">
      <w:pPr>
        <w:tabs>
          <w:tab w:val="left" w:pos="0"/>
        </w:tabs>
        <w:adjustRightInd w:val="0"/>
        <w:spacing w:line="360" w:lineRule="auto"/>
        <w:ind w:firstLine="480"/>
        <w:rPr>
          <w:rFonts w:hint="eastAsia" w:ascii="宋体" w:hAnsi="宋体" w:eastAsia="宋体" w:cs="宋体"/>
          <w:b/>
          <w:kern w:val="0"/>
          <w:sz w:val="24"/>
          <w:szCs w:val="24"/>
        </w:rPr>
      </w:pPr>
      <w:r>
        <w:rPr>
          <w:rFonts w:hint="eastAsia" w:ascii="宋体" w:hAnsi="宋体" w:eastAsia="宋体" w:cs="宋体"/>
          <w:b/>
          <w:kern w:val="0"/>
          <w:sz w:val="28"/>
          <w:szCs w:val="28"/>
        </w:rPr>
        <w:t>一、项目概况：</w:t>
      </w:r>
    </w:p>
    <w:p w14:paraId="1BB50DAA">
      <w:pPr>
        <w:tabs>
          <w:tab w:val="left" w:pos="0"/>
        </w:tabs>
        <w:adjustRightInd w:val="0"/>
        <w:spacing w:line="360" w:lineRule="auto"/>
        <w:ind w:firstLine="480"/>
        <w:rPr>
          <w:rFonts w:hint="eastAsia" w:ascii="宋体" w:hAnsi="宋体" w:eastAsia="宋体" w:cs="宋体"/>
          <w:kern w:val="0"/>
          <w:sz w:val="24"/>
          <w:szCs w:val="24"/>
        </w:rPr>
      </w:pPr>
      <w:r>
        <w:rPr>
          <w:rFonts w:hint="eastAsia" w:ascii="宋体" w:hAnsi="宋体" w:eastAsia="宋体" w:cs="宋体"/>
          <w:kern w:val="0"/>
          <w:sz w:val="24"/>
          <w:szCs w:val="24"/>
        </w:rPr>
        <w:t>余杭街道是是余杭区重要的工业地区，金星、义桥、凤凰、沈家店四大产业园区蓬勃发展，正在新兴产业引领的转型升级道路上阔步前进，公共服务配套逐年完善，酒店、购物中心、金融保险等商贸业发展良好。随着科技进步带动了新技术、新产品的升级更新，且AI识别、结构化等技术的日渐成熟。余杭街道雪亮工程(城南片)服务项目（共计546个点位）已经或即将到期，为确保工作顺延续和顺利开展，现需要对以上点位进行改造。根据工作需要，要求对原有设备进行必要改造更新升级。</w:t>
      </w:r>
    </w:p>
    <w:p w14:paraId="195C692E">
      <w:pPr>
        <w:tabs>
          <w:tab w:val="left" w:pos="0"/>
        </w:tabs>
        <w:adjustRightInd w:val="0"/>
        <w:spacing w:line="360" w:lineRule="auto"/>
        <w:ind w:firstLine="480"/>
        <w:rPr>
          <w:rFonts w:hint="eastAsia" w:ascii="宋体" w:hAnsi="宋体" w:eastAsia="宋体" w:cs="宋体"/>
          <w:b/>
          <w:kern w:val="0"/>
          <w:sz w:val="24"/>
          <w:szCs w:val="24"/>
        </w:rPr>
      </w:pPr>
      <w:r>
        <w:rPr>
          <w:rFonts w:hint="eastAsia" w:ascii="宋体" w:hAnsi="宋体" w:eastAsia="宋体" w:cs="宋体"/>
          <w:b/>
          <w:kern w:val="0"/>
          <w:sz w:val="28"/>
          <w:szCs w:val="28"/>
        </w:rPr>
        <w:t>二、需求一览表：</w:t>
      </w:r>
    </w:p>
    <w:tbl>
      <w:tblPr>
        <w:tblStyle w:val="62"/>
        <w:tblW w:w="4939" w:type="pct"/>
        <w:tblInd w:w="94"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697"/>
        <w:gridCol w:w="2651"/>
        <w:gridCol w:w="782"/>
        <w:gridCol w:w="782"/>
        <w:gridCol w:w="1204"/>
        <w:gridCol w:w="2275"/>
      </w:tblGrid>
      <w:tr w14:paraId="30FD52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8" w:hRule="atLeast"/>
        </w:trPr>
        <w:tc>
          <w:tcPr>
            <w:tcW w:w="416" w:type="pct"/>
            <w:vAlign w:val="center"/>
          </w:tcPr>
          <w:p w14:paraId="578DCA5B">
            <w:pPr>
              <w:adjustRightInd w:val="0"/>
              <w:snapToGrid w:val="0"/>
              <w:spacing w:before="62" w:beforeLines="20" w:line="300" w:lineRule="auto"/>
              <w:jc w:val="center"/>
              <w:rPr>
                <w:rFonts w:hint="eastAsia" w:ascii="宋体" w:hAnsi="宋体" w:eastAsia="宋体" w:cs="宋体"/>
                <w:b/>
                <w:sz w:val="24"/>
                <w:szCs w:val="24"/>
              </w:rPr>
            </w:pPr>
            <w:r>
              <w:rPr>
                <w:rFonts w:hint="eastAsia" w:ascii="宋体" w:hAnsi="宋体" w:eastAsia="宋体" w:cs="宋体"/>
                <w:b/>
                <w:sz w:val="24"/>
                <w:szCs w:val="24"/>
              </w:rPr>
              <w:t>序号</w:t>
            </w:r>
          </w:p>
        </w:tc>
        <w:tc>
          <w:tcPr>
            <w:tcW w:w="1579" w:type="pct"/>
            <w:vAlign w:val="center"/>
          </w:tcPr>
          <w:p w14:paraId="78ED4A90">
            <w:pPr>
              <w:adjustRightInd w:val="0"/>
              <w:snapToGrid w:val="0"/>
              <w:jc w:val="center"/>
              <w:rPr>
                <w:rFonts w:hint="eastAsia" w:ascii="宋体" w:hAnsi="宋体" w:eastAsia="宋体" w:cs="宋体"/>
                <w:b/>
                <w:sz w:val="24"/>
                <w:szCs w:val="24"/>
              </w:rPr>
            </w:pPr>
            <w:r>
              <w:rPr>
                <w:rFonts w:hint="eastAsia" w:ascii="宋体" w:hAnsi="宋体" w:eastAsia="宋体" w:cs="宋体"/>
                <w:b/>
                <w:sz w:val="24"/>
                <w:szCs w:val="24"/>
              </w:rPr>
              <w:t>采购内容</w:t>
            </w:r>
          </w:p>
        </w:tc>
        <w:tc>
          <w:tcPr>
            <w:tcW w:w="466" w:type="pct"/>
            <w:tcBorders>
              <w:right w:val="single" w:color="auto" w:sz="2" w:space="0"/>
            </w:tcBorders>
            <w:vAlign w:val="center"/>
          </w:tcPr>
          <w:p w14:paraId="3F02CB68">
            <w:pPr>
              <w:adjustRightInd w:val="0"/>
              <w:snapToGrid w:val="0"/>
              <w:jc w:val="center"/>
              <w:rPr>
                <w:rFonts w:hint="eastAsia" w:ascii="宋体" w:hAnsi="宋体" w:eastAsia="宋体" w:cs="宋体"/>
                <w:b/>
                <w:sz w:val="24"/>
                <w:szCs w:val="24"/>
              </w:rPr>
            </w:pPr>
            <w:r>
              <w:rPr>
                <w:rFonts w:hint="eastAsia" w:ascii="宋体" w:hAnsi="宋体" w:eastAsia="宋体" w:cs="宋体"/>
                <w:b/>
                <w:sz w:val="24"/>
                <w:szCs w:val="24"/>
              </w:rPr>
              <w:t>数量</w:t>
            </w:r>
          </w:p>
        </w:tc>
        <w:tc>
          <w:tcPr>
            <w:tcW w:w="466" w:type="pct"/>
            <w:tcBorders>
              <w:left w:val="single" w:color="auto" w:sz="2" w:space="0"/>
            </w:tcBorders>
            <w:vAlign w:val="center"/>
          </w:tcPr>
          <w:p w14:paraId="69C74E44">
            <w:pPr>
              <w:adjustRightInd w:val="0"/>
              <w:snapToGrid w:val="0"/>
              <w:jc w:val="center"/>
              <w:rPr>
                <w:rFonts w:hint="eastAsia" w:ascii="宋体" w:hAnsi="宋体" w:eastAsia="宋体" w:cs="宋体"/>
                <w:b/>
                <w:sz w:val="24"/>
                <w:szCs w:val="24"/>
              </w:rPr>
            </w:pPr>
            <w:r>
              <w:rPr>
                <w:rFonts w:hint="eastAsia" w:ascii="宋体" w:hAnsi="宋体" w:eastAsia="宋体" w:cs="宋体"/>
                <w:b/>
                <w:sz w:val="24"/>
                <w:szCs w:val="24"/>
              </w:rPr>
              <w:t>单位</w:t>
            </w:r>
          </w:p>
        </w:tc>
        <w:tc>
          <w:tcPr>
            <w:tcW w:w="717" w:type="pct"/>
            <w:tcBorders>
              <w:right w:val="single" w:color="auto" w:sz="2" w:space="0"/>
            </w:tcBorders>
            <w:vAlign w:val="center"/>
          </w:tcPr>
          <w:p w14:paraId="28AE441D">
            <w:pPr>
              <w:adjustRightInd w:val="0"/>
              <w:snapToGrid w:val="0"/>
              <w:jc w:val="center"/>
              <w:rPr>
                <w:rFonts w:hint="eastAsia" w:ascii="宋体" w:hAnsi="宋体" w:eastAsia="宋体" w:cs="宋体"/>
                <w:b/>
                <w:sz w:val="24"/>
                <w:szCs w:val="24"/>
              </w:rPr>
            </w:pPr>
            <w:r>
              <w:rPr>
                <w:rFonts w:hint="eastAsia" w:ascii="宋体" w:hAnsi="宋体" w:eastAsia="宋体" w:cs="宋体"/>
                <w:b/>
                <w:sz w:val="24"/>
                <w:szCs w:val="24"/>
              </w:rPr>
              <w:t>预算金额</w:t>
            </w:r>
          </w:p>
          <w:p w14:paraId="2AFCE4D7">
            <w:pPr>
              <w:adjustRightInd w:val="0"/>
              <w:snapToGrid w:val="0"/>
              <w:jc w:val="center"/>
              <w:rPr>
                <w:rFonts w:hint="eastAsia" w:ascii="宋体" w:hAnsi="宋体" w:eastAsia="宋体" w:cs="宋体"/>
                <w:b/>
                <w:sz w:val="24"/>
                <w:szCs w:val="24"/>
              </w:rPr>
            </w:pPr>
            <w:r>
              <w:rPr>
                <w:rFonts w:hint="eastAsia" w:ascii="宋体" w:hAnsi="宋体" w:eastAsia="宋体" w:cs="宋体"/>
                <w:b/>
                <w:sz w:val="24"/>
                <w:szCs w:val="24"/>
              </w:rPr>
              <w:t>（万元）</w:t>
            </w:r>
          </w:p>
        </w:tc>
        <w:tc>
          <w:tcPr>
            <w:tcW w:w="1355" w:type="pct"/>
            <w:tcBorders>
              <w:right w:val="single" w:color="auto" w:sz="2" w:space="0"/>
            </w:tcBorders>
            <w:vAlign w:val="center"/>
          </w:tcPr>
          <w:p w14:paraId="64CCFD69">
            <w:pPr>
              <w:adjustRightInd w:val="0"/>
              <w:snapToGrid w:val="0"/>
              <w:jc w:val="center"/>
              <w:rPr>
                <w:rFonts w:hint="eastAsia" w:ascii="宋体" w:hAnsi="宋体" w:eastAsia="宋体" w:cs="宋体"/>
                <w:b/>
                <w:sz w:val="24"/>
                <w:szCs w:val="24"/>
              </w:rPr>
            </w:pPr>
            <w:r>
              <w:rPr>
                <w:rFonts w:hint="eastAsia" w:ascii="宋体" w:hAnsi="宋体" w:eastAsia="宋体" w:cs="宋体"/>
                <w:b/>
                <w:sz w:val="24"/>
                <w:szCs w:val="24"/>
              </w:rPr>
              <w:t>采购需求</w:t>
            </w:r>
          </w:p>
        </w:tc>
      </w:tr>
      <w:tr w14:paraId="321B4C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3" w:hRule="atLeast"/>
        </w:trPr>
        <w:tc>
          <w:tcPr>
            <w:tcW w:w="416" w:type="pct"/>
            <w:vAlign w:val="center"/>
          </w:tcPr>
          <w:p w14:paraId="2A19CEAD">
            <w:pPr>
              <w:adjustRightInd w:val="0"/>
              <w:snapToGrid w:val="0"/>
              <w:jc w:val="center"/>
              <w:rPr>
                <w:rFonts w:hint="eastAsia" w:ascii="宋体" w:hAnsi="宋体" w:eastAsia="宋体" w:cs="宋体"/>
                <w:bCs/>
                <w:sz w:val="24"/>
                <w:szCs w:val="24"/>
              </w:rPr>
            </w:pPr>
            <w:r>
              <w:rPr>
                <w:rFonts w:hint="eastAsia" w:ascii="宋体" w:hAnsi="宋体" w:eastAsia="宋体" w:cs="宋体"/>
                <w:bCs/>
                <w:sz w:val="24"/>
                <w:szCs w:val="24"/>
              </w:rPr>
              <w:t>1</w:t>
            </w:r>
          </w:p>
        </w:tc>
        <w:tc>
          <w:tcPr>
            <w:tcW w:w="1579" w:type="pct"/>
            <w:vAlign w:val="center"/>
          </w:tcPr>
          <w:p w14:paraId="0D67C22C">
            <w:pPr>
              <w:adjustRightInd w:val="0"/>
              <w:snapToGrid w:val="0"/>
              <w:jc w:val="center"/>
              <w:rPr>
                <w:rFonts w:hint="eastAsia" w:ascii="宋体" w:hAnsi="宋体" w:eastAsia="宋体" w:cs="宋体"/>
                <w:bCs/>
                <w:sz w:val="24"/>
                <w:szCs w:val="24"/>
              </w:rPr>
            </w:pPr>
            <w:r>
              <w:rPr>
                <w:rFonts w:hint="eastAsia" w:ascii="宋体" w:hAnsi="宋体" w:eastAsia="宋体" w:cs="宋体"/>
                <w:bCs/>
                <w:sz w:val="24"/>
                <w:szCs w:val="24"/>
              </w:rPr>
              <w:t>2025年余杭街道雪亮工程(城南片)服务项目</w:t>
            </w:r>
          </w:p>
        </w:tc>
        <w:tc>
          <w:tcPr>
            <w:tcW w:w="466" w:type="pct"/>
            <w:tcBorders>
              <w:right w:val="single" w:color="auto" w:sz="2" w:space="0"/>
            </w:tcBorders>
            <w:vAlign w:val="center"/>
          </w:tcPr>
          <w:p w14:paraId="451E35B7">
            <w:pPr>
              <w:adjustRightInd w:val="0"/>
              <w:snapToGrid w:val="0"/>
              <w:jc w:val="center"/>
              <w:rPr>
                <w:rFonts w:hint="eastAsia" w:ascii="宋体" w:hAnsi="宋体" w:eastAsia="宋体" w:cs="宋体"/>
                <w:bCs/>
                <w:sz w:val="24"/>
                <w:szCs w:val="24"/>
              </w:rPr>
            </w:pPr>
            <w:r>
              <w:rPr>
                <w:rFonts w:hint="eastAsia" w:ascii="宋体" w:hAnsi="宋体" w:eastAsia="宋体" w:cs="宋体"/>
                <w:bCs/>
                <w:sz w:val="24"/>
                <w:szCs w:val="24"/>
              </w:rPr>
              <w:t>1</w:t>
            </w:r>
          </w:p>
        </w:tc>
        <w:tc>
          <w:tcPr>
            <w:tcW w:w="466" w:type="pct"/>
            <w:tcBorders>
              <w:left w:val="single" w:color="auto" w:sz="2" w:space="0"/>
            </w:tcBorders>
            <w:vAlign w:val="center"/>
          </w:tcPr>
          <w:p w14:paraId="520C4FF7">
            <w:pPr>
              <w:adjustRightInd w:val="0"/>
              <w:snapToGrid w:val="0"/>
              <w:jc w:val="center"/>
              <w:rPr>
                <w:rFonts w:hint="eastAsia" w:ascii="宋体" w:hAnsi="宋体" w:eastAsia="宋体" w:cs="宋体"/>
                <w:bCs/>
                <w:sz w:val="24"/>
                <w:szCs w:val="24"/>
              </w:rPr>
            </w:pPr>
            <w:r>
              <w:rPr>
                <w:rFonts w:hint="eastAsia" w:ascii="宋体" w:hAnsi="宋体" w:eastAsia="宋体" w:cs="宋体"/>
                <w:bCs/>
                <w:sz w:val="24"/>
                <w:szCs w:val="24"/>
              </w:rPr>
              <w:t>项</w:t>
            </w:r>
          </w:p>
        </w:tc>
        <w:tc>
          <w:tcPr>
            <w:tcW w:w="717" w:type="pct"/>
            <w:tcBorders>
              <w:right w:val="single" w:color="auto" w:sz="2" w:space="0"/>
            </w:tcBorders>
            <w:vAlign w:val="center"/>
          </w:tcPr>
          <w:p w14:paraId="18E592D4">
            <w:pPr>
              <w:adjustRightInd w:val="0"/>
              <w:snapToGrid w:val="0"/>
              <w:jc w:val="center"/>
              <w:rPr>
                <w:rFonts w:hint="eastAsia" w:ascii="宋体" w:hAnsi="宋体" w:eastAsia="宋体" w:cs="宋体"/>
                <w:bCs/>
                <w:sz w:val="24"/>
                <w:szCs w:val="24"/>
              </w:rPr>
            </w:pPr>
            <w:r>
              <w:rPr>
                <w:rFonts w:hint="eastAsia" w:ascii="宋体" w:hAnsi="宋体" w:eastAsia="宋体" w:cs="宋体"/>
                <w:bCs/>
                <w:sz w:val="24"/>
                <w:szCs w:val="24"/>
              </w:rPr>
              <w:t>930</w:t>
            </w:r>
          </w:p>
        </w:tc>
        <w:tc>
          <w:tcPr>
            <w:tcW w:w="1355" w:type="pct"/>
            <w:tcBorders>
              <w:right w:val="single" w:color="auto" w:sz="2" w:space="0"/>
            </w:tcBorders>
            <w:vAlign w:val="center"/>
          </w:tcPr>
          <w:p w14:paraId="2633F6DE">
            <w:pPr>
              <w:adjustRightInd w:val="0"/>
              <w:snapToGrid w:val="0"/>
              <w:jc w:val="center"/>
              <w:rPr>
                <w:rFonts w:hint="eastAsia" w:ascii="宋体" w:hAnsi="宋体" w:eastAsia="宋体" w:cs="宋体"/>
                <w:bCs/>
                <w:sz w:val="24"/>
                <w:szCs w:val="24"/>
              </w:rPr>
            </w:pPr>
            <w:r>
              <w:rPr>
                <w:rFonts w:hint="eastAsia" w:ascii="宋体" w:hAnsi="宋体" w:eastAsia="宋体" w:cs="宋体"/>
                <w:bCs/>
                <w:sz w:val="24"/>
                <w:szCs w:val="24"/>
              </w:rPr>
              <w:t>“雪亮工程”系统服务的租赁项目，租赁期三年。</w:t>
            </w:r>
          </w:p>
        </w:tc>
      </w:tr>
    </w:tbl>
    <w:p w14:paraId="35E63EA2">
      <w:pPr>
        <w:tabs>
          <w:tab w:val="left" w:pos="0"/>
        </w:tabs>
        <w:adjustRightInd w:val="0"/>
        <w:spacing w:line="360" w:lineRule="auto"/>
        <w:ind w:firstLine="480"/>
        <w:rPr>
          <w:rFonts w:hint="eastAsia" w:ascii="宋体" w:hAnsi="宋体" w:eastAsia="宋体" w:cs="宋体"/>
          <w:b/>
          <w:kern w:val="0"/>
          <w:sz w:val="28"/>
          <w:szCs w:val="28"/>
        </w:rPr>
      </w:pPr>
      <w:r>
        <w:rPr>
          <w:rFonts w:hint="eastAsia" w:ascii="宋体" w:hAnsi="宋体" w:eastAsia="宋体" w:cs="宋体"/>
          <w:b/>
          <w:kern w:val="0"/>
          <w:sz w:val="28"/>
          <w:szCs w:val="28"/>
        </w:rPr>
        <w:t>三、建设原则</w:t>
      </w:r>
    </w:p>
    <w:p w14:paraId="22B54166">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202</w:t>
      </w:r>
      <w:r>
        <w:rPr>
          <w:rFonts w:hint="eastAsia" w:ascii="宋体" w:hAnsi="宋体" w:eastAsia="宋体" w:cs="宋体"/>
          <w:bCs/>
          <w:sz w:val="24"/>
          <w:szCs w:val="24"/>
          <w:lang w:val="en-US" w:eastAsia="zh-CN"/>
        </w:rPr>
        <w:t>5</w:t>
      </w:r>
      <w:r>
        <w:rPr>
          <w:rFonts w:hint="eastAsia" w:ascii="宋体" w:hAnsi="宋体" w:eastAsia="宋体" w:cs="宋体"/>
          <w:bCs/>
          <w:sz w:val="24"/>
          <w:szCs w:val="24"/>
        </w:rPr>
        <w:t>-2027年视频监控改造租赁项目建设按照“实用、可靠、安全、兼容、共享、先进、易拓、易管”的原则实施。</w:t>
      </w:r>
    </w:p>
    <w:p w14:paraId="2A0EC40C">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实用性：系统功能必须满足城市综合管理对于人像抓拍的基本要求，突出治安管理和刑事侦查的实战需求，图像清晰、操作灵活、使用方便，同时兼顾各委办局的具体业务场景要求。</w:t>
      </w:r>
    </w:p>
    <w:p w14:paraId="3C04BB2E">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可靠性：系统采用的软、硬件应能保证长期稳定运行，同时应具备维护的便捷性。</w:t>
      </w:r>
    </w:p>
    <w:p w14:paraId="1088624E">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安全性：系统传输及联网采用安全的网络交互方式。视频监控专网不能与互联网或其他外部网络环境直接相连，确保公安专网与其他网络的物理隔离。</w:t>
      </w:r>
    </w:p>
    <w:p w14:paraId="533F548E">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兼容性：系统应能兼容</w:t>
      </w:r>
      <w:r>
        <w:rPr>
          <w:rFonts w:hint="eastAsia" w:ascii="宋体" w:hAnsi="宋体" w:eastAsia="宋体" w:cs="宋体"/>
          <w:bCs/>
          <w:sz w:val="24"/>
          <w:szCs w:val="24"/>
          <w:lang w:val="en-US" w:eastAsia="zh-CN"/>
        </w:rPr>
        <w:t>余杭</w:t>
      </w:r>
      <w:r>
        <w:rPr>
          <w:rFonts w:hint="eastAsia" w:ascii="宋体" w:hAnsi="宋体" w:eastAsia="宋体" w:cs="宋体"/>
          <w:bCs/>
          <w:sz w:val="24"/>
          <w:szCs w:val="24"/>
        </w:rPr>
        <w:t>区已建人像系统中的摄像机、视频编码器、监视墙等主要设备。系统也应能兼容大部分主流设备厂商的硬件产品。</w:t>
      </w:r>
    </w:p>
    <w:p w14:paraId="7997467E">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共享性：感知系统的前端设备能无缝接入杭州市</w:t>
      </w:r>
      <w:r>
        <w:rPr>
          <w:rFonts w:hint="eastAsia" w:ascii="宋体" w:hAnsi="宋体" w:eastAsia="宋体" w:cs="宋体"/>
          <w:bCs/>
          <w:sz w:val="24"/>
          <w:szCs w:val="24"/>
          <w:lang w:val="en-US" w:eastAsia="zh-CN"/>
        </w:rPr>
        <w:t>余杭</w:t>
      </w:r>
      <w:r>
        <w:rPr>
          <w:rFonts w:hint="eastAsia" w:ascii="宋体" w:hAnsi="宋体" w:eastAsia="宋体" w:cs="宋体"/>
          <w:bCs/>
          <w:sz w:val="24"/>
          <w:szCs w:val="24"/>
        </w:rPr>
        <w:t>区公安分局人像识别系统、车辆识别系统、视频监控共享系统。系统能实现本地区多部门资源共享。</w:t>
      </w:r>
    </w:p>
    <w:p w14:paraId="3445A3F4">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先进性：采用成熟、先进的技术构建系统平台，在实现各项功能的基础上，具有技术前瞻性。</w:t>
      </w:r>
    </w:p>
    <w:p w14:paraId="4B6CC126">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易拓性：系统规模应易于扩充，能适应大规模监控点的集中管理，能接入不同类型的社会监控资源。软件平台应采用模块化开发方式，易于功能扩展。</w:t>
      </w:r>
    </w:p>
    <w:p w14:paraId="6606C28C">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易管性：系统应具有较强的管理功能。可实现对各类监控设备和网络设备的自检和管理。</w:t>
      </w:r>
    </w:p>
    <w:p w14:paraId="4042E988">
      <w:pPr>
        <w:tabs>
          <w:tab w:val="left" w:pos="0"/>
        </w:tabs>
        <w:adjustRightInd w:val="0"/>
        <w:spacing w:line="360" w:lineRule="auto"/>
        <w:ind w:firstLine="480"/>
        <w:rPr>
          <w:rFonts w:hint="eastAsia" w:ascii="宋体" w:hAnsi="宋体" w:eastAsia="宋体" w:cs="宋体"/>
          <w:b/>
          <w:kern w:val="0"/>
          <w:sz w:val="28"/>
          <w:szCs w:val="28"/>
        </w:rPr>
      </w:pPr>
      <w:r>
        <w:rPr>
          <w:rFonts w:hint="eastAsia" w:ascii="宋体" w:hAnsi="宋体" w:eastAsia="宋体" w:cs="宋体"/>
          <w:b/>
          <w:kern w:val="0"/>
          <w:sz w:val="28"/>
          <w:szCs w:val="28"/>
        </w:rPr>
        <w:t>四、参照标准</w:t>
      </w:r>
    </w:p>
    <w:p w14:paraId="68C27FFD">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1、《安全防范视频监控联网系统信息传输、交换、控制技术要求》（GB/T28181-2022）</w:t>
      </w:r>
    </w:p>
    <w:p w14:paraId="72134494">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2、《杭州市公共区域感知前端建设指南》（2022年）</w:t>
      </w:r>
    </w:p>
    <w:p w14:paraId="74FDD7C4">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3、《杭州市公共区域视频安全建设标准》（2022年）</w:t>
      </w:r>
    </w:p>
    <w:p w14:paraId="2D9D220E">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4、《杭州市公共区域视频平台整合建设标准》（2022年）</w:t>
      </w:r>
    </w:p>
    <w:p w14:paraId="549F9E2D">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5、《杭州市公共区域视频网络建设标准》（2022年）</w:t>
      </w:r>
    </w:p>
    <w:p w14:paraId="5EE166CE">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6、公安部《公安视频图像智能化建设应用指南》（公科信〔2020〕48 号）</w:t>
      </w:r>
    </w:p>
    <w:p w14:paraId="400D7317">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7、《关于规范推进公安视频图像智能化应用建设的通知》（公科信〔2019〕36 号）</w:t>
      </w:r>
    </w:p>
    <w:p w14:paraId="170FDB78">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8、《公安视频图像信息应用系统》（GA/T1400-2017）</w:t>
      </w:r>
    </w:p>
    <w:p w14:paraId="674E8F25">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9、《公安视频图像分析系统》（GA/T 1399.1-2017）</w:t>
      </w:r>
    </w:p>
    <w:p w14:paraId="58DFBD6F">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10、《公共安全视频监控联网信息安全技术要求》（GB35114-2017）</w:t>
      </w:r>
    </w:p>
    <w:p w14:paraId="623D2AAF">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11、《计算机信息系统安全》（2011年）</w:t>
      </w:r>
    </w:p>
    <w:p w14:paraId="29A782F8">
      <w:pPr>
        <w:tabs>
          <w:tab w:val="left" w:pos="0"/>
        </w:tabs>
        <w:adjustRightInd w:val="0"/>
        <w:spacing w:line="360" w:lineRule="auto"/>
        <w:ind w:firstLine="480"/>
        <w:rPr>
          <w:rFonts w:hint="eastAsia" w:ascii="宋体" w:hAnsi="宋体" w:eastAsia="宋体" w:cs="宋体"/>
          <w:b/>
          <w:kern w:val="0"/>
          <w:sz w:val="28"/>
          <w:szCs w:val="28"/>
        </w:rPr>
      </w:pPr>
      <w:r>
        <w:rPr>
          <w:rFonts w:hint="eastAsia" w:ascii="宋体" w:hAnsi="宋体" w:eastAsia="宋体" w:cs="宋体"/>
          <w:b/>
          <w:kern w:val="0"/>
          <w:sz w:val="28"/>
          <w:szCs w:val="28"/>
        </w:rPr>
        <w:t>五、建设内容</w:t>
      </w:r>
    </w:p>
    <w:p w14:paraId="2CF51D2B">
      <w:pPr>
        <w:tabs>
          <w:tab w:val="left" w:pos="1418"/>
        </w:tabs>
        <w:spacing w:line="360" w:lineRule="auto"/>
        <w:ind w:firstLine="480"/>
        <w:rPr>
          <w:rFonts w:hint="eastAsia" w:ascii="宋体" w:hAnsi="宋体" w:eastAsia="宋体" w:cs="宋体"/>
          <w:bCs/>
          <w:sz w:val="24"/>
          <w:szCs w:val="24"/>
        </w:rPr>
      </w:pPr>
      <w:r>
        <w:rPr>
          <w:rFonts w:hint="eastAsia" w:ascii="宋体" w:hAnsi="宋体" w:eastAsia="宋体" w:cs="宋体"/>
          <w:bCs/>
          <w:sz w:val="24"/>
          <w:szCs w:val="24"/>
        </w:rPr>
        <w:t>2025年余杭街道雪亮工程(城南片)服务项目，主要建设内容</w:t>
      </w:r>
      <w:r>
        <w:rPr>
          <w:rFonts w:hint="eastAsia" w:ascii="宋体" w:hAnsi="宋体" w:eastAsia="宋体" w:cs="宋体"/>
          <w:bCs/>
          <w:sz w:val="24"/>
          <w:szCs w:val="24"/>
          <w:lang w:val="en-US" w:eastAsia="zh-CN"/>
        </w:rPr>
        <w:t>为甲方</w:t>
      </w:r>
      <w:r>
        <w:rPr>
          <w:rFonts w:hint="eastAsia" w:ascii="宋体" w:hAnsi="宋体" w:eastAsia="宋体" w:cs="宋体"/>
          <w:bCs/>
          <w:sz w:val="24"/>
          <w:szCs w:val="24"/>
        </w:rPr>
        <w:t>提供546路雪亮工程监控点位服务，其中270路需升级改造。搭配后端配套视频云存储资源设备；监控架设服务；基础安装集成调试；日常运维；取电服务；链路等。</w:t>
      </w:r>
    </w:p>
    <w:p w14:paraId="7A49A8A3">
      <w:pPr>
        <w:tabs>
          <w:tab w:val="left" w:pos="0"/>
        </w:tabs>
        <w:adjustRightInd w:val="0"/>
        <w:spacing w:line="360" w:lineRule="auto"/>
        <w:ind w:firstLine="480"/>
        <w:rPr>
          <w:rFonts w:hint="eastAsia" w:ascii="宋体" w:hAnsi="宋体" w:eastAsia="宋体" w:cs="宋体"/>
          <w:b/>
          <w:kern w:val="0"/>
          <w:sz w:val="24"/>
          <w:szCs w:val="24"/>
        </w:rPr>
      </w:pPr>
      <w:r>
        <w:rPr>
          <w:rFonts w:hint="eastAsia" w:ascii="宋体" w:hAnsi="宋体" w:eastAsia="宋体" w:cs="宋体"/>
          <w:b/>
          <w:kern w:val="0"/>
          <w:sz w:val="28"/>
          <w:szCs w:val="28"/>
        </w:rPr>
        <w:t>六、技术服务要求：</w:t>
      </w:r>
    </w:p>
    <w:p w14:paraId="58786DB7">
      <w:pPr>
        <w:tabs>
          <w:tab w:val="left" w:pos="0"/>
        </w:tabs>
        <w:adjustRightInd w:val="0"/>
        <w:ind w:firstLine="480"/>
        <w:rPr>
          <w:rFonts w:hint="eastAsia" w:ascii="宋体" w:hAnsi="宋体" w:eastAsia="宋体" w:cs="宋体"/>
          <w:b/>
          <w:kern w:val="0"/>
          <w:sz w:val="24"/>
          <w:szCs w:val="24"/>
        </w:rPr>
      </w:pPr>
      <w:r>
        <w:rPr>
          <w:rFonts w:hint="eastAsia" w:ascii="宋体" w:hAnsi="宋体" w:eastAsia="宋体" w:cs="宋体"/>
          <w:b/>
          <w:kern w:val="0"/>
          <w:sz w:val="24"/>
          <w:szCs w:val="24"/>
        </w:rPr>
        <w:t>6.1服务清单</w:t>
      </w:r>
    </w:p>
    <w:tbl>
      <w:tblPr>
        <w:tblStyle w:val="62"/>
        <w:tblW w:w="8412"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2012"/>
        <w:gridCol w:w="4229"/>
        <w:gridCol w:w="709"/>
        <w:gridCol w:w="762"/>
      </w:tblGrid>
      <w:tr w14:paraId="6003E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00" w:type="dxa"/>
            <w:vAlign w:val="center"/>
          </w:tcPr>
          <w:p w14:paraId="654B822E">
            <w:pPr>
              <w:adjustRightInd w:val="0"/>
              <w:jc w:val="center"/>
              <w:rPr>
                <w:rFonts w:hint="eastAsia" w:ascii="宋体" w:hAnsi="宋体" w:eastAsia="宋体" w:cs="宋体"/>
                <w:b/>
                <w:sz w:val="24"/>
                <w:szCs w:val="24"/>
              </w:rPr>
            </w:pPr>
            <w:r>
              <w:rPr>
                <w:rFonts w:hint="eastAsia" w:ascii="宋体" w:hAnsi="宋体" w:eastAsia="宋体" w:cs="宋体"/>
                <w:b/>
                <w:sz w:val="24"/>
                <w:szCs w:val="24"/>
              </w:rPr>
              <w:t>序号</w:t>
            </w:r>
          </w:p>
        </w:tc>
        <w:tc>
          <w:tcPr>
            <w:tcW w:w="2012" w:type="dxa"/>
            <w:vAlign w:val="center"/>
          </w:tcPr>
          <w:p w14:paraId="16790995">
            <w:pPr>
              <w:adjustRightInd w:val="0"/>
              <w:jc w:val="center"/>
              <w:rPr>
                <w:rFonts w:hint="eastAsia" w:ascii="宋体" w:hAnsi="宋体" w:eastAsia="宋体" w:cs="宋体"/>
                <w:b/>
                <w:sz w:val="24"/>
                <w:szCs w:val="24"/>
              </w:rPr>
            </w:pPr>
            <w:r>
              <w:rPr>
                <w:rFonts w:hint="eastAsia" w:ascii="宋体" w:hAnsi="宋体" w:eastAsia="宋体" w:cs="宋体"/>
                <w:b/>
                <w:sz w:val="24"/>
                <w:szCs w:val="24"/>
              </w:rPr>
              <w:t>名称</w:t>
            </w:r>
          </w:p>
        </w:tc>
        <w:tc>
          <w:tcPr>
            <w:tcW w:w="4229" w:type="dxa"/>
            <w:vAlign w:val="center"/>
          </w:tcPr>
          <w:p w14:paraId="1F879055">
            <w:pPr>
              <w:adjustRightInd w:val="0"/>
              <w:jc w:val="center"/>
              <w:rPr>
                <w:rFonts w:hint="eastAsia" w:ascii="宋体" w:hAnsi="宋体" w:eastAsia="宋体" w:cs="宋体"/>
                <w:b/>
                <w:sz w:val="24"/>
                <w:szCs w:val="24"/>
              </w:rPr>
            </w:pPr>
            <w:r>
              <w:rPr>
                <w:rFonts w:hint="eastAsia" w:ascii="宋体" w:hAnsi="宋体" w:eastAsia="宋体" w:cs="宋体"/>
                <w:b/>
                <w:sz w:val="24"/>
                <w:szCs w:val="24"/>
              </w:rPr>
              <w:t>规格</w:t>
            </w:r>
          </w:p>
        </w:tc>
        <w:tc>
          <w:tcPr>
            <w:tcW w:w="709" w:type="dxa"/>
            <w:vAlign w:val="center"/>
          </w:tcPr>
          <w:p w14:paraId="3B7CC9DD">
            <w:pPr>
              <w:adjustRightInd w:val="0"/>
              <w:jc w:val="center"/>
              <w:rPr>
                <w:rFonts w:hint="eastAsia" w:ascii="宋体" w:hAnsi="宋体" w:eastAsia="宋体" w:cs="宋体"/>
                <w:b/>
                <w:sz w:val="24"/>
                <w:szCs w:val="24"/>
              </w:rPr>
            </w:pPr>
            <w:r>
              <w:rPr>
                <w:rFonts w:hint="eastAsia" w:ascii="宋体" w:hAnsi="宋体" w:eastAsia="宋体" w:cs="宋体"/>
                <w:b/>
                <w:sz w:val="24"/>
                <w:szCs w:val="24"/>
              </w:rPr>
              <w:t>数量</w:t>
            </w:r>
          </w:p>
        </w:tc>
        <w:tc>
          <w:tcPr>
            <w:tcW w:w="762" w:type="dxa"/>
            <w:vAlign w:val="center"/>
          </w:tcPr>
          <w:p w14:paraId="2F827950">
            <w:pPr>
              <w:adjustRightInd w:val="0"/>
              <w:jc w:val="center"/>
              <w:rPr>
                <w:rFonts w:hint="eastAsia" w:ascii="宋体" w:hAnsi="宋体" w:eastAsia="宋体" w:cs="宋体"/>
                <w:b/>
                <w:sz w:val="24"/>
                <w:szCs w:val="24"/>
              </w:rPr>
            </w:pPr>
            <w:r>
              <w:rPr>
                <w:rFonts w:hint="eastAsia" w:ascii="宋体" w:hAnsi="宋体" w:eastAsia="宋体" w:cs="宋体"/>
                <w:b/>
                <w:sz w:val="24"/>
                <w:szCs w:val="24"/>
              </w:rPr>
              <w:t>单位</w:t>
            </w:r>
          </w:p>
        </w:tc>
      </w:tr>
      <w:tr w14:paraId="35055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00" w:type="dxa"/>
            <w:vAlign w:val="center"/>
          </w:tcPr>
          <w:p w14:paraId="345862EB">
            <w:pPr>
              <w:adjustRightInd w:val="0"/>
              <w:jc w:val="center"/>
              <w:rPr>
                <w:rFonts w:hint="eastAsia" w:ascii="宋体" w:hAnsi="宋体" w:eastAsia="宋体" w:cs="宋体"/>
                <w:bCs/>
                <w:sz w:val="24"/>
                <w:szCs w:val="24"/>
              </w:rPr>
            </w:pPr>
            <w:r>
              <w:rPr>
                <w:rFonts w:hint="eastAsia" w:ascii="宋体" w:hAnsi="宋体" w:eastAsia="宋体" w:cs="宋体"/>
                <w:bCs/>
                <w:sz w:val="24"/>
                <w:szCs w:val="24"/>
              </w:rPr>
              <w:t>1</w:t>
            </w:r>
          </w:p>
        </w:tc>
        <w:tc>
          <w:tcPr>
            <w:tcW w:w="2012" w:type="dxa"/>
            <w:vAlign w:val="center"/>
          </w:tcPr>
          <w:p w14:paraId="69872B0C">
            <w:pPr>
              <w:adjustRightInd w:val="0"/>
              <w:rPr>
                <w:rFonts w:hint="eastAsia" w:ascii="宋体" w:hAnsi="宋体" w:eastAsia="宋体" w:cs="宋体"/>
                <w:bCs/>
                <w:sz w:val="24"/>
                <w:szCs w:val="24"/>
              </w:rPr>
            </w:pPr>
            <w:r>
              <w:rPr>
                <w:rFonts w:hint="eastAsia" w:ascii="宋体" w:hAnsi="宋体" w:eastAsia="宋体" w:cs="宋体"/>
                <w:bCs/>
                <w:sz w:val="24"/>
                <w:szCs w:val="24"/>
              </w:rPr>
              <w:t>前端视频采集点位1</w:t>
            </w:r>
          </w:p>
        </w:tc>
        <w:tc>
          <w:tcPr>
            <w:tcW w:w="4229" w:type="dxa"/>
            <w:vAlign w:val="center"/>
          </w:tcPr>
          <w:p w14:paraId="4004C14B">
            <w:pPr>
              <w:adjustRightInd w:val="0"/>
              <w:rPr>
                <w:rFonts w:hint="eastAsia" w:ascii="宋体" w:hAnsi="宋体" w:eastAsia="宋体" w:cs="宋体"/>
                <w:bCs/>
                <w:sz w:val="24"/>
                <w:szCs w:val="24"/>
              </w:rPr>
            </w:pPr>
            <w:r>
              <w:rPr>
                <w:rFonts w:hint="eastAsia" w:ascii="宋体" w:hAnsi="宋体" w:eastAsia="宋体" w:cs="宋体"/>
                <w:bCs/>
                <w:sz w:val="24"/>
                <w:szCs w:val="24"/>
              </w:rPr>
              <w:t>传感器类型：1/1.8英寸CMOS，双sensor架构；</w:t>
            </w:r>
          </w:p>
          <w:p w14:paraId="20BF087B">
            <w:pPr>
              <w:adjustRightInd w:val="0"/>
              <w:rPr>
                <w:rFonts w:hint="eastAsia" w:ascii="宋体" w:hAnsi="宋体" w:eastAsia="宋体" w:cs="宋体"/>
                <w:bCs/>
                <w:sz w:val="24"/>
                <w:szCs w:val="24"/>
              </w:rPr>
            </w:pPr>
            <w:r>
              <w:rPr>
                <w:rFonts w:hint="eastAsia" w:ascii="宋体" w:hAnsi="宋体" w:eastAsia="宋体" w:cs="宋体"/>
                <w:bCs/>
                <w:sz w:val="24"/>
                <w:szCs w:val="24"/>
              </w:rPr>
              <w:t>像素：400万；</w:t>
            </w:r>
          </w:p>
          <w:p w14:paraId="74E61C1F">
            <w:pPr>
              <w:adjustRightInd w:val="0"/>
              <w:rPr>
                <w:rFonts w:hint="eastAsia" w:ascii="宋体" w:hAnsi="宋体" w:eastAsia="宋体" w:cs="宋体"/>
                <w:bCs/>
                <w:sz w:val="24"/>
                <w:szCs w:val="24"/>
              </w:rPr>
            </w:pPr>
            <w:r>
              <w:rPr>
                <w:rFonts w:hint="eastAsia" w:ascii="宋体" w:hAnsi="宋体" w:eastAsia="宋体" w:cs="宋体"/>
                <w:bCs/>
                <w:sz w:val="24"/>
                <w:szCs w:val="24"/>
              </w:rPr>
              <w:t>最大分辨率：2560×1440；</w:t>
            </w:r>
          </w:p>
          <w:p w14:paraId="1BD147C3">
            <w:pPr>
              <w:adjustRightInd w:val="0"/>
              <w:rPr>
                <w:rFonts w:hint="eastAsia" w:ascii="宋体" w:hAnsi="宋体" w:eastAsia="宋体" w:cs="宋体"/>
                <w:bCs/>
                <w:sz w:val="24"/>
                <w:szCs w:val="24"/>
              </w:rPr>
            </w:pPr>
            <w:r>
              <w:rPr>
                <w:rFonts w:hint="eastAsia" w:ascii="宋体" w:hAnsi="宋体" w:eastAsia="宋体" w:cs="宋体"/>
                <w:bCs/>
                <w:sz w:val="24"/>
                <w:szCs w:val="24"/>
              </w:rPr>
              <w:t>最低照度：彩色：0.0002lux@F1.6；黑白：0.0001lux@F1.6；0Lux（柔光双色开启）；</w:t>
            </w:r>
          </w:p>
          <w:p w14:paraId="14CDAFF3">
            <w:pPr>
              <w:adjustRightInd w:val="0"/>
              <w:rPr>
                <w:rFonts w:hint="eastAsia" w:ascii="宋体" w:hAnsi="宋体" w:eastAsia="宋体" w:cs="宋体"/>
                <w:bCs/>
                <w:sz w:val="24"/>
                <w:szCs w:val="24"/>
              </w:rPr>
            </w:pPr>
            <w:r>
              <w:rPr>
                <w:rFonts w:hint="eastAsia" w:ascii="宋体" w:hAnsi="宋体" w:eastAsia="宋体" w:cs="宋体"/>
                <w:bCs/>
                <w:sz w:val="24"/>
                <w:szCs w:val="24"/>
              </w:rPr>
              <w:t>最大补光距离：80m（柔光双色-白光单开）；250m（柔光双色-红外单开）；</w:t>
            </w:r>
          </w:p>
          <w:p w14:paraId="51981349">
            <w:pPr>
              <w:adjustRightInd w:val="0"/>
              <w:rPr>
                <w:rFonts w:hint="eastAsia" w:ascii="宋体" w:hAnsi="宋体" w:eastAsia="宋体" w:cs="宋体"/>
                <w:bCs/>
                <w:sz w:val="24"/>
                <w:szCs w:val="24"/>
              </w:rPr>
            </w:pPr>
            <w:r>
              <w:rPr>
                <w:rFonts w:hint="eastAsia" w:ascii="宋体" w:hAnsi="宋体" w:eastAsia="宋体" w:cs="宋体"/>
                <w:bCs/>
                <w:sz w:val="24"/>
                <w:szCs w:val="24"/>
              </w:rPr>
              <w:t>补光类型：柔光双色；</w:t>
            </w:r>
          </w:p>
          <w:p w14:paraId="302B660B">
            <w:pPr>
              <w:adjustRightInd w:val="0"/>
              <w:rPr>
                <w:rFonts w:hint="eastAsia" w:ascii="宋体" w:hAnsi="宋体" w:eastAsia="宋体" w:cs="宋体"/>
                <w:bCs/>
                <w:sz w:val="24"/>
                <w:szCs w:val="24"/>
              </w:rPr>
            </w:pPr>
            <w:r>
              <w:rPr>
                <w:rFonts w:hint="eastAsia" w:ascii="宋体" w:hAnsi="宋体" w:eastAsia="宋体" w:cs="宋体"/>
                <w:bCs/>
                <w:sz w:val="24"/>
                <w:szCs w:val="24"/>
              </w:rPr>
              <w:t>镜头焦距：6mm～180mm；</w:t>
            </w:r>
          </w:p>
          <w:p w14:paraId="2DD0EC6F">
            <w:pPr>
              <w:adjustRightInd w:val="0"/>
              <w:rPr>
                <w:rFonts w:hint="eastAsia" w:ascii="宋体" w:hAnsi="宋体" w:eastAsia="宋体" w:cs="宋体"/>
                <w:bCs/>
                <w:sz w:val="24"/>
                <w:szCs w:val="24"/>
              </w:rPr>
            </w:pPr>
            <w:r>
              <w:rPr>
                <w:rFonts w:hint="eastAsia" w:ascii="宋体" w:hAnsi="宋体" w:eastAsia="宋体" w:cs="宋体"/>
                <w:bCs/>
                <w:sz w:val="24"/>
                <w:szCs w:val="24"/>
              </w:rPr>
              <w:t>镜头光圈：F1.6～F4.3；</w:t>
            </w:r>
          </w:p>
          <w:p w14:paraId="475E3095">
            <w:pPr>
              <w:adjustRightInd w:val="0"/>
              <w:rPr>
                <w:rFonts w:hint="eastAsia" w:ascii="宋体" w:hAnsi="宋体" w:eastAsia="宋体" w:cs="宋体"/>
                <w:bCs/>
                <w:sz w:val="24"/>
                <w:szCs w:val="24"/>
              </w:rPr>
            </w:pPr>
            <w:r>
              <w:rPr>
                <w:rFonts w:hint="eastAsia" w:ascii="宋体" w:hAnsi="宋体" w:eastAsia="宋体" w:cs="宋体"/>
                <w:bCs/>
                <w:sz w:val="24"/>
                <w:szCs w:val="24"/>
              </w:rPr>
              <w:t>视场角：水平：2.9°~59°；垂直：1.7°~34.5°；对角：3.4°~67°；</w:t>
            </w:r>
          </w:p>
          <w:p w14:paraId="0EAD04D0">
            <w:pPr>
              <w:adjustRightInd w:val="0"/>
              <w:rPr>
                <w:rFonts w:hint="eastAsia" w:ascii="宋体" w:hAnsi="宋体" w:eastAsia="宋体" w:cs="宋体"/>
                <w:bCs/>
                <w:sz w:val="24"/>
                <w:szCs w:val="24"/>
              </w:rPr>
            </w:pPr>
            <w:r>
              <w:rPr>
                <w:rFonts w:hint="eastAsia" w:ascii="宋体" w:hAnsi="宋体" w:eastAsia="宋体" w:cs="宋体"/>
                <w:bCs/>
                <w:sz w:val="24"/>
                <w:szCs w:val="24"/>
              </w:rPr>
              <w:t>光学变倍：30倍；</w:t>
            </w:r>
          </w:p>
          <w:p w14:paraId="7DE9AF94">
            <w:pPr>
              <w:adjustRightInd w:val="0"/>
              <w:rPr>
                <w:rFonts w:hint="eastAsia" w:ascii="宋体" w:hAnsi="宋体" w:eastAsia="宋体" w:cs="宋体"/>
                <w:bCs/>
                <w:sz w:val="24"/>
                <w:szCs w:val="24"/>
              </w:rPr>
            </w:pPr>
            <w:r>
              <w:rPr>
                <w:rFonts w:hint="eastAsia" w:ascii="宋体" w:hAnsi="宋体" w:eastAsia="宋体" w:cs="宋体"/>
                <w:bCs/>
                <w:sz w:val="24"/>
                <w:szCs w:val="24"/>
              </w:rPr>
              <w:t>定时任务：预置点；巡迹；巡航；线扫；</w:t>
            </w:r>
          </w:p>
          <w:p w14:paraId="32DF28EF">
            <w:pPr>
              <w:adjustRightInd w:val="0"/>
              <w:rPr>
                <w:rFonts w:hint="eastAsia" w:ascii="宋体" w:hAnsi="宋体" w:eastAsia="宋体" w:cs="宋体"/>
                <w:bCs/>
                <w:sz w:val="24"/>
                <w:szCs w:val="24"/>
              </w:rPr>
            </w:pPr>
            <w:r>
              <w:rPr>
                <w:rFonts w:hint="eastAsia" w:ascii="宋体" w:hAnsi="宋体" w:eastAsia="宋体" w:cs="宋体"/>
                <w:bCs/>
                <w:sz w:val="24"/>
                <w:szCs w:val="24"/>
              </w:rPr>
              <w:t>可视域功能：支持；</w:t>
            </w:r>
          </w:p>
          <w:p w14:paraId="3BDFEF93">
            <w:pPr>
              <w:adjustRightInd w:val="0"/>
              <w:rPr>
                <w:rFonts w:hint="eastAsia" w:ascii="宋体" w:hAnsi="宋体" w:eastAsia="宋体" w:cs="宋体"/>
                <w:bCs/>
                <w:sz w:val="24"/>
                <w:szCs w:val="24"/>
              </w:rPr>
            </w:pPr>
            <w:r>
              <w:rPr>
                <w:rFonts w:hint="eastAsia" w:ascii="宋体" w:hAnsi="宋体" w:eastAsia="宋体" w:cs="宋体"/>
                <w:bCs/>
                <w:sz w:val="24"/>
                <w:szCs w:val="24"/>
              </w:rPr>
              <w:t>智能分类：全智能；</w:t>
            </w:r>
          </w:p>
          <w:p w14:paraId="77AC653F">
            <w:pPr>
              <w:adjustRightInd w:val="0"/>
              <w:rPr>
                <w:rFonts w:hint="eastAsia" w:ascii="宋体" w:hAnsi="宋体" w:eastAsia="宋体" w:cs="宋体"/>
                <w:bCs/>
                <w:sz w:val="24"/>
                <w:szCs w:val="24"/>
              </w:rPr>
            </w:pPr>
            <w:r>
              <w:rPr>
                <w:rFonts w:hint="eastAsia" w:ascii="宋体" w:hAnsi="宋体" w:eastAsia="宋体" w:cs="宋体"/>
                <w:bCs/>
                <w:sz w:val="24"/>
                <w:szCs w:val="24"/>
              </w:rPr>
              <w:t>视频结构化：支持机动车、非机动车、人脸、人体检测；支持跟踪；支持优选；支持抓拍；支持上报最优的抓图 机动车属性（车牌，车牌颜色 ，车辆类型，车身颜色，车标，车系/年款，遮阳板，安全带，抽烟，打电话，车内饰品，年检标志） 非机动车属性（类型，车身颜色，骑车人数，上衣类型，上衣颜色，帽子） 人体属性（上衣类型，下衣类型，上衣颜色，下衣颜色，背包，帽子，性别，雨伞） 人脸属性（性别，年龄，表情，戴眼镜，戴口罩，胡子）；</w:t>
            </w:r>
          </w:p>
          <w:p w14:paraId="7099A5FD">
            <w:pPr>
              <w:adjustRightInd w:val="0"/>
              <w:rPr>
                <w:rFonts w:hint="eastAsia" w:ascii="宋体" w:hAnsi="宋体" w:eastAsia="宋体" w:cs="宋体"/>
                <w:bCs/>
                <w:sz w:val="24"/>
                <w:szCs w:val="24"/>
              </w:rPr>
            </w:pPr>
            <w:r>
              <w:rPr>
                <w:rFonts w:hint="eastAsia" w:ascii="宋体" w:hAnsi="宋体" w:eastAsia="宋体" w:cs="宋体"/>
                <w:bCs/>
                <w:sz w:val="24"/>
                <w:szCs w:val="24"/>
              </w:rPr>
              <w:t>周界防范：支持绊线入侵；支持区域入侵；支持穿越围栏；支持徘徊检测；支持物品遗留；支持物品搬移；支持快速移动；支持停车检测；支持人员聚集；支持人车分类报警；支持联动跟踪；</w:t>
            </w:r>
          </w:p>
          <w:p w14:paraId="5BF1B8EC">
            <w:pPr>
              <w:adjustRightInd w:val="0"/>
              <w:rPr>
                <w:rFonts w:hint="eastAsia" w:ascii="宋体" w:hAnsi="宋体" w:eastAsia="宋体" w:cs="宋体"/>
                <w:bCs/>
                <w:sz w:val="24"/>
                <w:szCs w:val="24"/>
              </w:rPr>
            </w:pPr>
            <w:r>
              <w:rPr>
                <w:rFonts w:hint="eastAsia" w:ascii="宋体" w:hAnsi="宋体" w:eastAsia="宋体" w:cs="宋体"/>
                <w:bCs/>
                <w:sz w:val="24"/>
                <w:szCs w:val="24"/>
              </w:rPr>
              <w:t>人脸识别：支持人脸检测；支持人脸轨迹框；支持优选；支持抓拍；支持上报最优的人脸抓图；支持人脸增强；支持人脸属性提取，支持6种属性，8种表情：性别，年龄，眼镜，表情（愤怒，悲伤，厌恶，害怕，惊讶，平静，高兴，困惑），口罩，胡子；支持人脸抠图区域可设：人脸，单寸照；支持实时抓拍，优选抓拍，质量优先三种抓拍策略；支持添加5个人脸库；支持单个以及批量人员注册；支持人脸识别相似度设置；支持1万人脸底库的人脸比对；</w:t>
            </w:r>
          </w:p>
          <w:p w14:paraId="2BE756C7">
            <w:pPr>
              <w:adjustRightInd w:val="0"/>
              <w:rPr>
                <w:rFonts w:hint="eastAsia" w:ascii="宋体" w:hAnsi="宋体" w:eastAsia="宋体" w:cs="宋体"/>
                <w:bCs/>
                <w:sz w:val="24"/>
                <w:szCs w:val="24"/>
              </w:rPr>
            </w:pPr>
            <w:r>
              <w:rPr>
                <w:rFonts w:hint="eastAsia" w:ascii="宋体" w:hAnsi="宋体" w:eastAsia="宋体" w:cs="宋体"/>
                <w:bCs/>
                <w:sz w:val="24"/>
                <w:szCs w:val="24"/>
              </w:rPr>
              <w:t>★多场景分配不同智能后，可进行多场景智能巡航，进行不同智能功能的分时复用，切换码流可继续支持原来的智能，支持跟踪抓拍（提供公安部认可的检测机构出具的检测报告复印件）</w:t>
            </w:r>
          </w:p>
          <w:p w14:paraId="1EC40960">
            <w:pPr>
              <w:adjustRightInd w:val="0"/>
              <w:rPr>
                <w:rFonts w:hint="eastAsia" w:ascii="宋体" w:hAnsi="宋体" w:eastAsia="宋体" w:cs="宋体"/>
                <w:bCs/>
                <w:sz w:val="24"/>
                <w:szCs w:val="24"/>
              </w:rPr>
            </w:pPr>
            <w:r>
              <w:rPr>
                <w:rFonts w:hint="eastAsia" w:ascii="宋体" w:hAnsi="宋体" w:eastAsia="宋体" w:cs="宋体"/>
                <w:bCs/>
                <w:sz w:val="24"/>
                <w:szCs w:val="24"/>
              </w:rPr>
              <w:t>★支持全局视频结构化功能，可对监控范围内出现的行人、机动车、非机动车进行检测和抓拍，并在IE浏览器上显示行人、机动车、非机动车属性，手动点击或框选预览画面中的被测目标时，设备能通过PTZ转动将被测目标置于画面中心，并对人脸进行抓拍和属性提取（提供公安部认可的检测机构出具的检测报告复印件）</w:t>
            </w:r>
          </w:p>
          <w:p w14:paraId="44638200">
            <w:pPr>
              <w:adjustRightInd w:val="0"/>
              <w:rPr>
                <w:rFonts w:hint="eastAsia" w:ascii="宋体" w:hAnsi="宋体" w:eastAsia="宋体" w:cs="宋体"/>
                <w:bCs/>
                <w:sz w:val="24"/>
                <w:szCs w:val="24"/>
              </w:rPr>
            </w:pPr>
            <w:r>
              <w:rPr>
                <w:rFonts w:hint="eastAsia" w:ascii="宋体" w:hAnsi="宋体" w:eastAsia="宋体" w:cs="宋体"/>
                <w:bCs/>
                <w:sz w:val="24"/>
                <w:szCs w:val="24"/>
              </w:rPr>
              <w:t>★支持人脸库存储16万张人脸图片，可对场景中抓拍的人脸进行比对并给出比对结果（提供公安部认可的检测机构出具的检测报告复印件）</w:t>
            </w:r>
          </w:p>
        </w:tc>
        <w:tc>
          <w:tcPr>
            <w:tcW w:w="709" w:type="dxa"/>
            <w:vAlign w:val="center"/>
          </w:tcPr>
          <w:p w14:paraId="311C7DC9">
            <w:pPr>
              <w:adjustRightInd w:val="0"/>
              <w:jc w:val="center"/>
              <w:rPr>
                <w:rFonts w:hint="eastAsia" w:ascii="宋体" w:hAnsi="宋体" w:eastAsia="宋体" w:cs="宋体"/>
                <w:bCs/>
                <w:sz w:val="24"/>
                <w:szCs w:val="24"/>
              </w:rPr>
            </w:pPr>
            <w:bookmarkStart w:id="28" w:name="OLE_LINK1"/>
            <w:r>
              <w:rPr>
                <w:rFonts w:hint="eastAsia" w:ascii="宋体" w:hAnsi="宋体" w:eastAsia="宋体" w:cs="宋体"/>
                <w:bCs/>
                <w:sz w:val="24"/>
                <w:szCs w:val="24"/>
              </w:rPr>
              <w:t>270</w:t>
            </w:r>
            <w:bookmarkEnd w:id="28"/>
          </w:p>
        </w:tc>
        <w:tc>
          <w:tcPr>
            <w:tcW w:w="762" w:type="dxa"/>
            <w:vAlign w:val="center"/>
          </w:tcPr>
          <w:p w14:paraId="5F4A7207">
            <w:pPr>
              <w:adjustRightInd w:val="0"/>
              <w:jc w:val="center"/>
              <w:rPr>
                <w:rFonts w:hint="eastAsia" w:ascii="宋体" w:hAnsi="宋体" w:eastAsia="宋体" w:cs="宋体"/>
                <w:bCs/>
                <w:sz w:val="24"/>
                <w:szCs w:val="24"/>
              </w:rPr>
            </w:pPr>
            <w:r>
              <w:rPr>
                <w:rFonts w:hint="eastAsia" w:ascii="宋体" w:hAnsi="宋体" w:eastAsia="宋体" w:cs="宋体"/>
                <w:bCs/>
                <w:sz w:val="24"/>
                <w:szCs w:val="24"/>
              </w:rPr>
              <w:t>个</w:t>
            </w:r>
          </w:p>
        </w:tc>
      </w:tr>
      <w:tr w14:paraId="7AC31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00" w:type="dxa"/>
            <w:noWrap/>
            <w:vAlign w:val="center"/>
          </w:tcPr>
          <w:p w14:paraId="0A81033E">
            <w:pPr>
              <w:adjustRightInd w:val="0"/>
              <w:jc w:val="center"/>
              <w:rPr>
                <w:rFonts w:hint="eastAsia" w:ascii="宋体" w:hAnsi="宋体" w:eastAsia="宋体" w:cs="宋体"/>
                <w:bCs/>
                <w:sz w:val="24"/>
                <w:szCs w:val="24"/>
                <w:lang w:eastAsia="zh-CN"/>
              </w:rPr>
            </w:pPr>
            <w:r>
              <w:rPr>
                <w:rFonts w:hint="eastAsia" w:ascii="宋体" w:hAnsi="宋体" w:eastAsia="宋体" w:cs="宋体"/>
                <w:bCs/>
                <w:sz w:val="24"/>
                <w:szCs w:val="24"/>
                <w:lang w:val="en-US" w:eastAsia="zh-CN"/>
              </w:rPr>
              <w:t>2</w:t>
            </w:r>
          </w:p>
        </w:tc>
        <w:tc>
          <w:tcPr>
            <w:tcW w:w="2012" w:type="dxa"/>
            <w:vAlign w:val="center"/>
          </w:tcPr>
          <w:p w14:paraId="5938F5B9">
            <w:pPr>
              <w:adjustRightInd w:val="0"/>
              <w:rPr>
                <w:rFonts w:hint="eastAsia" w:ascii="宋体" w:hAnsi="宋体" w:eastAsia="宋体" w:cs="宋体"/>
                <w:bCs/>
                <w:sz w:val="24"/>
                <w:szCs w:val="24"/>
              </w:rPr>
            </w:pPr>
            <w:r>
              <w:rPr>
                <w:rFonts w:hint="eastAsia" w:ascii="宋体" w:hAnsi="宋体" w:eastAsia="宋体" w:cs="宋体"/>
                <w:bCs/>
                <w:sz w:val="24"/>
                <w:szCs w:val="24"/>
              </w:rPr>
              <w:t>前端视频采集点位2</w:t>
            </w:r>
          </w:p>
        </w:tc>
        <w:tc>
          <w:tcPr>
            <w:tcW w:w="4229" w:type="dxa"/>
            <w:noWrap/>
            <w:vAlign w:val="center"/>
          </w:tcPr>
          <w:p w14:paraId="5551D9F5">
            <w:pPr>
              <w:adjustRightInd w:val="0"/>
              <w:rPr>
                <w:rFonts w:hint="eastAsia" w:ascii="宋体" w:hAnsi="宋体" w:eastAsia="宋体" w:cs="宋体"/>
                <w:bCs/>
                <w:sz w:val="24"/>
                <w:szCs w:val="24"/>
              </w:rPr>
            </w:pPr>
            <w:r>
              <w:rPr>
                <w:rFonts w:hint="eastAsia" w:ascii="宋体" w:hAnsi="宋体" w:eastAsia="宋体" w:cs="宋体"/>
                <w:bCs/>
                <w:sz w:val="24"/>
                <w:szCs w:val="24"/>
              </w:rPr>
              <w:t>传感器类型：1/2.8英寸CMOS；</w:t>
            </w:r>
          </w:p>
          <w:p w14:paraId="216EC57A">
            <w:pPr>
              <w:adjustRightInd w:val="0"/>
              <w:rPr>
                <w:rFonts w:hint="eastAsia" w:ascii="宋体" w:hAnsi="宋体" w:eastAsia="宋体" w:cs="宋体"/>
                <w:bCs/>
                <w:sz w:val="24"/>
                <w:szCs w:val="24"/>
              </w:rPr>
            </w:pPr>
            <w:r>
              <w:rPr>
                <w:rFonts w:hint="eastAsia" w:ascii="宋体" w:hAnsi="宋体" w:eastAsia="宋体" w:cs="宋体"/>
                <w:bCs/>
                <w:sz w:val="24"/>
                <w:szCs w:val="24"/>
              </w:rPr>
              <w:t>像素：400万；</w:t>
            </w:r>
          </w:p>
          <w:p w14:paraId="3A9039C9">
            <w:pPr>
              <w:adjustRightInd w:val="0"/>
              <w:rPr>
                <w:rFonts w:hint="eastAsia" w:ascii="宋体" w:hAnsi="宋体" w:eastAsia="宋体" w:cs="宋体"/>
                <w:bCs/>
                <w:sz w:val="24"/>
                <w:szCs w:val="24"/>
              </w:rPr>
            </w:pPr>
            <w:r>
              <w:rPr>
                <w:rFonts w:hint="eastAsia" w:ascii="宋体" w:hAnsi="宋体" w:eastAsia="宋体" w:cs="宋体"/>
                <w:bCs/>
                <w:sz w:val="24"/>
                <w:szCs w:val="24"/>
              </w:rPr>
              <w:t>最大分辨率：2560×1440；</w:t>
            </w:r>
          </w:p>
          <w:p w14:paraId="0E80CDEF">
            <w:pPr>
              <w:adjustRightInd w:val="0"/>
              <w:rPr>
                <w:rFonts w:hint="eastAsia" w:ascii="宋体" w:hAnsi="宋体" w:eastAsia="宋体" w:cs="宋体"/>
                <w:bCs/>
                <w:sz w:val="24"/>
                <w:szCs w:val="24"/>
              </w:rPr>
            </w:pPr>
            <w:r>
              <w:rPr>
                <w:rFonts w:hint="eastAsia" w:ascii="宋体" w:hAnsi="宋体" w:eastAsia="宋体" w:cs="宋体"/>
                <w:bCs/>
                <w:sz w:val="24"/>
                <w:szCs w:val="24"/>
              </w:rPr>
              <w:t>最低照度：彩色：0.005lux@F1.6黑白：0.0005lux@F1.60Lux（红外灯开启）；</w:t>
            </w:r>
          </w:p>
          <w:p w14:paraId="626D69FD">
            <w:pPr>
              <w:adjustRightInd w:val="0"/>
              <w:rPr>
                <w:rFonts w:hint="eastAsia" w:ascii="宋体" w:hAnsi="宋体" w:eastAsia="宋体" w:cs="宋体"/>
                <w:bCs/>
                <w:sz w:val="24"/>
                <w:szCs w:val="24"/>
              </w:rPr>
            </w:pPr>
            <w:r>
              <w:rPr>
                <w:rFonts w:hint="eastAsia" w:ascii="宋体" w:hAnsi="宋体" w:eastAsia="宋体" w:cs="宋体"/>
                <w:bCs/>
                <w:sz w:val="24"/>
                <w:szCs w:val="24"/>
              </w:rPr>
              <w:t>最大补光距离：150m（红外）；</w:t>
            </w:r>
          </w:p>
        </w:tc>
        <w:tc>
          <w:tcPr>
            <w:tcW w:w="709" w:type="dxa"/>
            <w:vAlign w:val="center"/>
          </w:tcPr>
          <w:p w14:paraId="7D4849F6">
            <w:pPr>
              <w:adjustRightInd w:val="0"/>
              <w:jc w:val="center"/>
              <w:rPr>
                <w:rFonts w:hint="eastAsia" w:ascii="宋体" w:hAnsi="宋体" w:eastAsia="宋体" w:cs="宋体"/>
                <w:bCs/>
                <w:sz w:val="24"/>
                <w:szCs w:val="24"/>
              </w:rPr>
            </w:pPr>
            <w:r>
              <w:rPr>
                <w:rFonts w:hint="eastAsia" w:ascii="宋体" w:hAnsi="宋体" w:eastAsia="宋体" w:cs="宋体"/>
                <w:bCs/>
                <w:sz w:val="24"/>
                <w:szCs w:val="24"/>
              </w:rPr>
              <w:t>276</w:t>
            </w:r>
          </w:p>
        </w:tc>
        <w:tc>
          <w:tcPr>
            <w:tcW w:w="762" w:type="dxa"/>
            <w:vAlign w:val="center"/>
          </w:tcPr>
          <w:p w14:paraId="795EFD35">
            <w:pPr>
              <w:adjustRightInd w:val="0"/>
              <w:jc w:val="center"/>
              <w:rPr>
                <w:rFonts w:hint="eastAsia" w:ascii="宋体" w:hAnsi="宋体" w:eastAsia="宋体" w:cs="宋体"/>
                <w:bCs/>
                <w:sz w:val="24"/>
                <w:szCs w:val="24"/>
              </w:rPr>
            </w:pPr>
            <w:r>
              <w:rPr>
                <w:rFonts w:hint="eastAsia" w:ascii="宋体" w:hAnsi="宋体" w:eastAsia="宋体" w:cs="宋体"/>
                <w:bCs/>
                <w:sz w:val="24"/>
                <w:szCs w:val="24"/>
              </w:rPr>
              <w:t>个</w:t>
            </w:r>
          </w:p>
        </w:tc>
      </w:tr>
      <w:tr w14:paraId="09BAE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00" w:type="dxa"/>
            <w:noWrap/>
            <w:vAlign w:val="center"/>
          </w:tcPr>
          <w:p w14:paraId="26B9B662">
            <w:pPr>
              <w:adjustRightInd w:val="0"/>
              <w:jc w:val="center"/>
              <w:rPr>
                <w:rFonts w:hint="eastAsia" w:ascii="宋体" w:hAnsi="宋体" w:eastAsia="宋体" w:cs="宋体"/>
                <w:bCs/>
                <w:sz w:val="24"/>
                <w:szCs w:val="24"/>
                <w:lang w:eastAsia="zh-CN"/>
              </w:rPr>
            </w:pPr>
            <w:r>
              <w:rPr>
                <w:rFonts w:hint="eastAsia" w:ascii="宋体" w:hAnsi="宋体" w:eastAsia="宋体" w:cs="宋体"/>
                <w:bCs/>
                <w:sz w:val="24"/>
                <w:szCs w:val="24"/>
                <w:lang w:val="en-US" w:eastAsia="zh-CN"/>
              </w:rPr>
              <w:t>3</w:t>
            </w:r>
          </w:p>
        </w:tc>
        <w:tc>
          <w:tcPr>
            <w:tcW w:w="2012" w:type="dxa"/>
            <w:vAlign w:val="center"/>
          </w:tcPr>
          <w:p w14:paraId="18E0812F">
            <w:pPr>
              <w:adjustRightInd w:val="0"/>
              <w:rPr>
                <w:rFonts w:hint="eastAsia" w:ascii="宋体" w:hAnsi="宋体" w:eastAsia="宋体" w:cs="宋体"/>
                <w:bCs/>
                <w:sz w:val="24"/>
                <w:szCs w:val="24"/>
              </w:rPr>
            </w:pPr>
            <w:r>
              <w:rPr>
                <w:rFonts w:hint="eastAsia" w:ascii="宋体" w:hAnsi="宋体" w:eastAsia="宋体" w:cs="宋体"/>
                <w:bCs/>
                <w:sz w:val="24"/>
                <w:szCs w:val="24"/>
              </w:rPr>
              <w:t>录像存储服务</w:t>
            </w:r>
          </w:p>
        </w:tc>
        <w:tc>
          <w:tcPr>
            <w:tcW w:w="4229" w:type="dxa"/>
            <w:noWrap/>
            <w:vAlign w:val="center"/>
          </w:tcPr>
          <w:p w14:paraId="641631D1">
            <w:pPr>
              <w:adjustRightInd w:val="0"/>
              <w:rPr>
                <w:rFonts w:hint="eastAsia" w:ascii="宋体" w:hAnsi="宋体" w:eastAsia="宋体" w:cs="宋体"/>
                <w:bCs/>
                <w:sz w:val="24"/>
                <w:szCs w:val="24"/>
              </w:rPr>
            </w:pPr>
            <w:r>
              <w:rPr>
                <w:rFonts w:hint="eastAsia" w:ascii="宋体" w:hAnsi="宋体" w:eastAsia="宋体" w:cs="宋体"/>
                <w:bCs/>
                <w:sz w:val="24"/>
                <w:szCs w:val="24"/>
              </w:rPr>
              <w:t>单个点位主码流不少于30 天存储</w:t>
            </w:r>
          </w:p>
        </w:tc>
        <w:tc>
          <w:tcPr>
            <w:tcW w:w="709" w:type="dxa"/>
            <w:vAlign w:val="center"/>
          </w:tcPr>
          <w:p w14:paraId="421F038A">
            <w:pPr>
              <w:adjustRightInd w:val="0"/>
              <w:jc w:val="center"/>
              <w:rPr>
                <w:rFonts w:hint="eastAsia" w:ascii="宋体" w:hAnsi="宋体" w:eastAsia="宋体" w:cs="宋体"/>
                <w:bCs/>
                <w:sz w:val="24"/>
                <w:szCs w:val="24"/>
              </w:rPr>
            </w:pPr>
            <w:r>
              <w:rPr>
                <w:rFonts w:hint="eastAsia" w:ascii="宋体" w:hAnsi="宋体" w:eastAsia="宋体" w:cs="宋体"/>
                <w:bCs/>
                <w:sz w:val="24"/>
                <w:szCs w:val="24"/>
              </w:rPr>
              <w:t>1</w:t>
            </w:r>
          </w:p>
        </w:tc>
        <w:tc>
          <w:tcPr>
            <w:tcW w:w="762" w:type="dxa"/>
            <w:vAlign w:val="center"/>
          </w:tcPr>
          <w:p w14:paraId="749BA246">
            <w:pPr>
              <w:adjustRightInd w:val="0"/>
              <w:jc w:val="center"/>
              <w:rPr>
                <w:rFonts w:hint="eastAsia" w:ascii="宋体" w:hAnsi="宋体" w:eastAsia="宋体" w:cs="宋体"/>
                <w:bCs/>
                <w:sz w:val="24"/>
                <w:szCs w:val="24"/>
              </w:rPr>
            </w:pPr>
            <w:r>
              <w:rPr>
                <w:rFonts w:hint="eastAsia" w:ascii="宋体" w:hAnsi="宋体" w:eastAsia="宋体" w:cs="宋体"/>
                <w:bCs/>
                <w:sz w:val="24"/>
                <w:szCs w:val="24"/>
              </w:rPr>
              <w:t>项</w:t>
            </w:r>
          </w:p>
        </w:tc>
      </w:tr>
      <w:tr w14:paraId="6999C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00" w:type="dxa"/>
            <w:tcBorders>
              <w:bottom w:val="single" w:color="auto" w:sz="4" w:space="0"/>
            </w:tcBorders>
            <w:noWrap/>
            <w:vAlign w:val="center"/>
          </w:tcPr>
          <w:p w14:paraId="59E98346">
            <w:pPr>
              <w:adjustRightInd w:val="0"/>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4</w:t>
            </w:r>
          </w:p>
        </w:tc>
        <w:tc>
          <w:tcPr>
            <w:tcW w:w="2012" w:type="dxa"/>
            <w:tcBorders>
              <w:top w:val="nil"/>
              <w:left w:val="single" w:color="auto" w:sz="4" w:space="0"/>
              <w:bottom w:val="single" w:color="auto" w:sz="4" w:space="0"/>
              <w:right w:val="single" w:color="auto" w:sz="4" w:space="0"/>
            </w:tcBorders>
            <w:vAlign w:val="center"/>
          </w:tcPr>
          <w:p w14:paraId="4F4B9EC3">
            <w:pPr>
              <w:adjustRightInd w:val="0"/>
              <w:rPr>
                <w:rFonts w:hint="eastAsia" w:ascii="宋体" w:hAnsi="宋体" w:eastAsia="宋体" w:cs="宋体"/>
                <w:sz w:val="24"/>
                <w:szCs w:val="24"/>
              </w:rPr>
            </w:pPr>
            <w:r>
              <w:rPr>
                <w:rFonts w:hint="eastAsia" w:ascii="宋体" w:hAnsi="宋体" w:eastAsia="宋体" w:cs="宋体"/>
                <w:sz w:val="24"/>
                <w:szCs w:val="24"/>
              </w:rPr>
              <w:t>VPN</w:t>
            </w:r>
          </w:p>
        </w:tc>
        <w:tc>
          <w:tcPr>
            <w:tcW w:w="4229" w:type="dxa"/>
            <w:tcBorders>
              <w:top w:val="nil"/>
              <w:left w:val="single" w:color="auto" w:sz="4" w:space="0"/>
              <w:bottom w:val="single" w:color="auto" w:sz="4" w:space="0"/>
              <w:right w:val="single" w:color="auto" w:sz="4" w:space="0"/>
            </w:tcBorders>
            <w:noWrap/>
            <w:vAlign w:val="center"/>
          </w:tcPr>
          <w:p w14:paraId="07DE5694">
            <w:pPr>
              <w:adjustRightInd w:val="0"/>
              <w:rPr>
                <w:rFonts w:hint="eastAsia" w:ascii="宋体" w:hAnsi="宋体" w:eastAsia="宋体" w:cs="宋体"/>
                <w:sz w:val="24"/>
                <w:szCs w:val="24"/>
              </w:rPr>
            </w:pPr>
            <w:r>
              <w:rPr>
                <w:rFonts w:hint="eastAsia" w:ascii="宋体" w:hAnsi="宋体" w:eastAsia="宋体" w:cs="宋体"/>
                <w:sz w:val="24"/>
                <w:szCs w:val="24"/>
              </w:rPr>
              <w:t>公安视频专网链路 100M</w:t>
            </w:r>
          </w:p>
        </w:tc>
        <w:tc>
          <w:tcPr>
            <w:tcW w:w="709" w:type="dxa"/>
            <w:tcBorders>
              <w:bottom w:val="single" w:color="auto" w:sz="4" w:space="0"/>
            </w:tcBorders>
            <w:vAlign w:val="center"/>
          </w:tcPr>
          <w:p w14:paraId="573583AC">
            <w:pPr>
              <w:adjustRightInd w:val="0"/>
              <w:jc w:val="center"/>
              <w:rPr>
                <w:rFonts w:hint="eastAsia" w:ascii="宋体" w:hAnsi="宋体" w:eastAsia="宋体" w:cs="宋体"/>
                <w:sz w:val="24"/>
                <w:szCs w:val="24"/>
              </w:rPr>
            </w:pPr>
            <w:r>
              <w:rPr>
                <w:rFonts w:hint="eastAsia" w:ascii="宋体" w:hAnsi="宋体" w:eastAsia="宋体" w:cs="宋体"/>
                <w:sz w:val="24"/>
                <w:szCs w:val="24"/>
              </w:rPr>
              <w:t>546</w:t>
            </w:r>
          </w:p>
        </w:tc>
        <w:tc>
          <w:tcPr>
            <w:tcW w:w="762" w:type="dxa"/>
            <w:tcBorders>
              <w:bottom w:val="single" w:color="auto" w:sz="4" w:space="0"/>
            </w:tcBorders>
            <w:vAlign w:val="center"/>
          </w:tcPr>
          <w:p w14:paraId="5568F6C5">
            <w:pPr>
              <w:adjustRightInd w:val="0"/>
              <w:jc w:val="center"/>
              <w:rPr>
                <w:rFonts w:hint="eastAsia" w:ascii="宋体" w:hAnsi="宋体" w:eastAsia="宋体" w:cs="宋体"/>
                <w:sz w:val="24"/>
                <w:szCs w:val="24"/>
              </w:rPr>
            </w:pPr>
            <w:r>
              <w:rPr>
                <w:rFonts w:hint="eastAsia" w:ascii="宋体" w:hAnsi="宋体" w:eastAsia="宋体" w:cs="宋体"/>
                <w:sz w:val="24"/>
                <w:szCs w:val="24"/>
              </w:rPr>
              <w:t>条</w:t>
            </w:r>
          </w:p>
        </w:tc>
      </w:tr>
    </w:tbl>
    <w:p w14:paraId="4DBF0087">
      <w:pPr>
        <w:tabs>
          <w:tab w:val="left" w:pos="0"/>
        </w:tabs>
        <w:adjustRightInd w:val="0"/>
        <w:spacing w:line="360" w:lineRule="auto"/>
        <w:ind w:firstLine="480"/>
        <w:rPr>
          <w:rFonts w:hint="eastAsia" w:ascii="宋体" w:hAnsi="宋体" w:eastAsia="宋体" w:cs="宋体"/>
          <w:kern w:val="0"/>
          <w:sz w:val="24"/>
          <w:szCs w:val="24"/>
        </w:rPr>
      </w:pPr>
      <w:r>
        <w:rPr>
          <w:rFonts w:hint="eastAsia" w:ascii="宋体" w:hAnsi="宋体" w:cs="宋体"/>
          <w:b/>
          <w:kern w:val="0"/>
          <w:sz w:val="24"/>
          <w:szCs w:val="24"/>
          <w:lang w:val="en-US" w:eastAsia="zh-CN"/>
        </w:rPr>
        <w:t>6</w:t>
      </w:r>
      <w:r>
        <w:rPr>
          <w:rFonts w:hint="eastAsia" w:ascii="宋体" w:hAnsi="宋体" w:eastAsia="宋体" w:cs="宋体"/>
          <w:b/>
          <w:kern w:val="0"/>
          <w:sz w:val="24"/>
          <w:szCs w:val="24"/>
        </w:rPr>
        <w:t>.2录像存储服务详细参数及技术要求</w:t>
      </w:r>
    </w:p>
    <w:p w14:paraId="61DE94F7">
      <w:pPr>
        <w:keepNext/>
        <w:keepLines/>
        <w:numPr>
          <w:ilvl w:val="0"/>
          <w:numId w:val="0"/>
        </w:numPr>
        <w:tabs>
          <w:tab w:val="left" w:pos="900"/>
        </w:tabs>
        <w:adjustRightInd w:val="0"/>
        <w:spacing w:before="31" w:beforeLines="10" w:after="31" w:afterLines="10" w:line="360" w:lineRule="auto"/>
        <w:ind w:left="374" w:leftChars="178"/>
        <w:outlineLvl w:val="2"/>
        <w:rPr>
          <w:rFonts w:hint="eastAsia" w:ascii="宋体" w:hAnsi="宋体" w:eastAsia="宋体" w:cs="宋体"/>
          <w:b/>
          <w:sz w:val="24"/>
          <w:szCs w:val="24"/>
        </w:rPr>
      </w:pPr>
      <w:r>
        <w:rPr>
          <w:rFonts w:hint="eastAsia" w:ascii="宋体" w:hAnsi="宋体" w:eastAsia="宋体" w:cs="宋体"/>
          <w:b/>
          <w:kern w:val="2"/>
          <w:sz w:val="24"/>
          <w:szCs w:val="24"/>
          <w:lang w:val="en-US" w:eastAsia="zh-CN" w:bidi="ar-SA"/>
        </w:rPr>
        <w:t>（1）</w:t>
      </w:r>
      <w:r>
        <w:rPr>
          <w:rFonts w:hint="eastAsia" w:ascii="宋体" w:hAnsi="宋体" w:eastAsia="宋体" w:cs="宋体"/>
          <w:b/>
          <w:kern w:val="0"/>
          <w:sz w:val="24"/>
          <w:szCs w:val="24"/>
        </w:rPr>
        <w:t>视频云存储设备详细要求</w:t>
      </w:r>
    </w:p>
    <w:p w14:paraId="519541C3">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视频设备接入模块：支持国标、Onvif，大华协议、海康协议等接入各类型的前端设备；</w:t>
      </w:r>
    </w:p>
    <w:p w14:paraId="0F63B6C9">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卡口设备接入模块：支持人脸、车辆卡口设备接入以及结构化数据接入；</w:t>
      </w:r>
    </w:p>
    <w:p w14:paraId="3BD21826">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视频图片存储模块：支持视频和图片的基础存储业务，包括录像计划，图片计划配置管理，包括视频流按通道和类型进行分类，并进行相应的索引创建等；</w:t>
      </w:r>
    </w:p>
    <w:p w14:paraId="5C65C5DE">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流媒体转发模块：支持流媒体动态负载均衡，弹性扩容，具备快速故障接管能力支持RTSP,HLS,FLV等流媒体协议；</w:t>
      </w:r>
    </w:p>
    <w:p w14:paraId="79C3AA9D">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外形规格：6U机架，48盘位；</w:t>
      </w:r>
    </w:p>
    <w:p w14:paraId="289BC052">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主处理器：双路64位10核处理器；</w:t>
      </w:r>
    </w:p>
    <w:p w14:paraId="77B224AF">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操作系统：国产欧拉系统；</w:t>
      </w:r>
    </w:p>
    <w:p w14:paraId="61A95ABE">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控制器：单控制器；</w:t>
      </w:r>
    </w:p>
    <w:p w14:paraId="705D8495">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高速缓存：32GB DDR4 ECC内存；</w:t>
      </w:r>
    </w:p>
    <w:p w14:paraId="705A7FCD">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电源冗余：1+1冗余电源；</w:t>
      </w:r>
    </w:p>
    <w:p w14:paraId="44C60297">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网络接口：4个千兆数据电口，4个万兆数据光口；</w:t>
      </w:r>
    </w:p>
    <w:p w14:paraId="10A29995">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云存储系统支持全自动数据校验和数据恢复功能，支持包括快速校验、深度校验等20种数据自动校验策略和10种自动修复策略。支持将数据校验和元数据校验分开配置，支持指定数据校验和恢复的时间窗口，支持指定数据校验优先级和校验速率。支持数据检出不一致后自动触发数据恢复功能，自动选择数据副本进行恢复。支持全自动数据校验和恢复全程，无需人为干预，提升数据存储可靠性。（提供公安部认可的检测机构出具的检测报告复印件）</w:t>
      </w:r>
    </w:p>
    <w:p w14:paraId="3B581729">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同一套存量云存储系统架构支持持续异构节点扩容，同一套集群中支持15种异构存储节点。其中，异构存储节点同时支持6种不同盘位，包括12/24/36/48/72/84盘位；同时支持11种不同硬盘容量混插或者不同硬盘大小节点，不同硬盘容量大小包括1T/2T/4T/6T/8T/12T/14T/16T/18T/20T/24T；同时支持CMR盘和SMR盘；同时支持3种异构CPU扩容节点，包括X86 CPU（包含海光CPU）、鲲鹏ARM CPU、龙芯CPU节点；同时支持5种操作系统扩容节点，包括欧拉系统节点、麒麟系统节点、统信系统节点、CentOS系统节点和自研系统节点。同一套集群内的异构节点最高容量比最低容量差20倍时，也支持容量负载均衡。（提供公安部认可的检测机构出具的检测报告复印件）</w:t>
      </w:r>
    </w:p>
    <w:p w14:paraId="314CF980">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云存储集群支持网络亚健康监测管理，支持6种网络异常监测，包括支持监测网卡丢包、网卡低于千兆速率（降速）、流量瞬时波峰数、网络重连数、ping大包丢失、网络超时数。支持主动网络健康检测，同时对业务、存储双网检测和隔离，最多支持隔离N-1台网络异常节点（N为存储节点数量），异常网络恢复之后自动开启存储节点服务，自动上线，业务自动负载均衡。同时自动探测网络丢包，当节点服务器存储网或者业务网丢包率高于10%时，自动将该节点进行网络隔离。当丢包率恢复到容忍阈值之内时，自动将该节点重新加入集群，承担业务写入。（提供公安部认可的检测机构出具的检测报告复印件）</w:t>
      </w:r>
    </w:p>
    <w:p w14:paraId="427B360E">
      <w:pPr>
        <w:adjustRightIn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云存储系统支持标准SNMP协议，支持获取超600种云存储集群信息。支持6大类信息获取接口，包括系统类接口、网络接口、CPU接口、存储介质接口、内存接口、以及云存储集群服务检测接口。其中网络接口类信息监控支持超20种大类信息，包括服务器网络带宽、物理MAC地址、接收字节数等；存储介质类支持获取50种大类信息，包括硬盘容量、使用率、硬盘类型等；支持获取30种CPU运行信息，例如CPU负载、空闲CPU百分比、CPU实际消耗使用时间等；扩展支持26种云存储集群大类信息，包括集群带宽、读写速度、总文件数、总bucket数、总用户数、集群规模节点数、CPU和操作系统种类等。云存储服务器支持BMC远程访问，支持控制服务器开机、关机、重启，支持控制开启和关闭服务器硬盘的休眠节能功能等。（提供公安部认可的检测机构出具的检测报告复印件）</w:t>
      </w:r>
    </w:p>
    <w:p w14:paraId="243A6159">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云存储支持监控硬盘各项指标，可以查看10种硬盘典型SMART信息，包括硬盘错误数、硬盘坏道数、硬盘容量、硬盘温度、硬盘振动、数据读取错误率、上电时间、上电时长、断电次数、重映射扇区数，并针对每种指标在页面上展示健康评判结果和参考范围。硬盘监控管理支持以全局列表和服务器拓扑两种形式展示硬盘的基本信息，支持展示14种硬盘信息：包含硬盘类型、所在服务器槽位、IP、序列号、在位状态、介质类型、IO利用率、容量使用情况、SMART健康度、专有工具检测健康结果、硬盘抖动频率、IO波动比例、预测剩余寿命时间、硬盘健康状态（包括正常、良好、亚健康告警、变慢、即将损坏、故障损坏6个等级）。支持按时间显示硬盘的坏扇区、振动异常数、硬盘温度、硬盘错误数、硬盘断电数、硬盘坏道数、重映射扇区数、已用容量占比、数据读取错误率、IO利用率10项指标信息的变化趋势的曲线图。（提供公安部认可的检测机构出具的检测报告复印件）</w:t>
      </w:r>
    </w:p>
    <w:p w14:paraId="23F20D3C">
      <w:pPr>
        <w:keepNext/>
        <w:keepLines/>
        <w:pageBreakBefore w:val="0"/>
        <w:widowControl w:val="0"/>
        <w:numPr>
          <w:ilvl w:val="0"/>
          <w:numId w:val="0"/>
        </w:numPr>
        <w:tabs>
          <w:tab w:val="left" w:pos="900"/>
        </w:tabs>
        <w:kinsoku/>
        <w:wordWrap/>
        <w:overflowPunct/>
        <w:topLinePunct w:val="0"/>
        <w:autoSpaceDE/>
        <w:autoSpaceDN/>
        <w:bidi w:val="0"/>
        <w:adjustRightInd w:val="0"/>
        <w:snapToGrid/>
        <w:spacing w:before="31" w:beforeLines="10" w:after="31" w:afterLines="10" w:line="360" w:lineRule="auto"/>
        <w:ind w:left="374" w:leftChars="178"/>
        <w:textAlignment w:val="auto"/>
        <w:outlineLvl w:val="2"/>
        <w:rPr>
          <w:rFonts w:hint="eastAsia" w:ascii="宋体" w:hAnsi="宋体" w:eastAsia="宋体" w:cs="宋体"/>
          <w:b/>
          <w:sz w:val="24"/>
          <w:szCs w:val="24"/>
        </w:rPr>
      </w:pPr>
      <w:r>
        <w:rPr>
          <w:rFonts w:hint="eastAsia" w:ascii="宋体" w:hAnsi="宋体" w:eastAsia="宋体" w:cs="宋体"/>
          <w:b/>
          <w:kern w:val="2"/>
          <w:sz w:val="24"/>
          <w:szCs w:val="24"/>
          <w:lang w:val="en-US" w:eastAsia="zh-CN" w:bidi="ar-SA"/>
        </w:rPr>
        <w:t>（2）</w:t>
      </w:r>
      <w:r>
        <w:rPr>
          <w:rFonts w:hint="eastAsia" w:ascii="宋体" w:hAnsi="宋体" w:eastAsia="宋体" w:cs="宋体"/>
          <w:b/>
          <w:kern w:val="0"/>
          <w:sz w:val="24"/>
          <w:szCs w:val="24"/>
        </w:rPr>
        <w:t>存储硬盘详细要求</w:t>
      </w:r>
    </w:p>
    <w:p w14:paraId="78879430">
      <w:pPr>
        <w:pStyle w:val="2"/>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企业级硬盘；</w:t>
      </w:r>
    </w:p>
    <w:p w14:paraId="665D3FD0">
      <w:pPr>
        <w:pStyle w:val="2"/>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单盘容量：16TB；</w:t>
      </w:r>
    </w:p>
    <w:p w14:paraId="5CCA74DF">
      <w:pPr>
        <w:pStyle w:val="2"/>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缓存：256MB；</w:t>
      </w:r>
    </w:p>
    <w:p w14:paraId="0C435B7F">
      <w:pPr>
        <w:pStyle w:val="2"/>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转速：7200RPM；</w:t>
      </w:r>
    </w:p>
    <w:p w14:paraId="7930EAA2">
      <w:pPr>
        <w:pStyle w:val="2"/>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硬盘接口：SATA</w:t>
      </w:r>
    </w:p>
    <w:p w14:paraId="6A9F94B8">
      <w:pPr>
        <w:pageBreakBefore w:val="0"/>
        <w:widowControl w:val="0"/>
        <w:tabs>
          <w:tab w:val="left" w:pos="0"/>
        </w:tabs>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b/>
          <w:kern w:val="0"/>
          <w:sz w:val="24"/>
          <w:szCs w:val="24"/>
        </w:rPr>
      </w:pPr>
      <w:r>
        <w:rPr>
          <w:rFonts w:hint="eastAsia" w:ascii="宋体" w:hAnsi="宋体" w:eastAsia="宋体" w:cs="宋体"/>
          <w:b/>
          <w:kern w:val="0"/>
          <w:sz w:val="28"/>
          <w:szCs w:val="28"/>
        </w:rPr>
        <w:t>七、项目服务要求</w:t>
      </w:r>
    </w:p>
    <w:p w14:paraId="39640D1C">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r>
        <w:rPr>
          <w:rFonts w:hint="eastAsia" w:ascii="宋体" w:hAnsi="宋体" w:eastAsia="宋体" w:cs="宋体"/>
          <w:color w:val="auto"/>
          <w:kern w:val="0"/>
          <w:sz w:val="24"/>
          <w:highlight w:val="none"/>
          <w:lang w:val="en-US" w:eastAsia="zh-CN"/>
        </w:rPr>
        <w:t>服务期3年。</w:t>
      </w:r>
    </w:p>
    <w:p w14:paraId="5B57DCBC">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2</w:t>
      </w:r>
      <w:r>
        <w:rPr>
          <w:rFonts w:hint="eastAsia" w:ascii="宋体" w:hAnsi="宋体" w:eastAsia="宋体" w:cs="宋体"/>
          <w:sz w:val="24"/>
          <w:szCs w:val="24"/>
        </w:rPr>
        <w:t>、乙方保证所提供设备达到整套系统运行质量要求，符合相关的技术标准和规范要求，保证满足甲方正常工作需求。</w:t>
      </w:r>
    </w:p>
    <w:p w14:paraId="7D680E01">
      <w:pPr>
        <w:adjustRightInd w:val="0"/>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3</w:t>
      </w:r>
      <w:r>
        <w:rPr>
          <w:rFonts w:hint="eastAsia" w:ascii="宋体" w:hAnsi="宋体" w:eastAsia="宋体" w:cs="宋体"/>
          <w:sz w:val="24"/>
          <w:szCs w:val="24"/>
        </w:rPr>
        <w:t>、乙方所提供的通讯线路和设备质量应符合国家电信主管部门的质量标准和技术要求，满足甲方通讯需求。</w:t>
      </w:r>
    </w:p>
    <w:p w14:paraId="3A3C49AD">
      <w:pPr>
        <w:adjustRightInd w:val="0"/>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4</w:t>
      </w:r>
      <w:r>
        <w:rPr>
          <w:rFonts w:hint="eastAsia" w:ascii="宋体" w:hAnsi="宋体" w:eastAsia="宋体" w:cs="宋体"/>
          <w:sz w:val="24"/>
          <w:szCs w:val="24"/>
        </w:rPr>
        <w:t>、乙方负责建立健全政府（公安）基于公共运营商的治安动态监控系统的技术档案和维护档案并提供给甲方。</w:t>
      </w:r>
    </w:p>
    <w:p w14:paraId="41126CC9">
      <w:pPr>
        <w:adjustRightInd w:val="0"/>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5</w:t>
      </w:r>
      <w:r>
        <w:rPr>
          <w:rFonts w:hint="eastAsia" w:ascii="宋体" w:hAnsi="宋体" w:eastAsia="宋体" w:cs="宋体"/>
          <w:sz w:val="24"/>
          <w:szCs w:val="24"/>
        </w:rPr>
        <w:t>、乙方负责监控图像集中存储设备级的配置和管理，不具有监控图像浏览、录像调用权限。乙方应做好运行维护人员的保密安全教育和管理，未经甲方允许不得对政府（公安）基于公共运营商的治安动态监控系统中的图像数据进行下载和传播。</w:t>
      </w:r>
    </w:p>
    <w:p w14:paraId="7F91C2CF">
      <w:pPr>
        <w:adjustRightInd w:val="0"/>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6</w:t>
      </w:r>
      <w:r>
        <w:rPr>
          <w:rFonts w:hint="eastAsia" w:ascii="宋体" w:hAnsi="宋体" w:eastAsia="宋体" w:cs="宋体"/>
          <w:sz w:val="24"/>
          <w:szCs w:val="24"/>
        </w:rPr>
        <w:t>、乙方应指定专门的联络人，负责政府（公安）基于公共运营商的治安动态监控系统的技术咨询、业务开通、平台维护、前端及监控中心软硬件维护的接洽工作。</w:t>
      </w:r>
    </w:p>
    <w:p w14:paraId="03B0E71B">
      <w:pPr>
        <w:adjustRightInd w:val="0"/>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7</w:t>
      </w:r>
      <w:r>
        <w:rPr>
          <w:rFonts w:hint="eastAsia" w:ascii="宋体" w:hAnsi="宋体" w:eastAsia="宋体" w:cs="宋体"/>
          <w:sz w:val="24"/>
          <w:szCs w:val="24"/>
        </w:rPr>
        <w:t>、乙方保证提供政府（公安）基于公共运营商的治安动态监控系统的视频采集压缩采用MPEG-4、H.264的方式，图像传输速率达到 PAL 25F/S的标准，后端集中存储存储达到每路30×24小时的1080p数据存储容量。</w:t>
      </w:r>
    </w:p>
    <w:p w14:paraId="409B30B8">
      <w:pPr>
        <w:adjustRightInd w:val="0"/>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8</w:t>
      </w:r>
      <w:r>
        <w:rPr>
          <w:rFonts w:hint="eastAsia" w:ascii="宋体" w:hAnsi="宋体" w:eastAsia="宋体" w:cs="宋体"/>
          <w:sz w:val="24"/>
          <w:szCs w:val="24"/>
        </w:rPr>
        <w:t>、乙方为政府（公安）基于公共运营商的治安动态监控系统建立光纤承载专用网，达到与公安内网互连的安全性要求。</w:t>
      </w:r>
    </w:p>
    <w:p w14:paraId="5FBCE6C7">
      <w:pPr>
        <w:adjustRightInd w:val="0"/>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9</w:t>
      </w:r>
      <w:r>
        <w:rPr>
          <w:rFonts w:hint="eastAsia" w:ascii="宋体" w:hAnsi="宋体" w:eastAsia="宋体" w:cs="宋体"/>
          <w:sz w:val="24"/>
          <w:szCs w:val="24"/>
        </w:rPr>
        <w:t>、乙方为甲方提供及时优质的服务，保障网络的运行稳定，负责故障的全程处理，乙方将提供365天7×24小时热线电话服务，并确定专人联系。</w:t>
      </w:r>
    </w:p>
    <w:p w14:paraId="37860058">
      <w:pPr>
        <w:adjustRightInd w:val="0"/>
        <w:spacing w:line="360" w:lineRule="auto"/>
        <w:ind w:firstLine="480" w:firstLineChars="200"/>
        <w:rPr>
          <w:rFonts w:hint="default"/>
          <w:sz w:val="28"/>
          <w:szCs w:val="28"/>
          <w:lang w:val="en-US" w:eastAsia="zh-CN"/>
        </w:rPr>
      </w:pPr>
      <w:r>
        <w:rPr>
          <w:rFonts w:hint="eastAsia" w:ascii="宋体" w:hAnsi="宋体" w:cs="宋体"/>
          <w:sz w:val="24"/>
          <w:szCs w:val="24"/>
          <w:lang w:val="en-US" w:eastAsia="zh-CN"/>
        </w:rPr>
        <w:t>10</w:t>
      </w:r>
      <w:r>
        <w:rPr>
          <w:rFonts w:hint="eastAsia" w:ascii="宋体" w:hAnsi="宋体" w:eastAsia="宋体" w:cs="宋体"/>
          <w:sz w:val="24"/>
          <w:szCs w:val="24"/>
        </w:rPr>
        <w:t>、乙方通过系统网管平台发现业务点发生故障或由甲方提出申告时，乙方承诺：经故障判断后确认是系统平台和光纤链路故障，在4小时内恢复；确认是前端设备如摄像机被盗或损坏、线缆被剪断等故障，在12小时内恢复。</w:t>
      </w:r>
    </w:p>
    <w:p w14:paraId="32EA5F5C">
      <w:pPr>
        <w:pStyle w:val="3"/>
        <w:keepNext/>
        <w:keepLines/>
        <w:pageBreakBefore w:val="0"/>
        <w:widowControl w:val="0"/>
        <w:kinsoku/>
        <w:wordWrap/>
        <w:overflowPunct/>
        <w:topLinePunct w:val="0"/>
        <w:autoSpaceDE/>
        <w:autoSpaceDN/>
        <w:bidi w:val="0"/>
        <w:adjustRightInd w:val="0"/>
        <w:snapToGrid/>
        <w:spacing w:before="0" w:beforeAutospacing="0" w:after="0" w:afterAutospacing="0" w:line="360" w:lineRule="auto"/>
        <w:ind w:left="431" w:hanging="431"/>
        <w:textAlignment w:val="auto"/>
        <w:rPr>
          <w:rFonts w:hint="default" w:eastAsia="宋体"/>
          <w:sz w:val="28"/>
          <w:szCs w:val="28"/>
          <w:lang w:val="en-US" w:eastAsia="zh-CN"/>
        </w:rPr>
      </w:pPr>
      <w:r>
        <w:rPr>
          <w:rFonts w:hint="eastAsia"/>
          <w:sz w:val="28"/>
          <w:szCs w:val="28"/>
          <w:lang w:val="en-US" w:eastAsia="zh-CN"/>
        </w:rPr>
        <w:t>八、履约保证金</w:t>
      </w:r>
    </w:p>
    <w:p w14:paraId="64E6DBB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本项目无需缴纳履约保证金</w:t>
      </w:r>
    </w:p>
    <w:p w14:paraId="6A0D853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Times New Roman" w:hAnsi="Times New Roman" w:eastAsia="宋体" w:cs="Times New Roman"/>
          <w:b/>
          <w:bCs/>
          <w:kern w:val="44"/>
          <w:sz w:val="28"/>
          <w:szCs w:val="28"/>
          <w:lang w:val="en-US" w:eastAsia="zh-CN" w:bidi="ar-SA"/>
        </w:rPr>
      </w:pPr>
      <w:r>
        <w:rPr>
          <w:rFonts w:hint="eastAsia" w:cs="Times New Roman"/>
          <w:b/>
          <w:bCs/>
          <w:kern w:val="44"/>
          <w:sz w:val="28"/>
          <w:szCs w:val="28"/>
          <w:lang w:val="en-US" w:eastAsia="zh-CN" w:bidi="ar-SA"/>
        </w:rPr>
        <w:t>九</w:t>
      </w:r>
      <w:r>
        <w:rPr>
          <w:rFonts w:hint="eastAsia" w:ascii="Times New Roman" w:hAnsi="Times New Roman" w:eastAsia="宋体" w:cs="Times New Roman"/>
          <w:b/>
          <w:bCs/>
          <w:kern w:val="44"/>
          <w:sz w:val="28"/>
          <w:szCs w:val="28"/>
          <w:lang w:val="en-US" w:eastAsia="zh-CN" w:bidi="ar-SA"/>
        </w:rPr>
        <w:t xml:space="preserve">、结算方式： </w:t>
      </w:r>
    </w:p>
    <w:p w14:paraId="3A8B191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240" w:firstLineChars="100"/>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rPr>
        <w:t>在合同生效后30个工作日内支付合同价的</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0%；</w:t>
      </w:r>
      <w:r>
        <w:rPr>
          <w:rFonts w:hint="eastAsia" w:ascii="宋体" w:hAnsi="宋体" w:cs="宋体"/>
          <w:color w:val="auto"/>
          <w:kern w:val="0"/>
          <w:sz w:val="24"/>
          <w:szCs w:val="24"/>
          <w:highlight w:val="none"/>
          <w:lang w:val="en-US" w:eastAsia="zh-CN"/>
        </w:rPr>
        <w:t>2025</w:t>
      </w:r>
      <w:r>
        <w:rPr>
          <w:rFonts w:hint="eastAsia" w:ascii="宋体" w:hAnsi="宋体" w:eastAsia="宋体" w:cs="宋体"/>
          <w:color w:val="auto"/>
          <w:kern w:val="0"/>
          <w:sz w:val="24"/>
          <w:szCs w:val="24"/>
          <w:highlight w:val="none"/>
        </w:rPr>
        <w:t>的7月末，招标人根据考核结果，支付合同价的</w:t>
      </w:r>
      <w:r>
        <w:rPr>
          <w:rFonts w:hint="eastAsia" w:ascii="宋体" w:hAnsi="宋体" w:cs="宋体"/>
          <w:color w:val="auto"/>
          <w:kern w:val="0"/>
          <w:sz w:val="24"/>
          <w:szCs w:val="24"/>
          <w:highlight w:val="none"/>
          <w:lang w:val="en-US" w:eastAsia="zh-CN"/>
        </w:rPr>
        <w:t>13.3</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2026年初</w:t>
      </w:r>
      <w:r>
        <w:rPr>
          <w:rFonts w:hint="eastAsia" w:ascii="宋体" w:hAnsi="宋体" w:eastAsia="宋体" w:cs="宋体"/>
          <w:color w:val="auto"/>
          <w:kern w:val="0"/>
          <w:sz w:val="24"/>
          <w:szCs w:val="24"/>
          <w:highlight w:val="none"/>
        </w:rPr>
        <w:t>30个工作日</w:t>
      </w:r>
      <w:r>
        <w:rPr>
          <w:rFonts w:hint="eastAsia" w:ascii="宋体" w:hAnsi="宋体" w:cs="宋体"/>
          <w:color w:val="auto"/>
          <w:kern w:val="0"/>
          <w:sz w:val="24"/>
          <w:szCs w:val="24"/>
          <w:highlight w:val="none"/>
          <w:lang w:val="en-US" w:eastAsia="zh-CN"/>
        </w:rPr>
        <w:t>内支付合同价的20%，2026</w:t>
      </w:r>
      <w:r>
        <w:rPr>
          <w:rFonts w:hint="eastAsia" w:ascii="宋体" w:hAnsi="宋体" w:eastAsia="宋体" w:cs="宋体"/>
          <w:color w:val="auto"/>
          <w:kern w:val="0"/>
          <w:sz w:val="24"/>
          <w:szCs w:val="24"/>
          <w:highlight w:val="none"/>
        </w:rPr>
        <w:t>的7月末，招标人根据考核结果，支付合同价的</w:t>
      </w:r>
      <w:r>
        <w:rPr>
          <w:rFonts w:hint="eastAsia" w:ascii="宋体" w:hAnsi="宋体" w:cs="宋体"/>
          <w:color w:val="auto"/>
          <w:kern w:val="0"/>
          <w:sz w:val="24"/>
          <w:szCs w:val="24"/>
          <w:highlight w:val="none"/>
          <w:lang w:val="en-US" w:eastAsia="zh-CN"/>
        </w:rPr>
        <w:t>13.3</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2027年初</w:t>
      </w:r>
      <w:r>
        <w:rPr>
          <w:rFonts w:hint="eastAsia" w:ascii="宋体" w:hAnsi="宋体" w:eastAsia="宋体" w:cs="宋体"/>
          <w:color w:val="auto"/>
          <w:kern w:val="0"/>
          <w:sz w:val="24"/>
          <w:szCs w:val="24"/>
          <w:highlight w:val="none"/>
        </w:rPr>
        <w:t>30个工作日</w:t>
      </w:r>
      <w:r>
        <w:rPr>
          <w:rFonts w:hint="eastAsia" w:ascii="宋体" w:hAnsi="宋体" w:cs="宋体"/>
          <w:color w:val="auto"/>
          <w:kern w:val="0"/>
          <w:sz w:val="24"/>
          <w:szCs w:val="24"/>
          <w:highlight w:val="none"/>
          <w:lang w:val="en-US" w:eastAsia="zh-CN"/>
        </w:rPr>
        <w:t>内支付合同价的20%，2027</w:t>
      </w:r>
      <w:r>
        <w:rPr>
          <w:rFonts w:hint="eastAsia" w:ascii="宋体" w:hAnsi="宋体" w:eastAsia="宋体" w:cs="宋体"/>
          <w:color w:val="auto"/>
          <w:kern w:val="0"/>
          <w:sz w:val="24"/>
          <w:szCs w:val="24"/>
          <w:highlight w:val="none"/>
        </w:rPr>
        <w:t>的</w:t>
      </w: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月末，招标人根据考核结果，支付合</w:t>
      </w:r>
      <w:r>
        <w:rPr>
          <w:rFonts w:hint="eastAsia" w:ascii="宋体" w:hAnsi="宋体" w:cs="宋体"/>
          <w:color w:val="auto"/>
          <w:kern w:val="0"/>
          <w:sz w:val="24"/>
          <w:szCs w:val="24"/>
          <w:highlight w:val="none"/>
          <w:lang w:val="en-US" w:eastAsia="zh-CN"/>
        </w:rPr>
        <w:t>剩余尾款</w:t>
      </w:r>
      <w:r>
        <w:rPr>
          <w:rFonts w:hint="eastAsia" w:ascii="宋体" w:hAnsi="宋体" w:eastAsia="宋体" w:cs="宋体"/>
          <w:color w:val="auto"/>
          <w:kern w:val="0"/>
          <w:sz w:val="24"/>
          <w:szCs w:val="24"/>
          <w:highlight w:val="none"/>
        </w:rPr>
        <w:t>。</w:t>
      </w:r>
    </w:p>
    <w:p w14:paraId="16A70E79">
      <w:pPr>
        <w:spacing w:line="360" w:lineRule="auto"/>
        <w:rPr>
          <w:rFonts w:ascii="宋体" w:hAnsi="宋体" w:cs="宋体"/>
          <w:color w:val="auto"/>
          <w:sz w:val="24"/>
          <w:highlight w:val="none"/>
        </w:rPr>
      </w:pPr>
    </w:p>
    <w:p w14:paraId="78FEAA71">
      <w:pPr>
        <w:widowControl/>
        <w:ind w:firstLine="720" w:firstLineChars="300"/>
        <w:jc w:val="left"/>
        <w:rPr>
          <w:rFonts w:ascii="宋体" w:hAnsi="宋体" w:cs="宋体"/>
          <w:bCs/>
          <w:color w:val="auto"/>
          <w:sz w:val="24"/>
          <w:highlight w:val="none"/>
        </w:rPr>
      </w:pPr>
    </w:p>
    <w:p w14:paraId="6D636660">
      <w:pPr>
        <w:rPr>
          <w:rFonts w:ascii="宋体" w:hAnsi="宋体" w:cs="宋体"/>
          <w:snapToGrid w:val="0"/>
          <w:color w:val="auto"/>
          <w:kern w:val="0"/>
          <w:sz w:val="24"/>
          <w:highlight w:val="none"/>
        </w:rPr>
      </w:pPr>
    </w:p>
    <w:p w14:paraId="7D18B21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9" w:name="_Toc184310321"/>
      <w:bookmarkEnd w:id="29"/>
      <w:bookmarkStart w:id="30" w:name="_Toc184313242"/>
      <w:bookmarkEnd w:id="30"/>
      <w:bookmarkStart w:id="31" w:name="_Toc184313244"/>
      <w:bookmarkEnd w:id="31"/>
      <w:bookmarkStart w:id="32" w:name="_Toc184310300"/>
      <w:bookmarkEnd w:id="32"/>
      <w:bookmarkStart w:id="33" w:name="_Toc184313266"/>
      <w:bookmarkEnd w:id="33"/>
      <w:bookmarkStart w:id="34" w:name="_Toc184313260"/>
      <w:bookmarkEnd w:id="34"/>
      <w:bookmarkStart w:id="35" w:name="_Toc184313302"/>
      <w:bookmarkEnd w:id="35"/>
      <w:bookmarkStart w:id="36" w:name="_Toc184314439"/>
      <w:bookmarkEnd w:id="36"/>
      <w:bookmarkStart w:id="37" w:name="_Toc184314411"/>
      <w:bookmarkEnd w:id="37"/>
      <w:bookmarkStart w:id="38" w:name="_Toc184310309"/>
      <w:bookmarkEnd w:id="38"/>
      <w:bookmarkStart w:id="39" w:name="_Toc184314454"/>
      <w:bookmarkEnd w:id="39"/>
      <w:bookmarkStart w:id="40" w:name="_Toc184308071"/>
      <w:bookmarkEnd w:id="40"/>
      <w:bookmarkStart w:id="41" w:name="_Toc184310313"/>
      <w:bookmarkEnd w:id="41"/>
      <w:bookmarkStart w:id="42" w:name="_Toc184312120"/>
      <w:bookmarkEnd w:id="42"/>
      <w:bookmarkStart w:id="43" w:name="_Toc184312123"/>
      <w:bookmarkEnd w:id="43"/>
      <w:bookmarkStart w:id="44" w:name="_Toc184310288"/>
      <w:bookmarkEnd w:id="44"/>
      <w:bookmarkStart w:id="45" w:name="_Toc184312094"/>
      <w:bookmarkEnd w:id="45"/>
      <w:bookmarkStart w:id="46" w:name="_Toc184308082"/>
      <w:bookmarkEnd w:id="46"/>
      <w:bookmarkStart w:id="47" w:name="_Toc184312086"/>
      <w:bookmarkEnd w:id="47"/>
      <w:bookmarkStart w:id="48" w:name="_Toc184313300"/>
      <w:bookmarkEnd w:id="48"/>
      <w:bookmarkStart w:id="49" w:name="_Toc184308085"/>
      <w:bookmarkEnd w:id="49"/>
      <w:bookmarkStart w:id="50" w:name="_Toc184314429"/>
      <w:bookmarkEnd w:id="50"/>
      <w:bookmarkStart w:id="51" w:name="_Toc184312138"/>
      <w:bookmarkEnd w:id="51"/>
      <w:bookmarkStart w:id="52" w:name="_Toc184310301"/>
      <w:bookmarkEnd w:id="52"/>
      <w:bookmarkStart w:id="53" w:name="_Toc184313240"/>
      <w:bookmarkEnd w:id="53"/>
      <w:bookmarkStart w:id="54" w:name="_Toc184310299"/>
      <w:bookmarkEnd w:id="54"/>
      <w:bookmarkStart w:id="55" w:name="_Toc184313255"/>
      <w:bookmarkEnd w:id="55"/>
      <w:bookmarkStart w:id="56" w:name="_Toc184312080"/>
      <w:bookmarkEnd w:id="56"/>
      <w:bookmarkStart w:id="57" w:name="_Toc184314432"/>
      <w:bookmarkEnd w:id="57"/>
      <w:bookmarkStart w:id="58" w:name="_Toc184310302"/>
      <w:bookmarkEnd w:id="58"/>
      <w:bookmarkStart w:id="59" w:name="_Toc184312139"/>
      <w:bookmarkEnd w:id="59"/>
      <w:bookmarkStart w:id="60" w:name="_Toc184310291"/>
      <w:bookmarkEnd w:id="60"/>
      <w:bookmarkStart w:id="61" w:name="_Toc184308100"/>
      <w:bookmarkEnd w:id="61"/>
      <w:bookmarkStart w:id="62" w:name="_Toc184313243"/>
      <w:bookmarkEnd w:id="62"/>
      <w:bookmarkStart w:id="63" w:name="_Toc184310328"/>
      <w:bookmarkEnd w:id="63"/>
      <w:bookmarkStart w:id="64" w:name="_Toc184313253"/>
      <w:bookmarkEnd w:id="64"/>
      <w:bookmarkStart w:id="65" w:name="_Toc184312132"/>
      <w:bookmarkEnd w:id="65"/>
      <w:bookmarkStart w:id="66" w:name="_Toc184314435"/>
      <w:bookmarkEnd w:id="66"/>
      <w:bookmarkStart w:id="67" w:name="_Toc184314413"/>
      <w:bookmarkEnd w:id="67"/>
      <w:bookmarkStart w:id="68" w:name="_Toc184313286"/>
      <w:bookmarkEnd w:id="68"/>
      <w:bookmarkStart w:id="69" w:name="_Toc184310289"/>
      <w:bookmarkEnd w:id="69"/>
      <w:bookmarkStart w:id="70" w:name="_Toc184308090"/>
      <w:bookmarkEnd w:id="70"/>
      <w:bookmarkStart w:id="71" w:name="_Toc184310317"/>
      <w:bookmarkEnd w:id="71"/>
      <w:bookmarkStart w:id="72" w:name="_Toc184312100"/>
      <w:bookmarkEnd w:id="72"/>
      <w:bookmarkStart w:id="73" w:name="_Toc184310342"/>
      <w:bookmarkEnd w:id="73"/>
      <w:bookmarkStart w:id="74" w:name="_Toc184314466"/>
      <w:bookmarkEnd w:id="74"/>
      <w:bookmarkStart w:id="75" w:name="_Toc184308066"/>
      <w:bookmarkEnd w:id="75"/>
      <w:bookmarkStart w:id="76" w:name="_Toc184312085"/>
      <w:bookmarkEnd w:id="76"/>
      <w:bookmarkStart w:id="77" w:name="_Toc184310283"/>
      <w:bookmarkEnd w:id="77"/>
      <w:bookmarkStart w:id="78" w:name="_Toc184308056"/>
      <w:bookmarkEnd w:id="78"/>
      <w:bookmarkStart w:id="79" w:name="_Toc184314465"/>
      <w:bookmarkEnd w:id="79"/>
      <w:bookmarkStart w:id="80" w:name="_Toc184312135"/>
      <w:bookmarkEnd w:id="80"/>
      <w:bookmarkStart w:id="81" w:name="_Toc184308049"/>
      <w:bookmarkEnd w:id="81"/>
      <w:bookmarkStart w:id="82" w:name="_Toc184313252"/>
      <w:bookmarkEnd w:id="82"/>
      <w:bookmarkStart w:id="83" w:name="_Toc184314475"/>
      <w:bookmarkEnd w:id="83"/>
      <w:bookmarkStart w:id="84" w:name="_Toc184310304"/>
      <w:bookmarkEnd w:id="84"/>
      <w:bookmarkStart w:id="85" w:name="_Toc184314448"/>
      <w:bookmarkEnd w:id="85"/>
      <w:bookmarkStart w:id="86" w:name="_Toc184314444"/>
      <w:bookmarkEnd w:id="86"/>
      <w:bookmarkStart w:id="87" w:name="_Toc184312134"/>
      <w:bookmarkEnd w:id="87"/>
      <w:bookmarkStart w:id="88" w:name="_Toc184310314"/>
      <w:bookmarkEnd w:id="88"/>
      <w:bookmarkStart w:id="89" w:name="_Toc184310335"/>
      <w:bookmarkEnd w:id="89"/>
      <w:bookmarkStart w:id="90" w:name="_Toc184312128"/>
      <w:bookmarkEnd w:id="90"/>
      <w:bookmarkStart w:id="91" w:name="_Toc184314410"/>
      <w:bookmarkEnd w:id="91"/>
      <w:bookmarkStart w:id="92" w:name="_Toc184308101"/>
      <w:bookmarkEnd w:id="92"/>
      <w:bookmarkStart w:id="93" w:name="_Toc184312122"/>
      <w:bookmarkEnd w:id="93"/>
      <w:bookmarkStart w:id="94" w:name="_Toc184314433"/>
      <w:bookmarkEnd w:id="94"/>
      <w:bookmarkStart w:id="95" w:name="_Toc184308107"/>
      <w:bookmarkEnd w:id="95"/>
      <w:bookmarkStart w:id="96" w:name="_Toc184314477"/>
      <w:bookmarkEnd w:id="96"/>
      <w:bookmarkStart w:id="97" w:name="_Toc184313293"/>
      <w:bookmarkEnd w:id="97"/>
      <w:bookmarkStart w:id="98" w:name="_Toc184313271"/>
      <w:bookmarkEnd w:id="98"/>
      <w:bookmarkStart w:id="99" w:name="_Toc184310329"/>
      <w:bookmarkEnd w:id="99"/>
      <w:bookmarkStart w:id="100" w:name="_Toc184313277"/>
      <w:bookmarkEnd w:id="100"/>
      <w:bookmarkStart w:id="101" w:name="_Toc184308064"/>
      <w:bookmarkEnd w:id="101"/>
      <w:bookmarkStart w:id="102" w:name="_Toc184310344"/>
      <w:bookmarkEnd w:id="102"/>
      <w:bookmarkStart w:id="103" w:name="_Toc184308042"/>
      <w:bookmarkEnd w:id="103"/>
      <w:bookmarkStart w:id="104" w:name="_Toc184308055"/>
      <w:bookmarkEnd w:id="104"/>
      <w:bookmarkStart w:id="105" w:name="_Toc184310311"/>
      <w:bookmarkEnd w:id="105"/>
      <w:bookmarkStart w:id="106" w:name="_Toc184308070"/>
      <w:bookmarkEnd w:id="106"/>
      <w:bookmarkStart w:id="107" w:name="_Toc184308099"/>
      <w:bookmarkEnd w:id="107"/>
      <w:bookmarkStart w:id="108" w:name="_Toc184312130"/>
      <w:bookmarkEnd w:id="108"/>
      <w:bookmarkStart w:id="109" w:name="_Toc184308041"/>
      <w:bookmarkEnd w:id="109"/>
      <w:bookmarkStart w:id="110" w:name="_Toc184314470"/>
      <w:bookmarkEnd w:id="110"/>
      <w:bookmarkStart w:id="111" w:name="_Toc184310341"/>
      <w:bookmarkEnd w:id="111"/>
      <w:bookmarkStart w:id="112" w:name="_Toc184308108"/>
      <w:bookmarkEnd w:id="112"/>
      <w:bookmarkStart w:id="113" w:name="_Toc184313278"/>
      <w:bookmarkEnd w:id="113"/>
      <w:bookmarkStart w:id="114" w:name="_Toc184314471"/>
      <w:bookmarkEnd w:id="114"/>
      <w:bookmarkStart w:id="115" w:name="_Toc184314427"/>
      <w:bookmarkEnd w:id="115"/>
      <w:bookmarkStart w:id="116" w:name="_Toc184310293"/>
      <w:bookmarkEnd w:id="116"/>
      <w:bookmarkStart w:id="117" w:name="_Toc184314426"/>
      <w:bookmarkEnd w:id="117"/>
      <w:bookmarkStart w:id="118" w:name="_Toc184308078"/>
      <w:bookmarkEnd w:id="118"/>
      <w:bookmarkStart w:id="119" w:name="_Toc184312087"/>
      <w:bookmarkEnd w:id="119"/>
      <w:bookmarkStart w:id="120" w:name="_Toc184308052"/>
      <w:bookmarkEnd w:id="120"/>
      <w:bookmarkStart w:id="121" w:name="_Toc184314460"/>
      <w:bookmarkEnd w:id="121"/>
      <w:bookmarkStart w:id="122" w:name="_Toc184313251"/>
      <w:bookmarkEnd w:id="122"/>
      <w:bookmarkStart w:id="123" w:name="_Toc184314469"/>
      <w:bookmarkEnd w:id="123"/>
      <w:bookmarkStart w:id="124" w:name="_Toc184313263"/>
      <w:bookmarkEnd w:id="124"/>
      <w:bookmarkStart w:id="125" w:name="_Toc184314428"/>
      <w:bookmarkEnd w:id="125"/>
      <w:bookmarkStart w:id="126" w:name="_Toc184313287"/>
      <w:bookmarkEnd w:id="126"/>
      <w:bookmarkStart w:id="127" w:name="_Toc184308088"/>
      <w:bookmarkEnd w:id="127"/>
      <w:bookmarkStart w:id="128" w:name="_Toc184314412"/>
      <w:bookmarkEnd w:id="128"/>
      <w:bookmarkStart w:id="129" w:name="_Toc184310292"/>
      <w:bookmarkEnd w:id="129"/>
      <w:bookmarkStart w:id="130" w:name="_Toc184312117"/>
      <w:bookmarkEnd w:id="130"/>
      <w:bookmarkStart w:id="131" w:name="_Toc184308058"/>
      <w:bookmarkEnd w:id="131"/>
      <w:bookmarkStart w:id="132" w:name="_Toc184310310"/>
      <w:bookmarkEnd w:id="132"/>
      <w:bookmarkStart w:id="133" w:name="_Toc184314473"/>
      <w:bookmarkEnd w:id="133"/>
      <w:bookmarkStart w:id="134" w:name="_Toc184313294"/>
      <w:bookmarkEnd w:id="134"/>
      <w:bookmarkStart w:id="135" w:name="_Toc184313301"/>
      <w:bookmarkEnd w:id="135"/>
      <w:bookmarkStart w:id="136" w:name="_Toc184314421"/>
      <w:bookmarkEnd w:id="136"/>
      <w:bookmarkStart w:id="137" w:name="_Toc184312127"/>
      <w:bookmarkEnd w:id="137"/>
      <w:bookmarkStart w:id="138" w:name="_Toc184310303"/>
      <w:bookmarkEnd w:id="138"/>
      <w:bookmarkStart w:id="139" w:name="_Toc184314457"/>
      <w:bookmarkEnd w:id="139"/>
      <w:bookmarkStart w:id="140" w:name="_Toc184313308"/>
      <w:bookmarkEnd w:id="140"/>
      <w:bookmarkStart w:id="141" w:name="_Toc184308065"/>
      <w:bookmarkEnd w:id="141"/>
      <w:bookmarkStart w:id="142" w:name="_Toc184308048"/>
      <w:bookmarkEnd w:id="142"/>
      <w:bookmarkStart w:id="143" w:name="_Toc184313275"/>
      <w:bookmarkEnd w:id="143"/>
      <w:bookmarkStart w:id="144" w:name="_Toc184313282"/>
      <w:bookmarkEnd w:id="144"/>
      <w:bookmarkStart w:id="145" w:name="_Toc184310290"/>
      <w:bookmarkEnd w:id="145"/>
      <w:bookmarkStart w:id="146" w:name="_Toc184312118"/>
      <w:bookmarkEnd w:id="146"/>
      <w:bookmarkStart w:id="147" w:name="_Toc184314458"/>
      <w:bookmarkEnd w:id="147"/>
      <w:bookmarkStart w:id="148" w:name="_Toc184310277"/>
      <w:bookmarkEnd w:id="148"/>
      <w:bookmarkStart w:id="149" w:name="_Toc184310273"/>
      <w:bookmarkEnd w:id="149"/>
      <w:bookmarkStart w:id="150" w:name="_Toc184313291"/>
      <w:bookmarkEnd w:id="150"/>
      <w:bookmarkStart w:id="151" w:name="_Toc184314423"/>
      <w:bookmarkEnd w:id="151"/>
      <w:bookmarkStart w:id="152" w:name="_Toc184312119"/>
      <w:bookmarkEnd w:id="152"/>
      <w:bookmarkStart w:id="153" w:name="_Toc184308103"/>
      <w:bookmarkEnd w:id="153"/>
      <w:bookmarkStart w:id="154" w:name="_Toc184313295"/>
      <w:bookmarkEnd w:id="154"/>
      <w:bookmarkStart w:id="155" w:name="_Toc184310332"/>
      <w:bookmarkEnd w:id="155"/>
      <w:bookmarkStart w:id="156" w:name="_Toc184308059"/>
      <w:bookmarkEnd w:id="156"/>
      <w:bookmarkStart w:id="157" w:name="_Toc184312131"/>
      <w:bookmarkEnd w:id="157"/>
      <w:bookmarkStart w:id="158" w:name="_Toc184312136"/>
      <w:bookmarkEnd w:id="158"/>
      <w:bookmarkStart w:id="159" w:name="_Toc184310312"/>
      <w:bookmarkEnd w:id="159"/>
      <w:bookmarkStart w:id="160" w:name="_Toc184314468"/>
      <w:bookmarkEnd w:id="160"/>
      <w:bookmarkStart w:id="161" w:name="_Toc184314443"/>
      <w:bookmarkEnd w:id="161"/>
      <w:bookmarkStart w:id="162" w:name="_Toc184310285"/>
      <w:bookmarkEnd w:id="162"/>
      <w:bookmarkStart w:id="163" w:name="_Toc184314430"/>
      <w:bookmarkEnd w:id="163"/>
      <w:bookmarkStart w:id="164" w:name="_Toc184312099"/>
      <w:bookmarkEnd w:id="164"/>
      <w:bookmarkStart w:id="165" w:name="_Toc184313261"/>
      <w:bookmarkEnd w:id="165"/>
      <w:bookmarkStart w:id="166" w:name="_Toc184314419"/>
      <w:bookmarkEnd w:id="166"/>
      <w:bookmarkStart w:id="167" w:name="_Toc184312070"/>
      <w:bookmarkEnd w:id="167"/>
      <w:bookmarkStart w:id="168" w:name="_Toc184308073"/>
      <w:bookmarkEnd w:id="168"/>
      <w:bookmarkStart w:id="169" w:name="_Toc184312077"/>
      <w:bookmarkEnd w:id="169"/>
      <w:bookmarkStart w:id="170" w:name="_Toc184314442"/>
      <w:bookmarkEnd w:id="170"/>
      <w:bookmarkStart w:id="171" w:name="_Toc184308036"/>
      <w:bookmarkEnd w:id="171"/>
      <w:bookmarkStart w:id="172" w:name="_Toc184310295"/>
      <w:bookmarkEnd w:id="172"/>
      <w:bookmarkStart w:id="173" w:name="_Toc184308096"/>
      <w:bookmarkEnd w:id="173"/>
      <w:bookmarkStart w:id="174" w:name="_Toc184308092"/>
      <w:bookmarkEnd w:id="174"/>
      <w:bookmarkStart w:id="175" w:name="_Toc184313257"/>
      <w:bookmarkEnd w:id="175"/>
      <w:bookmarkStart w:id="176" w:name="_Toc184312108"/>
      <w:bookmarkEnd w:id="176"/>
      <w:bookmarkStart w:id="177" w:name="_Toc184314425"/>
      <w:bookmarkEnd w:id="177"/>
      <w:bookmarkStart w:id="178" w:name="_Toc184308102"/>
      <w:bookmarkEnd w:id="178"/>
      <w:bookmarkStart w:id="179" w:name="_Toc184312104"/>
      <w:bookmarkEnd w:id="179"/>
      <w:bookmarkStart w:id="180" w:name="_Toc184313306"/>
      <w:bookmarkEnd w:id="180"/>
      <w:bookmarkStart w:id="181" w:name="_Toc184313288"/>
      <w:bookmarkEnd w:id="181"/>
      <w:bookmarkStart w:id="182" w:name="_Toc184312072"/>
      <w:bookmarkEnd w:id="182"/>
      <w:bookmarkStart w:id="183" w:name="_Toc184310322"/>
      <w:bookmarkEnd w:id="183"/>
      <w:bookmarkStart w:id="184" w:name="_Toc184314463"/>
      <w:bookmarkEnd w:id="184"/>
      <w:bookmarkStart w:id="185" w:name="_Toc184308097"/>
      <w:bookmarkEnd w:id="185"/>
      <w:bookmarkStart w:id="186" w:name="_Toc184312096"/>
      <w:bookmarkEnd w:id="186"/>
      <w:bookmarkStart w:id="187" w:name="_Toc184312098"/>
      <w:bookmarkEnd w:id="187"/>
      <w:bookmarkStart w:id="188" w:name="_Toc184312112"/>
      <w:bookmarkEnd w:id="188"/>
      <w:bookmarkStart w:id="189" w:name="_Toc184312125"/>
      <w:bookmarkEnd w:id="189"/>
      <w:bookmarkStart w:id="190" w:name="_Toc184308077"/>
      <w:bookmarkEnd w:id="190"/>
      <w:bookmarkStart w:id="191" w:name="_Toc184314476"/>
      <w:bookmarkEnd w:id="191"/>
      <w:bookmarkStart w:id="192" w:name="_Toc184308106"/>
      <w:bookmarkEnd w:id="192"/>
      <w:bookmarkStart w:id="193" w:name="_Toc184314456"/>
      <w:bookmarkEnd w:id="193"/>
      <w:bookmarkStart w:id="194" w:name="_Toc184310276"/>
      <w:bookmarkEnd w:id="194"/>
      <w:bookmarkStart w:id="195" w:name="_Toc184313290"/>
      <w:bookmarkEnd w:id="195"/>
      <w:bookmarkStart w:id="196" w:name="_Toc184312067"/>
      <w:bookmarkEnd w:id="196"/>
      <w:bookmarkStart w:id="197" w:name="_Toc184312082"/>
      <w:bookmarkEnd w:id="197"/>
      <w:bookmarkStart w:id="198" w:name="_Toc184312105"/>
      <w:bookmarkEnd w:id="198"/>
      <w:bookmarkStart w:id="199" w:name="_Toc184314420"/>
      <w:bookmarkEnd w:id="199"/>
      <w:bookmarkStart w:id="200" w:name="_Toc184312107"/>
      <w:bookmarkEnd w:id="200"/>
      <w:bookmarkStart w:id="201" w:name="_Toc184314467"/>
      <w:bookmarkEnd w:id="201"/>
      <w:bookmarkStart w:id="202" w:name="_Toc184308086"/>
      <w:bookmarkEnd w:id="202"/>
      <w:bookmarkStart w:id="203" w:name="_Toc184310306"/>
      <w:bookmarkEnd w:id="203"/>
      <w:bookmarkStart w:id="204" w:name="_Toc184308054"/>
      <w:bookmarkEnd w:id="204"/>
      <w:bookmarkStart w:id="205" w:name="_Toc184310294"/>
      <w:bookmarkEnd w:id="205"/>
      <w:bookmarkStart w:id="206" w:name="_Toc184312121"/>
      <w:bookmarkEnd w:id="206"/>
      <w:bookmarkStart w:id="207" w:name="_Toc184310284"/>
      <w:bookmarkEnd w:id="207"/>
      <w:bookmarkStart w:id="208" w:name="_Toc184313281"/>
      <w:bookmarkEnd w:id="208"/>
      <w:bookmarkStart w:id="209" w:name="_Toc184313296"/>
      <w:bookmarkEnd w:id="209"/>
      <w:bookmarkStart w:id="210" w:name="_Toc184308069"/>
      <w:bookmarkEnd w:id="210"/>
      <w:bookmarkStart w:id="211" w:name="_Toc184313267"/>
      <w:bookmarkEnd w:id="211"/>
      <w:bookmarkStart w:id="212" w:name="_Toc184308060"/>
      <w:bookmarkEnd w:id="212"/>
      <w:bookmarkStart w:id="213" w:name="_Toc184310274"/>
      <w:bookmarkEnd w:id="213"/>
      <w:bookmarkStart w:id="214" w:name="_Toc184310307"/>
      <w:bookmarkEnd w:id="214"/>
      <w:bookmarkStart w:id="215" w:name="_Toc184313297"/>
      <w:bookmarkEnd w:id="215"/>
      <w:bookmarkStart w:id="216" w:name="_Toc184312093"/>
      <w:bookmarkEnd w:id="216"/>
      <w:bookmarkStart w:id="217" w:name="_Toc184308081"/>
      <w:bookmarkEnd w:id="217"/>
      <w:bookmarkStart w:id="218" w:name="_Toc184308067"/>
      <w:bookmarkEnd w:id="218"/>
      <w:bookmarkStart w:id="219" w:name="_Toc184312129"/>
      <w:bookmarkEnd w:id="219"/>
      <w:bookmarkStart w:id="220" w:name="_Toc184313248"/>
      <w:bookmarkEnd w:id="220"/>
      <w:bookmarkStart w:id="221" w:name="_Toc184313280"/>
      <w:bookmarkEnd w:id="221"/>
      <w:bookmarkStart w:id="222" w:name="_Toc184313239"/>
      <w:bookmarkEnd w:id="222"/>
      <w:bookmarkStart w:id="223" w:name="_Toc184310330"/>
      <w:bookmarkEnd w:id="223"/>
      <w:bookmarkStart w:id="224" w:name="_Toc184308084"/>
      <w:bookmarkEnd w:id="224"/>
      <w:bookmarkStart w:id="225" w:name="_Toc184313264"/>
      <w:bookmarkEnd w:id="225"/>
      <w:bookmarkStart w:id="226" w:name="_Toc184313273"/>
      <w:bookmarkEnd w:id="226"/>
      <w:bookmarkStart w:id="227" w:name="_Toc184313272"/>
      <w:bookmarkEnd w:id="227"/>
      <w:bookmarkStart w:id="228" w:name="_Toc184313268"/>
      <w:bookmarkEnd w:id="228"/>
      <w:bookmarkStart w:id="229" w:name="_Toc184314481"/>
      <w:bookmarkEnd w:id="229"/>
      <w:bookmarkStart w:id="230" w:name="_Toc184314447"/>
      <w:bookmarkEnd w:id="230"/>
      <w:bookmarkStart w:id="231" w:name="_Toc184313256"/>
      <w:bookmarkEnd w:id="231"/>
      <w:bookmarkStart w:id="232" w:name="_Toc184313249"/>
      <w:bookmarkEnd w:id="232"/>
      <w:bookmarkStart w:id="233" w:name="_Toc184313292"/>
      <w:bookmarkEnd w:id="233"/>
      <w:bookmarkStart w:id="234" w:name="_Toc184312095"/>
      <w:bookmarkEnd w:id="234"/>
      <w:bookmarkStart w:id="235" w:name="_Toc184308057"/>
      <w:bookmarkEnd w:id="235"/>
      <w:bookmarkStart w:id="236" w:name="_Toc184312078"/>
      <w:bookmarkEnd w:id="236"/>
      <w:bookmarkStart w:id="237" w:name="_Toc184308095"/>
      <w:bookmarkEnd w:id="237"/>
      <w:bookmarkStart w:id="238" w:name="_Toc184313285"/>
      <w:bookmarkEnd w:id="238"/>
      <w:bookmarkStart w:id="239" w:name="_Toc184308075"/>
      <w:bookmarkEnd w:id="239"/>
      <w:bookmarkStart w:id="240" w:name="_Toc184313259"/>
      <w:bookmarkEnd w:id="240"/>
      <w:bookmarkStart w:id="241" w:name="_Toc184313270"/>
      <w:bookmarkEnd w:id="241"/>
      <w:bookmarkStart w:id="242" w:name="_Toc184312083"/>
      <w:bookmarkEnd w:id="242"/>
      <w:bookmarkStart w:id="243" w:name="_Toc184308072"/>
      <w:bookmarkEnd w:id="243"/>
      <w:bookmarkStart w:id="244" w:name="_Toc184313305"/>
      <w:bookmarkEnd w:id="244"/>
      <w:bookmarkStart w:id="245" w:name="_Toc184310287"/>
      <w:bookmarkEnd w:id="245"/>
      <w:bookmarkStart w:id="246" w:name="_Toc184310334"/>
      <w:bookmarkEnd w:id="246"/>
      <w:bookmarkStart w:id="247" w:name="_Toc184314437"/>
      <w:bookmarkEnd w:id="247"/>
      <w:bookmarkStart w:id="248" w:name="_Toc184312090"/>
      <w:bookmarkEnd w:id="248"/>
      <w:bookmarkStart w:id="249" w:name="_Toc184312091"/>
      <w:bookmarkEnd w:id="249"/>
      <w:bookmarkStart w:id="250" w:name="_Toc184314451"/>
      <w:bookmarkEnd w:id="250"/>
      <w:bookmarkStart w:id="251" w:name="_Toc184313250"/>
      <w:bookmarkEnd w:id="251"/>
      <w:bookmarkStart w:id="252" w:name="_Toc184308044"/>
      <w:bookmarkEnd w:id="252"/>
      <w:bookmarkStart w:id="253" w:name="_Toc184314415"/>
      <w:bookmarkEnd w:id="253"/>
      <w:bookmarkStart w:id="254" w:name="_Toc184310308"/>
      <w:bookmarkEnd w:id="254"/>
      <w:bookmarkStart w:id="255" w:name="_Toc184312115"/>
      <w:bookmarkEnd w:id="255"/>
      <w:bookmarkStart w:id="256" w:name="_Toc184313309"/>
      <w:bookmarkEnd w:id="256"/>
      <w:bookmarkStart w:id="257" w:name="_Toc184308053"/>
      <w:bookmarkEnd w:id="257"/>
      <w:bookmarkStart w:id="258" w:name="_Toc184314434"/>
      <w:bookmarkEnd w:id="258"/>
      <w:bookmarkStart w:id="259" w:name="_Toc184310296"/>
      <w:bookmarkEnd w:id="259"/>
      <w:bookmarkStart w:id="260" w:name="_Toc184314422"/>
      <w:bookmarkEnd w:id="260"/>
      <w:bookmarkStart w:id="261" w:name="_Toc184312084"/>
      <w:bookmarkEnd w:id="261"/>
      <w:bookmarkStart w:id="262" w:name="_Toc184313303"/>
      <w:bookmarkEnd w:id="262"/>
      <w:bookmarkStart w:id="263" w:name="_Toc184312097"/>
      <w:bookmarkEnd w:id="263"/>
      <w:bookmarkStart w:id="264" w:name="_Toc184312126"/>
      <w:bookmarkEnd w:id="264"/>
      <w:bookmarkStart w:id="265" w:name="_Toc184312074"/>
      <w:bookmarkEnd w:id="265"/>
      <w:bookmarkStart w:id="266" w:name="_Toc184310343"/>
      <w:bookmarkEnd w:id="266"/>
      <w:bookmarkStart w:id="267" w:name="_Toc184308087"/>
      <w:bookmarkEnd w:id="267"/>
      <w:bookmarkStart w:id="268" w:name="_Toc184314446"/>
      <w:bookmarkEnd w:id="268"/>
      <w:bookmarkStart w:id="269" w:name="_Toc184313274"/>
      <w:bookmarkEnd w:id="269"/>
      <w:bookmarkStart w:id="270" w:name="_Toc184314482"/>
      <w:bookmarkEnd w:id="270"/>
      <w:bookmarkStart w:id="271" w:name="_Toc184308098"/>
      <w:bookmarkEnd w:id="271"/>
      <w:bookmarkStart w:id="272" w:name="_Toc184313238"/>
      <w:bookmarkEnd w:id="272"/>
      <w:bookmarkStart w:id="273" w:name="_Toc184310281"/>
      <w:bookmarkEnd w:id="273"/>
      <w:bookmarkStart w:id="274" w:name="_Toc184314462"/>
      <w:bookmarkEnd w:id="274"/>
      <w:bookmarkStart w:id="275" w:name="_Toc184310275"/>
      <w:bookmarkEnd w:id="275"/>
      <w:bookmarkStart w:id="276" w:name="_Toc184308080"/>
      <w:bookmarkEnd w:id="276"/>
      <w:bookmarkStart w:id="277" w:name="_Toc184310286"/>
      <w:bookmarkEnd w:id="277"/>
      <w:bookmarkStart w:id="278" w:name="_Toc184313299"/>
      <w:bookmarkEnd w:id="278"/>
      <w:bookmarkStart w:id="279" w:name="_Toc184310315"/>
      <w:bookmarkEnd w:id="279"/>
      <w:bookmarkStart w:id="280" w:name="_Toc184312081"/>
      <w:bookmarkEnd w:id="280"/>
      <w:bookmarkStart w:id="281" w:name="_Toc184314424"/>
      <w:bookmarkEnd w:id="281"/>
      <w:bookmarkStart w:id="282" w:name="_Toc184313279"/>
      <w:bookmarkEnd w:id="282"/>
      <w:bookmarkStart w:id="283" w:name="_Toc184314440"/>
      <w:bookmarkEnd w:id="283"/>
      <w:bookmarkStart w:id="284" w:name="_Toc184308039"/>
      <w:bookmarkEnd w:id="284"/>
      <w:bookmarkStart w:id="285" w:name="_Toc184314459"/>
      <w:bookmarkEnd w:id="285"/>
      <w:bookmarkStart w:id="286" w:name="_Toc184308045"/>
      <w:bookmarkEnd w:id="286"/>
      <w:bookmarkStart w:id="287" w:name="_Toc184312113"/>
      <w:bookmarkEnd w:id="287"/>
      <w:bookmarkStart w:id="288" w:name="_Toc184314453"/>
      <w:bookmarkEnd w:id="288"/>
      <w:bookmarkStart w:id="289" w:name="_Toc184312103"/>
      <w:bookmarkEnd w:id="289"/>
      <w:bookmarkStart w:id="290" w:name="_Toc184312079"/>
      <w:bookmarkEnd w:id="290"/>
      <w:bookmarkStart w:id="291" w:name="_Toc184312076"/>
      <w:bookmarkEnd w:id="291"/>
      <w:bookmarkStart w:id="292" w:name="_Toc184312110"/>
      <w:bookmarkEnd w:id="292"/>
      <w:bookmarkStart w:id="293" w:name="_Toc184308040"/>
      <w:bookmarkEnd w:id="293"/>
      <w:bookmarkStart w:id="294" w:name="_Toc184308061"/>
      <w:bookmarkEnd w:id="294"/>
      <w:bookmarkStart w:id="295" w:name="_Toc184312109"/>
      <w:bookmarkEnd w:id="295"/>
      <w:bookmarkStart w:id="296" w:name="_Toc184313276"/>
      <w:bookmarkEnd w:id="296"/>
      <w:bookmarkStart w:id="297" w:name="_Toc184310320"/>
      <w:bookmarkEnd w:id="297"/>
      <w:bookmarkStart w:id="298" w:name="_Toc184314445"/>
      <w:bookmarkEnd w:id="298"/>
      <w:bookmarkStart w:id="299" w:name="_Toc184314480"/>
      <w:bookmarkEnd w:id="299"/>
      <w:bookmarkStart w:id="300" w:name="_Toc184312137"/>
      <w:bookmarkEnd w:id="300"/>
      <w:bookmarkStart w:id="301" w:name="_Toc184313284"/>
      <w:bookmarkEnd w:id="301"/>
      <w:bookmarkStart w:id="302" w:name="_Toc184313265"/>
      <w:bookmarkEnd w:id="302"/>
      <w:bookmarkStart w:id="303" w:name="_Toc184310326"/>
      <w:bookmarkEnd w:id="303"/>
      <w:bookmarkStart w:id="304" w:name="_Toc184314474"/>
      <w:bookmarkEnd w:id="304"/>
      <w:bookmarkStart w:id="305" w:name="_Toc184308094"/>
      <w:bookmarkEnd w:id="305"/>
      <w:bookmarkStart w:id="306" w:name="_Toc184314455"/>
      <w:bookmarkEnd w:id="306"/>
      <w:bookmarkStart w:id="307" w:name="_Toc184310282"/>
      <w:bookmarkEnd w:id="307"/>
      <w:bookmarkStart w:id="308" w:name="_Toc184310278"/>
      <w:bookmarkEnd w:id="308"/>
      <w:bookmarkStart w:id="309" w:name="_Toc184308076"/>
      <w:bookmarkEnd w:id="309"/>
      <w:bookmarkStart w:id="310" w:name="_Toc184312075"/>
      <w:bookmarkEnd w:id="310"/>
      <w:bookmarkStart w:id="311" w:name="_Toc184308074"/>
      <w:bookmarkEnd w:id="311"/>
      <w:bookmarkStart w:id="312" w:name="_Toc184314452"/>
      <w:bookmarkEnd w:id="312"/>
      <w:bookmarkStart w:id="313" w:name="_Toc184310319"/>
      <w:bookmarkEnd w:id="313"/>
      <w:bookmarkStart w:id="314" w:name="_Toc184314478"/>
      <w:bookmarkEnd w:id="314"/>
      <w:bookmarkStart w:id="315" w:name="_Toc184310331"/>
      <w:bookmarkEnd w:id="315"/>
      <w:bookmarkStart w:id="316" w:name="_Toc184310337"/>
      <w:bookmarkEnd w:id="316"/>
      <w:bookmarkStart w:id="317" w:name="_Toc184313269"/>
      <w:bookmarkEnd w:id="317"/>
      <w:bookmarkStart w:id="318" w:name="_Toc184314436"/>
      <w:bookmarkEnd w:id="318"/>
      <w:bookmarkStart w:id="319" w:name="_Toc184313262"/>
      <w:bookmarkEnd w:id="319"/>
      <w:bookmarkStart w:id="320" w:name="_Toc184313245"/>
      <w:bookmarkEnd w:id="320"/>
      <w:bookmarkStart w:id="321" w:name="_Toc184308046"/>
      <w:bookmarkEnd w:id="321"/>
      <w:bookmarkStart w:id="322" w:name="_Toc184313310"/>
      <w:bookmarkEnd w:id="322"/>
      <w:bookmarkStart w:id="323" w:name="_Toc184312114"/>
      <w:bookmarkEnd w:id="323"/>
      <w:bookmarkStart w:id="324" w:name="_Toc184312069"/>
      <w:bookmarkEnd w:id="324"/>
      <w:bookmarkStart w:id="325" w:name="_Toc184313247"/>
      <w:bookmarkEnd w:id="325"/>
      <w:bookmarkStart w:id="326" w:name="_Toc184310324"/>
      <w:bookmarkEnd w:id="326"/>
      <w:bookmarkStart w:id="327" w:name="_Toc184312101"/>
      <w:bookmarkEnd w:id="327"/>
      <w:bookmarkStart w:id="328" w:name="_Toc184313283"/>
      <w:bookmarkEnd w:id="328"/>
      <w:bookmarkStart w:id="329" w:name="_Toc184312106"/>
      <w:bookmarkEnd w:id="329"/>
      <w:bookmarkStart w:id="330" w:name="_Toc184308104"/>
      <w:bookmarkEnd w:id="330"/>
      <w:bookmarkStart w:id="331" w:name="_Toc184314417"/>
      <w:bookmarkEnd w:id="331"/>
      <w:bookmarkStart w:id="332" w:name="_Toc184312088"/>
      <w:bookmarkEnd w:id="332"/>
      <w:bookmarkStart w:id="333" w:name="_Toc184313246"/>
      <w:bookmarkEnd w:id="333"/>
      <w:bookmarkStart w:id="334" w:name="_Toc184308068"/>
      <w:bookmarkEnd w:id="334"/>
      <w:bookmarkStart w:id="335" w:name="_Toc184310323"/>
      <w:bookmarkEnd w:id="335"/>
      <w:bookmarkStart w:id="336" w:name="_Toc184310272"/>
      <w:bookmarkEnd w:id="336"/>
      <w:bookmarkStart w:id="337" w:name="_Toc184310280"/>
      <w:bookmarkEnd w:id="337"/>
      <w:bookmarkStart w:id="338" w:name="_Toc184312092"/>
      <w:bookmarkEnd w:id="338"/>
      <w:bookmarkStart w:id="339" w:name="_Toc184312071"/>
      <w:bookmarkEnd w:id="339"/>
      <w:bookmarkStart w:id="340" w:name="_Toc184314472"/>
      <w:bookmarkEnd w:id="340"/>
      <w:bookmarkStart w:id="341" w:name="_Toc184308105"/>
      <w:bookmarkEnd w:id="341"/>
      <w:bookmarkStart w:id="342" w:name="_Toc184310333"/>
      <w:bookmarkEnd w:id="342"/>
      <w:bookmarkStart w:id="343" w:name="_Toc184312111"/>
      <w:bookmarkEnd w:id="343"/>
      <w:bookmarkStart w:id="344" w:name="_Toc184314441"/>
      <w:bookmarkEnd w:id="344"/>
      <w:bookmarkStart w:id="345" w:name="_Toc184314431"/>
      <w:bookmarkEnd w:id="345"/>
      <w:bookmarkStart w:id="346" w:name="_Toc184310316"/>
      <w:bookmarkEnd w:id="346"/>
      <w:bookmarkStart w:id="347" w:name="_Toc184308089"/>
      <w:bookmarkEnd w:id="347"/>
      <w:bookmarkStart w:id="348" w:name="_Toc184308062"/>
      <w:bookmarkEnd w:id="348"/>
      <w:bookmarkStart w:id="349" w:name="_Toc184313307"/>
      <w:bookmarkEnd w:id="349"/>
      <w:bookmarkStart w:id="350" w:name="_Toc184308093"/>
      <w:bookmarkEnd w:id="350"/>
      <w:bookmarkStart w:id="351" w:name="_Toc184314449"/>
      <w:bookmarkEnd w:id="351"/>
      <w:bookmarkStart w:id="352" w:name="_Toc184310279"/>
      <w:bookmarkEnd w:id="352"/>
      <w:bookmarkStart w:id="353" w:name="_Toc184310336"/>
      <w:bookmarkEnd w:id="353"/>
      <w:bookmarkStart w:id="354" w:name="_Toc184310338"/>
      <w:bookmarkEnd w:id="354"/>
      <w:bookmarkStart w:id="355" w:name="_Toc184313304"/>
      <w:bookmarkEnd w:id="355"/>
      <w:bookmarkStart w:id="356" w:name="_Toc184308063"/>
      <w:bookmarkEnd w:id="356"/>
      <w:bookmarkStart w:id="357" w:name="_Toc184314416"/>
      <w:bookmarkEnd w:id="357"/>
      <w:bookmarkStart w:id="358" w:name="_Toc184310340"/>
      <w:bookmarkEnd w:id="358"/>
      <w:bookmarkStart w:id="359" w:name="_Toc184308037"/>
      <w:bookmarkEnd w:id="359"/>
      <w:bookmarkStart w:id="360" w:name="_Toc184310305"/>
      <w:bookmarkEnd w:id="360"/>
      <w:bookmarkStart w:id="361" w:name="_Toc184308047"/>
      <w:bookmarkEnd w:id="361"/>
      <w:bookmarkStart w:id="362" w:name="_Toc184308083"/>
      <w:bookmarkEnd w:id="362"/>
      <w:bookmarkStart w:id="363" w:name="_Toc184314461"/>
      <w:bookmarkEnd w:id="363"/>
      <w:bookmarkStart w:id="364" w:name="_Toc184312133"/>
      <w:bookmarkEnd w:id="364"/>
      <w:bookmarkStart w:id="365" w:name="_Toc184308091"/>
      <w:bookmarkEnd w:id="365"/>
      <w:bookmarkStart w:id="366" w:name="_Toc184308043"/>
      <w:bookmarkEnd w:id="366"/>
      <w:bookmarkStart w:id="367" w:name="_Toc184310298"/>
      <w:bookmarkEnd w:id="367"/>
      <w:bookmarkStart w:id="368" w:name="_Toc184313241"/>
      <w:bookmarkEnd w:id="368"/>
      <w:bookmarkStart w:id="369" w:name="_Toc184314418"/>
      <w:bookmarkEnd w:id="369"/>
      <w:bookmarkStart w:id="370" w:name="_Toc184308079"/>
      <w:bookmarkEnd w:id="370"/>
      <w:bookmarkStart w:id="371" w:name="_Toc184313289"/>
      <w:bookmarkEnd w:id="371"/>
      <w:bookmarkStart w:id="372" w:name="_Toc184314464"/>
      <w:bookmarkEnd w:id="372"/>
      <w:bookmarkStart w:id="373" w:name="_Toc184310325"/>
      <w:bookmarkEnd w:id="373"/>
      <w:bookmarkStart w:id="374" w:name="_Toc184310339"/>
      <w:bookmarkEnd w:id="374"/>
      <w:bookmarkStart w:id="375" w:name="_Toc184312124"/>
      <w:bookmarkEnd w:id="375"/>
      <w:bookmarkStart w:id="376" w:name="_Toc184310297"/>
      <w:bookmarkEnd w:id="376"/>
      <w:bookmarkStart w:id="377" w:name="_Toc184312089"/>
      <w:bookmarkEnd w:id="377"/>
      <w:bookmarkStart w:id="378" w:name="_Toc184312068"/>
      <w:bookmarkEnd w:id="378"/>
      <w:bookmarkStart w:id="379" w:name="_Toc184314479"/>
      <w:bookmarkEnd w:id="379"/>
      <w:bookmarkStart w:id="380" w:name="_Toc184313298"/>
      <w:bookmarkEnd w:id="380"/>
      <w:bookmarkStart w:id="381" w:name="_Toc184313258"/>
      <w:bookmarkEnd w:id="381"/>
      <w:bookmarkStart w:id="382" w:name="_Toc184314450"/>
      <w:bookmarkEnd w:id="382"/>
      <w:bookmarkStart w:id="383" w:name="_Toc184310318"/>
      <w:bookmarkEnd w:id="383"/>
      <w:bookmarkStart w:id="384" w:name="_Toc184314414"/>
      <w:bookmarkEnd w:id="384"/>
      <w:bookmarkStart w:id="385" w:name="_Toc184312116"/>
      <w:bookmarkEnd w:id="385"/>
      <w:bookmarkStart w:id="386" w:name="_Toc184308038"/>
      <w:bookmarkEnd w:id="386"/>
      <w:bookmarkStart w:id="387" w:name="_Toc184312073"/>
      <w:bookmarkEnd w:id="387"/>
      <w:bookmarkStart w:id="388" w:name="_Toc184314438"/>
      <w:bookmarkEnd w:id="388"/>
      <w:bookmarkStart w:id="389" w:name="_Toc184313254"/>
      <w:bookmarkEnd w:id="389"/>
      <w:bookmarkStart w:id="390" w:name="_Toc184308050"/>
      <w:bookmarkEnd w:id="390"/>
      <w:bookmarkStart w:id="391" w:name="_Toc184312102"/>
      <w:bookmarkEnd w:id="391"/>
      <w:bookmarkStart w:id="392" w:name="_Toc184308051"/>
      <w:bookmarkEnd w:id="392"/>
      <w:bookmarkStart w:id="393" w:name="_Toc184310327"/>
      <w:bookmarkEnd w:id="393"/>
      <w:r>
        <w:rPr>
          <w:rFonts w:hint="eastAsia" w:ascii="宋体" w:hAnsi="宋体" w:cs="宋体"/>
          <w:b/>
          <w:color w:val="auto"/>
          <w:sz w:val="36"/>
          <w:szCs w:val="36"/>
          <w:highlight w:val="none"/>
        </w:rPr>
        <w:t>评标办法</w:t>
      </w:r>
    </w:p>
    <w:p w14:paraId="38468B9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6317" w:type="pct"/>
        <w:tblInd w:w="-104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3"/>
        <w:gridCol w:w="7205"/>
        <w:gridCol w:w="470"/>
        <w:gridCol w:w="923"/>
        <w:gridCol w:w="1562"/>
      </w:tblGrid>
      <w:tr w14:paraId="4EC600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5572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255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评标标准</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205F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权重</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7660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主观分/客观分属性</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9F02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投标文件中评标标准相应的商务技术资料目录*</w:t>
            </w:r>
          </w:p>
        </w:tc>
      </w:tr>
      <w:tr w14:paraId="1EEAE6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F948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913DF7">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投标人自2020年1月1日（时间以合同签订时间为准）以来至投标截止之日止，完成过类似高点监控项目业绩，每提供一个业绩证明得0.5分，共1分。（需提供合同复印件并加盖投标人公章）</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82C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ED3D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客观分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AE4B0">
            <w:pPr>
              <w:jc w:val="center"/>
              <w:rPr>
                <w:rFonts w:hint="eastAsia" w:ascii="宋体" w:hAnsi="宋体" w:eastAsia="宋体" w:cs="宋体"/>
                <w:i w:val="0"/>
                <w:iCs w:val="0"/>
                <w:color w:val="000000"/>
                <w:sz w:val="24"/>
                <w:szCs w:val="24"/>
                <w:u w:val="none"/>
              </w:rPr>
            </w:pPr>
          </w:p>
        </w:tc>
      </w:tr>
      <w:tr w14:paraId="71F6F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ECFE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BFDC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投标人具有IS09001质量管理体系证书、IS014001 环境管理体系证书，IS027001信息安全管理体系认证证书、IS020000信息技术服务管理体系认证证书，每提供一项得2分，最高得8分。（须提供证书扫描件或复印件并加盖投标人公章或电子签章附在投标文件中，不提供或证书未在有效期内均不得分）</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A03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4F5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客观分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0B7830">
            <w:pPr>
              <w:jc w:val="center"/>
              <w:rPr>
                <w:rFonts w:hint="eastAsia" w:ascii="宋体" w:hAnsi="宋体" w:eastAsia="宋体" w:cs="宋体"/>
                <w:i w:val="0"/>
                <w:iCs w:val="0"/>
                <w:color w:val="000000"/>
                <w:sz w:val="24"/>
                <w:szCs w:val="24"/>
                <w:u w:val="none"/>
              </w:rPr>
            </w:pPr>
          </w:p>
        </w:tc>
      </w:tr>
      <w:tr w14:paraId="753B4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1A72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C74F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技术方案的合理性、科学性、全面性（根据供应商对系统的体系架构、设计方案、功能模块、实现思路和关键技术描述等情况进行综合评定），方案完整、科学合理、可行性强。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方案完整、合理且具有可行性得5分；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方案基本完整且具有一定的可行性得3分；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方案有明显不合理之处或可行性明显不足得1分；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未提供不得分。</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7D9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4220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3F1D5">
            <w:pPr>
              <w:jc w:val="center"/>
              <w:rPr>
                <w:rFonts w:hint="eastAsia" w:ascii="宋体" w:hAnsi="宋体" w:eastAsia="宋体" w:cs="宋体"/>
                <w:i w:val="0"/>
                <w:iCs w:val="0"/>
                <w:color w:val="000000"/>
                <w:sz w:val="24"/>
                <w:szCs w:val="24"/>
                <w:u w:val="none"/>
              </w:rPr>
            </w:pPr>
          </w:p>
        </w:tc>
      </w:tr>
      <w:tr w14:paraId="732BB7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71D1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CC64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结合招标文件采购需求、投标产品的基本功能、技术指标与需求的吻合程度和偏差情况，对★条款，每负偏离一项扣2分，非★条款，每负偏离一项扣1分，扣完为止。</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213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7839F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客观分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EE562E">
            <w:pPr>
              <w:jc w:val="center"/>
              <w:rPr>
                <w:rFonts w:hint="eastAsia" w:ascii="宋体" w:hAnsi="宋体" w:eastAsia="宋体" w:cs="宋体"/>
                <w:i w:val="0"/>
                <w:iCs w:val="0"/>
                <w:color w:val="000000"/>
                <w:sz w:val="24"/>
                <w:szCs w:val="24"/>
                <w:u w:val="none"/>
              </w:rPr>
            </w:pPr>
          </w:p>
        </w:tc>
      </w:tr>
      <w:tr w14:paraId="201EFB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59A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0CEC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本项目依托视频专网传输，投标人对项目传输网络有充分了解，科学设计，提供详细的传输网络方案。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方案完整、合理且具有可行性得5分；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方案基本完整且具有一定的可行性得3分；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方案有明显不合理之处或可行性明显不足得1分；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未提供不得分。</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5DB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8896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33B292">
            <w:pPr>
              <w:jc w:val="center"/>
              <w:rPr>
                <w:rFonts w:hint="eastAsia" w:ascii="宋体" w:hAnsi="宋体" w:eastAsia="宋体" w:cs="宋体"/>
                <w:i w:val="0"/>
                <w:iCs w:val="0"/>
                <w:color w:val="000000"/>
                <w:sz w:val="24"/>
                <w:szCs w:val="24"/>
                <w:u w:val="none"/>
              </w:rPr>
            </w:pPr>
          </w:p>
        </w:tc>
      </w:tr>
      <w:tr w14:paraId="6409BF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6138F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7603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根据投标人制定的网络安全保障方案，包括网络安全管理制度、保证措施等。阐述是否全面，方案是否完整，制度设置是否合理，措施是否到位进行打分。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阐述全面，方案完整，制度设置合理，措施到位的得3分；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阐述较为全面，方案较为完整，制度设置较为合理，措施较为到位的得2分；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阐述不够全面，方案不够完整，制度设置不够合理，措施不够到位的得1分；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无网络安全保障方案的不得分</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B89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08CE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E93207">
            <w:pPr>
              <w:jc w:val="center"/>
              <w:rPr>
                <w:rFonts w:hint="eastAsia" w:ascii="宋体" w:hAnsi="宋体" w:eastAsia="宋体" w:cs="宋体"/>
                <w:i w:val="0"/>
                <w:iCs w:val="0"/>
                <w:color w:val="000000"/>
                <w:sz w:val="24"/>
                <w:szCs w:val="24"/>
                <w:u w:val="none"/>
              </w:rPr>
            </w:pPr>
          </w:p>
        </w:tc>
      </w:tr>
      <w:tr w14:paraId="680662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1CF1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F1252">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投标人需提供项目的组织实施方案，包括施工内容及进度安排、施工物资准备、施工进度保证及其他相应材料，要求方案内容全面、科学、可行性强。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方案完整、合理且具有可行性得5分；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方案基本完整且具有一定的可行性得3分；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方案有明显不合理之处或可行性明显不足得1分；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未提供不得分。</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B82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FE9F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3609F">
            <w:pPr>
              <w:jc w:val="center"/>
              <w:rPr>
                <w:rFonts w:hint="eastAsia" w:ascii="宋体" w:hAnsi="宋体" w:eastAsia="宋体" w:cs="宋体"/>
                <w:i w:val="0"/>
                <w:iCs w:val="0"/>
                <w:color w:val="000000"/>
                <w:sz w:val="24"/>
                <w:szCs w:val="24"/>
                <w:u w:val="none"/>
              </w:rPr>
            </w:pPr>
          </w:p>
        </w:tc>
      </w:tr>
      <w:tr w14:paraId="2FA10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51A4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B099D">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质量目标及保证措施：投标人按照采购文件要求有明确的服务质量目标，质量保证措施，并具有详细可行的实施内容等，符合采购需求，能切实保障后续服务质量。</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方案完整、合理且具有可行性得3分；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方案基本完整且具有一定的可行性得2分；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方案有明显不合理之处或可行性明显不足得1分；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未提供不得分。</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D08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9BCA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CDF4A3">
            <w:pPr>
              <w:jc w:val="center"/>
              <w:rPr>
                <w:rFonts w:hint="eastAsia" w:ascii="宋体" w:hAnsi="宋体" w:eastAsia="宋体" w:cs="宋体"/>
                <w:i w:val="0"/>
                <w:iCs w:val="0"/>
                <w:color w:val="000000"/>
                <w:sz w:val="24"/>
                <w:szCs w:val="24"/>
                <w:u w:val="none"/>
              </w:rPr>
            </w:pPr>
          </w:p>
        </w:tc>
      </w:tr>
      <w:tr w14:paraId="713079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6C7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06E62">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根据投标人制定的信息安全保障方案，包括信息安全管理制度、保证措施等。阐述是否全面，方案是否完整，制度设置是否合理，措施是否到位进行打分。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阐述全面，方案完整，制度设置合理，措施到位的得3分；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阐述较为全面，方案较为完整，制度设置较为合理，措施较为到位的得2分；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阐述不够全面，方案不够完整，制度设置不够合理，措施不够到位的得1分；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无信息安全保障方案的不得分。</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628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A2D5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1E3CD3">
            <w:pPr>
              <w:jc w:val="center"/>
              <w:rPr>
                <w:rFonts w:hint="eastAsia" w:ascii="宋体" w:hAnsi="宋体" w:eastAsia="宋体" w:cs="宋体"/>
                <w:i w:val="0"/>
                <w:iCs w:val="0"/>
                <w:color w:val="000000"/>
                <w:sz w:val="24"/>
                <w:szCs w:val="24"/>
                <w:u w:val="none"/>
              </w:rPr>
            </w:pPr>
          </w:p>
        </w:tc>
      </w:tr>
      <w:tr w14:paraId="0C694D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D25D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89010">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投标人提供的服务方案，包括日常巡检、网络维护、运行环境维护，要求具体详细，方案具备科学性、合理性、可操作性。</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方案完整、合理且具有可行性得5分；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方案基本完整且具有一定的可行性得3分；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方案有明显不合理之处或可行性明显不足得1分；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未提供不得分。</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643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4C10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978AE5">
            <w:pPr>
              <w:jc w:val="center"/>
              <w:rPr>
                <w:rFonts w:hint="eastAsia" w:ascii="宋体" w:hAnsi="宋体" w:eastAsia="宋体" w:cs="宋体"/>
                <w:i w:val="0"/>
                <w:iCs w:val="0"/>
                <w:color w:val="000000"/>
                <w:sz w:val="24"/>
                <w:szCs w:val="24"/>
                <w:u w:val="none"/>
              </w:rPr>
            </w:pPr>
          </w:p>
        </w:tc>
      </w:tr>
      <w:tr w14:paraId="388D49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C6C695">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11</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63748">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根据投标人提供的售后服务能力情况，包括售后维护机构和人员情况，售后综合服务能力，专业技术队伍，售后服务响应等内容。阐述是否全面，机构和人员安排是否合理，售后综合服务能力是否可靠，专业技术是否过硬，服务响应是否迅速进行打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阐述全面，机构和人员安排合理，售后综合服务能力可靠，专业技术过硬，服务响应迅速的得5分；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阐述较为全面，机构和人员安排较为合理，售后综合服务能力较为可靠，专业技术较为过硬，服务响应较为迅速的得3分；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阐述不够全面，机构和人员安排不够合理，售后综合服务能力不够可靠，专业技术不够过硬，服务响应不够迅速的得1分；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无售后服务能力的不得分。</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0A4A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F8283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3490E8">
            <w:pPr>
              <w:jc w:val="center"/>
              <w:rPr>
                <w:rFonts w:hint="eastAsia" w:ascii="宋体" w:hAnsi="宋体" w:eastAsia="宋体" w:cs="宋体"/>
                <w:i w:val="0"/>
                <w:iCs w:val="0"/>
                <w:color w:val="000000"/>
                <w:sz w:val="24"/>
                <w:szCs w:val="24"/>
                <w:u w:val="none"/>
              </w:rPr>
            </w:pPr>
          </w:p>
        </w:tc>
      </w:tr>
      <w:tr w14:paraId="19C5AE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484037">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12</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1C170">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根据投标人提出培训方案，包括培训计划、地点、组织、人员配备、软硬件资料等，要求方案内容全面、科学、可行性强。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方案完整、合理且具有可行性得5分；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方案基本完整且具有一定的可行性得3分；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方案有明显不合理之处或可行性明显不足得1分；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未提供不得分。</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5C0F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CCC24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37D6D">
            <w:pPr>
              <w:jc w:val="center"/>
              <w:rPr>
                <w:rFonts w:hint="eastAsia" w:ascii="宋体" w:hAnsi="宋体" w:eastAsia="宋体" w:cs="宋体"/>
                <w:i w:val="0"/>
                <w:iCs w:val="0"/>
                <w:color w:val="000000"/>
                <w:sz w:val="24"/>
                <w:szCs w:val="24"/>
                <w:u w:val="none"/>
              </w:rPr>
            </w:pPr>
          </w:p>
        </w:tc>
      </w:tr>
      <w:tr w14:paraId="75AC21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E31438">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13</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A3ADA">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投标人应建立完善的应急响应方案，有故障分级标准、故障处理流程、故障抢修方案等，要求方案内容全面、科学、可行性强。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方案完整、合理且具有可行性得5分；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方案基本完整且具有一定的可行性得3分；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方案有明显不合理之处或可行性明显不足得1分；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未提供不得分。</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B695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02F495">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EB82AD">
            <w:pPr>
              <w:jc w:val="center"/>
              <w:rPr>
                <w:rFonts w:hint="eastAsia" w:ascii="宋体" w:hAnsi="宋体" w:eastAsia="宋体" w:cs="宋体"/>
                <w:i w:val="0"/>
                <w:iCs w:val="0"/>
                <w:color w:val="000000"/>
                <w:sz w:val="24"/>
                <w:szCs w:val="24"/>
                <w:u w:val="none"/>
              </w:rPr>
            </w:pPr>
          </w:p>
        </w:tc>
      </w:tr>
      <w:tr w14:paraId="39257F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114DDF">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14</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C74EB">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本项目须配置1名项目经理。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项目经理同时具有：信息系统项目管理师、网络规划设计师、系统分析工程师、网络工程师。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每个得1分，最高得4分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（上述人员需同时提供证书原件扫描件、投标截止日前3个月及以上社保证明，并加盖投标单位公章或电子签章）。</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3857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BB9AE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客观分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A1A51C">
            <w:pPr>
              <w:jc w:val="center"/>
              <w:rPr>
                <w:rFonts w:hint="eastAsia" w:ascii="宋体" w:hAnsi="宋体" w:eastAsia="宋体" w:cs="宋体"/>
                <w:i w:val="0"/>
                <w:iCs w:val="0"/>
                <w:color w:val="000000"/>
                <w:sz w:val="24"/>
                <w:szCs w:val="24"/>
                <w:u w:val="none"/>
              </w:rPr>
            </w:pPr>
          </w:p>
        </w:tc>
      </w:tr>
      <w:tr w14:paraId="1420E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70DD3C">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15</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D2045">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本项目组成员须配置1名技术负责人。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项目技术负责人同时具有：信息系统项目管理师、数据库系统工程师、网络工程师、CISAW信息安全保障人员认证；</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每个得1分，最高得4分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（上述人员需同时提供证书原件扫描件、投标截止日前3个月及以上社保证明，并加盖投标单位公章或电子签章）。</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1101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D913D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客观分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B06D9F">
            <w:pPr>
              <w:jc w:val="center"/>
              <w:rPr>
                <w:rFonts w:hint="eastAsia" w:ascii="宋体" w:hAnsi="宋体" w:eastAsia="宋体" w:cs="宋体"/>
                <w:i w:val="0"/>
                <w:iCs w:val="0"/>
                <w:color w:val="000000"/>
                <w:sz w:val="24"/>
                <w:szCs w:val="24"/>
                <w:u w:val="none"/>
              </w:rPr>
            </w:pPr>
          </w:p>
        </w:tc>
      </w:tr>
      <w:tr w14:paraId="438D0A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01A7F0">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16</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75FA8">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本项目组成员须配置1名运维负责人。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项目运维负责人同时具有：信息系统项目管理师、网络工程师、ITSS-IT服务项目经理、注册信息安全专业人员证书。</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每个得1分，最高得4分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（上述人员需同时提供证书原件扫描件、投标截止日前3个月及以上社保证明，并加盖投标单位公章或电子签章）。</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5911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27EF1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客观分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065BC">
            <w:pPr>
              <w:jc w:val="center"/>
              <w:rPr>
                <w:rFonts w:hint="eastAsia" w:ascii="宋体" w:hAnsi="宋体" w:eastAsia="宋体" w:cs="宋体"/>
                <w:i w:val="0"/>
                <w:iCs w:val="0"/>
                <w:color w:val="000000"/>
                <w:sz w:val="24"/>
                <w:szCs w:val="24"/>
                <w:u w:val="none"/>
              </w:rPr>
            </w:pPr>
          </w:p>
        </w:tc>
      </w:tr>
      <w:tr w14:paraId="474E74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842F8A">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17</w:t>
            </w:r>
          </w:p>
        </w:tc>
        <w:tc>
          <w:tcPr>
            <w:tcW w:w="7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D544B">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项目组成员中（项目经理、技术负责人及运维负责人除外）拟派技术人员具备高级工程师、网络工程师、信息系统项目管理师、注册信息安全专业人员证书，每提供一个证书得1分，最高得5分；同一人员不重复计分，每类证书得分不超过1分。（提供相关有效证明材料）</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（提供证书复印件、投标人单位社保缴纳记录或与投标人签订的劳动合同等其他证明材料，并加盖投标单位公章或电子签章）</w:t>
            </w:r>
          </w:p>
        </w:tc>
        <w:tc>
          <w:tcPr>
            <w:tcW w:w="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456C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D53751">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客观分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4BAD39">
            <w:pPr>
              <w:jc w:val="center"/>
              <w:rPr>
                <w:rFonts w:hint="eastAsia" w:ascii="宋体" w:hAnsi="宋体" w:eastAsia="宋体" w:cs="宋体"/>
                <w:i w:val="0"/>
                <w:iCs w:val="0"/>
                <w:color w:val="000000"/>
                <w:sz w:val="24"/>
                <w:szCs w:val="24"/>
                <w:u w:val="none"/>
              </w:rPr>
            </w:pPr>
          </w:p>
        </w:tc>
      </w:tr>
      <w:tr w14:paraId="53E752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10C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top"/>
          </w:tcPr>
          <w:p w14:paraId="166E77F9">
            <w:pPr>
              <w:keepNext w:val="0"/>
              <w:keepLines w:val="0"/>
              <w:widowControl/>
              <w:suppressLineNumbers w:val="0"/>
              <w:jc w:val="left"/>
              <w:textAlignment w:val="top"/>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采用低价优先法计算，即满足招标文件要求且投标价格最低的投标报价为评标基准价，其他投标人的价格分按照下列公式计算：投标报价得分=（评标基准价／投标报价）×价格权值×100（精确到小数点后二位）评标过程中，不得去掉报价中的最高报价和最低报价。因落实政府采购政策需要进行价格调整的，以调整后的价格计算评标基准价和投标报价。</w:t>
            </w:r>
          </w:p>
          <w:p w14:paraId="0BE8D2D4">
            <w:pPr>
              <w:keepNext w:val="0"/>
              <w:keepLines w:val="0"/>
              <w:widowControl/>
              <w:suppressLineNumbers w:val="0"/>
              <w:jc w:val="left"/>
              <w:textAlignment w:val="top"/>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6A34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3AC5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价格分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2C12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r>
    </w:tbl>
    <w:p w14:paraId="4602F52D">
      <w:pPr>
        <w:rPr>
          <w:color w:val="auto"/>
          <w:highlight w:val="none"/>
        </w:rPr>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w:t>
      </w:r>
      <w:bookmarkStart w:id="520" w:name="_GoBack"/>
      <w:bookmarkEnd w:id="520"/>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
        <w:snapToGrid w:val="0"/>
        <w:spacing w:line="360" w:lineRule="auto"/>
        <w:ind w:firstLine="0" w:firstLineChars="0"/>
        <w:rPr>
          <w:rFonts w:cs="宋体"/>
          <w:color w:val="auto"/>
          <w:highlight w:val="none"/>
        </w:rPr>
      </w:pPr>
    </w:p>
    <w:bookmarkEnd w:id="27"/>
    <w:p w14:paraId="414513D2">
      <w:pPr>
        <w:spacing w:line="360" w:lineRule="auto"/>
        <w:ind w:left="720" w:leftChars="343" w:firstLine="1084" w:firstLineChars="300"/>
        <w:outlineLvl w:val="0"/>
        <w:rPr>
          <w:rFonts w:ascii="宋体" w:hAnsi="宋体" w:cs="宋体"/>
          <w:b/>
          <w:color w:val="auto"/>
          <w:sz w:val="36"/>
          <w:szCs w:val="36"/>
          <w:highlight w:val="none"/>
        </w:rPr>
      </w:pPr>
      <w:bookmarkStart w:id="394" w:name="第五部分"/>
      <w:bookmarkStart w:id="395"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0"/>
        <w:rPr>
          <w:rFonts w:ascii="宋体" w:hAnsi="宋体" w:cs="宋体"/>
          <w:b/>
          <w:color w:val="auto"/>
          <w:sz w:val="36"/>
          <w:szCs w:val="36"/>
          <w:highlight w:val="none"/>
        </w:rPr>
      </w:pPr>
    </w:p>
    <w:p w14:paraId="6D25ECCD">
      <w:pPr>
        <w:spacing w:line="360" w:lineRule="auto"/>
        <w:ind w:left="720" w:leftChars="343" w:firstLine="1084" w:firstLineChars="300"/>
        <w:outlineLvl w:val="0"/>
        <w:rPr>
          <w:rFonts w:ascii="宋体" w:hAnsi="宋体" w:cs="宋体"/>
          <w:b/>
          <w:color w:val="auto"/>
          <w:sz w:val="36"/>
          <w:szCs w:val="36"/>
          <w:highlight w:val="none"/>
        </w:rPr>
      </w:pPr>
    </w:p>
    <w:p w14:paraId="2CC431D9">
      <w:pPr>
        <w:spacing w:line="360" w:lineRule="auto"/>
        <w:ind w:left="720" w:leftChars="343" w:firstLine="1084" w:firstLineChars="300"/>
        <w:outlineLvl w:val="0"/>
        <w:rPr>
          <w:rFonts w:ascii="宋体" w:hAnsi="宋体" w:cs="宋体"/>
          <w:b/>
          <w:color w:val="auto"/>
          <w:sz w:val="36"/>
          <w:szCs w:val="36"/>
          <w:highlight w:val="none"/>
        </w:rPr>
      </w:pPr>
    </w:p>
    <w:p w14:paraId="027BB869">
      <w:pPr>
        <w:spacing w:line="360" w:lineRule="auto"/>
        <w:ind w:left="720" w:leftChars="343" w:firstLine="1084" w:firstLineChars="300"/>
        <w:outlineLvl w:val="0"/>
        <w:rPr>
          <w:rFonts w:ascii="宋体" w:hAnsi="宋体" w:cs="宋体"/>
          <w:b/>
          <w:color w:val="auto"/>
          <w:sz w:val="36"/>
          <w:szCs w:val="36"/>
          <w:highlight w:val="none"/>
        </w:rPr>
      </w:pPr>
    </w:p>
    <w:p w14:paraId="6D191506">
      <w:pPr>
        <w:spacing w:line="360" w:lineRule="auto"/>
        <w:ind w:left="720" w:leftChars="343" w:firstLine="1084" w:firstLineChars="300"/>
        <w:outlineLvl w:val="0"/>
        <w:rPr>
          <w:rFonts w:ascii="宋体" w:hAnsi="宋体" w:cs="宋体"/>
          <w:b/>
          <w:color w:val="auto"/>
          <w:sz w:val="36"/>
          <w:szCs w:val="36"/>
          <w:highlight w:val="none"/>
        </w:rPr>
      </w:pPr>
    </w:p>
    <w:p w14:paraId="1100B8C1">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3CEA968D">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1642AA">
      <w:pPr>
        <w:spacing w:before="120" w:line="22" w:lineRule="atLeast"/>
        <w:rPr>
          <w:rFonts w:ascii="宋体" w:hAnsi="宋体" w:cs="宋体"/>
          <w:color w:val="auto"/>
          <w:sz w:val="24"/>
          <w:highlight w:val="none"/>
        </w:rPr>
      </w:pPr>
    </w:p>
    <w:p w14:paraId="4EB107E0">
      <w:pPr>
        <w:pStyle w:val="4"/>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599"/>
        <w:spacing w:before="120" w:line="22" w:lineRule="atLeast"/>
        <w:rPr>
          <w:rFonts w:ascii="宋体" w:hAnsi="宋体" w:eastAsia="宋体" w:cs="宋体"/>
          <w:color w:val="auto"/>
          <w:szCs w:val="24"/>
          <w:highlight w:val="none"/>
        </w:rPr>
      </w:pPr>
    </w:p>
    <w:p w14:paraId="5912128F">
      <w:pPr>
        <w:pStyle w:val="599"/>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3FDA7BA">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719C4F9E">
      <w:pPr>
        <w:rPr>
          <w:rFonts w:ascii="宋体" w:hAnsi="宋体" w:cs="宋体"/>
          <w:b/>
          <w:color w:val="auto"/>
          <w:sz w:val="24"/>
          <w:highlight w:val="none"/>
        </w:rPr>
      </w:pPr>
    </w:p>
    <w:p w14:paraId="405B9D1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杭州市余杭区人民政府余杭街道办事处</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2025年余杭街道雪亮工程(城南片)服务项目</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杭州市余杭区人民政府余杭街道办事处</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396" w:name="_Toc15367"/>
      <w:bookmarkStart w:id="397" w:name="_Toc28855"/>
      <w:bookmarkStart w:id="398" w:name="_Toc19273"/>
      <w:bookmarkStart w:id="399" w:name="_Toc22967"/>
      <w:bookmarkStart w:id="400" w:name="_Toc20421"/>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6"/>
      <w:bookmarkEnd w:id="397"/>
      <w:bookmarkEnd w:id="398"/>
      <w:bookmarkEnd w:id="399"/>
      <w:bookmarkEnd w:id="400"/>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401" w:name="_Toc6773"/>
      <w:bookmarkStart w:id="402" w:name="_Toc6311"/>
      <w:bookmarkStart w:id="403" w:name="_Toc2918"/>
      <w:bookmarkStart w:id="404" w:name="_Toc18585"/>
      <w:bookmarkStart w:id="405" w:name="_Toc22185"/>
      <w:r>
        <w:rPr>
          <w:rFonts w:ascii="宋体" w:hAnsi="宋体"/>
          <w:b/>
          <w:color w:val="auto"/>
          <w:sz w:val="24"/>
          <w:highlight w:val="none"/>
        </w:rPr>
        <w:t xml:space="preserve">1.2 </w:t>
      </w:r>
      <w:r>
        <w:rPr>
          <w:rFonts w:hint="eastAsia" w:ascii="宋体" w:hAnsi="宋体"/>
          <w:b/>
          <w:color w:val="auto"/>
          <w:sz w:val="24"/>
          <w:highlight w:val="none"/>
        </w:rPr>
        <w:t>标的</w:t>
      </w:r>
      <w:bookmarkEnd w:id="401"/>
      <w:bookmarkEnd w:id="402"/>
      <w:bookmarkEnd w:id="403"/>
      <w:bookmarkEnd w:id="404"/>
      <w:bookmarkEnd w:id="405"/>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3AAC5AD">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66FDA7A">
      <w:pPr>
        <w:spacing w:line="560" w:lineRule="exact"/>
        <w:ind w:firstLine="480" w:firstLineChars="200"/>
        <w:rPr>
          <w:rFonts w:ascii="宋体" w:hAnsi="宋体" w:cs="宋体"/>
          <w:color w:val="auto"/>
          <w:sz w:val="24"/>
          <w:highlight w:val="none"/>
          <w:u w:val="single"/>
        </w:rPr>
      </w:pPr>
      <w:bookmarkStart w:id="406" w:name="_Toc1386"/>
      <w:bookmarkStart w:id="407" w:name="_Toc5635"/>
      <w:bookmarkStart w:id="408" w:name="_Toc4929"/>
      <w:bookmarkStart w:id="409" w:name="_Toc21124"/>
      <w:bookmarkStart w:id="410" w:name="_Toc13918"/>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BD99C8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AA7C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6"/>
      <w:bookmarkEnd w:id="407"/>
      <w:bookmarkEnd w:id="408"/>
      <w:bookmarkEnd w:id="409"/>
      <w:bookmarkEnd w:id="410"/>
    </w:p>
    <w:p w14:paraId="712B904F">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C903D77">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576675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665A0C">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0"/>
              <w:spacing w:line="560" w:lineRule="exact"/>
              <w:ind w:firstLine="200"/>
              <w:jc w:val="center"/>
              <w:rPr>
                <w:rFonts w:hAnsi="宋体"/>
                <w:color w:val="auto"/>
                <w:sz w:val="24"/>
                <w:szCs w:val="24"/>
                <w:highlight w:val="none"/>
              </w:rPr>
            </w:pPr>
          </w:p>
        </w:tc>
        <w:tc>
          <w:tcPr>
            <w:tcW w:w="3402" w:type="dxa"/>
            <w:vAlign w:val="center"/>
          </w:tcPr>
          <w:p w14:paraId="66BDB431">
            <w:pPr>
              <w:pStyle w:val="320"/>
              <w:spacing w:line="560" w:lineRule="exact"/>
              <w:ind w:firstLine="200"/>
              <w:jc w:val="center"/>
              <w:rPr>
                <w:rFonts w:hAnsi="宋体"/>
                <w:color w:val="auto"/>
                <w:sz w:val="24"/>
                <w:szCs w:val="24"/>
                <w:highlight w:val="none"/>
              </w:rPr>
            </w:pPr>
          </w:p>
        </w:tc>
        <w:tc>
          <w:tcPr>
            <w:tcW w:w="2552" w:type="dxa"/>
            <w:vAlign w:val="center"/>
          </w:tcPr>
          <w:p w14:paraId="0EC443E3">
            <w:pPr>
              <w:pStyle w:val="320"/>
              <w:spacing w:line="560" w:lineRule="exact"/>
              <w:ind w:firstLine="200"/>
              <w:jc w:val="center"/>
              <w:rPr>
                <w:rFonts w:hAnsi="宋体"/>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F8131D">
            <w:pPr>
              <w:pStyle w:val="320"/>
              <w:spacing w:line="560" w:lineRule="exact"/>
              <w:ind w:firstLine="200"/>
              <w:jc w:val="center"/>
              <w:rPr>
                <w:rFonts w:hAnsi="宋体"/>
                <w:color w:val="auto"/>
                <w:sz w:val="24"/>
                <w:szCs w:val="24"/>
                <w:highlight w:val="none"/>
              </w:rPr>
            </w:pPr>
          </w:p>
        </w:tc>
        <w:tc>
          <w:tcPr>
            <w:tcW w:w="3402" w:type="dxa"/>
            <w:vAlign w:val="center"/>
          </w:tcPr>
          <w:p w14:paraId="26CA5BD6">
            <w:pPr>
              <w:pStyle w:val="320"/>
              <w:spacing w:line="560" w:lineRule="exact"/>
              <w:ind w:firstLine="200"/>
              <w:jc w:val="center"/>
              <w:rPr>
                <w:rFonts w:hAnsi="宋体"/>
                <w:color w:val="auto"/>
                <w:sz w:val="24"/>
                <w:szCs w:val="24"/>
                <w:highlight w:val="none"/>
              </w:rPr>
            </w:pPr>
          </w:p>
        </w:tc>
        <w:tc>
          <w:tcPr>
            <w:tcW w:w="2552" w:type="dxa"/>
            <w:vAlign w:val="center"/>
          </w:tcPr>
          <w:p w14:paraId="0258EB1E">
            <w:pPr>
              <w:pStyle w:val="320"/>
              <w:spacing w:line="560" w:lineRule="exact"/>
              <w:ind w:firstLine="200"/>
              <w:jc w:val="center"/>
              <w:rPr>
                <w:rFonts w:hAnsi="宋体"/>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0"/>
              <w:spacing w:line="560" w:lineRule="exact"/>
              <w:ind w:firstLine="200"/>
              <w:jc w:val="center"/>
              <w:rPr>
                <w:rFonts w:hAnsi="宋体"/>
                <w:color w:val="auto"/>
                <w:sz w:val="24"/>
                <w:szCs w:val="24"/>
                <w:highlight w:val="none"/>
              </w:rPr>
            </w:pPr>
          </w:p>
        </w:tc>
        <w:tc>
          <w:tcPr>
            <w:tcW w:w="3402" w:type="dxa"/>
            <w:vAlign w:val="center"/>
          </w:tcPr>
          <w:p w14:paraId="637D5711">
            <w:pPr>
              <w:pStyle w:val="320"/>
              <w:spacing w:line="560" w:lineRule="exact"/>
              <w:ind w:firstLine="200"/>
              <w:jc w:val="center"/>
              <w:rPr>
                <w:rFonts w:hAnsi="宋体"/>
                <w:color w:val="auto"/>
                <w:sz w:val="24"/>
                <w:szCs w:val="24"/>
                <w:highlight w:val="none"/>
              </w:rPr>
            </w:pPr>
          </w:p>
        </w:tc>
        <w:tc>
          <w:tcPr>
            <w:tcW w:w="2552" w:type="dxa"/>
            <w:vAlign w:val="center"/>
          </w:tcPr>
          <w:p w14:paraId="42D0E712">
            <w:pPr>
              <w:pStyle w:val="320"/>
              <w:spacing w:line="560" w:lineRule="exact"/>
              <w:ind w:firstLine="200"/>
              <w:jc w:val="center"/>
              <w:rPr>
                <w:rFonts w:hAnsi="宋体"/>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0D093970">
            <w:pPr>
              <w:pStyle w:val="320"/>
              <w:spacing w:line="560" w:lineRule="exact"/>
              <w:ind w:firstLine="200"/>
              <w:jc w:val="center"/>
              <w:rPr>
                <w:rFonts w:hAnsi="宋体"/>
                <w:color w:val="auto"/>
                <w:sz w:val="24"/>
                <w:szCs w:val="24"/>
                <w:highlight w:val="none"/>
              </w:rPr>
            </w:pPr>
          </w:p>
        </w:tc>
        <w:tc>
          <w:tcPr>
            <w:tcW w:w="3402" w:type="dxa"/>
            <w:vAlign w:val="center"/>
          </w:tcPr>
          <w:p w14:paraId="14D192BB">
            <w:pPr>
              <w:pStyle w:val="320"/>
              <w:spacing w:line="560" w:lineRule="exact"/>
              <w:ind w:firstLine="200"/>
              <w:jc w:val="center"/>
              <w:rPr>
                <w:rFonts w:hAnsi="宋体"/>
                <w:color w:val="auto"/>
                <w:sz w:val="24"/>
                <w:szCs w:val="24"/>
                <w:highlight w:val="none"/>
              </w:rPr>
            </w:pPr>
          </w:p>
        </w:tc>
        <w:tc>
          <w:tcPr>
            <w:tcW w:w="2552" w:type="dxa"/>
            <w:vAlign w:val="center"/>
          </w:tcPr>
          <w:p w14:paraId="0E5769EB">
            <w:pPr>
              <w:pStyle w:val="320"/>
              <w:spacing w:line="560" w:lineRule="exact"/>
              <w:ind w:firstLine="200"/>
              <w:jc w:val="center"/>
              <w:rPr>
                <w:rFonts w:hAnsi="宋体"/>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94A62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55220FD">
            <w:pPr>
              <w:pStyle w:val="320"/>
              <w:spacing w:line="560" w:lineRule="exact"/>
              <w:ind w:firstLine="200"/>
              <w:jc w:val="center"/>
              <w:rPr>
                <w:rFonts w:hAnsi="宋体"/>
                <w:color w:val="auto"/>
                <w:sz w:val="24"/>
                <w:szCs w:val="24"/>
                <w:highlight w:val="none"/>
              </w:rPr>
            </w:pPr>
          </w:p>
        </w:tc>
      </w:tr>
    </w:tbl>
    <w:p w14:paraId="0A8B29F3">
      <w:pPr>
        <w:spacing w:line="560" w:lineRule="exact"/>
        <w:ind w:firstLine="480" w:firstLineChars="200"/>
        <w:rPr>
          <w:rFonts w:ascii="宋体" w:hAnsi="宋体"/>
          <w:color w:val="auto"/>
          <w:sz w:val="24"/>
          <w:highlight w:val="none"/>
        </w:rPr>
      </w:pPr>
      <w:bookmarkStart w:id="411" w:name="_Toc14993"/>
      <w:bookmarkStart w:id="412" w:name="_Toc30506"/>
      <w:bookmarkStart w:id="413" w:name="_Toc26916"/>
      <w:bookmarkStart w:id="414" w:name="_Toc30158"/>
      <w:bookmarkStart w:id="415" w:name="_Toc3654"/>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FFF984">
      <w:pPr>
        <w:pStyle w:val="4"/>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1"/>
    <w:bookmarkEnd w:id="412"/>
    <w:bookmarkEnd w:id="413"/>
    <w:bookmarkEnd w:id="414"/>
    <w:bookmarkEnd w:id="415"/>
    <w:p w14:paraId="2F5CCC91">
      <w:pPr>
        <w:pStyle w:val="960"/>
        <w:spacing w:before="0" w:beforeAutospacing="0" w:after="0" w:afterAutospacing="0" w:line="360" w:lineRule="auto"/>
        <w:ind w:firstLine="480"/>
        <w:rPr>
          <w:b/>
          <w:color w:val="auto"/>
          <w:highlight w:val="none"/>
        </w:rPr>
      </w:pPr>
      <w:bookmarkStart w:id="416" w:name="_Toc10340"/>
      <w:bookmarkStart w:id="417" w:name="_Toc22618"/>
      <w:bookmarkStart w:id="418" w:name="_Toc1814"/>
      <w:bookmarkStart w:id="419" w:name="_Toc31421"/>
      <w:bookmarkStart w:id="420" w:name="_Toc8772"/>
      <w:bookmarkStart w:id="421" w:name="_Toc3625"/>
      <w:bookmarkStart w:id="422" w:name="_Toc4760"/>
      <w:bookmarkStart w:id="423" w:name="_Toc11108"/>
      <w:r>
        <w:rPr>
          <w:rFonts w:hint="eastAsia"/>
          <w:b/>
          <w:color w:val="auto"/>
          <w:highlight w:val="none"/>
        </w:rPr>
        <w:t>1.4履约保证金</w:t>
      </w:r>
    </w:p>
    <w:p w14:paraId="74D47AFB">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7C09E9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1554AC7">
      <w:pPr>
        <w:pStyle w:val="4"/>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472C46F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6"/>
      <w:bookmarkEnd w:id="417"/>
      <w:bookmarkEnd w:id="418"/>
      <w:r>
        <w:rPr>
          <w:rFonts w:hint="eastAsia" w:ascii="宋体" w:hAnsi="宋体" w:cs="宋体"/>
          <w:b/>
          <w:color w:val="auto"/>
          <w:sz w:val="24"/>
          <w:highlight w:val="none"/>
        </w:rPr>
        <w:t>预付款</w:t>
      </w:r>
    </w:p>
    <w:p w14:paraId="7C829B0B">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FB1320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9"/>
      <w:bookmarkEnd w:id="420"/>
      <w:bookmarkEnd w:id="421"/>
      <w:bookmarkEnd w:id="422"/>
      <w:bookmarkEnd w:id="423"/>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47271F2">
      <w:pPr>
        <w:spacing w:line="560" w:lineRule="exact"/>
        <w:ind w:firstLine="480" w:firstLineChars="200"/>
        <w:outlineLvl w:val="0"/>
        <w:rPr>
          <w:rFonts w:ascii="宋体" w:hAnsi="宋体"/>
          <w:bCs/>
          <w:color w:val="auto"/>
          <w:sz w:val="24"/>
          <w:highlight w:val="none"/>
        </w:rPr>
      </w:pPr>
      <w:bookmarkStart w:id="424" w:name="_Toc5698"/>
      <w:bookmarkStart w:id="425" w:name="_Toc3079"/>
      <w:bookmarkStart w:id="426" w:name="_Toc24662"/>
      <w:bookmarkStart w:id="427" w:name="_Toc2375"/>
      <w:bookmarkStart w:id="428" w:name="_Toc8586"/>
      <w:r>
        <w:rPr>
          <w:rFonts w:hint="eastAsia" w:ascii="宋体" w:hAnsi="宋体"/>
          <w:bCs/>
          <w:color w:val="auto"/>
          <w:sz w:val="24"/>
          <w:highlight w:val="none"/>
        </w:rPr>
        <w:t>1.7.4若服务</w:t>
      </w:r>
      <w:r>
        <w:rPr>
          <w:rFonts w:hint="eastAsia"/>
          <w:bCs/>
          <w:color w:val="auto"/>
          <w:sz w:val="24"/>
          <w:highlight w:val="none"/>
        </w:rPr>
        <w:t>涉及货物的，则货物的：</w:t>
      </w:r>
    </w:p>
    <w:p w14:paraId="44E129F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4B4086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ECE16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4"/>
      <w:bookmarkEnd w:id="425"/>
      <w:bookmarkEnd w:id="426"/>
      <w:bookmarkEnd w:id="427"/>
      <w:bookmarkEnd w:id="428"/>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4"/>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29" w:name="_Toc26807"/>
      <w:bookmarkStart w:id="430" w:name="_Toc9497"/>
      <w:bookmarkStart w:id="431" w:name="_Toc30329"/>
      <w:bookmarkStart w:id="432" w:name="_Toc32454"/>
      <w:bookmarkStart w:id="433" w:name="_Toc18683"/>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9"/>
    <w:bookmarkEnd w:id="430"/>
    <w:bookmarkEnd w:id="431"/>
    <w:bookmarkEnd w:id="432"/>
    <w:bookmarkEnd w:id="433"/>
    <w:p w14:paraId="1A3040A7">
      <w:pPr>
        <w:spacing w:line="560" w:lineRule="exact"/>
        <w:ind w:firstLine="482" w:firstLineChars="200"/>
        <w:outlineLvl w:val="0"/>
        <w:rPr>
          <w:rFonts w:ascii="宋体" w:hAnsi="宋体" w:cs="宋体"/>
          <w:b/>
          <w:color w:val="auto"/>
          <w:sz w:val="24"/>
          <w:highlight w:val="none"/>
        </w:rPr>
      </w:pPr>
      <w:bookmarkStart w:id="434" w:name="_Toc15583"/>
      <w:bookmarkStart w:id="435" w:name="_Toc28375"/>
      <w:bookmarkStart w:id="436" w:name="_Toc16021"/>
      <w:r>
        <w:rPr>
          <w:rFonts w:hint="eastAsia" w:ascii="宋体" w:hAnsi="宋体" w:cs="宋体"/>
          <w:b/>
          <w:color w:val="auto"/>
          <w:sz w:val="24"/>
          <w:highlight w:val="none"/>
        </w:rPr>
        <w:t>1.9合同争议的解决</w:t>
      </w:r>
      <w:bookmarkEnd w:id="434"/>
      <w:bookmarkEnd w:id="435"/>
      <w:bookmarkEnd w:id="436"/>
    </w:p>
    <w:p w14:paraId="183DFE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45D6BA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8261CC6">
      <w:pPr>
        <w:spacing w:line="560" w:lineRule="exact"/>
        <w:ind w:firstLine="482" w:firstLineChars="200"/>
        <w:outlineLvl w:val="0"/>
        <w:rPr>
          <w:rFonts w:ascii="宋体" w:hAnsi="宋体" w:cs="宋体"/>
          <w:b/>
          <w:color w:val="auto"/>
          <w:sz w:val="24"/>
          <w:highlight w:val="none"/>
        </w:rPr>
      </w:pPr>
      <w:bookmarkStart w:id="437" w:name="_Toc15322"/>
      <w:bookmarkStart w:id="438" w:name="_Toc11173"/>
      <w:bookmarkStart w:id="439" w:name="_Toc7245"/>
      <w:r>
        <w:rPr>
          <w:rFonts w:hint="eastAsia" w:ascii="宋体" w:hAnsi="宋体" w:cs="宋体"/>
          <w:b/>
          <w:color w:val="auto"/>
          <w:sz w:val="24"/>
          <w:highlight w:val="none"/>
        </w:rPr>
        <w:t>2.0 合同生效</w:t>
      </w:r>
      <w:bookmarkEnd w:id="437"/>
      <w:bookmarkEnd w:id="438"/>
      <w:bookmarkEnd w:id="439"/>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11A8BEBE">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D3BED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0145408">
      <w:pPr>
        <w:autoSpaceDE w:val="0"/>
        <w:autoSpaceDN w:val="0"/>
        <w:spacing w:line="560" w:lineRule="exact"/>
        <w:rPr>
          <w:rFonts w:ascii="宋体" w:hAnsi="宋体"/>
          <w:color w:val="auto"/>
          <w:sz w:val="24"/>
          <w:highlight w:val="none"/>
          <w:lang w:val="zh-CN"/>
        </w:rPr>
      </w:pPr>
    </w:p>
    <w:p w14:paraId="69A42A0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21C1AF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232A8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A6DB5E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10BC833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9C0BA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A8E668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41DE9B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9B1849">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E6BB4B7">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CA46E1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EB1D20A">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EE7E088">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6C82517">
      <w:pPr>
        <w:spacing w:line="560" w:lineRule="exact"/>
        <w:ind w:firstLine="482" w:firstLineChars="200"/>
        <w:outlineLvl w:val="0"/>
        <w:rPr>
          <w:rFonts w:ascii="宋体" w:hAnsi="宋体"/>
          <w:b/>
          <w:color w:val="auto"/>
          <w:sz w:val="24"/>
          <w:highlight w:val="none"/>
        </w:rPr>
      </w:pPr>
      <w:bookmarkStart w:id="440" w:name="_Toc14021"/>
      <w:bookmarkStart w:id="441" w:name="_Toc19680"/>
      <w:bookmarkStart w:id="442" w:name="_Toc25079"/>
      <w:bookmarkStart w:id="443" w:name="_Toc31297"/>
      <w:bookmarkStart w:id="444" w:name="_Toc5228"/>
      <w:r>
        <w:rPr>
          <w:rFonts w:ascii="宋体" w:hAnsi="宋体"/>
          <w:b/>
          <w:color w:val="auto"/>
          <w:sz w:val="24"/>
          <w:highlight w:val="none"/>
        </w:rPr>
        <w:t>2.1 定义</w:t>
      </w:r>
      <w:bookmarkEnd w:id="440"/>
      <w:bookmarkEnd w:id="441"/>
      <w:bookmarkEnd w:id="442"/>
      <w:bookmarkEnd w:id="443"/>
      <w:bookmarkEnd w:id="444"/>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45" w:name="_Toc16752"/>
      <w:bookmarkStart w:id="446" w:name="_Toc23289"/>
      <w:bookmarkStart w:id="447" w:name="_Toc3769"/>
      <w:bookmarkStart w:id="448" w:name="_Toc31402"/>
      <w:bookmarkStart w:id="449" w:name="_Toc19539"/>
      <w:r>
        <w:rPr>
          <w:rFonts w:ascii="宋体" w:hAnsi="宋体"/>
          <w:b/>
          <w:color w:val="auto"/>
          <w:sz w:val="24"/>
          <w:highlight w:val="none"/>
        </w:rPr>
        <w:t>2.2 技术规范</w:t>
      </w:r>
      <w:bookmarkEnd w:id="445"/>
      <w:bookmarkEnd w:id="446"/>
      <w:bookmarkEnd w:id="447"/>
      <w:bookmarkEnd w:id="448"/>
      <w:bookmarkEnd w:id="449"/>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50" w:name="_Toc27945"/>
      <w:bookmarkStart w:id="451" w:name="_Toc4133"/>
      <w:bookmarkStart w:id="452" w:name="_Toc13673"/>
      <w:bookmarkStart w:id="453" w:name="_Toc9161"/>
      <w:bookmarkStart w:id="454" w:name="_Toc12412"/>
      <w:r>
        <w:rPr>
          <w:rFonts w:ascii="宋体" w:hAnsi="宋体"/>
          <w:b/>
          <w:color w:val="auto"/>
          <w:sz w:val="24"/>
          <w:highlight w:val="none"/>
        </w:rPr>
        <w:t>2.3 知识产权</w:t>
      </w:r>
      <w:bookmarkEnd w:id="450"/>
      <w:bookmarkEnd w:id="451"/>
      <w:bookmarkEnd w:id="452"/>
      <w:bookmarkEnd w:id="453"/>
      <w:bookmarkEnd w:id="454"/>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455" w:name="_Toc26555"/>
      <w:bookmarkStart w:id="456" w:name="_Toc15447"/>
      <w:bookmarkStart w:id="457" w:name="_Toc32670"/>
      <w:bookmarkStart w:id="458" w:name="_Toc31233"/>
      <w:bookmarkStart w:id="459" w:name="_Toc22011"/>
      <w:r>
        <w:rPr>
          <w:rFonts w:ascii="宋体" w:hAnsi="宋体"/>
          <w:b/>
          <w:color w:val="auto"/>
          <w:sz w:val="24"/>
          <w:highlight w:val="none"/>
        </w:rPr>
        <w:t>2.5 结算方式和付款条件</w:t>
      </w:r>
      <w:bookmarkEnd w:id="455"/>
      <w:bookmarkEnd w:id="456"/>
      <w:bookmarkEnd w:id="457"/>
      <w:bookmarkEnd w:id="458"/>
      <w:bookmarkEnd w:id="459"/>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460" w:name="_Toc16163"/>
      <w:bookmarkStart w:id="461" w:name="_Toc30507"/>
      <w:bookmarkStart w:id="462" w:name="_Toc13467"/>
      <w:bookmarkStart w:id="463" w:name="_Toc13154"/>
      <w:bookmarkStart w:id="464" w:name="_Toc18990"/>
      <w:r>
        <w:rPr>
          <w:rFonts w:ascii="宋体" w:hAnsi="宋体"/>
          <w:b/>
          <w:color w:val="auto"/>
          <w:sz w:val="24"/>
          <w:highlight w:val="none"/>
        </w:rPr>
        <w:t>2.6 技术资料和保密义务</w:t>
      </w:r>
      <w:bookmarkEnd w:id="460"/>
      <w:bookmarkEnd w:id="461"/>
      <w:bookmarkEnd w:id="462"/>
      <w:bookmarkEnd w:id="463"/>
      <w:bookmarkEnd w:id="464"/>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465"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5"/>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466"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6"/>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467"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7"/>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468" w:name="_Toc42"/>
      <w:bookmarkStart w:id="469" w:name="_Toc23368"/>
      <w:bookmarkStart w:id="470" w:name="_Toc10663"/>
      <w:bookmarkStart w:id="471" w:name="_Toc26689"/>
      <w:bookmarkStart w:id="472" w:name="_Toc21830"/>
      <w:r>
        <w:rPr>
          <w:rFonts w:ascii="宋体" w:hAnsi="宋体"/>
          <w:b/>
          <w:color w:val="auto"/>
          <w:sz w:val="24"/>
          <w:highlight w:val="none"/>
        </w:rPr>
        <w:t>2.10 合同转让和分包</w:t>
      </w:r>
      <w:bookmarkEnd w:id="468"/>
      <w:bookmarkEnd w:id="469"/>
      <w:bookmarkEnd w:id="470"/>
      <w:bookmarkEnd w:id="471"/>
      <w:bookmarkEnd w:id="472"/>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473" w:name="_Toc14371"/>
      <w:bookmarkStart w:id="474" w:name="_Toc25571"/>
      <w:bookmarkStart w:id="475" w:name="_Toc26633"/>
      <w:bookmarkStart w:id="476" w:name="_Toc4720"/>
      <w:bookmarkStart w:id="477" w:name="_Toc32494"/>
      <w:r>
        <w:rPr>
          <w:rFonts w:ascii="宋体" w:hAnsi="宋体"/>
          <w:b/>
          <w:color w:val="auto"/>
          <w:sz w:val="24"/>
          <w:highlight w:val="none"/>
        </w:rPr>
        <w:t>2.11 不可抗力</w:t>
      </w:r>
      <w:bookmarkEnd w:id="473"/>
      <w:bookmarkEnd w:id="474"/>
      <w:bookmarkEnd w:id="475"/>
      <w:bookmarkEnd w:id="476"/>
      <w:bookmarkEnd w:id="477"/>
    </w:p>
    <w:p w14:paraId="0DF3B5C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4E5262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372A5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ACF4E18">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bookmarkStart w:id="478" w:name="_Toc23854"/>
      <w:bookmarkStart w:id="479" w:name="_Toc25783"/>
      <w:bookmarkStart w:id="480" w:name="_Toc14115"/>
      <w:bookmarkStart w:id="481" w:name="_Toc3638"/>
      <w:bookmarkStart w:id="482" w:name="_Toc24465"/>
      <w:r>
        <w:rPr>
          <w:rFonts w:ascii="宋体" w:hAnsi="宋体"/>
          <w:b/>
          <w:color w:val="auto"/>
          <w:sz w:val="24"/>
          <w:highlight w:val="none"/>
        </w:rPr>
        <w:t>2.12 税费</w:t>
      </w:r>
      <w:bookmarkEnd w:id="478"/>
      <w:bookmarkEnd w:id="479"/>
      <w:bookmarkEnd w:id="480"/>
      <w:bookmarkEnd w:id="481"/>
      <w:bookmarkEnd w:id="482"/>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483" w:name="_Toc7315"/>
      <w:bookmarkStart w:id="484" w:name="_Toc25525"/>
      <w:bookmarkStart w:id="485" w:name="_Toc14814"/>
      <w:bookmarkStart w:id="486" w:name="_Toc30105"/>
      <w:bookmarkStart w:id="487" w:name="_Toc26883"/>
      <w:r>
        <w:rPr>
          <w:rFonts w:ascii="宋体" w:hAnsi="宋体"/>
          <w:b/>
          <w:color w:val="auto"/>
          <w:sz w:val="24"/>
          <w:highlight w:val="none"/>
        </w:rPr>
        <w:t>2.13 乙方破产</w:t>
      </w:r>
      <w:bookmarkEnd w:id="483"/>
      <w:bookmarkEnd w:id="484"/>
      <w:bookmarkEnd w:id="485"/>
      <w:bookmarkEnd w:id="486"/>
      <w:bookmarkEnd w:id="487"/>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488" w:name="_Toc2016"/>
      <w:bookmarkStart w:id="489" w:name="_Toc1123"/>
      <w:bookmarkStart w:id="490" w:name="_Toc23323"/>
      <w:r>
        <w:rPr>
          <w:rFonts w:ascii="宋体" w:hAnsi="宋体"/>
          <w:b/>
          <w:color w:val="auto"/>
          <w:sz w:val="24"/>
          <w:highlight w:val="none"/>
        </w:rPr>
        <w:t>2.14 合同中止、终止</w:t>
      </w:r>
      <w:bookmarkEnd w:id="488"/>
      <w:bookmarkEnd w:id="489"/>
      <w:bookmarkEnd w:id="490"/>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491" w:name="_Toc1969"/>
      <w:bookmarkStart w:id="492" w:name="_Toc17363"/>
      <w:bookmarkStart w:id="493" w:name="_Toc14525"/>
      <w:r>
        <w:rPr>
          <w:rFonts w:ascii="宋体" w:hAnsi="宋体"/>
          <w:b/>
          <w:color w:val="auto"/>
          <w:sz w:val="24"/>
          <w:highlight w:val="none"/>
        </w:rPr>
        <w:t>2.15 检验和验收</w:t>
      </w:r>
      <w:bookmarkEnd w:id="491"/>
      <w:bookmarkEnd w:id="492"/>
      <w:bookmarkEnd w:id="493"/>
    </w:p>
    <w:p w14:paraId="10BB3C75">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985344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bookmarkStart w:id="494" w:name="_Toc12666"/>
      <w:bookmarkStart w:id="495" w:name="_Toc2308"/>
      <w:bookmarkStart w:id="496" w:name="_Toc25198"/>
      <w:bookmarkStart w:id="497" w:name="_Toc9808"/>
      <w:bookmarkStart w:id="498" w:name="_Toc31892"/>
      <w:r>
        <w:rPr>
          <w:rFonts w:ascii="宋体" w:hAnsi="宋体"/>
          <w:b/>
          <w:color w:val="auto"/>
          <w:sz w:val="24"/>
          <w:highlight w:val="none"/>
        </w:rPr>
        <w:t>2.16 通知和送达</w:t>
      </w:r>
      <w:bookmarkEnd w:id="494"/>
      <w:bookmarkEnd w:id="495"/>
      <w:bookmarkEnd w:id="496"/>
      <w:bookmarkEnd w:id="497"/>
      <w:bookmarkEnd w:id="498"/>
    </w:p>
    <w:p w14:paraId="2D57AD58">
      <w:pPr>
        <w:spacing w:line="560" w:lineRule="exact"/>
        <w:ind w:firstLine="480" w:firstLineChars="200"/>
        <w:rPr>
          <w:rFonts w:ascii="宋体" w:hAnsi="宋体"/>
          <w:color w:val="auto"/>
          <w:sz w:val="24"/>
          <w:highlight w:val="none"/>
        </w:rPr>
      </w:pPr>
      <w:bookmarkStart w:id="499" w:name="_Toc27674"/>
      <w:bookmarkStart w:id="500"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9"/>
      <w:bookmarkEnd w:id="500"/>
    </w:p>
    <w:p w14:paraId="79494EF1">
      <w:pPr>
        <w:spacing w:line="560" w:lineRule="exact"/>
        <w:ind w:firstLine="482" w:firstLineChars="200"/>
        <w:outlineLvl w:val="0"/>
        <w:rPr>
          <w:rFonts w:ascii="宋体" w:hAnsi="宋体"/>
          <w:b/>
          <w:color w:val="auto"/>
          <w:sz w:val="24"/>
          <w:highlight w:val="none"/>
        </w:rPr>
      </w:pPr>
      <w:bookmarkStart w:id="501" w:name="_Toc5063"/>
      <w:bookmarkStart w:id="502" w:name="_Toc12254"/>
      <w:bookmarkStart w:id="503" w:name="_Toc20808"/>
      <w:bookmarkStart w:id="504" w:name="_Toc28906"/>
      <w:bookmarkStart w:id="505" w:name="_Toc27644"/>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1"/>
      <w:bookmarkEnd w:id="502"/>
      <w:bookmarkEnd w:id="503"/>
      <w:bookmarkEnd w:id="504"/>
      <w:bookmarkEnd w:id="505"/>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506" w:name="_Toc18540"/>
      <w:bookmarkStart w:id="507" w:name="_Toc30599"/>
      <w:bookmarkStart w:id="508" w:name="_Toc4355"/>
      <w:r>
        <w:rPr>
          <w:rFonts w:hint="eastAsia" w:ascii="宋体" w:hAnsi="宋体" w:cs="宋体"/>
          <w:b/>
          <w:color w:val="auto"/>
          <w:sz w:val="24"/>
          <w:highlight w:val="none"/>
        </w:rPr>
        <w:t>2.18 计量单位</w:t>
      </w:r>
      <w:bookmarkEnd w:id="506"/>
      <w:bookmarkEnd w:id="507"/>
      <w:bookmarkEnd w:id="508"/>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9" w:name="_Toc331685784"/>
      <w:r>
        <w:rPr>
          <w:rFonts w:hint="eastAsia" w:ascii="宋体" w:hAnsi="宋体" w:cs="宋体"/>
          <w:b/>
          <w:color w:val="auto"/>
          <w:sz w:val="24"/>
          <w:highlight w:val="none"/>
        </w:rPr>
        <w:t xml:space="preserve"> </w:t>
      </w:r>
      <w:bookmarkEnd w:id="509"/>
      <w:r>
        <w:rPr>
          <w:rFonts w:hint="eastAsia" w:ascii="宋体" w:hAnsi="宋体" w:cs="宋体"/>
          <w:b/>
          <w:color w:val="auto"/>
          <w:sz w:val="24"/>
          <w:highlight w:val="none"/>
        </w:rPr>
        <w:t>第三部分  合同专用条款</w:t>
      </w:r>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304DB868">
            <w:pPr>
              <w:spacing w:line="360" w:lineRule="auto"/>
              <w:rPr>
                <w:rFonts w:ascii="宋体" w:hAnsi="宋体" w:cs="宋体"/>
                <w:color w:val="auto"/>
                <w:sz w:val="24"/>
                <w:highlight w:val="none"/>
              </w:rPr>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7791C121">
            <w:pPr>
              <w:spacing w:line="360" w:lineRule="auto"/>
              <w:rPr>
                <w:rFonts w:ascii="宋体" w:hAnsi="宋体" w:cs="宋体"/>
                <w:color w:val="auto"/>
                <w:sz w:val="24"/>
                <w:highlight w:val="none"/>
              </w:rPr>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4F7069E5">
            <w:pPr>
              <w:spacing w:line="360" w:lineRule="auto"/>
              <w:rPr>
                <w:rFonts w:ascii="宋体" w:hAnsi="宋体" w:cs="宋体"/>
                <w:color w:val="auto"/>
                <w:sz w:val="24"/>
                <w:highlight w:val="none"/>
              </w:rPr>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AA1D5F3">
            <w:pPr>
              <w:spacing w:line="360" w:lineRule="auto"/>
              <w:rPr>
                <w:rFonts w:ascii="宋体" w:hAnsi="宋体" w:cs="宋体"/>
                <w:color w:val="auto"/>
                <w:sz w:val="24"/>
                <w:highlight w:val="none"/>
              </w:rPr>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601A43BA">
            <w:pPr>
              <w:spacing w:line="360" w:lineRule="auto"/>
              <w:rPr>
                <w:rFonts w:ascii="宋体" w:hAnsi="宋体" w:cs="宋体"/>
                <w:color w:val="auto"/>
                <w:sz w:val="24"/>
                <w:highlight w:val="none"/>
              </w:rPr>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1D42319">
            <w:pPr>
              <w:spacing w:line="360" w:lineRule="auto"/>
              <w:rPr>
                <w:rFonts w:ascii="宋体" w:hAnsi="宋体" w:cs="宋体"/>
                <w:color w:val="auto"/>
                <w:sz w:val="24"/>
                <w:highlight w:val="none"/>
              </w:rPr>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5B41A289">
            <w:pPr>
              <w:spacing w:line="360" w:lineRule="auto"/>
              <w:rPr>
                <w:rFonts w:ascii="宋体" w:hAnsi="宋体" w:cs="宋体"/>
                <w:color w:val="auto"/>
                <w:sz w:val="24"/>
                <w:highlight w:val="none"/>
              </w:rPr>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70E5ED3A">
            <w:pPr>
              <w:spacing w:line="360" w:lineRule="auto"/>
              <w:rPr>
                <w:rFonts w:ascii="宋体" w:hAnsi="宋体" w:cs="宋体"/>
                <w:color w:val="auto"/>
                <w:sz w:val="24"/>
                <w:highlight w:val="none"/>
              </w:rPr>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261FC83">
            <w:pPr>
              <w:spacing w:line="360" w:lineRule="auto"/>
              <w:rPr>
                <w:rFonts w:ascii="宋体" w:hAnsi="宋体" w:cs="宋体"/>
                <w:color w:val="auto"/>
                <w:sz w:val="24"/>
                <w:highlight w:val="none"/>
              </w:rPr>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6490AB55">
            <w:pPr>
              <w:spacing w:line="360" w:lineRule="auto"/>
              <w:rPr>
                <w:rFonts w:ascii="宋体" w:hAnsi="宋体" w:cs="宋体"/>
                <w:color w:val="auto"/>
                <w:sz w:val="24"/>
                <w:highlight w:val="none"/>
              </w:rPr>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3A43FF54">
            <w:pPr>
              <w:spacing w:line="360" w:lineRule="auto"/>
              <w:rPr>
                <w:rFonts w:ascii="宋体" w:hAnsi="宋体" w:cs="宋体"/>
                <w:color w:val="auto"/>
                <w:sz w:val="24"/>
                <w:highlight w:val="none"/>
              </w:rPr>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24FED585">
            <w:pPr>
              <w:spacing w:line="360" w:lineRule="auto"/>
              <w:rPr>
                <w:rFonts w:ascii="宋体" w:hAnsi="宋体" w:cs="宋体"/>
                <w:color w:val="auto"/>
                <w:sz w:val="24"/>
                <w:highlight w:val="none"/>
              </w:rPr>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75F6F49">
            <w:pPr>
              <w:spacing w:line="360" w:lineRule="auto"/>
              <w:rPr>
                <w:rFonts w:ascii="宋体" w:hAnsi="宋体" w:cs="宋体"/>
                <w:color w:val="auto"/>
                <w:sz w:val="24"/>
                <w:highlight w:val="none"/>
              </w:rPr>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634980CB">
            <w:pPr>
              <w:spacing w:line="360" w:lineRule="auto"/>
              <w:rPr>
                <w:rFonts w:ascii="宋体" w:hAnsi="宋体" w:cs="宋体"/>
                <w:color w:val="auto"/>
                <w:sz w:val="24"/>
                <w:highlight w:val="none"/>
              </w:rPr>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D8A34B0">
            <w:pPr>
              <w:spacing w:line="360" w:lineRule="auto"/>
              <w:rPr>
                <w:rFonts w:ascii="宋体" w:hAnsi="宋体" w:cs="宋体"/>
                <w:color w:val="auto"/>
                <w:sz w:val="24"/>
                <w:highlight w:val="none"/>
              </w:rPr>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0AE3F9EA">
            <w:pPr>
              <w:spacing w:line="360" w:lineRule="auto"/>
              <w:ind w:left="-420" w:leftChars="-200" w:right="-420" w:rightChars="-200" w:firstLine="480" w:firstLineChars="200"/>
              <w:rPr>
                <w:rFonts w:ascii="宋体" w:hAnsi="宋体" w:cs="宋体"/>
                <w:color w:val="auto"/>
                <w:sz w:val="24"/>
                <w:highlight w:val="none"/>
              </w:rPr>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6761C5ED">
            <w:pPr>
              <w:spacing w:line="360" w:lineRule="auto"/>
              <w:ind w:left="-420" w:leftChars="-200" w:right="-420" w:rightChars="-200" w:firstLine="480" w:firstLineChars="200"/>
              <w:rPr>
                <w:rFonts w:ascii="宋体" w:hAnsi="宋体" w:cs="宋体"/>
                <w:color w:val="auto"/>
                <w:sz w:val="24"/>
                <w:highlight w:val="none"/>
              </w:rPr>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19BAD9B3">
            <w:pPr>
              <w:spacing w:line="360" w:lineRule="auto"/>
              <w:rPr>
                <w:rFonts w:ascii="宋体" w:hAnsi="宋体" w:cs="宋体"/>
                <w:color w:val="auto"/>
                <w:sz w:val="24"/>
                <w:highlight w:val="none"/>
              </w:rPr>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5082AFF0">
            <w:pPr>
              <w:spacing w:line="360" w:lineRule="auto"/>
              <w:rPr>
                <w:rFonts w:ascii="宋体" w:hAnsi="宋体" w:cs="宋体"/>
                <w:color w:val="auto"/>
                <w:sz w:val="24"/>
                <w:highlight w:val="none"/>
              </w:rPr>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48C69B9A">
            <w:pPr>
              <w:spacing w:line="360" w:lineRule="auto"/>
              <w:rPr>
                <w:rFonts w:ascii="宋体" w:hAnsi="宋体" w:cs="宋体"/>
                <w:color w:val="auto"/>
                <w:sz w:val="24"/>
                <w:highlight w:val="none"/>
              </w:rPr>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B94E58B">
            <w:pPr>
              <w:spacing w:line="360" w:lineRule="auto"/>
              <w:rPr>
                <w:rFonts w:ascii="宋体" w:hAnsi="宋体" w:cs="宋体"/>
                <w:color w:val="auto"/>
                <w:sz w:val="24"/>
                <w:highlight w:val="none"/>
              </w:rPr>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43CE10F1">
            <w:pPr>
              <w:spacing w:line="360" w:lineRule="auto"/>
              <w:rPr>
                <w:rFonts w:ascii="宋体" w:hAnsi="宋体" w:cs="宋体"/>
                <w:color w:val="auto"/>
                <w:sz w:val="24"/>
                <w:highlight w:val="none"/>
              </w:rPr>
            </w:pPr>
          </w:p>
        </w:tc>
      </w:tr>
    </w:tbl>
    <w:p w14:paraId="408D6C86">
      <w:pPr>
        <w:spacing w:line="360" w:lineRule="auto"/>
        <w:ind w:left="-420" w:leftChars="-200" w:right="-420" w:rightChars="-200" w:firstLine="480" w:firstLineChars="200"/>
        <w:rPr>
          <w:rFonts w:ascii="宋体" w:hAnsi="宋体" w:cs="宋体"/>
          <w:color w:val="auto"/>
          <w:sz w:val="24"/>
          <w:highlight w:val="none"/>
        </w:rPr>
      </w:pPr>
    </w:p>
    <w:p w14:paraId="265D86DB">
      <w:pPr>
        <w:spacing w:line="360" w:lineRule="auto"/>
        <w:ind w:left="-420" w:leftChars="-200" w:right="-420" w:rightChars="-200" w:firstLine="480" w:firstLineChars="200"/>
        <w:jc w:val="center"/>
        <w:outlineLvl w:val="0"/>
        <w:rPr>
          <w:rFonts w:ascii="宋体" w:hAnsi="宋体" w:cs="宋体"/>
          <w:color w:val="auto"/>
          <w:sz w:val="24"/>
          <w:highlight w:val="none"/>
        </w:rPr>
      </w:pPr>
    </w:p>
    <w:p w14:paraId="1C9D7740">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4"/>
      <w:r>
        <w:rPr>
          <w:rFonts w:hint="eastAsia" w:ascii="宋体" w:hAnsi="宋体" w:cs="宋体"/>
          <w:b/>
          <w:color w:val="auto"/>
          <w:sz w:val="36"/>
          <w:szCs w:val="20"/>
          <w:highlight w:val="none"/>
        </w:rPr>
        <w:t xml:space="preserve"> </w:t>
      </w:r>
      <w:bookmarkEnd w:id="395"/>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杭州市余杭区人民政府余杭街道办事处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杭州天坤建设咨询有限公司</w:t>
      </w:r>
      <w:r>
        <w:rPr>
          <w:rFonts w:hint="eastAsia" w:ascii="宋体" w:hAnsi="宋体" w:cs="宋体"/>
          <w:color w:val="auto"/>
          <w:sz w:val="24"/>
          <w:highlight w:val="none"/>
        </w:rPr>
        <w:t>：</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2025年余杭街道雪亮工程(城南片)服务项目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TKZXCG-2025-022</w:t>
      </w:r>
      <w:r>
        <w:rPr>
          <w:rFonts w:hint="eastAsia" w:ascii="宋体" w:hAnsi="宋体" w:cs="宋体"/>
          <w:color w:val="auto"/>
          <w:sz w:val="24"/>
          <w:highlight w:val="none"/>
        </w:rPr>
        <w:t>】政府采购活动，郑重承诺：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杭州市余杭区人民政府余杭街道办事处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杭州天坤建设咨询有限公司</w:t>
      </w:r>
      <w:r>
        <w:rPr>
          <w:rFonts w:hint="eastAsia" w:ascii="宋体" w:hAnsi="宋体" w:cs="宋体"/>
          <w:color w:val="auto"/>
          <w:sz w:val="24"/>
          <w:highlight w:val="none"/>
        </w:rPr>
        <w:t>：</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2025年余杭街道雪亮工程(城南片)服务项目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TKZXCG-2025-022</w:t>
      </w:r>
      <w:r>
        <w:rPr>
          <w:rFonts w:hint="eastAsia" w:ascii="宋体" w:hAnsi="宋体" w:cs="宋体"/>
          <w:color w:val="auto"/>
          <w:sz w:val="24"/>
          <w:highlight w:val="none"/>
        </w:rPr>
        <w:t>】招标的有关活动，并对此项目进行投标。为此：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10" w:name="_Hlk101257010"/>
      <w:r>
        <w:rPr>
          <w:rFonts w:hint="eastAsia" w:ascii="宋体" w:hAnsi="宋体" w:cs="宋体"/>
          <w:color w:val="auto"/>
          <w:sz w:val="24"/>
          <w:highlight w:val="none"/>
        </w:rPr>
        <w:t>（如果有)</w:t>
      </w:r>
      <w:bookmarkEnd w:id="510"/>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40791301">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杭州市余杭区人民政府余杭街道办事处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杭州天坤建设咨询有限公司</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2025年余杭街道雪亮工程(城南片)服务项目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杭州市余杭区人民政府余杭街道办事处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杭州天坤建设咨询有限公司</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2025年余杭街道雪亮工程(城南片)服务项目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7BD814C9">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49"/>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7A8F4978">
      <w:pPr>
        <w:jc w:val="center"/>
        <w:rPr>
          <w:rFonts w:ascii="宋体" w:hAnsi="宋体" w:cs="宋体"/>
          <w:b/>
          <w:color w:val="auto"/>
          <w:kern w:val="0"/>
          <w:sz w:val="32"/>
          <w:szCs w:val="32"/>
          <w:highlight w:val="none"/>
        </w:rPr>
      </w:pPr>
    </w:p>
    <w:p w14:paraId="0F17CB46">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杭州市余杭区人民政府余杭街道办事处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杭州天坤建设咨询有限公司</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1"/>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0"/>
        <w:rPr>
          <w:rFonts w:hint="eastAsia"/>
          <w:color w:val="auto"/>
          <w:highlight w:val="none"/>
        </w:rPr>
      </w:pPr>
    </w:p>
    <w:p w14:paraId="4DA9F2CD">
      <w:pPr>
        <w:pStyle w:val="80"/>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杭州市余杭区人民政府余杭街道办事处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杭州天坤建设咨询有限公司</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2025年余杭街道雪亮工程(城南片)服务项目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TKZXCG-2025-022</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2C1B10E">
            <w:pPr>
              <w:spacing w:line="360" w:lineRule="auto"/>
              <w:jc w:val="center"/>
              <w:rPr>
                <w:rFonts w:ascii="宋体" w:hAnsi="宋体" w:cs="宋体"/>
                <w:b/>
                <w:color w:val="auto"/>
                <w:sz w:val="24"/>
                <w:highlight w:val="none"/>
              </w:rPr>
            </w:pPr>
          </w:p>
          <w:p w14:paraId="38848F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41336C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6EDFF947">
            <w:pPr>
              <w:spacing w:line="360" w:lineRule="auto"/>
              <w:jc w:val="center"/>
              <w:rPr>
                <w:rFonts w:ascii="宋体" w:hAnsi="宋体" w:cs="宋体"/>
                <w:b/>
                <w:color w:val="auto"/>
                <w:sz w:val="24"/>
                <w:highlight w:val="none"/>
              </w:rPr>
            </w:pPr>
          </w:p>
          <w:p w14:paraId="5722E16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E6B6B80">
            <w:pPr>
              <w:snapToGrid w:val="0"/>
              <w:spacing w:line="360" w:lineRule="auto"/>
              <w:jc w:val="center"/>
              <w:rPr>
                <w:rFonts w:ascii="宋体" w:hAnsi="宋体" w:cs="宋体"/>
                <w:color w:val="auto"/>
                <w:sz w:val="24"/>
                <w:highlight w:val="none"/>
              </w:rPr>
            </w:pPr>
          </w:p>
        </w:tc>
        <w:tc>
          <w:tcPr>
            <w:tcW w:w="2410" w:type="dxa"/>
            <w:vAlign w:val="center"/>
          </w:tcPr>
          <w:p w14:paraId="49011045">
            <w:pPr>
              <w:snapToGrid w:val="0"/>
              <w:spacing w:line="360" w:lineRule="auto"/>
              <w:jc w:val="center"/>
              <w:rPr>
                <w:rFonts w:ascii="宋体" w:hAnsi="宋体" w:cs="宋体"/>
                <w:color w:val="auto"/>
                <w:sz w:val="24"/>
                <w:highlight w:val="none"/>
              </w:rPr>
            </w:pPr>
          </w:p>
        </w:tc>
        <w:tc>
          <w:tcPr>
            <w:tcW w:w="2268" w:type="dxa"/>
            <w:vAlign w:val="center"/>
          </w:tcPr>
          <w:p w14:paraId="07DD5525">
            <w:pPr>
              <w:snapToGrid w:val="0"/>
              <w:spacing w:line="360" w:lineRule="auto"/>
              <w:jc w:val="center"/>
              <w:rPr>
                <w:rFonts w:ascii="宋体" w:hAnsi="宋体" w:cs="宋体"/>
                <w:color w:val="auto"/>
                <w:sz w:val="24"/>
                <w:highlight w:val="none"/>
              </w:rPr>
            </w:pPr>
          </w:p>
        </w:tc>
        <w:tc>
          <w:tcPr>
            <w:tcW w:w="2126" w:type="dxa"/>
            <w:vAlign w:val="center"/>
          </w:tcPr>
          <w:p w14:paraId="60BB9C9F">
            <w:pPr>
              <w:spacing w:line="360" w:lineRule="auto"/>
              <w:jc w:val="center"/>
              <w:rPr>
                <w:rFonts w:ascii="宋体" w:hAnsi="宋体" w:cs="宋体"/>
                <w:color w:val="auto"/>
                <w:sz w:val="24"/>
                <w:highlight w:val="none"/>
              </w:rPr>
            </w:pPr>
          </w:p>
        </w:tc>
        <w:tc>
          <w:tcPr>
            <w:tcW w:w="2127" w:type="dxa"/>
          </w:tcPr>
          <w:p w14:paraId="30C10E6C">
            <w:pPr>
              <w:spacing w:line="360" w:lineRule="auto"/>
              <w:jc w:val="center"/>
              <w:rPr>
                <w:rFonts w:ascii="宋体" w:hAnsi="宋体" w:cs="宋体"/>
                <w:color w:val="auto"/>
                <w:sz w:val="24"/>
                <w:highlight w:val="none"/>
              </w:rPr>
            </w:pPr>
          </w:p>
        </w:tc>
        <w:tc>
          <w:tcPr>
            <w:tcW w:w="2126" w:type="dxa"/>
            <w:vAlign w:val="center"/>
          </w:tcPr>
          <w:p w14:paraId="09E11B5D">
            <w:pPr>
              <w:spacing w:line="360" w:lineRule="auto"/>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5316B9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6DA92F8">
            <w:pPr>
              <w:snapToGrid w:val="0"/>
              <w:spacing w:line="360" w:lineRule="auto"/>
              <w:jc w:val="center"/>
              <w:rPr>
                <w:rFonts w:ascii="宋体" w:hAnsi="宋体" w:cs="宋体"/>
                <w:color w:val="auto"/>
                <w:sz w:val="24"/>
                <w:highlight w:val="none"/>
              </w:rPr>
            </w:pPr>
          </w:p>
        </w:tc>
        <w:tc>
          <w:tcPr>
            <w:tcW w:w="2410" w:type="dxa"/>
            <w:vAlign w:val="center"/>
          </w:tcPr>
          <w:p w14:paraId="7715326D">
            <w:pPr>
              <w:snapToGrid w:val="0"/>
              <w:spacing w:line="360" w:lineRule="auto"/>
              <w:jc w:val="center"/>
              <w:rPr>
                <w:rFonts w:ascii="宋体" w:hAnsi="宋体" w:cs="宋体"/>
                <w:color w:val="auto"/>
                <w:sz w:val="24"/>
                <w:highlight w:val="none"/>
              </w:rPr>
            </w:pPr>
          </w:p>
        </w:tc>
        <w:tc>
          <w:tcPr>
            <w:tcW w:w="2268" w:type="dxa"/>
            <w:vAlign w:val="center"/>
          </w:tcPr>
          <w:p w14:paraId="29502B17">
            <w:pPr>
              <w:snapToGrid w:val="0"/>
              <w:spacing w:line="360" w:lineRule="auto"/>
              <w:jc w:val="center"/>
              <w:rPr>
                <w:rFonts w:ascii="宋体" w:hAnsi="宋体" w:cs="宋体"/>
                <w:color w:val="auto"/>
                <w:sz w:val="24"/>
                <w:highlight w:val="none"/>
              </w:rPr>
            </w:pPr>
          </w:p>
        </w:tc>
        <w:tc>
          <w:tcPr>
            <w:tcW w:w="2126" w:type="dxa"/>
            <w:vAlign w:val="center"/>
          </w:tcPr>
          <w:p w14:paraId="645CF258">
            <w:pPr>
              <w:spacing w:line="360" w:lineRule="auto"/>
              <w:jc w:val="center"/>
              <w:rPr>
                <w:rFonts w:ascii="宋体" w:hAnsi="宋体" w:cs="宋体"/>
                <w:color w:val="auto"/>
                <w:sz w:val="24"/>
                <w:highlight w:val="none"/>
              </w:rPr>
            </w:pPr>
          </w:p>
        </w:tc>
        <w:tc>
          <w:tcPr>
            <w:tcW w:w="2127" w:type="dxa"/>
          </w:tcPr>
          <w:p w14:paraId="48B749E5">
            <w:pPr>
              <w:spacing w:line="360" w:lineRule="auto"/>
              <w:jc w:val="center"/>
              <w:rPr>
                <w:rFonts w:ascii="宋体" w:hAnsi="宋体" w:cs="宋体"/>
                <w:color w:val="auto"/>
                <w:sz w:val="24"/>
                <w:highlight w:val="none"/>
              </w:rPr>
            </w:pPr>
          </w:p>
        </w:tc>
        <w:tc>
          <w:tcPr>
            <w:tcW w:w="2126" w:type="dxa"/>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2268" w:type="dxa"/>
            <w:vAlign w:val="center"/>
          </w:tcPr>
          <w:p w14:paraId="4A4855F7">
            <w:pPr>
              <w:snapToGrid w:val="0"/>
              <w:spacing w:line="360" w:lineRule="auto"/>
              <w:jc w:val="center"/>
              <w:rPr>
                <w:rFonts w:ascii="宋体" w:hAnsi="宋体" w:cs="宋体"/>
                <w:color w:val="auto"/>
                <w:sz w:val="24"/>
                <w:highlight w:val="none"/>
              </w:rPr>
            </w:pPr>
          </w:p>
        </w:tc>
        <w:tc>
          <w:tcPr>
            <w:tcW w:w="2410" w:type="dxa"/>
            <w:vAlign w:val="center"/>
          </w:tcPr>
          <w:p w14:paraId="5F6A4004">
            <w:pPr>
              <w:snapToGrid w:val="0"/>
              <w:spacing w:line="360" w:lineRule="auto"/>
              <w:jc w:val="center"/>
              <w:rPr>
                <w:rFonts w:ascii="宋体" w:hAnsi="宋体" w:cs="宋体"/>
                <w:color w:val="auto"/>
                <w:sz w:val="24"/>
                <w:highlight w:val="none"/>
              </w:rPr>
            </w:pPr>
          </w:p>
        </w:tc>
        <w:tc>
          <w:tcPr>
            <w:tcW w:w="2268" w:type="dxa"/>
            <w:vAlign w:val="center"/>
          </w:tcPr>
          <w:p w14:paraId="091382D4">
            <w:pPr>
              <w:snapToGrid w:val="0"/>
              <w:spacing w:line="360" w:lineRule="auto"/>
              <w:jc w:val="center"/>
              <w:rPr>
                <w:rFonts w:ascii="宋体" w:hAnsi="宋体" w:cs="宋体"/>
                <w:color w:val="auto"/>
                <w:sz w:val="24"/>
                <w:highlight w:val="none"/>
              </w:rPr>
            </w:pPr>
          </w:p>
        </w:tc>
        <w:tc>
          <w:tcPr>
            <w:tcW w:w="2126" w:type="dxa"/>
            <w:vAlign w:val="center"/>
          </w:tcPr>
          <w:p w14:paraId="468CB7AF">
            <w:pPr>
              <w:spacing w:line="360" w:lineRule="auto"/>
              <w:jc w:val="center"/>
              <w:rPr>
                <w:rFonts w:ascii="宋体" w:hAnsi="宋体" w:cs="宋体"/>
                <w:color w:val="auto"/>
                <w:sz w:val="24"/>
                <w:highlight w:val="none"/>
              </w:rPr>
            </w:pPr>
          </w:p>
        </w:tc>
        <w:tc>
          <w:tcPr>
            <w:tcW w:w="2127" w:type="dxa"/>
          </w:tcPr>
          <w:p w14:paraId="6FD9540F">
            <w:pPr>
              <w:spacing w:line="360" w:lineRule="auto"/>
              <w:jc w:val="center"/>
              <w:rPr>
                <w:rFonts w:ascii="宋体" w:hAnsi="宋体" w:cs="宋体"/>
                <w:color w:val="auto"/>
                <w:sz w:val="24"/>
                <w:highlight w:val="none"/>
              </w:rPr>
            </w:pPr>
          </w:p>
        </w:tc>
        <w:tc>
          <w:tcPr>
            <w:tcW w:w="2126" w:type="dxa"/>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2268" w:type="dxa"/>
            <w:vAlign w:val="center"/>
          </w:tcPr>
          <w:p w14:paraId="22BB5A5A">
            <w:pPr>
              <w:snapToGrid w:val="0"/>
              <w:spacing w:line="360" w:lineRule="auto"/>
              <w:jc w:val="center"/>
              <w:rPr>
                <w:rFonts w:ascii="宋体" w:hAnsi="宋体" w:cs="宋体"/>
                <w:color w:val="auto"/>
                <w:sz w:val="24"/>
                <w:highlight w:val="none"/>
              </w:rPr>
            </w:pPr>
          </w:p>
        </w:tc>
        <w:tc>
          <w:tcPr>
            <w:tcW w:w="2410" w:type="dxa"/>
            <w:vAlign w:val="center"/>
          </w:tcPr>
          <w:p w14:paraId="1C20810C">
            <w:pPr>
              <w:snapToGrid w:val="0"/>
              <w:spacing w:line="360" w:lineRule="auto"/>
              <w:jc w:val="center"/>
              <w:rPr>
                <w:rFonts w:ascii="宋体" w:hAnsi="宋体" w:cs="宋体"/>
                <w:color w:val="auto"/>
                <w:sz w:val="24"/>
                <w:highlight w:val="none"/>
              </w:rPr>
            </w:pPr>
          </w:p>
        </w:tc>
        <w:tc>
          <w:tcPr>
            <w:tcW w:w="2268" w:type="dxa"/>
            <w:vAlign w:val="center"/>
          </w:tcPr>
          <w:p w14:paraId="311DCC2B">
            <w:pPr>
              <w:snapToGrid w:val="0"/>
              <w:spacing w:line="360" w:lineRule="auto"/>
              <w:jc w:val="center"/>
              <w:rPr>
                <w:rFonts w:ascii="宋体" w:hAnsi="宋体" w:cs="宋体"/>
                <w:color w:val="auto"/>
                <w:sz w:val="24"/>
                <w:highlight w:val="none"/>
              </w:rPr>
            </w:pPr>
          </w:p>
        </w:tc>
        <w:tc>
          <w:tcPr>
            <w:tcW w:w="2126" w:type="dxa"/>
            <w:vAlign w:val="center"/>
          </w:tcPr>
          <w:p w14:paraId="590FDDBE">
            <w:pPr>
              <w:spacing w:line="360" w:lineRule="auto"/>
              <w:jc w:val="center"/>
              <w:rPr>
                <w:rFonts w:ascii="宋体" w:hAnsi="宋体" w:cs="宋体"/>
                <w:color w:val="auto"/>
                <w:sz w:val="24"/>
                <w:highlight w:val="none"/>
              </w:rPr>
            </w:pPr>
          </w:p>
        </w:tc>
        <w:tc>
          <w:tcPr>
            <w:tcW w:w="2127" w:type="dxa"/>
          </w:tcPr>
          <w:p w14:paraId="39E087B2">
            <w:pPr>
              <w:spacing w:line="360" w:lineRule="auto"/>
              <w:jc w:val="center"/>
              <w:rPr>
                <w:rFonts w:ascii="宋体" w:hAnsi="宋体" w:cs="宋体"/>
                <w:color w:val="auto"/>
                <w:sz w:val="24"/>
                <w:highlight w:val="none"/>
              </w:rPr>
            </w:pPr>
          </w:p>
        </w:tc>
        <w:tc>
          <w:tcPr>
            <w:tcW w:w="2126" w:type="dxa"/>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2268" w:type="dxa"/>
            <w:vAlign w:val="center"/>
          </w:tcPr>
          <w:p w14:paraId="2572B551">
            <w:pPr>
              <w:snapToGrid w:val="0"/>
              <w:spacing w:line="360" w:lineRule="auto"/>
              <w:jc w:val="center"/>
              <w:rPr>
                <w:rFonts w:ascii="宋体" w:hAnsi="宋体" w:cs="宋体"/>
                <w:color w:val="auto"/>
                <w:sz w:val="24"/>
                <w:highlight w:val="none"/>
              </w:rPr>
            </w:pPr>
          </w:p>
        </w:tc>
        <w:tc>
          <w:tcPr>
            <w:tcW w:w="2410" w:type="dxa"/>
            <w:vAlign w:val="center"/>
          </w:tcPr>
          <w:p w14:paraId="41F25B34">
            <w:pPr>
              <w:snapToGrid w:val="0"/>
              <w:spacing w:line="360" w:lineRule="auto"/>
              <w:jc w:val="center"/>
              <w:rPr>
                <w:rFonts w:ascii="宋体" w:hAnsi="宋体" w:cs="宋体"/>
                <w:color w:val="auto"/>
                <w:sz w:val="24"/>
                <w:highlight w:val="none"/>
              </w:rPr>
            </w:pPr>
          </w:p>
        </w:tc>
        <w:tc>
          <w:tcPr>
            <w:tcW w:w="2268" w:type="dxa"/>
            <w:vAlign w:val="center"/>
          </w:tcPr>
          <w:p w14:paraId="726E5372">
            <w:pPr>
              <w:snapToGrid w:val="0"/>
              <w:spacing w:line="360" w:lineRule="auto"/>
              <w:jc w:val="center"/>
              <w:rPr>
                <w:rFonts w:ascii="宋体" w:hAnsi="宋体" w:cs="宋体"/>
                <w:color w:val="auto"/>
                <w:sz w:val="24"/>
                <w:highlight w:val="none"/>
              </w:rPr>
            </w:pPr>
          </w:p>
        </w:tc>
        <w:tc>
          <w:tcPr>
            <w:tcW w:w="2126" w:type="dxa"/>
            <w:vAlign w:val="center"/>
          </w:tcPr>
          <w:p w14:paraId="5A4F857D">
            <w:pPr>
              <w:spacing w:line="360" w:lineRule="auto"/>
              <w:jc w:val="center"/>
              <w:rPr>
                <w:rFonts w:ascii="宋体" w:hAnsi="宋体" w:cs="宋体"/>
                <w:color w:val="auto"/>
                <w:sz w:val="24"/>
                <w:highlight w:val="none"/>
              </w:rPr>
            </w:pPr>
          </w:p>
        </w:tc>
        <w:tc>
          <w:tcPr>
            <w:tcW w:w="2127" w:type="dxa"/>
          </w:tcPr>
          <w:p w14:paraId="21BB073B">
            <w:pPr>
              <w:spacing w:line="360" w:lineRule="auto"/>
              <w:jc w:val="center"/>
              <w:rPr>
                <w:rFonts w:ascii="宋体" w:hAnsi="宋体" w:cs="宋体"/>
                <w:color w:val="auto"/>
                <w:sz w:val="24"/>
                <w:highlight w:val="none"/>
              </w:rPr>
            </w:pPr>
          </w:p>
        </w:tc>
        <w:tc>
          <w:tcPr>
            <w:tcW w:w="2126" w:type="dxa"/>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2E2BF48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0"/>
        <w:rPr>
          <w:rFonts w:hint="eastAsia" w:ascii="宋体" w:hAnsi="宋体" w:cs="宋体"/>
          <w:b/>
          <w:color w:val="auto"/>
          <w:sz w:val="24"/>
          <w:highlight w:val="none"/>
        </w:rPr>
      </w:pPr>
    </w:p>
    <w:p w14:paraId="1AA2EA6C">
      <w:pPr>
        <w:pStyle w:val="80"/>
        <w:rPr>
          <w:rFonts w:hint="eastAsia" w:ascii="宋体" w:hAnsi="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11" w:name="OLE_LINK14"/>
      <w:bookmarkStart w:id="512" w:name="OLE_LINK13"/>
      <w:r>
        <w:rPr>
          <w:rFonts w:hint="eastAsia" w:ascii="宋体" w:hAnsi="宋体" w:cs="宋体"/>
          <w:b/>
          <w:color w:val="auto"/>
          <w:spacing w:val="6"/>
          <w:sz w:val="32"/>
          <w:szCs w:val="32"/>
          <w:highlight w:val="none"/>
        </w:rPr>
        <w:t>残疾人福利性单位声明函</w:t>
      </w:r>
    </w:p>
    <w:bookmarkEnd w:id="511"/>
    <w:bookmarkEnd w:id="512"/>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2025年余杭街道雪亮工程(城南片)服务项目</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698BDF1A">
      <w:pPr>
        <w:spacing w:line="360" w:lineRule="auto"/>
        <w:rPr>
          <w:rFonts w:ascii="宋体" w:hAnsi="宋体" w:cs="宋体"/>
          <w:b/>
          <w:color w:val="auto"/>
          <w:sz w:val="24"/>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3D4F7089">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21C830A5">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杭州市余杭区人民政府余杭街道办事处</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杭州天坤建设咨询有限公司</w:t>
      </w:r>
      <w:r>
        <w:rPr>
          <w:rFonts w:hint="eastAsia" w:ascii="宋体" w:hAnsi="宋体" w:cs="宋体"/>
          <w:color w:val="auto"/>
          <w:sz w:val="24"/>
          <w:highlight w:val="none"/>
          <w:u w:val="single"/>
        </w:rPr>
        <w:t>：</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2025年余杭街道雪亮工程(城南片)服务项目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TKZXCG-2025-022</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67E1B3EE">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2025年余杭街道雪亮工程(城南片)服务项目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3"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3"/>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4"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4"/>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5"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5"/>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50E6E20E">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2025年余杭街道雪亮工程(城南片)服务项目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4"/>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26497D52">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杭州市余杭区人民政府余杭街道办事处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2025年余杭街道雪亮工程(城南片)服务项目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苹方 中等"/>
    <w:panose1 w:val="00000000000000000000"/>
    <w:charset w:val="00"/>
    <w:family w:val="roman"/>
    <w:pitch w:val="default"/>
    <w:sig w:usb0="00000000" w:usb1="00000000" w:usb2="00000000" w:usb3="00000000" w:csb0="00040001" w:csb1="00000000"/>
  </w:font>
  <w:font w:name="苹方 中等">
    <w:panose1 w:val="020B0400000000000000"/>
    <w:charset w:val="86"/>
    <w:family w:val="auto"/>
    <w:pitch w:val="default"/>
    <w:sig w:usb0="A00002FF" w:usb1="7ACFFCFB" w:usb2="00000016"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font>
  <w:font w:name="Cumberland">
    <w:altName w:val="苹方 中等"/>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苹方 中等"/>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39"/>
      <w:framePr w:wrap="around" w:vAnchor="text" w:hAnchor="margin" w:xAlign="right" w:y="1"/>
      <w:rPr>
        <w:rStyle w:val="72"/>
      </w:rPr>
    </w:pPr>
    <w:r>
      <w:fldChar w:fldCharType="begin"/>
    </w:r>
    <w:r>
      <w:rPr>
        <w:rStyle w:val="72"/>
      </w:rPr>
      <w:instrText xml:space="preserve">PAGE  </w:instrText>
    </w:r>
    <w:r>
      <w:fldChar w:fldCharType="end"/>
    </w:r>
  </w:p>
  <w:p w14:paraId="5E0900AF">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39"/>
      <w:framePr w:wrap="around" w:vAnchor="text" w:hAnchor="margin" w:xAlign="right" w:y="1"/>
      <w:rPr>
        <w:rStyle w:val="72"/>
      </w:rPr>
    </w:pPr>
    <w:r>
      <w:fldChar w:fldCharType="begin"/>
    </w:r>
    <w:r>
      <w:rPr>
        <w:rStyle w:val="72"/>
      </w:rPr>
      <w:instrText xml:space="preserve">PAGE  </w:instrText>
    </w:r>
    <w:r>
      <w:fldChar w:fldCharType="end"/>
    </w:r>
  </w:p>
  <w:p w14:paraId="65FC6C0A">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6" w:name="_Toc131845147"/>
    <w:bookmarkStart w:id="517" w:name="_Toc36110187"/>
    <w:bookmarkStart w:id="518" w:name="_Toc91899912"/>
    <w:bookmarkStart w:id="519" w:name="_Toc164085800"/>
    <w:r>
      <w:rPr>
        <w:rFonts w:hint="eastAsia" w:ascii="仿宋_GB2312" w:eastAsia="仿宋_GB2312"/>
        <w:kern w:val="0"/>
        <w:szCs w:val="21"/>
      </w:rPr>
      <w:t xml:space="preserve"> 页</w:t>
    </w:r>
    <w:bookmarkEnd w:id="516"/>
    <w:bookmarkEnd w:id="517"/>
    <w:bookmarkEnd w:id="518"/>
    <w:bookmarkEnd w:id="51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0"/>
      <w:pBdr>
        <w:bottom w:val="single" w:color="auto" w:sz="6" w:space="4"/>
      </w:pBdr>
      <w:jc w:val="right"/>
    </w:pPr>
    <w:r>
      <w:t></w:t>
    </w:r>
    <w:r>
      <w:rPr>
        <w:rFonts w:hint="eastAsia"/>
      </w:rPr>
      <w:t xml:space="preserve">             </w:t>
    </w:r>
    <w:r>
      <w:t>杭州市政府采购公开招标文件</w:t>
    </w:r>
  </w:p>
  <w:p w14:paraId="5E97806E">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0"/>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0"/>
    </w:pPr>
    <w:r>
      <w:t></w:t>
    </w:r>
    <w:r>
      <w:rPr>
        <w:rFonts w:hint="eastAsia"/>
      </w:rPr>
      <w:t xml:space="preserve">         </w:t>
    </w:r>
  </w:p>
  <w:p w14:paraId="6F97612A">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0"/>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0"/>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7A002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364932"/>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DF0F89"/>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44997"/>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3113D7"/>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151DCC"/>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0FE0934"/>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265"/>
    <w:qFormat/>
    <w:uiPriority w:val="0"/>
    <w:pPr>
      <w:spacing w:line="480" w:lineRule="exact"/>
      <w:ind w:firstLine="480" w:firstLineChars="200"/>
    </w:pPr>
    <w:rPr>
      <w:rFonts w:ascii="宋体" w:hAnsi="宋体"/>
      <w:sz w:val="24"/>
    </w:rPr>
  </w:style>
  <w:style w:type="paragraph" w:styleId="6">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4"/>
    <w:qFormat/>
    <w:uiPriority w:val="99"/>
    <w:pPr>
      <w:jc w:val="left"/>
    </w:pPr>
  </w:style>
  <w:style w:type="paragraph" w:styleId="21">
    <w:name w:val="Salutation"/>
    <w:basedOn w:val="1"/>
    <w:next w:val="1"/>
    <w:link w:val="298"/>
    <w:qFormat/>
    <w:uiPriority w:val="0"/>
    <w:rPr>
      <w:rFonts w:ascii="仿宋_GB2312" w:eastAsia="仿宋_GB2312"/>
      <w:sz w:val="28"/>
      <w:szCs w:val="20"/>
    </w:rPr>
  </w:style>
  <w:style w:type="paragraph" w:styleId="22">
    <w:name w:val="Body Text 3"/>
    <w:basedOn w:val="1"/>
    <w:link w:val="330"/>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6"/>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6"/>
    <w:qFormat/>
    <w:uiPriority w:val="0"/>
    <w:rPr>
      <w:b/>
      <w:bCs/>
    </w:rPr>
  </w:style>
  <w:style w:type="paragraph" w:styleId="60">
    <w:name w:val="Body Text First Indent"/>
    <w:basedOn w:val="24"/>
    <w:link w:val="321"/>
    <w:qFormat/>
    <w:uiPriority w:val="0"/>
    <w:pPr>
      <w:ind w:firstLine="420"/>
    </w:pPr>
    <w:rPr>
      <w:rFonts w:hAnsi="Calibri" w:cs="Times New Roman"/>
      <w:snapToGrid/>
      <w:szCs w:val="20"/>
    </w:rPr>
  </w:style>
  <w:style w:type="paragraph" w:styleId="61">
    <w:name w:val="Body Text First Indent 2"/>
    <w:basedOn w:val="2"/>
    <w:next w:val="1"/>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basedOn w:val="69"/>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6"/>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7"/>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8"/>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1"/>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7"/>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0"/>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basedOn w:val="69"/>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7"/>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2"/>
    <w:qFormat/>
    <w:uiPriority w:val="0"/>
    <w:rPr>
      <w:kern w:val="2"/>
      <w:sz w:val="21"/>
    </w:rPr>
  </w:style>
  <w:style w:type="character" w:customStyle="1" w:styleId="331">
    <w:name w:val="font31"/>
    <w:basedOn w:val="69"/>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0"/>
    <w:qFormat/>
    <w:uiPriority w:val="99"/>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1"/>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6"/>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7"/>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8"/>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7"/>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2.png"/><Relationship Id="rId26" Type="http://schemas.openxmlformats.org/officeDocument/2006/relationships/image" Target="media/image1.jpe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84</Pages>
  <Words>20634</Words>
  <Characters>22206</Characters>
  <Lines>281</Lines>
  <Paragraphs>79</Paragraphs>
  <TotalTime>11</TotalTime>
  <ScaleCrop>false</ScaleCrop>
  <LinksUpToDate>false</LinksUpToDate>
  <CharactersWithSpaces>22728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杨杨</cp:lastModifiedBy>
  <cp:lastPrinted>2021-12-28T03:06:00Z</cp:lastPrinted>
  <dcterms:modified xsi:type="dcterms:W3CDTF">2025-04-02T06:12:51Z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AD4F29AA81E44F45B83BF4A32E31E4F5_13</vt:lpwstr>
  </property>
  <property fmtid="{D5CDD505-2E9C-101B-9397-08002B2CF9AE}" pid="5" name="KSOTemplateDocerSaveRecord">
    <vt:lpwstr>eyJoZGlkIjoiNDFkNTc5MTZmN2Y0ZWYyNmYyZjQ1NzFkZGQ2YTBkOTUiLCJ1c2VySWQiOiI1NDk2OTMyNTMifQ==</vt:lpwstr>
  </property>
</Properties>
</file>