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color w:val="000000" w:themeColor="text1"/>
          <w:sz w:val="24"/>
          <w:highlight w:val="none"/>
          <w14:textFill>
            <w14:solidFill>
              <w14:schemeClr w14:val="tx1"/>
            </w14:solidFill>
          </w14:textFill>
        </w:rPr>
      </w:pPr>
    </w:p>
    <w:p>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p>
    <w:p>
      <w:pPr>
        <w:adjustRightInd/>
        <w:spacing w:line="360" w:lineRule="auto"/>
        <w:jc w:val="center"/>
        <w:rPr>
          <w:rFonts w:hint="eastAsia" w:ascii="仿宋" w:hAnsi="仿宋" w:eastAsia="仿宋" w:cs="仿宋_GB2312"/>
          <w:b/>
          <w:color w:val="000000" w:themeColor="text1"/>
          <w:sz w:val="48"/>
          <w:szCs w:val="48"/>
          <w:highlight w:val="none"/>
          <w:lang w:eastAsia="zh-CN"/>
          <w14:textFill>
            <w14:solidFill>
              <w14:schemeClr w14:val="tx1"/>
            </w14:solidFill>
          </w14:textFill>
        </w:rPr>
      </w:pPr>
      <w:r>
        <w:rPr>
          <w:rFonts w:hint="eastAsia" w:ascii="仿宋" w:hAnsi="仿宋" w:eastAsia="仿宋" w:cs="仿宋_GB2312"/>
          <w:b/>
          <w:color w:val="000000" w:themeColor="text1"/>
          <w:sz w:val="48"/>
          <w:szCs w:val="48"/>
          <w:highlight w:val="none"/>
          <w:lang w:eastAsia="zh-CN"/>
          <w14:textFill>
            <w14:solidFill>
              <w14:schemeClr w14:val="tx1"/>
            </w14:solidFill>
          </w14:textFill>
        </w:rPr>
        <w:t>杭州市临平职业高级中学2025年宿管服务采购项目</w:t>
      </w:r>
    </w:p>
    <w:p>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r>
        <w:rPr>
          <w:rFonts w:hint="eastAsia" w:ascii="仿宋" w:hAnsi="仿宋" w:eastAsia="仿宋" w:cs="仿宋_GB2312"/>
          <w:b/>
          <w:color w:val="000000" w:themeColor="text1"/>
          <w:sz w:val="48"/>
          <w:szCs w:val="48"/>
          <w:highlight w:val="none"/>
          <w14:textFill>
            <w14:solidFill>
              <w14:schemeClr w14:val="tx1"/>
            </w14:solidFill>
          </w14:textFill>
        </w:rPr>
        <w:t xml:space="preserve">招标文件 </w:t>
      </w:r>
    </w:p>
    <w:p>
      <w:pPr>
        <w:adjustRightInd/>
        <w:spacing w:line="360" w:lineRule="auto"/>
        <w:jc w:val="center"/>
        <w:rPr>
          <w:rFonts w:ascii="仿宋" w:hAnsi="仿宋" w:eastAsia="仿宋" w:cs="宋体"/>
          <w:b/>
          <w:color w:val="000000" w:themeColor="text1"/>
          <w:sz w:val="44"/>
          <w:szCs w:val="44"/>
          <w:highlight w:val="none"/>
          <w14:textFill>
            <w14:solidFill>
              <w14:schemeClr w14:val="tx1"/>
            </w14:solidFill>
          </w14:textFill>
        </w:rPr>
      </w:pPr>
      <w:r>
        <w:rPr>
          <w:rFonts w:hint="eastAsia" w:ascii="仿宋" w:hAnsi="仿宋" w:eastAsia="仿宋" w:cs="宋体"/>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ascii="仿宋" w:hAnsi="仿宋" w:eastAsia="仿宋" w:cs="仿宋_GB2312"/>
          <w:b/>
          <w:color w:val="000000" w:themeColor="text1"/>
          <w:sz w:val="32"/>
          <w:szCs w:val="32"/>
          <w:highlight w:val="none"/>
          <w14:textFill>
            <w14:solidFill>
              <w14:schemeClr w14:val="tx1"/>
            </w14:solidFill>
          </w14:textFill>
        </w:rPr>
      </w:pPr>
      <w:r>
        <w:rPr>
          <w:rFonts w:hint="eastAsia" w:ascii="仿宋" w:hAnsi="仿宋" w:eastAsia="仿宋" w:cs="仿宋_GB2312"/>
          <w:b/>
          <w:color w:val="000000" w:themeColor="text1"/>
          <w:sz w:val="32"/>
          <w:szCs w:val="32"/>
          <w:highlight w:val="none"/>
          <w14:textFill>
            <w14:solidFill>
              <w14:schemeClr w14:val="tx1"/>
            </w14:solidFill>
          </w14:textFill>
        </w:rPr>
        <w:t>编号:（</w:t>
      </w:r>
      <w:r>
        <w:rPr>
          <w:rFonts w:hint="eastAsia" w:ascii="仿宋" w:hAnsi="仿宋" w:eastAsia="仿宋" w:cs="仿宋_GB2312"/>
          <w:b/>
          <w:color w:val="000000" w:themeColor="text1"/>
          <w:sz w:val="32"/>
          <w:szCs w:val="32"/>
          <w:highlight w:val="none"/>
          <w:lang w:eastAsia="zh-CN"/>
          <w14:textFill>
            <w14:solidFill>
              <w14:schemeClr w14:val="tx1"/>
            </w14:solidFill>
          </w14:textFill>
        </w:rPr>
        <w:t>TYZFCG2025-001-1</w:t>
      </w:r>
      <w:r>
        <w:rPr>
          <w:rFonts w:hint="eastAsia" w:ascii="仿宋" w:hAnsi="仿宋" w:eastAsia="仿宋" w:cs="仿宋_GB2312"/>
          <w:b/>
          <w:color w:val="000000" w:themeColor="text1"/>
          <w:sz w:val="32"/>
          <w:szCs w:val="32"/>
          <w:highlight w:val="none"/>
          <w14:textFill>
            <w14:solidFill>
              <w14:schemeClr w14:val="tx1"/>
            </w14:solidFill>
          </w14:textFill>
        </w:rPr>
        <w:t>）</w:t>
      </w:r>
    </w:p>
    <w:p>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p>
    <w:p>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p>
    <w:p>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r>
        <w:rPr>
          <w:rFonts w:ascii="仿宋" w:hAnsi="仿宋" w:eastAsia="仿宋" w:cs="仿宋_GB2312"/>
          <w:color w:val="000000" w:themeColor="text1"/>
          <w:sz w:val="28"/>
          <w:szCs w:val="20"/>
          <w:highlight w:val="none"/>
          <w14:textFill>
            <w14:solidFill>
              <w14:schemeClr w14:val="tx1"/>
            </w14:solidFill>
          </w14:textFill>
        </w:rPr>
        <w:drawing>
          <wp:inline distT="0" distB="0" distL="0" distR="0">
            <wp:extent cx="817245" cy="647700"/>
            <wp:effectExtent l="19050" t="0" r="1464" b="0"/>
            <wp:docPr id="1"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T\Documents\WeChat Files\qiliangming0430\FileStorage\Temp\82f10debb43934f77b1cd72cdbc9c6f.png"/>
                    <pic:cNvPicPr>
                      <a:picLocks noChangeAspect="1" noChangeArrowheads="1"/>
                    </pic:cNvPicPr>
                  </pic:nvPicPr>
                  <pic:blipFill>
                    <a:blip r:embed="rId28"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pPr>
        <w:spacing w:line="360" w:lineRule="auto"/>
        <w:jc w:val="center"/>
        <w:rPr>
          <w:rFonts w:ascii="仿宋" w:hAnsi="仿宋" w:eastAsia="仿宋" w:cs="宋体"/>
          <w:b/>
          <w:color w:val="000000" w:themeColor="text1"/>
          <w:sz w:val="44"/>
          <w:szCs w:val="44"/>
          <w:highlight w:val="none"/>
          <w14:textFill>
            <w14:solidFill>
              <w14:schemeClr w14:val="tx1"/>
            </w14:solidFill>
          </w14:textFill>
        </w:rPr>
      </w:pPr>
    </w:p>
    <w:p>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drawing>
          <wp:inline distT="0" distB="0" distL="0" distR="0">
            <wp:extent cx="3380740" cy="5397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a:srcRect/>
                    <a:stretch>
                      <a:fillRect/>
                    </a:stretch>
                  </pic:blipFill>
                  <pic:spPr>
                    <a:xfrm>
                      <a:off x="0" y="0"/>
                      <a:ext cx="3381341" cy="540000"/>
                    </a:xfrm>
                    <a:prstGeom prst="rect">
                      <a:avLst/>
                    </a:prstGeom>
                    <a:noFill/>
                    <a:ln w="9525">
                      <a:noFill/>
                      <a:miter lim="800000"/>
                      <a:headEnd/>
                      <a:tailEnd/>
                    </a:ln>
                  </pic:spPr>
                </pic:pic>
              </a:graphicData>
            </a:graphic>
          </wp:inline>
        </w:drawing>
      </w:r>
    </w:p>
    <w:p>
      <w:pPr>
        <w:spacing w:line="360" w:lineRule="auto"/>
        <w:jc w:val="center"/>
        <w:rPr>
          <w:rFonts w:ascii="仿宋" w:hAnsi="仿宋" w:eastAsia="仿宋" w:cs="宋体"/>
          <w:color w:val="000000" w:themeColor="text1"/>
          <w:sz w:val="24"/>
          <w:highlight w:val="none"/>
          <w14:textFill>
            <w14:solidFill>
              <w14:schemeClr w14:val="tx1"/>
            </w14:solidFill>
          </w14:textFill>
        </w:rPr>
      </w:pPr>
    </w:p>
    <w:p>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p>
    <w:p>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p>
    <w:p>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采购人：</w:t>
      </w:r>
      <w:r>
        <w:rPr>
          <w:rFonts w:hint="eastAsia" w:ascii="仿宋" w:hAnsi="仿宋" w:eastAsia="仿宋" w:cs="仿宋_GB2312"/>
          <w:color w:val="000000" w:themeColor="text1"/>
          <w:sz w:val="32"/>
          <w:szCs w:val="32"/>
          <w:highlight w:val="none"/>
          <w:lang w:eastAsia="zh-CN"/>
          <w14:textFill>
            <w14:solidFill>
              <w14:schemeClr w14:val="tx1"/>
            </w14:solidFill>
          </w14:textFill>
        </w:rPr>
        <w:t>杭州市临平职业高级中学(杭州市临平技工学校)</w:t>
      </w:r>
      <w:r>
        <w:rPr>
          <w:rFonts w:hint="eastAsia" w:ascii="仿宋" w:hAnsi="仿宋" w:eastAsia="仿宋" w:cs="仿宋_GB2312"/>
          <w:color w:val="000000" w:themeColor="text1"/>
          <w:sz w:val="32"/>
          <w:szCs w:val="32"/>
          <w:highlight w:val="none"/>
          <w14:textFill>
            <w14:solidFill>
              <w14:schemeClr w14:val="tx1"/>
            </w14:solidFill>
          </w14:textFill>
        </w:rPr>
        <w:t xml:space="preserve"> </w:t>
      </w:r>
    </w:p>
    <w:p>
      <w:pPr>
        <w:snapToGrid w:val="0"/>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采购代理机构：天阳建设管理有限公司</w:t>
      </w:r>
    </w:p>
    <w:p>
      <w:pPr>
        <w:snapToGrid w:val="0"/>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宋体"/>
          <w:bCs/>
          <w:color w:val="000000" w:themeColor="text1"/>
          <w:sz w:val="32"/>
          <w:szCs w:val="32"/>
          <w:highlight w:val="none"/>
          <w14:textFill>
            <w14:solidFill>
              <w14:schemeClr w14:val="tx1"/>
            </w14:solidFill>
          </w14:textFill>
        </w:rPr>
        <w:t>〇</w:t>
      </w: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仿宋_GB2312"/>
          <w:bCs/>
          <w:color w:val="000000" w:themeColor="text1"/>
          <w:sz w:val="32"/>
          <w:szCs w:val="32"/>
          <w:highlight w:val="none"/>
          <w:lang w:eastAsia="zh-CN"/>
          <w14:textFill>
            <w14:solidFill>
              <w14:schemeClr w14:val="tx1"/>
            </w14:solidFill>
          </w14:textFill>
        </w:rPr>
        <w:t>五</w:t>
      </w:r>
      <w:r>
        <w:rPr>
          <w:rFonts w:hint="eastAsia" w:ascii="仿宋" w:hAnsi="仿宋" w:eastAsia="仿宋" w:cs="仿宋_GB2312"/>
          <w:bCs/>
          <w:color w:val="000000" w:themeColor="text1"/>
          <w:sz w:val="32"/>
          <w:szCs w:val="32"/>
          <w:highlight w:val="none"/>
          <w14:textFill>
            <w14:solidFill>
              <w14:schemeClr w14:val="tx1"/>
            </w14:solidFill>
          </w14:textFill>
        </w:rPr>
        <w:t>年</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一</w:t>
      </w:r>
      <w:r>
        <w:rPr>
          <w:rFonts w:hint="eastAsia" w:ascii="仿宋" w:hAnsi="仿宋" w:eastAsia="仿宋" w:cs="仿宋_GB2312"/>
          <w:bCs/>
          <w:color w:val="000000" w:themeColor="text1"/>
          <w:sz w:val="32"/>
          <w:szCs w:val="32"/>
          <w:highlight w:val="none"/>
          <w14:textFill>
            <w14:solidFill>
              <w14:schemeClr w14:val="tx1"/>
            </w14:solidFill>
          </w14:textFill>
        </w:rPr>
        <w:t>月</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十八</w:t>
      </w:r>
      <w:bookmarkStart w:id="416" w:name="_GoBack"/>
      <w:bookmarkEnd w:id="416"/>
      <w:r>
        <w:rPr>
          <w:rFonts w:hint="eastAsia" w:ascii="仿宋" w:hAnsi="仿宋" w:eastAsia="仿宋" w:cs="仿宋_GB2312"/>
          <w:bCs/>
          <w:color w:val="000000" w:themeColor="text1"/>
          <w:sz w:val="32"/>
          <w:szCs w:val="32"/>
          <w:highlight w:val="none"/>
          <w14:textFill>
            <w14:solidFill>
              <w14:schemeClr w14:val="tx1"/>
            </w14:solidFill>
          </w14:textFill>
        </w:rPr>
        <w:t>日</w:t>
      </w:r>
    </w:p>
    <w:p>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br w:type="page"/>
      </w:r>
      <w:bookmarkStart w:id="0" w:name="_Hlt67893495"/>
      <w:bookmarkEnd w:id="0"/>
    </w:p>
    <w:p>
      <w:pPr>
        <w:spacing w:line="360" w:lineRule="auto"/>
        <w:jc w:val="center"/>
        <w:rPr>
          <w:rFonts w:ascii="仿宋" w:hAnsi="仿宋" w:eastAsia="仿宋" w:cs="宋体"/>
          <w:b/>
          <w:color w:val="000000" w:themeColor="text1"/>
          <w:sz w:val="48"/>
          <w:szCs w:val="48"/>
          <w:highlight w:val="none"/>
          <w14:textFill>
            <w14:solidFill>
              <w14:schemeClr w14:val="tx1"/>
            </w14:solidFill>
          </w14:textFill>
        </w:rPr>
      </w:pPr>
      <w:r>
        <w:rPr>
          <w:rFonts w:hint="eastAsia" w:ascii="仿宋" w:hAnsi="仿宋" w:eastAsia="仿宋" w:cs="宋体"/>
          <w:b/>
          <w:color w:val="000000" w:themeColor="text1"/>
          <w:sz w:val="48"/>
          <w:szCs w:val="48"/>
          <w:highlight w:val="none"/>
          <w14:textFill>
            <w14:solidFill>
              <w14:schemeClr w14:val="tx1"/>
            </w14:solidFill>
          </w14:textFill>
        </w:rPr>
        <w:t>目  录</w:t>
      </w:r>
    </w:p>
    <w:p>
      <w:pPr>
        <w:spacing w:line="360" w:lineRule="auto"/>
        <w:rPr>
          <w:rFonts w:ascii="仿宋" w:hAnsi="仿宋" w:eastAsia="仿宋" w:cs="宋体"/>
          <w:color w:val="000000" w:themeColor="text1"/>
          <w:sz w:val="32"/>
          <w:szCs w:val="32"/>
          <w:highlight w:val="none"/>
          <w14:textFill>
            <w14:solidFill>
              <w14:schemeClr w14:val="tx1"/>
            </w14:solidFill>
          </w14:textFill>
        </w:rPr>
      </w:pPr>
    </w:p>
    <w:p>
      <w:pPr>
        <w:spacing w:line="360" w:lineRule="auto"/>
        <w:rPr>
          <w:rFonts w:ascii="仿宋" w:hAnsi="仿宋" w:eastAsia="仿宋" w:cs="宋体"/>
          <w:color w:val="000000" w:themeColor="text1"/>
          <w:sz w:val="32"/>
          <w:szCs w:val="32"/>
          <w:highlight w:val="none"/>
          <w14:textFill>
            <w14:solidFill>
              <w14:schemeClr w14:val="tx1"/>
            </w14:solidFill>
          </w14:textFill>
        </w:rPr>
      </w:pPr>
    </w:p>
    <w:p>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rPr>
          <w:rFonts w:ascii="仿宋" w:hAnsi="仿宋" w:eastAsia="仿宋" w:cs="宋体"/>
          <w:color w:val="000000" w:themeColor="text1"/>
          <w:sz w:val="24"/>
          <w:highlight w:val="none"/>
          <w14:textFill>
            <w14:solidFill>
              <w14:schemeClr w14:val="tx1"/>
            </w14:solidFill>
          </w14:textFill>
        </w:rPr>
      </w:pPr>
    </w:p>
    <w:p>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bookmarkStart w:id="3" w:name="第一部分"/>
      <w:r>
        <w:rPr>
          <w:rFonts w:hint="eastAsia" w:ascii="仿宋" w:hAnsi="仿宋" w:eastAsia="仿宋" w:cs="宋体"/>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宋体"/>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仿宋_GB2312"/>
          <w:color w:val="000000" w:themeColor="text1"/>
          <w:sz w:val="24"/>
          <w:highlight w:val="none"/>
          <w:u w:val="single"/>
          <w:lang w:eastAsia="zh-CN"/>
          <w14:textFill>
            <w14:solidFill>
              <w14:schemeClr w14:val="tx1"/>
            </w14:solidFill>
          </w14:textFill>
        </w:rPr>
        <w:t>杭州市临平职业高级中学2025年宿管服务采购项目</w:t>
      </w:r>
      <w:r>
        <w:rPr>
          <w:rFonts w:hint="eastAsia" w:ascii="仿宋" w:hAnsi="仿宋" w:eastAsia="仿宋"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81"/>
          <w:rFonts w:hint="eastAsia" w:ascii="仿宋" w:hAnsi="仿宋" w:eastAsia="仿宋" w:cs="宋体"/>
          <w:color w:val="000000" w:themeColor="text1"/>
          <w:kern w:val="2"/>
          <w:sz w:val="24"/>
          <w:szCs w:val="24"/>
          <w:highlight w:val="none"/>
          <w14:textFill>
            <w14:solidFill>
              <w14:schemeClr w14:val="tx1"/>
            </w14:solidFill>
          </w14:textFill>
        </w:rPr>
        <w:t>https://www.zcygov.cn/）获取（下载）招标文件，并于202</w:t>
      </w:r>
      <w:r>
        <w:rPr>
          <w:rStyle w:val="81"/>
          <w:rFonts w:hint="eastAsia" w:ascii="仿宋" w:hAnsi="仿宋" w:eastAsia="仿宋" w:cs="宋体"/>
          <w:color w:val="000000" w:themeColor="text1"/>
          <w:kern w:val="2"/>
          <w:sz w:val="24"/>
          <w:szCs w:val="24"/>
          <w:highlight w:val="none"/>
          <w:lang w:val="en-US" w:eastAsia="zh-CN"/>
          <w14:textFill>
            <w14:solidFill>
              <w14:schemeClr w14:val="tx1"/>
            </w14:solidFill>
          </w14:textFill>
        </w:rPr>
        <w:t>5</w:t>
      </w:r>
      <w:r>
        <w:rPr>
          <w:rStyle w:val="81"/>
          <w:rFonts w:hint="eastAsia" w:ascii="仿宋" w:hAnsi="仿宋" w:eastAsia="仿宋" w:cs="宋体"/>
          <w:color w:val="000000" w:themeColor="text1"/>
          <w:kern w:val="2"/>
          <w:sz w:val="24"/>
          <w:szCs w:val="24"/>
          <w:highlight w:val="none"/>
          <w14:textFill>
            <w14:solidFill>
              <w14:schemeClr w14:val="tx1"/>
            </w14:solidFill>
          </w14:textFill>
        </w:rPr>
        <w:t>年</w:t>
      </w:r>
      <w:r>
        <w:rPr>
          <w:rStyle w:val="81"/>
          <w:rFonts w:hint="eastAsia" w:ascii="仿宋" w:hAnsi="仿宋" w:eastAsia="仿宋" w:cs="宋体"/>
          <w:color w:val="000000" w:themeColor="text1"/>
          <w:kern w:val="2"/>
          <w:sz w:val="24"/>
          <w:szCs w:val="24"/>
          <w:highlight w:val="none"/>
          <w:lang w:val="en-US" w:eastAsia="zh-CN"/>
          <w14:textFill>
            <w14:solidFill>
              <w14:schemeClr w14:val="tx1"/>
            </w14:solidFill>
          </w14:textFill>
        </w:rPr>
        <w:t>2</w:t>
      </w:r>
      <w:r>
        <w:rPr>
          <w:rStyle w:val="81"/>
          <w:rFonts w:hint="eastAsia" w:ascii="仿宋" w:hAnsi="仿宋" w:eastAsia="仿宋" w:cs="宋体"/>
          <w:color w:val="000000" w:themeColor="text1"/>
          <w:kern w:val="2"/>
          <w:sz w:val="24"/>
          <w:szCs w:val="24"/>
          <w:highlight w:val="none"/>
          <w14:textFill>
            <w14:solidFill>
              <w14:schemeClr w14:val="tx1"/>
            </w14:solidFill>
          </w14:textFill>
        </w:rPr>
        <w:t>月</w:t>
      </w:r>
      <w:r>
        <w:rPr>
          <w:rStyle w:val="81"/>
          <w:rFonts w:hint="eastAsia" w:ascii="仿宋" w:hAnsi="仿宋" w:eastAsia="仿宋" w:cs="宋体"/>
          <w:color w:val="000000" w:themeColor="text1"/>
          <w:kern w:val="2"/>
          <w:sz w:val="24"/>
          <w:szCs w:val="24"/>
          <w:highlight w:val="none"/>
          <w:lang w:val="en-US" w:eastAsia="zh-CN"/>
          <w14:textFill>
            <w14:solidFill>
              <w14:schemeClr w14:val="tx1"/>
            </w14:solidFill>
          </w14:textFill>
        </w:rPr>
        <w:t>10</w:t>
      </w:r>
      <w:r>
        <w:rPr>
          <w:rStyle w:val="81"/>
          <w:rFonts w:hint="eastAsia" w:ascii="仿宋" w:hAnsi="仿宋" w:eastAsia="仿宋" w:cs="宋体"/>
          <w:color w:val="000000" w:themeColor="text1"/>
          <w:kern w:val="2"/>
          <w:sz w:val="24"/>
          <w:szCs w:val="24"/>
          <w:highlight w:val="none"/>
          <w14:textFill>
            <w14:solidFill>
              <w14:schemeClr w14:val="tx1"/>
            </w14:solidFill>
          </w14:textFill>
        </w:rPr>
        <w:t>日</w:t>
      </w:r>
      <w:r>
        <w:rPr>
          <w:rStyle w:val="81"/>
          <w:rFonts w:hint="eastAsia" w:ascii="仿宋" w:hAnsi="仿宋" w:eastAsia="仿宋" w:cs="宋体"/>
          <w:color w:val="000000" w:themeColor="text1"/>
          <w:kern w:val="2"/>
          <w:sz w:val="24"/>
          <w:szCs w:val="24"/>
          <w:highlight w:val="none"/>
          <w:lang w:val="en-US" w:eastAsia="zh-CN"/>
          <w14:textFill>
            <w14:solidFill>
              <w14:schemeClr w14:val="tx1"/>
            </w14:solidFill>
          </w14:textFill>
        </w:rPr>
        <w:t>13</w:t>
      </w:r>
      <w:r>
        <w:rPr>
          <w:rStyle w:val="81"/>
          <w:rFonts w:hint="eastAsia" w:ascii="仿宋" w:hAnsi="仿宋" w:eastAsia="仿宋" w:cs="宋体"/>
          <w:color w:val="000000" w:themeColor="text1"/>
          <w:kern w:val="2"/>
          <w:sz w:val="24"/>
          <w:szCs w:val="24"/>
          <w:highlight w:val="none"/>
          <w14:textFill>
            <w14:solidFill>
              <w14:schemeClr w14:val="tx1"/>
            </w14:solidFill>
          </w14:textFill>
        </w:rPr>
        <w:t>点</w:t>
      </w:r>
      <w:r>
        <w:rPr>
          <w:rStyle w:val="81"/>
          <w:rFonts w:hint="eastAsia" w:ascii="仿宋" w:hAnsi="仿宋" w:eastAsia="仿宋" w:cs="宋体"/>
          <w:color w:val="000000" w:themeColor="text1"/>
          <w:kern w:val="2"/>
          <w:sz w:val="24"/>
          <w:szCs w:val="24"/>
          <w:highlight w:val="none"/>
          <w:lang w:val="en-US" w:eastAsia="zh-CN"/>
          <w14:textFill>
            <w14:solidFill>
              <w14:schemeClr w14:val="tx1"/>
            </w14:solidFill>
          </w14:textFill>
        </w:rPr>
        <w:t>3</w:t>
      </w:r>
      <w:r>
        <w:rPr>
          <w:rStyle w:val="81"/>
          <w:rFonts w:hint="eastAsia" w:ascii="仿宋" w:hAnsi="仿宋" w:eastAsia="仿宋" w:cs="宋体"/>
          <w:color w:val="000000" w:themeColor="text1"/>
          <w:kern w:val="2"/>
          <w:sz w:val="24"/>
          <w:szCs w:val="24"/>
          <w:highlight w:val="none"/>
          <w14:textFill>
            <w14:solidFill>
              <w14:schemeClr w14:val="tx1"/>
            </w14:solidFill>
          </w14:textFill>
        </w:rPr>
        <w:t>0分</w:t>
      </w:r>
      <w:r>
        <w:rPr>
          <w:rStyle w:val="81"/>
          <w:rFonts w:hint="eastAsia" w:ascii="仿宋" w:hAnsi="仿宋" w:eastAsia="仿宋" w:cs="宋体"/>
          <w:bCs/>
          <w:color w:val="000000" w:themeColor="text1"/>
          <w:kern w:val="2"/>
          <w:sz w:val="24"/>
          <w:szCs w:val="24"/>
          <w:highlight w:val="none"/>
          <w14:textFill>
            <w14:solidFill>
              <w14:schemeClr w14:val="tx1"/>
            </w14:solidFill>
          </w14:textFill>
        </w:rPr>
        <w:t>00秒</w:t>
      </w:r>
      <w:r>
        <w:rPr>
          <w:rStyle w:val="81"/>
          <w:rFonts w:hint="eastAsia" w:ascii="仿宋" w:hAnsi="仿宋" w:eastAsia="仿宋" w:cs="宋体"/>
          <w:bCs/>
          <w:color w:val="000000" w:themeColor="text1"/>
          <w:kern w:val="2"/>
          <w:sz w:val="24"/>
          <w:szCs w:val="24"/>
          <w:highlight w:val="none"/>
          <w14:textFill>
            <w14:solidFill>
              <w14:schemeClr w14:val="tx1"/>
            </w14:solidFill>
          </w14:textFill>
        </w:rPr>
        <w:fldChar w:fldCharType="end"/>
      </w:r>
      <w:r>
        <w:rPr>
          <w:rFonts w:hint="eastAsia" w:ascii="仿宋" w:hAnsi="仿宋" w:eastAsia="仿宋" w:cs="宋体"/>
          <w:bCs/>
          <w:color w:val="000000" w:themeColor="text1"/>
          <w:sz w:val="24"/>
          <w:highlight w:val="none"/>
          <w14:textFill>
            <w14:solidFill>
              <w14:schemeClr w14:val="tx1"/>
            </w14:solidFill>
          </w14:textFill>
        </w:rPr>
        <w:t>（北京时间）前</w:t>
      </w:r>
      <w:r>
        <w:rPr>
          <w:rFonts w:hint="eastAsia" w:ascii="仿宋" w:hAnsi="仿宋" w:eastAsia="仿宋" w:cs="宋体"/>
          <w:color w:val="000000" w:themeColor="text1"/>
          <w:sz w:val="24"/>
          <w:highlight w:val="none"/>
          <w14:textFill>
            <w14:solidFill>
              <w14:schemeClr w14:val="tx1"/>
            </w14:solidFill>
          </w14:textFill>
        </w:rPr>
        <w:t>递交（上传）投标文件。</w:t>
      </w: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一、项目基本情况                                            </w:t>
      </w:r>
    </w:p>
    <w:p>
      <w:pPr>
        <w:spacing w:line="360" w:lineRule="auto"/>
        <w:ind w:firstLine="482"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项目编号：</w:t>
      </w:r>
      <w:r>
        <w:rPr>
          <w:rFonts w:hint="eastAsia" w:ascii="仿宋" w:hAnsi="仿宋" w:eastAsia="仿宋" w:cs="宋体"/>
          <w:color w:val="000000" w:themeColor="text1"/>
          <w:sz w:val="24"/>
          <w:highlight w:val="none"/>
          <w:lang w:eastAsia="zh-CN"/>
          <w14:textFill>
            <w14:solidFill>
              <w14:schemeClr w14:val="tx1"/>
            </w14:solidFill>
          </w14:textFill>
        </w:rPr>
        <w:t>TYZFCG2025-001-1</w:t>
      </w:r>
    </w:p>
    <w:p>
      <w:pPr>
        <w:spacing w:line="360" w:lineRule="auto"/>
        <w:ind w:firstLine="482"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sz w:val="24"/>
          <w:highlight w:val="none"/>
          <w:lang w:eastAsia="zh-CN"/>
          <w14:textFill>
            <w14:solidFill>
              <w14:schemeClr w14:val="tx1"/>
            </w14:solidFill>
          </w14:textFill>
        </w:rPr>
        <w:t>杭州市临平职业高级中学2025年宿管服务采购项目</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预算金额（元）：</w:t>
      </w:r>
      <w:r>
        <w:rPr>
          <w:rFonts w:hint="eastAsia" w:ascii="仿宋" w:hAnsi="仿宋" w:eastAsia="仿宋"/>
          <w:b/>
          <w:color w:val="000000" w:themeColor="text1"/>
          <w:sz w:val="24"/>
          <w:highlight w:val="none"/>
          <w:lang w:val="en-US" w:eastAsia="zh-CN"/>
          <w14:textFill>
            <w14:solidFill>
              <w14:schemeClr w14:val="tx1"/>
            </w14:solidFill>
          </w14:textFill>
        </w:rPr>
        <w:t>1890000</w:t>
      </w:r>
    </w:p>
    <w:p>
      <w:pPr>
        <w:spacing w:line="360" w:lineRule="auto"/>
        <w:ind w:firstLine="482" w:firstLineChars="200"/>
        <w:rPr>
          <w:rFonts w:hint="default" w:ascii="仿宋" w:hAnsi="仿宋" w:eastAsia="仿宋" w:cs="宋体"/>
          <w:color w:val="000000" w:themeColor="text1"/>
          <w:sz w:val="24"/>
          <w:highlight w:val="none"/>
          <w:lang w:val="en-US"/>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最高限价（元）：</w:t>
      </w:r>
      <w:r>
        <w:rPr>
          <w:rFonts w:hint="eastAsia" w:ascii="仿宋" w:hAnsi="仿宋" w:eastAsia="仿宋" w:cs="宋体"/>
          <w:b/>
          <w:color w:val="000000" w:themeColor="text1"/>
          <w:sz w:val="24"/>
          <w:highlight w:val="none"/>
          <w:lang w:val="en-US" w:eastAsia="zh-CN"/>
          <w14:textFill>
            <w14:solidFill>
              <w14:schemeClr w14:val="tx1"/>
            </w14:solidFill>
          </w14:textFill>
        </w:rPr>
        <w:t>1890000</w:t>
      </w:r>
    </w:p>
    <w:p>
      <w:pPr>
        <w:pStyle w:val="5"/>
        <w:spacing w:line="360" w:lineRule="auto"/>
        <w:ind w:firstLine="480"/>
        <w:rPr>
          <w:rFonts w:ascii="仿宋" w:hAnsi="仿宋" w:eastAsia="仿宋" w:cs="宋体"/>
          <w:bCs/>
          <w:color w:val="000000" w:themeColor="text1"/>
          <w:kern w:val="2"/>
          <w:sz w:val="24"/>
          <w:szCs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采购需求：</w:t>
      </w:r>
      <w:r>
        <w:rPr>
          <w:rFonts w:hint="eastAsia" w:ascii="仿宋" w:hAnsi="仿宋" w:eastAsia="仿宋" w:cs="仿宋"/>
          <w:color w:val="000000" w:themeColor="text1"/>
          <w:sz w:val="24"/>
          <w:highlight w:val="none"/>
          <w:lang w:eastAsia="zh-CN"/>
          <w14:textFill>
            <w14:solidFill>
              <w14:schemeClr w14:val="tx1"/>
            </w14:solidFill>
          </w14:textFill>
        </w:rPr>
        <w:t>杭州市临平职业高级中学2025年宿管服务采购项目</w:t>
      </w:r>
      <w:r>
        <w:rPr>
          <w:rFonts w:hint="eastAsia" w:ascii="仿宋" w:hAnsi="仿宋" w:eastAsia="仿宋" w:cs="仿宋"/>
          <w:bCs/>
          <w:color w:val="000000" w:themeColor="text1"/>
          <w:kern w:val="2"/>
          <w:sz w:val="24"/>
          <w:szCs w:val="24"/>
          <w:highlight w:val="none"/>
          <w14:textFill>
            <w14:solidFill>
              <w14:schemeClr w14:val="tx1"/>
            </w14:solidFill>
          </w14:textFill>
        </w:rPr>
        <w:t>主要内容：</w:t>
      </w:r>
      <w:r>
        <w:rPr>
          <w:rFonts w:hint="eastAsia" w:ascii="仿宋" w:hAnsi="仿宋" w:eastAsia="仿宋" w:cs="仿宋"/>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pPr>
        <w:pStyle w:val="90"/>
        <w:spacing w:before="0"/>
        <w:ind w:firstLine="482"/>
        <w:outlineLvl w:val="2"/>
        <w:rPr>
          <w:rFonts w:hint="eastAsia" w:ascii="仿宋" w:hAnsi="仿宋" w:eastAsia="仿宋" w:cs="宋体"/>
          <w:color w:val="000000" w:themeColor="text1"/>
          <w:highlight w:val="none"/>
          <w:lang w:eastAsia="zh-CN"/>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合同履约期限：</w:t>
      </w:r>
      <w:r>
        <w:rPr>
          <w:rFonts w:hint="eastAsia" w:ascii="仿宋" w:hAnsi="仿宋" w:eastAsia="仿宋" w:cs="宋体"/>
          <w:b/>
          <w:color w:val="000000" w:themeColor="text1"/>
          <w:highlight w:val="none"/>
          <w:lang w:val="en-US" w:eastAsia="zh-CN"/>
          <w14:textFill>
            <w14:solidFill>
              <w14:schemeClr w14:val="tx1"/>
            </w14:solidFill>
          </w14:textFill>
        </w:rPr>
        <w:t>详见招标文件第三部分采购需求</w:t>
      </w:r>
      <w:r>
        <w:rPr>
          <w:rFonts w:hint="eastAsia" w:ascii="仿宋" w:hAnsi="仿宋" w:eastAsia="仿宋" w:cs="宋体"/>
          <w:b/>
          <w:color w:val="000000" w:themeColor="text1"/>
          <w:highlight w:val="none"/>
          <w:lang w:eastAsia="zh-CN"/>
          <w14:textFill>
            <w14:solidFill>
              <w14:schemeClr w14:val="tx1"/>
            </w14:solidFill>
          </w14:textFill>
        </w:rPr>
        <w:t>。</w:t>
      </w:r>
    </w:p>
    <w:p>
      <w:pPr>
        <w:pStyle w:val="5"/>
        <w:spacing w:line="360" w:lineRule="auto"/>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本项目接受联合体投标：：</w:t>
      </w:r>
      <w:r>
        <w:rPr>
          <w:rFonts w:ascii="仿宋" w:hAnsi="仿宋" w:eastAsia="仿宋" w:cs="宋体"/>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sz w:val="24"/>
          <w:highlight w:val="none"/>
          <w14:textFill>
            <w14:solidFill>
              <w14:schemeClr w14:val="tx1"/>
            </w14:solidFill>
          </w14:textFill>
        </w:rPr>
        <w:t>是；</w:t>
      </w:r>
      <w:r>
        <w:rPr>
          <w:rFonts w:ascii="仿宋" w:hAnsi="Segoe UI Symbol" w:eastAsia="仿宋" w:cs="Segoe UI Symbol"/>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否</w:t>
      </w:r>
      <w:r>
        <w:rPr>
          <w:rFonts w:hint="eastAsia" w:ascii="仿宋" w:hAnsi="仿宋" w:eastAsia="仿宋" w:cs="宋体"/>
          <w:color w:val="000000" w:themeColor="text1"/>
          <w:kern w:val="0"/>
          <w:sz w:val="24"/>
          <w:highlight w:val="none"/>
          <w14:textFill>
            <w14:solidFill>
              <w14:schemeClr w14:val="tx1"/>
            </w14:solidFill>
          </w14:textFill>
        </w:rPr>
        <w:t>。</w:t>
      </w: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二、申请人的资格要求：</w:t>
      </w:r>
    </w:p>
    <w:p>
      <w:pPr>
        <w:spacing w:line="360" w:lineRule="auto"/>
        <w:ind w:firstLine="480"/>
        <w:rPr>
          <w:rFonts w:ascii="仿宋" w:hAnsi="仿宋" w:eastAsia="仿宋" w:cs="宋体"/>
          <w:snapToGrid w:val="0"/>
          <w:color w:val="000000" w:themeColor="text1"/>
          <w:kern w:val="28"/>
          <w:sz w:val="24"/>
          <w:szCs w:val="20"/>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2</w:t>
      </w:r>
      <w:r>
        <w:rPr>
          <w:rFonts w:hint="eastAsia" w:ascii="仿宋" w:hAnsi="仿宋" w:eastAsia="仿宋"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3</w:t>
      </w:r>
      <w:r>
        <w:rPr>
          <w:rFonts w:hint="eastAsia" w:ascii="仿宋" w:hAnsi="仿宋" w:eastAsia="仿宋" w:cs="宋体"/>
          <w:snapToGrid w:val="0"/>
          <w:color w:val="000000" w:themeColor="text1"/>
          <w:kern w:val="28"/>
          <w:sz w:val="24"/>
          <w:szCs w:val="20"/>
          <w:highlight w:val="none"/>
          <w14:textFill>
            <w14:solidFill>
              <w14:schemeClr w14:val="tx1"/>
            </w14:solidFill>
          </w14:textFill>
        </w:rPr>
        <w:t>.落实政府采购政策需满足的资格要求：</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无</w:t>
      </w:r>
      <w:r>
        <w:rPr>
          <w:rFonts w:hint="eastAsia" w:ascii="仿宋" w:hAnsi="仿宋" w:eastAsia="仿宋"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kern w:val="0"/>
          <w:sz w:val="24"/>
          <w:highlight w:val="none"/>
          <w14:textFill>
            <w14:solidFill>
              <w14:schemeClr w14:val="tx1"/>
            </w14:solidFill>
          </w14:textFill>
        </w:rPr>
        <w:t>专</w:t>
      </w:r>
      <w:r>
        <w:rPr>
          <w:rFonts w:hint="eastAsia" w:ascii="仿宋" w:hAnsi="仿宋" w:eastAsia="仿宋" w:cs="宋体"/>
          <w:color w:val="000000" w:themeColor="text1"/>
          <w:sz w:val="24"/>
          <w:highlight w:val="none"/>
          <w14:textFill>
            <w14:solidFill>
              <w14:schemeClr w14:val="tx1"/>
            </w14:solidFill>
          </w14:textFill>
        </w:rPr>
        <w:t>门面向中小企业</w:t>
      </w:r>
    </w:p>
    <w:p>
      <w:pPr>
        <w:spacing w:line="360" w:lineRule="auto"/>
        <w:ind w:firstLine="840" w:firstLineChars="35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sz w:val="24"/>
          <w:highlight w:val="none"/>
          <w14:textFill>
            <w14:solidFill>
              <w14:schemeClr w14:val="tx1"/>
            </w14:solidFill>
          </w14:textFill>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服务全部由符合政策要求的小微企业承接，提供中小企业声明函。</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要求以联合体形式参加，提供联合协议和中小企业声明函，联合协议中中小企业合同金额应当达到%，其中小微企业合同金额应当达到%</w:t>
      </w:r>
      <w:r>
        <w:rPr>
          <w:rFonts w:hint="eastAsia" w:ascii="仿宋" w:hAnsi="仿宋" w:eastAsia="仿宋" w:cs="宋体"/>
          <w:color w:val="000000" w:themeColor="text1"/>
          <w:sz w:val="24"/>
          <w:highlight w:val="none"/>
          <w:lang w:eastAsia="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xml:space="preserve">要求合同分包，提供分包意向协议和中小企业声明函，分包意向协议中中小企业合同金额应当达到达到% ，小微企业合同金额应当达到% </w:t>
      </w:r>
      <w:r>
        <w:rPr>
          <w:rFonts w:hint="eastAsia" w:ascii="仿宋" w:hAnsi="仿宋" w:eastAsia="仿宋" w:cs="宋体"/>
          <w:color w:val="000000" w:themeColor="text1"/>
          <w:sz w:val="24"/>
          <w:highlight w:val="none"/>
          <w:lang w:eastAsia="zh-CN"/>
          <w14:textFill>
            <w14:solidFill>
              <w14:schemeClr w14:val="tx1"/>
            </w14:solidFill>
          </w14:textFill>
        </w:rPr>
        <w:t>。</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highlight w:val="none"/>
          <w14:textFill>
            <w14:solidFill>
              <w14:schemeClr w14:val="tx1"/>
            </w14:solidFill>
          </w14:textFill>
        </w:rPr>
        <w:t>；</w:t>
      </w:r>
    </w:p>
    <w:p>
      <w:pPr>
        <w:numPr>
          <w:ilvl w:val="0"/>
          <w:numId w:val="2"/>
        </w:num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本项目的特定资格要求：</w:t>
      </w:r>
    </w:p>
    <w:p>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6463"/>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lang w:val="en-US" w:eastAsia="zh-CN"/>
          <w14:textFill>
            <w14:solidFill>
              <w14:schemeClr w14:val="tx1"/>
            </w14:solidFill>
          </w14:textFill>
        </w:rPr>
        <w:t>无。</w:t>
      </w:r>
    </w:p>
    <w:p>
      <w:pPr>
        <w:pStyle w:val="24"/>
        <w:numPr>
          <w:ilvl w:val="0"/>
          <w:numId w:val="0"/>
        </w:numPr>
        <w:ind w:firstLine="480" w:firstLineChars="200"/>
        <w:rPr>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0711229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有特定资格要求：</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，该特定条件的法律法规依据：</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时间：</w:t>
      </w:r>
      <w:r>
        <w:rPr>
          <w:rFonts w:hint="eastAsia" w:ascii="仿宋" w:hAnsi="仿宋" w:eastAsia="仿宋" w:cs="宋体"/>
          <w:color w:val="000000" w:themeColor="text1"/>
          <w:sz w:val="24"/>
          <w:highlight w:val="none"/>
          <w14:textFill>
            <w14:solidFill>
              <w14:schemeClr w14:val="tx1"/>
            </w14:solidFill>
          </w14:textFill>
        </w:rPr>
        <w:t>/至</w:t>
      </w:r>
      <w:r>
        <w:rPr>
          <w:rFonts w:hint="eastAsia" w:ascii="仿宋" w:hAnsi="仿宋" w:eastAsia="仿宋" w:cs="宋体"/>
          <w:color w:val="000000" w:themeColor="text1"/>
          <w:sz w:val="24"/>
          <w:highlight w:val="none"/>
          <w:u w:val="single"/>
          <w14:textFill>
            <w14:solidFill>
              <w14:schemeClr w14:val="tx1"/>
            </w14:solidFill>
          </w14:textFill>
        </w:rPr>
        <w:t>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 xml:space="preserve"> 2</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10</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方式：</w:t>
      </w:r>
      <w:r>
        <w:rPr>
          <w:rFonts w:hint="eastAsia" w:ascii="仿宋" w:hAnsi="仿宋" w:eastAsia="仿宋"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售价（元）：</w:t>
      </w:r>
      <w:r>
        <w:rPr>
          <w:rFonts w:hint="eastAsia" w:ascii="仿宋" w:hAnsi="仿宋" w:eastAsia="仿宋" w:cs="宋体"/>
          <w:color w:val="000000" w:themeColor="text1"/>
          <w:sz w:val="24"/>
          <w:highlight w:val="none"/>
          <w14:textFill>
            <w14:solidFill>
              <w14:schemeClr w14:val="tx1"/>
            </w14:solidFill>
          </w14:textFill>
        </w:rPr>
        <w:t xml:space="preserve">0 </w:t>
      </w:r>
      <w:r>
        <w:rPr>
          <w:rFonts w:hint="eastAsia" w:ascii="仿宋" w:hAnsi="仿宋" w:eastAsia="仿宋" w:cs="宋体"/>
          <w:color w:val="000000" w:themeColor="text1"/>
          <w:sz w:val="24"/>
          <w:highlight w:val="none"/>
          <w14:textFill>
            <w14:solidFill>
              <w14:schemeClr w14:val="tx1"/>
            </w14:solidFill>
          </w14:textFill>
        </w:rPr>
        <w:tab/>
      </w: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提交投标文件截止时间：</w:t>
      </w:r>
      <w:r>
        <w:rPr>
          <w:rFonts w:hint="eastAsia" w:ascii="仿宋" w:hAnsi="仿宋" w:eastAsia="仿宋" w:cs="宋体"/>
          <w:color w:val="000000" w:themeColor="text1"/>
          <w:sz w:val="24"/>
          <w:highlight w:val="none"/>
          <w:u w:val="single"/>
          <w14:textFill>
            <w14:solidFill>
              <w14:schemeClr w14:val="tx1"/>
            </w14:solidFill>
          </w14:textFill>
        </w:rPr>
        <w:t xml:space="preserve"> 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10</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u w:val="single"/>
          <w:lang w:val="en-US" w:eastAsia="zh-CN"/>
          <w14:textFill>
            <w14:solidFill>
              <w14:schemeClr w14:val="tx1"/>
            </w14:solidFill>
          </w14:textFill>
        </w:rPr>
        <w:t>13</w:t>
      </w:r>
      <w:r>
        <w:rPr>
          <w:rFonts w:hint="eastAsia" w:ascii="仿宋" w:hAnsi="仿宋" w:eastAsia="仿宋" w:cs="宋体"/>
          <w:color w:val="000000" w:themeColor="text1"/>
          <w:sz w:val="24"/>
          <w:highlight w:val="none"/>
          <w:u w:val="single"/>
          <w14:textFill>
            <w14:solidFill>
              <w14:schemeClr w14:val="tx1"/>
            </w14:solidFill>
          </w14:textFill>
        </w:rPr>
        <w:t>点</w:t>
      </w:r>
      <w:r>
        <w:rPr>
          <w:rFonts w:hint="eastAsia" w:ascii="仿宋" w:hAnsi="仿宋" w:eastAsia="仿宋" w:cs="宋体"/>
          <w:color w:val="000000" w:themeColor="text1"/>
          <w:sz w:val="24"/>
          <w:highlight w:val="none"/>
          <w:u w:val="single"/>
          <w:lang w:val="en-US" w:eastAsia="zh-CN"/>
          <w14:textFill>
            <w14:solidFill>
              <w14:schemeClr w14:val="tx1"/>
            </w14:solidFill>
          </w14:textFill>
        </w:rPr>
        <w:t>3</w:t>
      </w:r>
      <w:r>
        <w:rPr>
          <w:rFonts w:hint="eastAsia" w:ascii="仿宋" w:hAnsi="仿宋" w:eastAsia="仿宋" w:cs="宋体"/>
          <w:color w:val="000000" w:themeColor="text1"/>
          <w:sz w:val="24"/>
          <w:highlight w:val="none"/>
          <w:u w:val="single"/>
          <w14:textFill>
            <w14:solidFill>
              <w14:schemeClr w14:val="tx1"/>
            </w14:solidFill>
          </w14:textFill>
        </w:rPr>
        <w:t>0分00秒</w:t>
      </w:r>
      <w:r>
        <w:rPr>
          <w:rFonts w:hint="eastAsia" w:ascii="仿宋" w:hAnsi="仿宋" w:eastAsia="仿宋" w:cs="宋体"/>
          <w:color w:val="000000" w:themeColor="text1"/>
          <w:sz w:val="24"/>
          <w:highlight w:val="none"/>
          <w14:textFill>
            <w14:solidFill>
              <w14:schemeClr w14:val="tx1"/>
            </w14:solidFill>
          </w14:textFill>
        </w:rPr>
        <w:t>（北京时间）</w:t>
      </w:r>
    </w:p>
    <w:p>
      <w:pPr>
        <w:spacing w:line="360" w:lineRule="auto"/>
        <w:ind w:firstLine="482"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仿宋" w:hAnsi="仿宋" w:eastAsia="仿宋" w:cs="宋体"/>
          <w:bCs/>
          <w:color w:val="000000" w:themeColor="text1"/>
          <w:sz w:val="24"/>
          <w:highlight w:val="none"/>
          <w:u w:val="singl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开标时间：</w:t>
      </w:r>
      <w:r>
        <w:rPr>
          <w:rFonts w:hint="eastAsia" w:ascii="仿宋" w:hAnsi="仿宋" w:eastAsia="仿宋" w:cs="宋体"/>
          <w:color w:val="000000" w:themeColor="text1"/>
          <w:sz w:val="24"/>
          <w:highlight w:val="none"/>
          <w:u w:val="single"/>
          <w14:textFill>
            <w14:solidFill>
              <w14:schemeClr w14:val="tx1"/>
            </w14:solidFill>
          </w14:textFill>
        </w:rPr>
        <w:t>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10</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u w:val="single"/>
          <w:lang w:val="en-US" w:eastAsia="zh-CN"/>
          <w14:textFill>
            <w14:solidFill>
              <w14:schemeClr w14:val="tx1"/>
            </w14:solidFill>
          </w14:textFill>
        </w:rPr>
        <w:t>13</w:t>
      </w:r>
      <w:r>
        <w:rPr>
          <w:rFonts w:hint="eastAsia" w:ascii="仿宋" w:hAnsi="仿宋" w:eastAsia="仿宋" w:cs="宋体"/>
          <w:color w:val="000000" w:themeColor="text1"/>
          <w:sz w:val="24"/>
          <w:highlight w:val="none"/>
          <w:u w:val="single"/>
          <w14:textFill>
            <w14:solidFill>
              <w14:schemeClr w14:val="tx1"/>
            </w14:solidFill>
          </w14:textFill>
        </w:rPr>
        <w:t>点</w:t>
      </w:r>
      <w:r>
        <w:rPr>
          <w:rFonts w:hint="eastAsia" w:ascii="仿宋" w:hAnsi="仿宋" w:eastAsia="仿宋" w:cs="宋体"/>
          <w:color w:val="000000" w:themeColor="text1"/>
          <w:sz w:val="24"/>
          <w:highlight w:val="none"/>
          <w:u w:val="single"/>
          <w:lang w:val="en-US" w:eastAsia="zh-CN"/>
          <w14:textFill>
            <w14:solidFill>
              <w14:schemeClr w14:val="tx1"/>
            </w14:solidFill>
          </w14:textFill>
        </w:rPr>
        <w:t>3</w:t>
      </w:r>
      <w:r>
        <w:rPr>
          <w:rFonts w:hint="eastAsia" w:ascii="仿宋" w:hAnsi="仿宋" w:eastAsia="仿宋" w:cs="宋体"/>
          <w:color w:val="000000" w:themeColor="text1"/>
          <w:sz w:val="24"/>
          <w:highlight w:val="none"/>
          <w:u w:val="single"/>
          <w14:textFill>
            <w14:solidFill>
              <w14:schemeClr w14:val="tx1"/>
            </w14:solidFill>
          </w14:textFill>
        </w:rPr>
        <w:t>0分00秒</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开标地点（网址）：</w:t>
      </w:r>
      <w:r>
        <w:rPr>
          <w:rFonts w:hint="eastAsia" w:ascii="仿宋" w:hAnsi="仿宋" w:eastAsia="仿宋" w:cs="宋体"/>
          <w:color w:val="000000" w:themeColor="text1"/>
          <w:sz w:val="24"/>
          <w:highlight w:val="none"/>
          <w14:textFill>
            <w14:solidFill>
              <w14:schemeClr w14:val="tx1"/>
            </w14:solidFill>
          </w14:textFill>
        </w:rPr>
        <w:t>政采云平台（https://www.zcygov.cn/）</w:t>
      </w: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五、采购意向公开链接：</w:t>
      </w:r>
    </w:p>
    <w:p>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https://zfcg.czt.zj.gov.cn/site/detail?parentId=600007&amp;articleId=jdBi0%2BgyyQd3USsu%2FqQs3A%3D%3D</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六、公告期限 </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自本公告发布之日起5个工作日。</w:t>
      </w: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七、其他补充事宜</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w:t>
      </w:r>
      <w:r>
        <w:rPr>
          <w:rFonts w:ascii="仿宋" w:hAnsi="仿宋" w:eastAsia="仿宋"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000000" w:themeColor="text1"/>
          <w:sz w:val="24"/>
          <w:highlight w:val="none"/>
          <w14:textFill>
            <w14:solidFill>
              <w14:schemeClr w14:val="tx1"/>
            </w14:solidFill>
          </w14:textFill>
        </w:rPr>
        <w:t>。</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八、对本次采购提出询问、质疑、投诉，请按以下方式联系</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1.采购人信息</w:t>
      </w:r>
    </w:p>
    <w:p>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杭州市临平职业高级中学(杭州市临平技工学校)</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址：杭州市临平区南苑街道政法街139号      </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 /</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项目联系人（询问）：王利江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项目联系方式（询问）：0571-89180138</w:t>
      </w:r>
    </w:p>
    <w:p>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w:t>
      </w:r>
      <w:r>
        <w:rPr>
          <w:rFonts w:hint="eastAsia" w:ascii="仿宋" w:hAnsi="仿宋" w:eastAsia="仿宋" w:cs="仿宋"/>
          <w:color w:val="000000" w:themeColor="text1"/>
          <w:sz w:val="24"/>
          <w:highlight w:val="none"/>
          <w:lang w:val="en-US" w:eastAsia="zh-CN"/>
          <w14:textFill>
            <w14:solidFill>
              <w14:schemeClr w14:val="tx1"/>
            </w14:solidFill>
          </w14:textFill>
        </w:rPr>
        <w:t>王富东</w:t>
      </w:r>
    </w:p>
    <w:p>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质疑联系方式：13282804322</w:t>
      </w:r>
      <w:r>
        <w:rPr>
          <w:rFonts w:hint="eastAsia" w:ascii="仿宋" w:hAnsi="仿宋" w:eastAsia="仿宋" w:cs="仿宋"/>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 xml:space="preserve">   </w:t>
      </w:r>
    </w:p>
    <w:p>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2.采购代理机构信息            </w:t>
      </w:r>
    </w:p>
    <w:p>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    称：</w:t>
      </w:r>
      <w:r>
        <w:rPr>
          <w:rFonts w:hint="eastAsia" w:ascii="仿宋" w:hAnsi="仿宋" w:eastAsia="仿宋"/>
          <w:color w:val="000000" w:themeColor="text1"/>
          <w:sz w:val="24"/>
          <w:highlight w:val="none"/>
          <w14:textFill>
            <w14:solidFill>
              <w14:schemeClr w14:val="tx1"/>
            </w14:solidFill>
          </w14:textFill>
        </w:rPr>
        <w:t>天阳建设管理有限公司</w:t>
      </w:r>
    </w:p>
    <w:p>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w:t>
      </w:r>
      <w:r>
        <w:rPr>
          <w:rFonts w:hint="eastAsia" w:ascii="仿宋" w:hAnsi="仿宋" w:eastAsia="仿宋"/>
          <w:color w:val="000000" w:themeColor="text1"/>
          <w:sz w:val="24"/>
          <w:highlight w:val="none"/>
          <w14:textFill>
            <w14:solidFill>
              <w14:schemeClr w14:val="tx1"/>
            </w14:solidFill>
          </w14:textFill>
        </w:rPr>
        <w:t>杭州市临平区南苑街道玩月街88号1幢1001、1101室</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传    真： </w:t>
      </w:r>
      <w:r>
        <w:rPr>
          <w:rFonts w:hint="eastAsia" w:ascii="仿宋" w:hAnsi="仿宋" w:eastAsia="仿宋"/>
          <w:color w:val="000000" w:themeColor="text1"/>
          <w:sz w:val="24"/>
          <w:highlight w:val="none"/>
          <w14:textFill>
            <w14:solidFill>
              <w14:schemeClr w14:val="tx1"/>
            </w14:solidFill>
          </w14:textFill>
        </w:rPr>
        <w:t>0571-86235827</w:t>
      </w:r>
    </w:p>
    <w:p>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项目联系人（询问）：</w:t>
      </w:r>
      <w:r>
        <w:rPr>
          <w:rFonts w:hint="eastAsia" w:ascii="仿宋" w:hAnsi="仿宋" w:eastAsia="仿宋" w:cs="宋体"/>
          <w:color w:val="000000" w:themeColor="text1"/>
          <w:sz w:val="24"/>
          <w:highlight w:val="none"/>
          <w:lang w:eastAsia="zh-CN"/>
          <w14:textFill>
            <w14:solidFill>
              <w14:schemeClr w14:val="tx1"/>
            </w14:solidFill>
          </w14:textFill>
        </w:rPr>
        <w:t>丁敏</w:t>
      </w:r>
    </w:p>
    <w:p>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项目联系方式（询问）：</w:t>
      </w:r>
      <w:r>
        <w:rPr>
          <w:rFonts w:hint="eastAsia" w:ascii="仿宋" w:hAnsi="仿宋" w:eastAsia="仿宋"/>
          <w:color w:val="000000" w:themeColor="text1"/>
          <w:sz w:val="24"/>
          <w:highlight w:val="none"/>
          <w:lang w:val="en-US" w:eastAsia="zh-CN"/>
          <w14:textFill>
            <w14:solidFill>
              <w14:schemeClr w14:val="tx1"/>
            </w14:solidFill>
          </w14:textFill>
        </w:rPr>
        <w:t>0571-86235827</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质疑联系人：</w:t>
      </w:r>
      <w:r>
        <w:rPr>
          <w:rFonts w:hint="eastAsia" w:ascii="仿宋" w:hAnsi="仿宋" w:eastAsia="仿宋"/>
          <w:color w:val="000000" w:themeColor="text1"/>
          <w:sz w:val="24"/>
          <w:highlight w:val="none"/>
          <w14:textFill>
            <w14:solidFill>
              <w14:schemeClr w14:val="tx1"/>
            </w14:solidFill>
          </w14:textFill>
        </w:rPr>
        <w:t>戚良明</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质疑联系方式：</w:t>
      </w:r>
      <w:r>
        <w:rPr>
          <w:rFonts w:hint="eastAsia" w:ascii="仿宋" w:hAnsi="仿宋" w:eastAsia="仿宋" w:cs="仿宋"/>
          <w:color w:val="000000" w:themeColor="text1"/>
          <w:sz w:val="24"/>
          <w:highlight w:val="none"/>
          <w14:textFill>
            <w14:solidFill>
              <w14:schemeClr w14:val="tx1"/>
            </w14:solidFill>
          </w14:textFill>
        </w:rPr>
        <w:t>13588795636</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3.同级政府采购监督管理部门            </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名称：杭州市</w:t>
      </w:r>
      <w:r>
        <w:rPr>
          <w:rFonts w:hint="eastAsia" w:ascii="仿宋" w:hAnsi="仿宋" w:eastAsia="仿宋" w:cs="宋体"/>
          <w:color w:val="000000" w:themeColor="text1"/>
          <w:sz w:val="24"/>
          <w:highlight w:val="none"/>
          <w:lang w:eastAsia="zh-CN"/>
          <w14:textFill>
            <w14:solidFill>
              <w14:schemeClr w14:val="tx1"/>
            </w14:solidFill>
          </w14:textFill>
        </w:rPr>
        <w:t>临平</w:t>
      </w:r>
      <w:r>
        <w:rPr>
          <w:rFonts w:hint="eastAsia" w:ascii="仿宋" w:hAnsi="仿宋" w:eastAsia="仿宋" w:cs="宋体"/>
          <w:color w:val="000000" w:themeColor="text1"/>
          <w:sz w:val="24"/>
          <w:highlight w:val="none"/>
          <w14:textFill>
            <w14:solidFill>
              <w14:schemeClr w14:val="tx1"/>
            </w14:solidFill>
          </w14:textFill>
        </w:rPr>
        <w:t>区财政局、浙江省政府采购行政裁决服务中心（杭州）</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w:t>
      </w:r>
      <w:r>
        <w:rPr>
          <w:rFonts w:hint="eastAsia" w:ascii="仿宋" w:hAnsi="仿宋" w:eastAsia="仿宋" w:cs="宋体"/>
          <w:color w:val="000000" w:themeColor="text1"/>
          <w:sz w:val="24"/>
          <w:highlight w:val="none"/>
          <w:lang w:eastAsia="zh-CN"/>
          <w14:textFill>
            <w14:solidFill>
              <w14:schemeClr w14:val="tx1"/>
            </w14:solidFill>
          </w14:textFill>
        </w:rPr>
        <w:t>杭州市上城区清泰街549号城建综合大楼11楼</w:t>
      </w:r>
      <w:r>
        <w:rPr>
          <w:rFonts w:hint="eastAsia" w:ascii="仿宋" w:hAnsi="仿宋" w:eastAsia="仿宋" w:cs="宋体"/>
          <w:color w:val="000000" w:themeColor="text1"/>
          <w:sz w:val="24"/>
          <w:highlight w:val="none"/>
          <w14:textFill>
            <w14:solidFill>
              <w14:schemeClr w14:val="tx1"/>
            </w14:solidFill>
          </w14:textFill>
        </w:rPr>
        <w:t>（快递仅限ems或顺丰）</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传    真：/</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 系 人：朱女士、王女士</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监督投诉电话：</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0571-8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p>
    <w:p>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CA问题联系电话（人工）：汇信CA 400-888-4636；天谷CA 400-087-8198。</w:t>
      </w:r>
    </w:p>
    <w:p>
      <w:pPr>
        <w:widowControl/>
        <w:adjustRightInd/>
        <w:spacing w:line="360" w:lineRule="auto"/>
        <w:jc w:val="left"/>
        <w:rPr>
          <w:rFonts w:ascii="仿宋" w:hAnsi="仿宋" w:eastAsia="仿宋" w:cs="宋体"/>
          <w:b/>
          <w:color w:val="000000" w:themeColor="text1"/>
          <w:sz w:val="36"/>
          <w:szCs w:val="20"/>
          <w:highlight w:val="none"/>
          <w14:textFill>
            <w14:solidFill>
              <w14:schemeClr w14:val="tx1"/>
            </w14:solidFill>
          </w14:textFill>
        </w:rPr>
      </w:pPr>
      <w:r>
        <w:rPr>
          <w:rFonts w:ascii="仿宋" w:hAnsi="仿宋" w:eastAsia="仿宋" w:cs="宋体"/>
          <w:b/>
          <w:color w:val="000000" w:themeColor="text1"/>
          <w:sz w:val="36"/>
          <w:szCs w:val="20"/>
          <w:highlight w:val="none"/>
          <w14:textFill>
            <w14:solidFill>
              <w14:schemeClr w14:val="tx1"/>
            </w14:solidFill>
          </w14:textFill>
        </w:rPr>
        <w:br w:type="page"/>
      </w:r>
    </w:p>
    <w:p>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第二部分</w:t>
      </w:r>
      <w:bookmarkEnd w:id="8"/>
      <w:r>
        <w:rPr>
          <w:rFonts w:hint="eastAsia" w:ascii="仿宋" w:hAnsi="仿宋" w:eastAsia="仿宋" w:cs="宋体"/>
          <w:b/>
          <w:color w:val="000000" w:themeColor="text1"/>
          <w:sz w:val="36"/>
          <w:szCs w:val="20"/>
          <w:highlight w:val="none"/>
          <w14:textFill>
            <w14:solidFill>
              <w14:schemeClr w14:val="tx1"/>
            </w14:solidFill>
          </w14:textFill>
        </w:rPr>
        <w:t xml:space="preserve"> 投标人须知</w:t>
      </w:r>
      <w:bookmarkEnd w:id="9"/>
    </w:p>
    <w:p>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前附表</w:t>
      </w:r>
    </w:p>
    <w:bookmarkEnd w:id="10"/>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bookmarkStart w:id="11" w:name="_Toc164416483"/>
            <w:bookmarkStart w:id="12" w:name="第三部分"/>
            <w:r>
              <w:rPr>
                <w:rFonts w:hint="eastAsia" w:ascii="仿宋" w:hAnsi="仿宋" w:eastAsia="仿宋" w:cs="宋体"/>
                <w:b/>
                <w:color w:val="000000" w:themeColor="text1"/>
                <w:sz w:val="28"/>
                <w:szCs w:val="28"/>
                <w:highlight w:val="none"/>
                <w14:textFill>
                  <w14:solidFill>
                    <w14:schemeClr w14:val="tx1"/>
                  </w14:solidFill>
                </w14:textFill>
              </w:rPr>
              <w:t>序号</w:t>
            </w:r>
          </w:p>
        </w:tc>
        <w:tc>
          <w:tcPr>
            <w:tcW w:w="1559" w:type="dxa"/>
            <w:vAlign w:val="center"/>
          </w:tcPr>
          <w:p>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事项</w:t>
            </w:r>
          </w:p>
        </w:tc>
        <w:tc>
          <w:tcPr>
            <w:tcW w:w="6910" w:type="dxa"/>
            <w:vAlign w:val="center"/>
          </w:tcPr>
          <w:p>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项目属性</w:t>
            </w:r>
          </w:p>
        </w:tc>
        <w:tc>
          <w:tcPr>
            <w:tcW w:w="6910" w:type="dxa"/>
            <w:vAlign w:val="center"/>
          </w:tcPr>
          <w:p>
            <w:pPr>
              <w:spacing w:line="360" w:lineRule="auto"/>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24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采购标的及其对应的中小企业划分标准所属行业</w:t>
            </w:r>
          </w:p>
        </w:tc>
        <w:tc>
          <w:tcPr>
            <w:tcW w:w="6910" w:type="dxa"/>
            <w:vAlign w:val="center"/>
          </w:tcPr>
          <w:p>
            <w:pPr>
              <w:numPr>
                <w:ilvl w:val="0"/>
                <w:numId w:val="0"/>
              </w:numPr>
              <w:snapToGrid w:val="0"/>
              <w:spacing w:line="360" w:lineRule="auto"/>
              <w:rPr>
                <w:rFonts w:hint="eastAsia" w:ascii="仿宋" w:hAnsi="仿宋" w:eastAsia="仿宋" w:cs="宋体"/>
                <w:b/>
                <w:color w:val="000000" w:themeColor="text1"/>
                <w:kern w:val="0"/>
                <w:sz w:val="24"/>
                <w:highlight w:val="none"/>
                <w:u w:val="none"/>
                <w:lang w:eastAsia="zh-CN"/>
                <w14:textFill>
                  <w14:solidFill>
                    <w14:schemeClr w14:val="tx1"/>
                  </w14:solidFill>
                </w14:textFill>
              </w:rPr>
            </w:pPr>
            <w:r>
              <w:rPr>
                <w:rFonts w:hint="eastAsia" w:ascii="仿宋" w:hAnsi="仿宋" w:eastAsia="仿宋" w:cs="宋体"/>
                <w:b/>
                <w:color w:val="000000" w:themeColor="text1"/>
                <w:kern w:val="0"/>
                <w:sz w:val="24"/>
                <w:highlight w:val="none"/>
                <w:u w:val="none"/>
                <w14:textFill>
                  <w14:solidFill>
                    <w14:schemeClr w14:val="tx1"/>
                  </w14:solidFill>
                </w14:textFill>
              </w:rPr>
              <w:t>标的：详见中小企业声明函，属于行业：</w:t>
            </w:r>
            <w:r>
              <w:rPr>
                <w:rFonts w:hint="eastAsia" w:ascii="仿宋" w:hAnsi="仿宋" w:eastAsia="仿宋" w:cs="宋体"/>
                <w:b/>
                <w:color w:val="000000" w:themeColor="text1"/>
                <w:spacing w:val="0"/>
                <w:kern w:val="0"/>
                <w:sz w:val="24"/>
                <w:szCs w:val="24"/>
                <w:highlight w:val="none"/>
                <w:u w:val="single"/>
                <w14:textFill>
                  <w14:solidFill>
                    <w14:schemeClr w14:val="tx1"/>
                  </w14:solidFill>
                </w14:textFill>
              </w:rPr>
              <w:t>物业管理</w:t>
            </w:r>
            <w:r>
              <w:rPr>
                <w:rFonts w:hint="eastAsia" w:ascii="仿宋" w:hAnsi="仿宋" w:eastAsia="仿宋" w:cs="宋体"/>
                <w:b/>
                <w:color w:val="000000" w:themeColor="text1"/>
                <w:spacing w:val="0"/>
                <w:kern w:val="0"/>
                <w:sz w:val="24"/>
                <w:szCs w:val="24"/>
                <w:highlight w:val="none"/>
                <w:u w:val="none"/>
                <w14:textFill>
                  <w14:solidFill>
                    <w14:schemeClr w14:val="tx1"/>
                  </w14:solidFill>
                </w14:textFill>
              </w:rPr>
              <w:t>。</w:t>
            </w:r>
          </w:p>
          <w:p>
            <w:pPr>
              <w:numPr>
                <w:ilvl w:val="0"/>
                <w:numId w:val="0"/>
              </w:numPr>
              <w:snapToGrid w:val="0"/>
              <w:spacing w:line="360" w:lineRule="auto"/>
              <w:rPr>
                <w:rFonts w:hint="eastAsia" w:ascii="仿宋" w:hAnsi="仿宋" w:eastAsia="仿宋" w:cs="宋体"/>
                <w:b/>
                <w:color w:val="000000" w:themeColor="text1"/>
                <w:kern w:val="0"/>
                <w:sz w:val="24"/>
                <w:szCs w:val="24"/>
                <w:highlight w:val="none"/>
                <w:u w:val="none"/>
                <w14:textFill>
                  <w14:solidFill>
                    <w14:schemeClr w14:val="tx1"/>
                  </w14:solidFill>
                </w14:textFill>
              </w:rPr>
            </w:pP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根据</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《关于印发中小企业划型标准规定的通知》（工信部联企业〔2011〕300）第</w:t>
            </w: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四条第</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w:t>
            </w: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十五</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w:t>
            </w: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项规定</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w:t>
            </w:r>
            <w:r>
              <w:rPr>
                <w:rFonts w:hint="eastAsia" w:ascii="仿宋" w:hAnsi="仿宋" w:eastAsia="仿宋" w:cs="宋体"/>
                <w:b/>
                <w:color w:val="000000" w:themeColor="text1"/>
                <w:spacing w:val="0"/>
                <w:kern w:val="0"/>
                <w:sz w:val="24"/>
                <w:szCs w:val="24"/>
                <w:highlight w:val="none"/>
                <w:u w:val="single"/>
                <w14:textFill>
                  <w14:solidFill>
                    <w14:schemeClr w14:val="tx1"/>
                  </w14:solidFill>
                </w14:textFill>
              </w:rPr>
              <w:t>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是否允许采购进口产品</w:t>
            </w:r>
          </w:p>
        </w:tc>
        <w:tc>
          <w:tcPr>
            <w:tcW w:w="6910" w:type="dxa"/>
            <w:vAlign w:val="center"/>
          </w:tcPr>
          <w:p>
            <w:pPr>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lang w:val="en-US" w:eastAsia="zh-CN"/>
                <w14:textFill>
                  <w14:solidFill>
                    <w14:schemeClr w14:val="tx1"/>
                  </w14:solidFill>
                </w14:textFill>
              </w:rPr>
              <w:t>A</w:t>
            </w:r>
            <w:r>
              <w:rPr>
                <w:rFonts w:hint="eastAsia" w:ascii="仿宋" w:hAnsi="仿宋" w:eastAsia="仿宋" w:cs="宋体"/>
                <w:b/>
                <w:color w:val="000000" w:themeColor="text1"/>
                <w:kern w:val="0"/>
                <w:sz w:val="24"/>
                <w:highlight w:val="none"/>
                <w14:textFill>
                  <w14:solidFill>
                    <w14:schemeClr w14:val="tx1"/>
                  </w14:solidFill>
                </w14:textFill>
              </w:rPr>
              <w:t>本项目不允许采购进口产品。</w:t>
            </w:r>
          </w:p>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hint="eastAsia" w:ascii="仿宋" w:hAnsi="MS Gothic" w:eastAsia="仿宋" w:cs="Arial"/>
                <w:b/>
                <w:color w:val="000000" w:themeColor="text1"/>
                <w:kern w:val="0"/>
                <w:sz w:val="24"/>
                <w:highlight w:val="none"/>
                <w:lang w:val="en-US" w:eastAsia="zh-CN"/>
                <w14:textFill>
                  <w14:solidFill>
                    <w14:schemeClr w14:val="tx1"/>
                  </w14:solidFill>
                </w14:textFill>
              </w:rPr>
              <w:t>B</w:t>
            </w:r>
            <w:r>
              <w:rPr>
                <w:rFonts w:hint="eastAsia" w:ascii="仿宋" w:hAnsi="仿宋" w:eastAsia="仿宋" w:cs="宋体"/>
                <w:b/>
                <w:color w:val="000000" w:themeColor="text1"/>
                <w:kern w:val="0"/>
                <w:sz w:val="24"/>
                <w:highlight w:val="none"/>
                <w14:textFill>
                  <w14:solidFill>
                    <w14:schemeClr w14:val="tx1"/>
                  </w14:solidFill>
                </w14:textFill>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分包</w:t>
            </w:r>
          </w:p>
        </w:tc>
        <w:tc>
          <w:tcPr>
            <w:tcW w:w="6910"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cs="Arial"/>
                <w:b/>
                <w:color w:val="000000" w:themeColor="text1"/>
                <w:kern w:val="0"/>
                <w:sz w:val="24"/>
                <w:highlight w:val="none"/>
                <w14:textFill>
                  <w14:solidFill>
                    <w14:schemeClr w14:val="tx1"/>
                  </w14:solidFill>
                </w14:textFill>
              </w:rPr>
              <w:t xml:space="preserve"> A</w:t>
            </w:r>
            <w:r>
              <w:rPr>
                <w:rFonts w:hint="eastAsia" w:ascii="仿宋" w:hAnsi="仿宋" w:eastAsia="仿宋"/>
                <w:b/>
                <w:color w:val="000000" w:themeColor="text1"/>
                <w:sz w:val="24"/>
                <w:highlight w:val="none"/>
                <w14:textFill>
                  <w14:solidFill>
                    <w14:schemeClr w14:val="tx1"/>
                  </w14:solidFill>
                </w14:textFill>
              </w:rPr>
              <w:t>同意将非主体、非关键性的工作分包。</w:t>
            </w:r>
            <w:r>
              <w:rPr>
                <w:rFonts w:ascii="仿宋" w:hAnsi="仿宋" w:eastAsia="仿宋" w:cs="Arial"/>
                <w:b/>
                <w:color w:val="000000" w:themeColor="text1"/>
                <w:kern w:val="0"/>
                <w:sz w:val="24"/>
                <w:highlight w:val="none"/>
                <w14:textFill>
                  <w14:solidFill>
                    <w14:schemeClr w14:val="tx1"/>
                  </w14:solidFill>
                </w14:textFill>
              </w:rPr>
              <w:sym w:font="Wingdings" w:char="F0FE"/>
            </w:r>
            <w:r>
              <w:rPr>
                <w:rFonts w:ascii="仿宋" w:hAnsi="仿宋" w:eastAsia="仿宋" w:cs="Arial"/>
                <w:b/>
                <w:color w:val="000000" w:themeColor="text1"/>
                <w:kern w:val="0"/>
                <w:sz w:val="24"/>
                <w:highlight w:val="none"/>
                <w14:textFill>
                  <w14:solidFill>
                    <w14:schemeClr w14:val="tx1"/>
                  </w14:solidFill>
                </w14:textFill>
              </w:rPr>
              <w:t xml:space="preserve"> B</w:t>
            </w:r>
            <w:r>
              <w:rPr>
                <w:rFonts w:hint="eastAsia" w:ascii="仿宋" w:hAnsi="仿宋" w:eastAsia="仿宋"/>
                <w:b/>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开标前答疑会或现场考察</w:t>
            </w:r>
          </w:p>
        </w:tc>
        <w:tc>
          <w:tcPr>
            <w:tcW w:w="6910" w:type="dxa"/>
            <w:vAlign w:val="center"/>
          </w:tcPr>
          <w:p>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不组织。</w:t>
            </w:r>
          </w:p>
          <w:p>
            <w:pPr>
              <w:adjustRightInd/>
              <w:spacing w:line="360" w:lineRule="auto"/>
              <w:outlineLvl w:val="0"/>
              <w:rPr>
                <w:rFonts w:ascii="仿宋" w:hAnsi="MS Gothic" w:eastAsia="仿宋" w:cs="Arial"/>
                <w:b/>
                <w:color w:val="000000" w:themeColor="text1"/>
                <w:kern w:val="0"/>
                <w:sz w:val="24"/>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kern w:val="0"/>
                <w:sz w:val="24"/>
                <w:highlight w:val="none"/>
                <w14:textFill>
                  <w14:solidFill>
                    <w14:schemeClr w14:val="tx1"/>
                  </w14:solidFill>
                </w14:textFill>
              </w:rPr>
              <w:t>B组织，</w:t>
            </w:r>
            <w:r>
              <w:rPr>
                <w:rFonts w:hint="eastAsia" w:ascii="仿宋" w:hAnsi="仿宋" w:eastAsia="仿宋" w:cs="宋体"/>
                <w:b/>
                <w:color w:val="000000" w:themeColor="text1"/>
                <w:sz w:val="24"/>
                <w:highlight w:val="none"/>
                <w14:textFill>
                  <w14:solidFill>
                    <w14:schemeClr w14:val="tx1"/>
                  </w14:solidFill>
                </w14:textFill>
              </w:rPr>
              <w:t>时间：,地点：，联系人：，联系方式：</w:t>
            </w:r>
            <w:r>
              <w:rPr>
                <w:rFonts w:hint="eastAsia" w:ascii="仿宋" w:hAnsi="仿宋" w:eastAsia="仿宋" w:cs="宋体"/>
                <w:b/>
                <w:color w:val="000000" w:themeColor="text1"/>
                <w:sz w:val="24"/>
                <w:szCs w:val="20"/>
                <w:highlight w:val="none"/>
                <w14:textFill>
                  <w14:solidFill>
                    <w14:schemeClr w14:val="tx1"/>
                  </w14:solidFill>
                </w14:textFill>
              </w:rPr>
              <w:t>。</w:t>
            </w:r>
          </w:p>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MS Gothic" w:eastAsia="仿宋" w:cs="Arial"/>
                <w:b/>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C不统一组织，供应商在获取采购文件后，自行至项目现场考察。地点： ，联系人： ，联系方式：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样品提供</w:t>
            </w:r>
          </w:p>
        </w:tc>
        <w:tc>
          <w:tcPr>
            <w:tcW w:w="6910" w:type="dxa"/>
            <w:vAlign w:val="center"/>
          </w:tcPr>
          <w:p>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不要求提供。</w:t>
            </w:r>
          </w:p>
          <w:p>
            <w:pPr>
              <w:spacing w:line="360" w:lineRule="auto"/>
              <w:rPr>
                <w:rFonts w:ascii="仿宋" w:hAnsi="仿宋" w:eastAsia="仿宋"/>
                <w:b/>
                <w:color w:val="000000" w:themeColor="text1"/>
                <w:kern w:val="0"/>
                <w:sz w:val="24"/>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B</w:t>
            </w:r>
            <w:r>
              <w:rPr>
                <w:rFonts w:hint="eastAsia" w:ascii="仿宋" w:hAnsi="仿宋" w:eastAsia="仿宋"/>
                <w:b/>
                <w:color w:val="000000" w:themeColor="text1"/>
                <w:kern w:val="0"/>
                <w:sz w:val="24"/>
                <w:highlight w:val="none"/>
                <w14:textFill>
                  <w14:solidFill>
                    <w14:schemeClr w14:val="tx1"/>
                  </w14:solidFill>
                </w14:textFill>
              </w:rPr>
              <w:t>要求提供，</w:t>
            </w:r>
          </w:p>
          <w:p>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1）</w:t>
            </w:r>
            <w:r>
              <w:rPr>
                <w:rFonts w:hint="eastAsia" w:ascii="仿宋" w:hAnsi="仿宋" w:eastAsia="仿宋"/>
                <w:b/>
                <w:snapToGrid w:val="0"/>
                <w:color w:val="000000" w:themeColor="text1"/>
                <w:kern w:val="28"/>
                <w:sz w:val="24"/>
                <w:highlight w:val="none"/>
                <w14:textFill>
                  <w14:solidFill>
                    <w14:schemeClr w14:val="tx1"/>
                  </w14:solidFill>
                </w14:textFill>
              </w:rPr>
              <w:t>样品：</w:t>
            </w:r>
            <w:r>
              <w:rPr>
                <w:rFonts w:hint="eastAsia" w:ascii="仿宋" w:hAnsi="仿宋" w:eastAsia="仿宋"/>
                <w:b/>
                <w:color w:val="000000" w:themeColor="text1"/>
                <w:kern w:val="0"/>
                <w:sz w:val="24"/>
                <w:highlight w:val="none"/>
                <w14:textFill>
                  <w14:solidFill>
                    <w14:schemeClr w14:val="tx1"/>
                  </w14:solidFill>
                </w14:textFill>
              </w:rPr>
              <w:t>；</w:t>
            </w:r>
          </w:p>
          <w:p>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2）</w:t>
            </w:r>
            <w:r>
              <w:rPr>
                <w:rFonts w:hint="eastAsia" w:ascii="仿宋" w:hAnsi="仿宋" w:eastAsia="仿宋"/>
                <w:b/>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b/>
                <w:color w:val="000000" w:themeColor="text1"/>
                <w:kern w:val="0"/>
                <w:sz w:val="24"/>
                <w:highlight w:val="none"/>
                <w14:textFill>
                  <w14:solidFill>
                    <w14:schemeClr w14:val="tx1"/>
                  </w14:solidFill>
                </w14:textFill>
              </w:rPr>
              <w:t>；</w:t>
            </w:r>
          </w:p>
          <w:p>
            <w:pPr>
              <w:spacing w:line="360" w:lineRule="auto"/>
              <w:rPr>
                <w:rFonts w:ascii="仿宋" w:hAnsi="仿宋" w:eastAsia="仿宋" w:cs="仿宋"/>
                <w:b/>
                <w:snapToGrid w:val="0"/>
                <w:color w:val="000000" w:themeColor="text1"/>
                <w:kern w:val="28"/>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3）样品的评审方法以及评审标准</w:t>
            </w:r>
            <w:r>
              <w:rPr>
                <w:rFonts w:hint="eastAsia" w:ascii="仿宋" w:hAnsi="仿宋" w:eastAsia="仿宋"/>
                <w:b/>
                <w:snapToGrid w:val="0"/>
                <w:color w:val="000000" w:themeColor="text1"/>
                <w:kern w:val="28"/>
                <w:sz w:val="24"/>
                <w:highlight w:val="none"/>
                <w14:textFill>
                  <w14:solidFill>
                    <w14:schemeClr w14:val="tx1"/>
                  </w14:solidFill>
                </w14:textFill>
              </w:rPr>
              <w:t>：</w:t>
            </w:r>
            <w:r>
              <w:rPr>
                <w:rFonts w:hint="eastAsia" w:ascii="仿宋" w:hAnsi="仿宋" w:eastAsia="仿宋" w:cs="仿宋"/>
                <w:b/>
                <w:snapToGrid w:val="0"/>
                <w:color w:val="000000" w:themeColor="text1"/>
                <w:kern w:val="28"/>
                <w:sz w:val="24"/>
                <w:highlight w:val="none"/>
                <w14:textFill>
                  <w14:solidFill>
                    <w14:schemeClr w14:val="tx1"/>
                  </w14:solidFill>
                </w14:textFill>
              </w:rPr>
              <w:t></w:t>
            </w:r>
          </w:p>
          <w:p>
            <w:pPr>
              <w:spacing w:line="360" w:lineRule="auto"/>
              <w:rPr>
                <w:rFonts w:ascii="仿宋" w:hAnsi="仿宋" w:eastAsia="仿宋"/>
                <w:b/>
                <w:snapToGrid w:val="0"/>
                <w:color w:val="000000" w:themeColor="text1"/>
                <w:kern w:val="28"/>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00A8"/>
            </w:r>
            <w:r>
              <w:rPr>
                <w:rFonts w:hint="eastAsia" w:ascii="仿宋" w:hAnsi="仿宋" w:eastAsia="仿宋"/>
                <w:b/>
                <w:snapToGrid w:val="0"/>
                <w:color w:val="000000" w:themeColor="text1"/>
                <w:kern w:val="28"/>
                <w:sz w:val="24"/>
                <w:highlight w:val="none"/>
                <w14:textFill>
                  <w14:solidFill>
                    <w14:schemeClr w14:val="tx1"/>
                  </w14:solidFill>
                </w14:textFill>
              </w:rPr>
              <w:t>样品分未超过价格分的</w:t>
            </w:r>
            <w:r>
              <w:rPr>
                <w:rFonts w:ascii="仿宋" w:hAnsi="仿宋" w:eastAsia="仿宋"/>
                <w:b/>
                <w:snapToGrid w:val="0"/>
                <w:color w:val="000000" w:themeColor="text1"/>
                <w:kern w:val="28"/>
                <w:sz w:val="24"/>
                <w:highlight w:val="none"/>
                <w14:textFill>
                  <w14:solidFill>
                    <w14:schemeClr w14:val="tx1"/>
                  </w14:solidFill>
                </w14:textFill>
              </w:rPr>
              <w:t>50%</w:t>
            </w:r>
            <w:r>
              <w:rPr>
                <w:rFonts w:hint="eastAsia" w:ascii="仿宋" w:hAnsi="仿宋" w:eastAsia="仿宋"/>
                <w:b/>
                <w:snapToGrid w:val="0"/>
                <w:color w:val="000000" w:themeColor="text1"/>
                <w:kern w:val="28"/>
                <w:sz w:val="24"/>
                <w:highlight w:val="none"/>
                <w14:textFill>
                  <w14:solidFill>
                    <w14:schemeClr w14:val="tx1"/>
                  </w14:solidFill>
                </w14:textFill>
              </w:rPr>
              <w:t>；</w:t>
            </w:r>
          </w:p>
          <w:p>
            <w:pPr>
              <w:spacing w:line="360" w:lineRule="auto"/>
              <w:rPr>
                <w:rFonts w:ascii="仿宋" w:hAnsi="仿宋" w:eastAsia="仿宋"/>
                <w:b/>
                <w:snapToGrid w:val="0"/>
                <w:color w:val="000000" w:themeColor="text1"/>
                <w:kern w:val="28"/>
                <w:sz w:val="24"/>
                <w:highlight w:val="none"/>
                <w14:textFill>
                  <w14:solidFill>
                    <w14:schemeClr w14:val="tx1"/>
                  </w14:solidFill>
                </w14:textFill>
              </w:rPr>
            </w:pPr>
            <w:r>
              <w:rPr>
                <w:rFonts w:hint="eastAsia" w:ascii="MS Mincho" w:hAnsi="MS Mincho" w:eastAsia="MS Mincho" w:cs="MS Mincho"/>
                <w:b/>
                <w:snapToGrid w:val="0"/>
                <w:color w:val="000000" w:themeColor="text1"/>
                <w:kern w:val="28"/>
                <w:sz w:val="24"/>
                <w:highlight w:val="none"/>
                <w14:textFill>
                  <w14:solidFill>
                    <w14:schemeClr w14:val="tx1"/>
                  </w14:solidFill>
                </w14:textFill>
              </w:rPr>
              <w:t>☐</w:t>
            </w:r>
            <w:r>
              <w:rPr>
                <w:rFonts w:hint="eastAsia" w:ascii="仿宋" w:hAnsi="仿宋" w:eastAsia="仿宋"/>
                <w:b/>
                <w:snapToGrid w:val="0"/>
                <w:color w:val="000000" w:themeColor="text1"/>
                <w:kern w:val="28"/>
                <w:sz w:val="24"/>
                <w:highlight w:val="none"/>
                <w14:textFill>
                  <w14:solidFill>
                    <w14:schemeClr w14:val="tx1"/>
                  </w14:solidFill>
                </w14:textFill>
              </w:rPr>
              <w:t>样品分超过价格分的</w:t>
            </w:r>
            <w:r>
              <w:rPr>
                <w:rFonts w:ascii="仿宋" w:hAnsi="仿宋" w:eastAsia="仿宋"/>
                <w:b/>
                <w:snapToGrid w:val="0"/>
                <w:color w:val="000000" w:themeColor="text1"/>
                <w:kern w:val="28"/>
                <w:sz w:val="24"/>
                <w:highlight w:val="none"/>
                <w14:textFill>
                  <w14:solidFill>
                    <w14:schemeClr w14:val="tx1"/>
                  </w14:solidFill>
                </w14:textFill>
              </w:rPr>
              <w:t>50%</w:t>
            </w:r>
            <w:r>
              <w:rPr>
                <w:rFonts w:hint="eastAsia" w:ascii="仿宋" w:hAnsi="仿宋" w:eastAsia="仿宋"/>
                <w:b/>
                <w:snapToGrid w:val="0"/>
                <w:color w:val="000000" w:themeColor="text1"/>
                <w:kern w:val="28"/>
                <w:sz w:val="24"/>
                <w:highlight w:val="none"/>
                <w14:textFill>
                  <w14:solidFill>
                    <w14:schemeClr w14:val="tx1"/>
                  </w14:solidFill>
                </w14:textFill>
              </w:rPr>
              <w:t>，理由；</w:t>
            </w:r>
          </w:p>
          <w:p>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详见招标文件第四部分评标办分法</w:t>
            </w:r>
            <w:r>
              <w:rPr>
                <w:rFonts w:hint="eastAsia" w:ascii="仿宋" w:hAnsi="仿宋" w:eastAsia="仿宋"/>
                <w:b/>
                <w:color w:val="000000" w:themeColor="text1"/>
                <w:kern w:val="0"/>
                <w:sz w:val="24"/>
                <w:highlight w:val="none"/>
                <w14:textFill>
                  <w14:solidFill>
                    <w14:schemeClr w14:val="tx1"/>
                  </w14:solidFill>
                </w14:textFill>
              </w:rPr>
              <w:t>；</w:t>
            </w:r>
          </w:p>
          <w:p>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4）是否需要随样品提交检测报告</w:t>
            </w: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cs="Arial"/>
                <w:b/>
                <w:color w:val="000000" w:themeColor="text1"/>
                <w:kern w:val="0"/>
                <w:sz w:val="24"/>
                <w:highlight w:val="none"/>
                <w14:textFill>
                  <w14:solidFill>
                    <w14:schemeClr w14:val="tx1"/>
                  </w14:solidFill>
                </w14:textFill>
              </w:rPr>
              <w:sym w:font="Wingdings" w:char="00A8"/>
            </w:r>
            <w:r>
              <w:rPr>
                <w:rFonts w:ascii="仿宋" w:hAnsi="仿宋" w:eastAsia="仿宋"/>
                <w:b/>
                <w:color w:val="000000" w:themeColor="text1"/>
                <w:kern w:val="0"/>
                <w:sz w:val="24"/>
                <w:highlight w:val="none"/>
                <w14:textFill>
                  <w14:solidFill>
                    <w14:schemeClr w14:val="tx1"/>
                  </w14:solidFill>
                </w14:textFill>
              </w:rPr>
              <w:t>否；</w:t>
            </w: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是，检测机构的要求</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0"/>
                <w:sz w:val="24"/>
                <w:highlight w:val="none"/>
                <w14:textFill>
                  <w14:solidFill>
                    <w14:schemeClr w14:val="tx1"/>
                  </w14:solidFill>
                </w14:textFill>
              </w:rPr>
              <w:t>；检测内容</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0"/>
                <w:sz w:val="24"/>
                <w:highlight w:val="none"/>
                <w14:textFill>
                  <w14:solidFill>
                    <w14:schemeClr w14:val="tx1"/>
                  </w14:solidFill>
                </w14:textFill>
              </w:rPr>
              <w:t>。</w:t>
            </w:r>
          </w:p>
          <w:p>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w:t>
            </w:r>
            <w:r>
              <w:rPr>
                <w:rFonts w:ascii="仿宋" w:hAnsi="仿宋" w:eastAsia="仿宋"/>
                <w:b/>
                <w:color w:val="000000" w:themeColor="text1"/>
                <w:sz w:val="24"/>
                <w:highlight w:val="none"/>
                <w14:textFill>
                  <w14:solidFill>
                    <w14:schemeClr w14:val="tx1"/>
                  </w14:solidFill>
                </w14:textFill>
              </w:rPr>
              <w:t>5）提供样品的时间：</w:t>
            </w:r>
            <w:r>
              <w:rPr>
                <w:rFonts w:hint="eastAsia" w:ascii="仿宋" w:hAnsi="仿宋" w:eastAsia="仿宋"/>
                <w:b/>
                <w:color w:val="000000" w:themeColor="text1"/>
                <w:kern w:val="0"/>
                <w:sz w:val="24"/>
                <w:highlight w:val="none"/>
                <w14:textFill>
                  <w14:solidFill>
                    <w14:schemeClr w14:val="tx1"/>
                  </w14:solidFill>
                </w14:textFill>
              </w:rPr>
              <w:t>；地点：；联系人</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28"/>
                <w:sz w:val="24"/>
                <w:highlight w:val="none"/>
                <w14:textFill>
                  <w14:solidFill>
                    <w14:schemeClr w14:val="tx1"/>
                  </w14:solidFill>
                </w14:textFill>
              </w:rPr>
              <w:t>联系电话：</w:t>
            </w:r>
            <w:r>
              <w:rPr>
                <w:rFonts w:hint="eastAsia" w:ascii="仿宋" w:hAnsi="仿宋" w:eastAsia="仿宋"/>
                <w:b/>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▲（6）本条要求提供样品但投标人不提供样品的则其投标无效。</w:t>
            </w:r>
          </w:p>
          <w:p>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（7）投标人样品提供不全或外观尺寸不符合招标文件要求或技术参数明显不符合招标文件要求的则样品分为0分；</w:t>
            </w:r>
          </w:p>
          <w:p>
            <w:pPr>
              <w:spacing w:line="360" w:lineRule="auto"/>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14:textFill>
                  <w14:solidFill>
                    <w14:schemeClr w14:val="tx1"/>
                  </w14:solidFill>
                </w14:textFill>
              </w:rPr>
              <w:t>8</w:t>
            </w:r>
            <w:r>
              <w:rPr>
                <w:rFonts w:ascii="仿宋" w:hAnsi="仿宋" w:eastAsia="仿宋"/>
                <w:b/>
                <w:color w:val="000000" w:themeColor="text1"/>
                <w:sz w:val="24"/>
                <w:highlight w:val="none"/>
                <w14:textFill>
                  <w14:solidFill>
                    <w14:schemeClr w14:val="tx1"/>
                  </w14:solidFill>
                </w14:textFill>
              </w:rPr>
              <w:t>)采购活动结束后，对于未中标人提供的样品，</w:t>
            </w:r>
            <w:r>
              <w:rPr>
                <w:rFonts w:hint="eastAsia" w:ascii="仿宋" w:hAnsi="仿宋" w:eastAsia="仿宋"/>
                <w:b/>
                <w:color w:val="000000" w:themeColor="text1"/>
                <w:sz w:val="24"/>
                <w:highlight w:val="none"/>
                <w14:textFill>
                  <w14:solidFill>
                    <w14:schemeClr w14:val="tx1"/>
                  </w14:solidFill>
                </w14:textFill>
              </w:rPr>
              <w:t>采购人、采购机构将通知</w:t>
            </w:r>
            <w:r>
              <w:rPr>
                <w:rFonts w:ascii="仿宋" w:hAnsi="仿宋" w:eastAsia="仿宋"/>
                <w:b/>
                <w:color w:val="000000" w:themeColor="text1"/>
                <w:sz w:val="24"/>
                <w:highlight w:val="none"/>
                <w14:textFill>
                  <w14:solidFill>
                    <w14:schemeClr w14:val="tx1"/>
                  </w14:solidFill>
                </w14:textFill>
              </w:rPr>
              <w:t>未中标人</w:t>
            </w:r>
            <w:r>
              <w:rPr>
                <w:rFonts w:hint="eastAsia" w:ascii="仿宋" w:hAnsi="仿宋" w:eastAsia="仿宋"/>
                <w:b/>
                <w:color w:val="000000" w:themeColor="text1"/>
                <w:sz w:val="24"/>
                <w:highlight w:val="none"/>
                <w14:textFill>
                  <w14:solidFill>
                    <w14:schemeClr w14:val="tx1"/>
                  </w14:solidFill>
                </w14:textFill>
              </w:rPr>
              <w:t>在规定的时间内取回，逾期未取回的，采购人、采购机构不负保管义务</w:t>
            </w:r>
            <w:r>
              <w:rPr>
                <w:rFonts w:ascii="仿宋" w:hAnsi="仿宋" w:eastAsia="仿宋"/>
                <w:b/>
                <w:color w:val="000000" w:themeColor="text1"/>
                <w:sz w:val="24"/>
                <w:highlight w:val="none"/>
                <w14:textFill>
                  <w14:solidFill>
                    <w14:schemeClr w14:val="tx1"/>
                  </w14:solidFill>
                </w14:textFill>
              </w:rPr>
              <w:t>；对于中标人提供的样品，</w:t>
            </w:r>
            <w:r>
              <w:rPr>
                <w:rFonts w:hint="eastAsia" w:ascii="仿宋" w:hAnsi="仿宋" w:eastAsia="仿宋"/>
                <w:b/>
                <w:color w:val="000000" w:themeColor="text1"/>
                <w:sz w:val="24"/>
                <w:highlight w:val="none"/>
                <w14:textFill>
                  <w14:solidFill>
                    <w14:schemeClr w14:val="tx1"/>
                  </w14:solidFill>
                </w14:textFill>
              </w:rPr>
              <w:t>采购人将进</w:t>
            </w:r>
            <w:r>
              <w:rPr>
                <w:rFonts w:ascii="仿宋" w:hAnsi="仿宋" w:eastAsia="仿宋"/>
                <w:b/>
                <w:color w:val="000000" w:themeColor="text1"/>
                <w:sz w:val="24"/>
                <w:highlight w:val="none"/>
                <w14:textFill>
                  <w14:solidFill>
                    <w14:schemeClr w14:val="tx1"/>
                  </w14:solidFill>
                </w14:textFill>
              </w:rPr>
              <w:t>行保管、封存，并作为履约验收的参考。</w:t>
            </w:r>
          </w:p>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（9</w:t>
            </w:r>
            <w:r>
              <w:rPr>
                <w:rFonts w:ascii="仿宋" w:hAnsi="仿宋" w:eastAsia="仿宋"/>
                <w:b/>
                <w:color w:val="000000" w:themeColor="text1"/>
                <w:sz w:val="24"/>
                <w:highlight w:val="none"/>
                <w14:textFill>
                  <w14:solidFill>
                    <w14:schemeClr w14:val="tx1"/>
                  </w14:solidFill>
                </w14:textFill>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方案讲解演示</w:t>
            </w:r>
          </w:p>
        </w:tc>
        <w:tc>
          <w:tcPr>
            <w:tcW w:w="6910" w:type="dxa"/>
            <w:vAlign w:val="center"/>
          </w:tcPr>
          <w:p>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不组织。</w:t>
            </w:r>
          </w:p>
          <w:p>
            <w:pPr>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kern w:val="0"/>
                <w:sz w:val="24"/>
                <w:highlight w:val="none"/>
                <w:lang w:val="en-US" w:eastAsia="zh-CN"/>
                <w14:textFill>
                  <w14:solidFill>
                    <w14:schemeClr w14:val="tx1"/>
                  </w14:solidFill>
                </w14:textFill>
              </w:rPr>
              <w:t>B</w:t>
            </w:r>
            <w:r>
              <w:rPr>
                <w:rFonts w:hint="eastAsia" w:ascii="仿宋" w:hAnsi="仿宋" w:eastAsia="仿宋" w:cs="宋体"/>
                <w:b/>
                <w:color w:val="000000" w:themeColor="text1"/>
                <w:kern w:val="0"/>
                <w:sz w:val="24"/>
                <w:highlight w:val="none"/>
                <w14:textFill>
                  <w14:solidFill>
                    <w14:schemeClr w14:val="tx1"/>
                  </w14:solidFill>
                </w14:textFill>
              </w:rPr>
              <w:t>组织。</w:t>
            </w:r>
          </w:p>
          <w:p>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（1）评标时安排每个投标人进行方案演示。每个投标人时间不超过10分钟，演示次序以投标文件解密时间先后次序为准，演示人员不超过3人。</w:t>
            </w:r>
          </w:p>
          <w:p>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（2）现场方案演示：</w:t>
            </w:r>
          </w:p>
          <w:p>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①现场演示签到截止时间：</w:t>
            </w:r>
            <w:r>
              <w:rPr>
                <w:rFonts w:hint="eastAsia" w:ascii="仿宋" w:hAnsi="仿宋" w:eastAsia="仿宋" w:cs="宋体"/>
                <w:b/>
                <w:color w:val="000000" w:themeColor="text1"/>
                <w:kern w:val="0"/>
                <w:sz w:val="24"/>
                <w:highlight w:val="none"/>
                <w:u w:val="single"/>
                <w14:textFill>
                  <w14:solidFill>
                    <w14:schemeClr w14:val="tx1"/>
                  </w14:solidFill>
                </w14:textFill>
              </w:rPr>
              <w:t>同本项目</w:t>
            </w:r>
            <w:r>
              <w:rPr>
                <w:rFonts w:hint="eastAsia" w:ascii="仿宋" w:hAnsi="仿宋" w:eastAsia="仿宋" w:cs="宋体"/>
                <w:b/>
                <w:color w:val="000000" w:themeColor="text1"/>
                <w:sz w:val="24"/>
                <w:highlight w:val="none"/>
                <w:u w:val="single"/>
                <w14:textFill>
                  <w14:solidFill>
                    <w14:schemeClr w14:val="tx1"/>
                  </w14:solidFill>
                </w14:textFill>
              </w:rPr>
              <w:t>提交投标文件截止时间；迟到或未到视作放弃演示</w:t>
            </w:r>
            <w:r>
              <w:rPr>
                <w:rFonts w:hint="eastAsia" w:ascii="仿宋" w:hAnsi="仿宋" w:eastAsia="仿宋" w:cs="宋体"/>
                <w:b/>
                <w:color w:val="000000" w:themeColor="text1"/>
                <w:sz w:val="24"/>
                <w:highlight w:val="none"/>
                <w14:textFill>
                  <w14:solidFill>
                    <w14:schemeClr w14:val="tx1"/>
                  </w14:solidFill>
                </w14:textFill>
              </w:rPr>
              <w:t>。</w:t>
            </w:r>
          </w:p>
          <w:p>
            <w:pPr>
              <w:snapToGrid w:val="0"/>
              <w:spacing w:line="360" w:lineRule="auto"/>
              <w:rPr>
                <w:rFonts w:ascii="仿宋" w:hAnsi="仿宋" w:eastAsia="仿宋"/>
                <w:b/>
                <w:color w:val="000000" w:themeColor="text1"/>
                <w:kern w:val="0"/>
                <w:sz w:val="24"/>
                <w:highlight w:val="none"/>
                <w:u w:val="singl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②现场演示地点：</w:t>
            </w:r>
            <w:r>
              <w:rPr>
                <w:rFonts w:hint="eastAsia" w:ascii="仿宋" w:hAnsi="仿宋" w:eastAsia="仿宋"/>
                <w:b/>
                <w:color w:val="000000" w:themeColor="text1"/>
                <w:kern w:val="0"/>
                <w:sz w:val="24"/>
                <w:highlight w:val="none"/>
                <w14:textFill>
                  <w14:solidFill>
                    <w14:schemeClr w14:val="tx1"/>
                  </w14:solidFill>
                </w14:textFill>
              </w:rPr>
              <w:t>。</w:t>
            </w:r>
          </w:p>
          <w:p>
            <w:pPr>
              <w:pStyle w:val="3"/>
              <w:ind w:left="0" w:firstLine="0"/>
              <w:jc w:val="both"/>
              <w:outlineLvl w:val="1"/>
              <w:rPr>
                <w:rFonts w:ascii="仿宋" w:eastAsia="仿宋"/>
                <w:bCs w:val="0"/>
                <w:color w:val="000000" w:themeColor="text1"/>
                <w:kern w:val="0"/>
                <w:sz w:val="24"/>
                <w:szCs w:val="24"/>
                <w:highlight w:val="none"/>
                <w:u w:val="single"/>
                <w:lang w:val="en-US"/>
                <w14:textFill>
                  <w14:solidFill>
                    <w14:schemeClr w14:val="tx1"/>
                  </w14:solidFill>
                </w14:textFill>
              </w:rPr>
            </w:pPr>
            <w:r>
              <w:rPr>
                <w:rFonts w:hint="eastAsia" w:ascii="仿宋" w:eastAsia="仿宋"/>
                <w:bCs w:val="0"/>
                <w:color w:val="000000" w:themeColor="text1"/>
                <w:kern w:val="0"/>
                <w:sz w:val="24"/>
                <w:szCs w:val="24"/>
                <w:highlight w:val="none"/>
                <w:lang w:val="en-US"/>
                <w14:textFill>
                  <w14:solidFill>
                    <w14:schemeClr w14:val="tx1"/>
                  </w14:solidFill>
                </w14:textFill>
              </w:rPr>
              <w:t>③参加现场演示人员：</w:t>
            </w:r>
            <w:r>
              <w:rPr>
                <w:rFonts w:hint="eastAsia" w:ascii="仿宋" w:eastAsia="仿宋"/>
                <w:bCs w:val="0"/>
                <w:color w:val="000000" w:themeColor="text1"/>
                <w:kern w:val="0"/>
                <w:sz w:val="24"/>
                <w:szCs w:val="24"/>
                <w:highlight w:val="none"/>
                <w:u w:val="single"/>
                <w:lang w:val="en-US"/>
                <w14:textFill>
                  <w14:solidFill>
                    <w14:schemeClr w14:val="tx1"/>
                  </w14:solidFill>
                </w14:textFill>
              </w:rPr>
              <w:t>必须携带本人身份证及加盖投标人公章的演示人员名单，否则视作放弃演示。</w:t>
            </w:r>
          </w:p>
          <w:p>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④演示所用电脑等设备由投标人自备。</w:t>
            </w:r>
          </w:p>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restart"/>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投标人应当提供的资格、资信证明文件</w:t>
            </w:r>
          </w:p>
        </w:tc>
        <w:tc>
          <w:tcPr>
            <w:tcW w:w="6910" w:type="dxa"/>
            <w:vAlign w:val="center"/>
          </w:tcPr>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（1）资格证明文件：见招标文件第二部分11.1。</w:t>
            </w:r>
          </w:p>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p>
        </w:tc>
        <w:tc>
          <w:tcPr>
            <w:tcW w:w="6910"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节能产品、环境标志产品</w:t>
            </w:r>
          </w:p>
        </w:tc>
        <w:tc>
          <w:tcPr>
            <w:tcW w:w="6910"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报价要求</w:t>
            </w:r>
          </w:p>
        </w:tc>
        <w:tc>
          <w:tcPr>
            <w:tcW w:w="6910" w:type="dxa"/>
            <w:vAlign w:val="center"/>
          </w:tcPr>
          <w:p>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宋体"/>
                <w:b/>
                <w:bCs/>
                <w:color w:val="000000" w:themeColor="text1"/>
                <w:kern w:val="0"/>
                <w:sz w:val="24"/>
                <w:highlight w:val="none"/>
                <w:lang w:val="zh-CN"/>
                <w14:textFill>
                  <w14:solidFill>
                    <w14:schemeClr w14:val="tx1"/>
                  </w14:solidFill>
                </w14:textFill>
              </w:rPr>
              <w:t>投标文件</w:t>
            </w:r>
            <w:r>
              <w:rPr>
                <w:rFonts w:hint="eastAsia" w:ascii="仿宋" w:hAnsi="仿宋" w:eastAsia="仿宋"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ind w:firstLine="241" w:firstLineChars="10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ind w:firstLine="241" w:firstLineChars="10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ind w:firstLine="241" w:firstLineChars="1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themeColor="text1"/>
                <w:sz w:val="24"/>
                <w:szCs w:val="21"/>
                <w:highlight w:val="none"/>
                <w14:textFill>
                  <w14:solidFill>
                    <w14:schemeClr w14:val="tx1"/>
                  </w14:solidFill>
                </w14:textFill>
              </w:rPr>
              <w:t>;</w:t>
            </w:r>
          </w:p>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宋体"/>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中小企业信用融资</w:t>
            </w:r>
          </w:p>
        </w:tc>
        <w:tc>
          <w:tcPr>
            <w:tcW w:w="6910"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备份投标文件送达地点和签收人员</w:t>
            </w:r>
          </w:p>
        </w:tc>
        <w:tc>
          <w:tcPr>
            <w:tcW w:w="6910"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28"/>
                <w:sz w:val="24"/>
                <w:highlight w:val="none"/>
                <w14:textFill>
                  <w14:solidFill>
                    <w14:schemeClr w14:val="tx1"/>
                  </w14:solidFill>
                </w14:textFill>
              </w:rPr>
              <w:t>备份投标文件送达地点：杭州市临平区南苑街道玩月街88号1幢10楼招标代理部前台；备份投标文件签收人员联系电话：丁敏0571-86235827。采购人、采购机构不强制或变相强制投标人提交备份投标文件。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restart"/>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特别说明</w:t>
            </w:r>
          </w:p>
        </w:tc>
        <w:tc>
          <w:tcPr>
            <w:tcW w:w="6910"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pPr>
              <w:adjustRightInd/>
              <w:spacing w:line="360" w:lineRule="auto"/>
              <w:outlineLvl w:val="0"/>
              <w:rPr>
                <w:rFonts w:ascii="仿宋" w:hAnsi="仿宋" w:eastAsia="仿宋" w:cs="仿宋_GB2312"/>
                <w:b/>
                <w:color w:val="000000" w:themeColor="text1"/>
                <w:sz w:val="24"/>
                <w:highlight w:val="none"/>
                <w14:textFill>
                  <w14:solidFill>
                    <w14:schemeClr w14:val="tx1"/>
                  </w14:solidFill>
                </w14:textFill>
              </w:rPr>
            </w:pPr>
          </w:p>
        </w:tc>
        <w:tc>
          <w:tcPr>
            <w:tcW w:w="6910" w:type="dxa"/>
            <w:vAlign w:val="center"/>
          </w:tcPr>
          <w:p>
            <w:pPr>
              <w:spacing w:line="360" w:lineRule="auto"/>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MS Mincho" w:cs="MS Mincho"/>
                <w:b/>
                <w:color w:val="000000" w:themeColor="text1"/>
                <w:kern w:val="0"/>
                <w:sz w:val="24"/>
                <w:highlight w:val="none"/>
                <w14:textFill>
                  <w14:solidFill>
                    <w14:schemeClr w14:val="tx1"/>
                  </w14:solidFill>
                </w14:textFill>
              </w:rPr>
              <w:t>☐</w:t>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pPr>
              <w:adjustRightInd/>
              <w:spacing w:line="360" w:lineRule="auto"/>
              <w:outlineLvl w:val="0"/>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pPr>
              <w:adjustRightInd/>
              <w:spacing w:line="360" w:lineRule="auto"/>
              <w:outlineLvl w:val="0"/>
              <w:rPr>
                <w:rFonts w:ascii="仿宋" w:hAnsi="仿宋" w:eastAsia="仿宋" w:cs="仿宋_GB2312"/>
                <w:b/>
                <w:color w:val="000000" w:themeColor="text1"/>
                <w:sz w:val="24"/>
                <w:highlight w:val="none"/>
                <w14:textFill>
                  <w14:solidFill>
                    <w14:schemeClr w14:val="tx1"/>
                  </w14:solidFill>
                </w14:textFill>
              </w:rPr>
            </w:pPr>
          </w:p>
        </w:tc>
        <w:tc>
          <w:tcPr>
            <w:tcW w:w="6910" w:type="dxa"/>
            <w:vAlign w:val="center"/>
          </w:tcPr>
          <w:p>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▲供应商以联合体形式投标的：在按招标文件要求提供联合协议，联合体投标的联合体各方承担连带责任。</w:t>
            </w:r>
          </w:p>
          <w:p>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▲以联合体形式参加政府采购活动的，联合体各方不得再单独参加或者与其他供应商另外组成联合体参加同一合同项下的政府采购活动，否则相关投标均无效。</w:t>
            </w:r>
          </w:p>
          <w:p>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adjustRightInd/>
              <w:spacing w:line="360" w:lineRule="auto"/>
              <w:outlineLvl w:val="0"/>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中标服务费</w:t>
            </w:r>
          </w:p>
        </w:tc>
        <w:tc>
          <w:tcPr>
            <w:tcW w:w="6910"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
                <w:b/>
                <w:snapToGrid w:val="0"/>
                <w:color w:val="000000" w:themeColor="text1"/>
                <w:kern w:val="28"/>
                <w:sz w:val="24"/>
                <w:highlight w:val="none"/>
                <w14:textFill>
                  <w14:solidFill>
                    <w14:schemeClr w14:val="tx1"/>
                  </w14:solidFill>
                </w14:textFill>
              </w:rPr>
              <w:t>中标人在领取中标通知书时需向招标代理机构支付人民币</w:t>
            </w:r>
            <w:r>
              <w:rPr>
                <w:rFonts w:hint="eastAsia" w:ascii="仿宋" w:hAnsi="仿宋" w:eastAsia="仿宋" w:cs="仿宋"/>
                <w:b/>
                <w:snapToGrid w:val="0"/>
                <w:color w:val="000000" w:themeColor="text1"/>
                <w:kern w:val="28"/>
                <w:sz w:val="24"/>
                <w:highlight w:val="none"/>
                <w:lang w:val="en-US" w:eastAsia="zh-CN"/>
                <w14:textFill>
                  <w14:solidFill>
                    <w14:schemeClr w14:val="tx1"/>
                  </w14:solidFill>
                </w14:textFill>
              </w:rPr>
              <w:t>24720</w:t>
            </w:r>
            <w:r>
              <w:rPr>
                <w:rFonts w:hint="eastAsia" w:ascii="仿宋" w:hAnsi="仿宋" w:eastAsia="仿宋" w:cs="仿宋"/>
                <w:b/>
                <w:snapToGrid w:val="0"/>
                <w:color w:val="000000" w:themeColor="text1"/>
                <w:kern w:val="28"/>
                <w:sz w:val="24"/>
                <w:highlight w:val="none"/>
                <w14:textFill>
                  <w14:solidFill>
                    <w14:schemeClr w14:val="tx1"/>
                  </w14:solidFill>
                </w14:textFill>
              </w:rPr>
              <w:t>元中标服务费，费用包含在总报价中，不单独列项报价。中标服务费的交纳方式：以转帐或支票的形式支付，开户名：天阳建设管理有限公司；开户行名称：中信银行临平支行 帐号：7331410195700021726中标单位需在领取中标通知书时缴纳中标服务费，缴纳时注明招标编号。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纸质投标文件</w:t>
            </w:r>
          </w:p>
        </w:tc>
        <w:tc>
          <w:tcPr>
            <w:tcW w:w="6910"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评标委员会推荐中标候选人的个数</w:t>
            </w:r>
          </w:p>
        </w:tc>
        <w:tc>
          <w:tcPr>
            <w:tcW w:w="6910"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1个。</w:t>
            </w:r>
          </w:p>
        </w:tc>
      </w:tr>
    </w:tbl>
    <w:p>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p>
    <w:p>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一、总则</w:t>
      </w:r>
    </w:p>
    <w:p>
      <w:pPr>
        <w:snapToGrid w:val="0"/>
        <w:spacing w:line="360" w:lineRule="auto"/>
        <w:ind w:firstLine="0" w:firstLineChars="0"/>
        <w:jc w:val="left"/>
        <w:outlineLvl w:val="1"/>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2.定义</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 “采购代理机构”系指招标公告中载明的本项目的采购代理机构。</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2.7 “▲”系指实质性要求条款，“</w:t>
      </w: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color w:val="000000" w:themeColor="text1"/>
          <w:sz w:val="24"/>
          <w:highlight w:val="none"/>
          <w14:textFill>
            <w14:solidFill>
              <w14:schemeClr w14:val="tx1"/>
            </w14:solidFill>
          </w14:textFill>
        </w:rPr>
        <w:t>”系指适用本项目的要求，“</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”系指不适用本项目的要求。</w:t>
      </w:r>
    </w:p>
    <w:p>
      <w:pPr>
        <w:spacing w:line="360" w:lineRule="auto"/>
        <w:ind w:firstLine="0" w:firstLineChars="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3.采购项目需要落实的政府采购政策</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 支持绿色发展</w:t>
      </w:r>
    </w:p>
    <w:p>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bCs/>
          <w:color w:val="000000" w:themeColor="text1"/>
          <w:sz w:val="24"/>
          <w:highlight w:val="none"/>
          <w14:textFill>
            <w14:solidFill>
              <w14:schemeClr w14:val="tx1"/>
            </w14:solidFill>
          </w14:textFill>
        </w:rPr>
        <w:t>3.3.2</w:t>
      </w:r>
      <w:r>
        <w:rPr>
          <w:rFonts w:hint="eastAsia" w:ascii="仿宋" w:hAnsi="仿宋" w:eastAsia="仿宋"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w:t>
      </w:r>
      <w:r>
        <w:rPr>
          <w:rFonts w:hint="eastAsia" w:ascii="仿宋" w:hAnsi="仿宋" w:eastAsia="仿宋"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3.4.2首台套产品被纳入《首台套产品推广应用指导目录》之日起</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3.4.3 </w:t>
      </w:r>
      <w:r>
        <w:rPr>
          <w:rFonts w:hint="eastAsia" w:ascii="仿宋" w:hAnsi="仿宋" w:eastAsia="仿宋" w:cs="宋体"/>
          <w:color w:val="000000" w:themeColor="text1"/>
          <w:sz w:val="24"/>
          <w:highlight w:val="none"/>
          <w:lang w:val="en-US" w:eastAsia="zh-CN"/>
          <w14:textFill>
            <w14:solidFill>
              <w14:schemeClr w14:val="tx1"/>
            </w14:solidFill>
          </w14:textFill>
        </w:rPr>
        <w:t>采购人应当贯彻落实知识产权保护相关法律法规，</w:t>
      </w:r>
      <w:r>
        <w:rPr>
          <w:rFonts w:hint="eastAsia" w:ascii="仿宋" w:hAnsi="仿宋" w:eastAsia="仿宋" w:cs="宋体"/>
          <w:color w:val="000000" w:themeColor="text1"/>
          <w:sz w:val="24"/>
          <w:highlight w:val="none"/>
          <w:lang w:val="en-US"/>
          <w14:textFill>
            <w14:solidFill>
              <w14:schemeClr w14:val="tx1"/>
            </w14:solidFill>
          </w14:textFill>
        </w:rPr>
        <w:t>应当采购使用正版软件。</w:t>
      </w:r>
    </w:p>
    <w:p>
      <w:p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3.5平等对待内外资企业和符合条件的破产重整企业</w:t>
      </w:r>
    </w:p>
    <w:p>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宋体"/>
          <w:color w:val="000000" w:themeColor="text1"/>
          <w:sz w:val="24"/>
          <w:highlight w:val="none"/>
          <w14:textFill>
            <w14:solidFill>
              <w14:schemeClr w14:val="tx1"/>
            </w14:solidFill>
          </w14:textFill>
        </w:rPr>
        <w:cr/>
      </w:r>
      <w:r>
        <w:rPr>
          <w:rFonts w:hint="eastAsia" w:ascii="仿宋" w:hAnsi="仿宋" w:eastAsia="仿宋" w:cs="宋体"/>
          <w:b/>
          <w:color w:val="000000" w:themeColor="text1"/>
          <w:sz w:val="24"/>
          <w:highlight w:val="none"/>
          <w14:textFill>
            <w14:solidFill>
              <w14:schemeClr w14:val="tx1"/>
            </w14:solidFill>
          </w14:textFill>
        </w:rPr>
        <w:t>4. 询问、质疑、投诉、补偿救济</w:t>
      </w:r>
    </w:p>
    <w:p>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4.2供应商询问</w:t>
      </w:r>
    </w:p>
    <w:p>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4.3供应商质疑</w:t>
      </w:r>
    </w:p>
    <w:p>
      <w:pPr>
        <w:pStyle w:val="38"/>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8"/>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cs="宋体"/>
          <w:color w:val="000000" w:themeColor="text1"/>
          <w:kern w:val="2"/>
          <w:sz w:val="24"/>
          <w:highlight w:val="none"/>
          <w14:textFill>
            <w14:solidFill>
              <w14:schemeClr w14:val="tx1"/>
            </w14:solidFill>
          </w14:textFill>
        </w:rPr>
      </w:pPr>
      <w:r>
        <w:rPr>
          <w:rFonts w:hint="eastAsia" w:ascii="仿宋" w:hAnsi="仿宋" w:eastAsia="仿宋" w:cs="宋体"/>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pPr>
        <w:pStyle w:val="38"/>
        <w:spacing w:line="360" w:lineRule="auto"/>
        <w:ind w:left="479" w:leftChars="228"/>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38"/>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w:t>
      </w:r>
      <w:r>
        <w:rPr>
          <w:rFonts w:hint="eastAsia" w:ascii="仿宋" w:hAnsi="仿宋" w:eastAsia="仿宋"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8"/>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4.3.3.1供应商的姓名或者名称、地址、邮编、联系人及联系电话；</w:t>
      </w:r>
    </w:p>
    <w:p>
      <w:pPr>
        <w:pStyle w:val="38"/>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4.3.3.2质疑项目的名称、编号；</w:t>
      </w:r>
    </w:p>
    <w:p>
      <w:pPr>
        <w:pStyle w:val="38"/>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4.3.3.3具体、明确的质疑事项和与质疑事项相关的请求；</w:t>
      </w:r>
    </w:p>
    <w:p>
      <w:pPr>
        <w:pStyle w:val="38"/>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4.3.3.4事实依据；</w:t>
      </w:r>
    </w:p>
    <w:p>
      <w:pPr>
        <w:pStyle w:val="38"/>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4.3.3.5必要的法律依据；</w:t>
      </w:r>
    </w:p>
    <w:p>
      <w:pPr>
        <w:pStyle w:val="38"/>
        <w:spacing w:line="360" w:lineRule="auto"/>
        <w:ind w:firstLine="960" w:firstLineChars="4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4.3.3.6提出质疑的日期。</w:t>
      </w:r>
    </w:p>
    <w:p>
      <w:pPr>
        <w:pStyle w:val="575"/>
        <w:shd w:val="clear" w:color="auto" w:fill="FFFFFF"/>
        <w:snapToGrid w:val="0"/>
        <w:spacing w:before="0" w:beforeAutospacing="0" w:after="0" w:afterAutospacing="0" w:line="360" w:lineRule="auto"/>
        <w:ind w:firstLine="403"/>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质疑函范本及制作说明详见附件2。</w:t>
      </w:r>
    </w:p>
    <w:p>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4.3.4对同一采购程序环节的质疑，供应商须在法定质疑期内一次性提出。</w:t>
      </w:r>
    </w:p>
    <w:p>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pPr>
        <w:pStyle w:val="575"/>
        <w:shd w:val="clear" w:color="auto" w:fill="FFFFFF"/>
        <w:snapToGrid w:val="0"/>
        <w:spacing w:after="240" w:afterAutospacing="0" w:line="360" w:lineRule="auto"/>
        <w:ind w:firstLine="480" w:firstLineChars="200"/>
        <w:contextualSpacing/>
        <w:rPr>
          <w:rFonts w:ascii="仿宋" w:hAnsi="仿宋" w:eastAsia="仿宋"/>
          <w:color w:val="000000" w:themeColor="text1"/>
          <w:highlight w:val="none"/>
          <w:lang w:val="zh-CN"/>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4.4供应商投诉</w:t>
      </w:r>
    </w:p>
    <w:p>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w:t>
      </w:r>
      <w:r>
        <w:rPr>
          <w:rFonts w:hint="eastAsia" w:ascii="仿宋" w:hAnsi="仿宋" w:eastAsia="仿宋"/>
          <w:color w:val="000000" w:themeColor="text1"/>
          <w:highlight w:val="none"/>
          <w:lang w:val="zh-CN"/>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供应商投诉的事项不得超出已质疑事项的范围，基于质疑答复内容提出的投诉事项除外。</w:t>
      </w:r>
    </w:p>
    <w:p>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4.4.3供应商投诉应当有明确的请求和必要的证明材料。</w:t>
      </w:r>
    </w:p>
    <w:p>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4.4.4以联合体形式参加政府采购活动的，其投诉应当由组成联合体的所有供应商共同提出。</w:t>
      </w:r>
    </w:p>
    <w:p>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投诉书范本及制作说明详见附件3。</w:t>
      </w:r>
    </w:p>
    <w:p>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4.5 补偿救济</w:t>
      </w:r>
    </w:p>
    <w:p>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pPr>
        <w:pStyle w:val="90"/>
        <w:snapToGrid w:val="0"/>
        <w:spacing w:before="0"/>
        <w:ind w:firstLine="360"/>
        <w:rPr>
          <w:rFonts w:ascii="仿宋" w:hAnsi="仿宋" w:eastAsia="仿宋" w:cs="宋体"/>
          <w:color w:val="000000" w:themeColor="text1"/>
          <w:sz w:val="18"/>
          <w:szCs w:val="18"/>
          <w:highlight w:val="none"/>
          <w14:textFill>
            <w14:solidFill>
              <w14:schemeClr w14:val="tx1"/>
            </w14:solidFill>
          </w14:textFill>
        </w:rPr>
      </w:pPr>
    </w:p>
    <w:p>
      <w:pPr>
        <w:adjustRightInd/>
        <w:spacing w:line="360" w:lineRule="auto"/>
        <w:jc w:val="center"/>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 xml:space="preserve">      二、招标文件的构成、澄清、修改</w:t>
      </w:r>
    </w:p>
    <w:p>
      <w:pPr>
        <w:pStyle w:val="38"/>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5．招标文件的构成</w:t>
      </w:r>
    </w:p>
    <w:p>
      <w:pPr>
        <w:pStyle w:val="38"/>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 招标文件包括下列文件及附件：</w:t>
      </w:r>
    </w:p>
    <w:p>
      <w:pPr>
        <w:pStyle w:val="38"/>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5.1.1招标公告；</w:t>
      </w:r>
    </w:p>
    <w:p>
      <w:pPr>
        <w:pStyle w:val="38"/>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5.1.2投标人须知；</w:t>
      </w:r>
    </w:p>
    <w:p>
      <w:pPr>
        <w:pStyle w:val="38"/>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5.1.3采购需求；</w:t>
      </w:r>
    </w:p>
    <w:p>
      <w:pPr>
        <w:pStyle w:val="38"/>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5.1.4评标办法；</w:t>
      </w:r>
    </w:p>
    <w:p>
      <w:pPr>
        <w:pStyle w:val="38"/>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5.1.5拟签订的合同文本；</w:t>
      </w:r>
    </w:p>
    <w:p>
      <w:pPr>
        <w:pStyle w:val="38"/>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5.1.6</w:t>
      </w:r>
      <w:r>
        <w:rPr>
          <w:rFonts w:hint="eastAsia" w:ascii="仿宋" w:hAnsi="仿宋" w:eastAsia="仿宋"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5.2与本项目有关的</w:t>
      </w:r>
      <w:r>
        <w:rPr>
          <w:rFonts w:hint="eastAsia" w:ascii="仿宋" w:hAnsi="仿宋" w:eastAsia="仿宋" w:cs="宋体"/>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宋体"/>
          <w:color w:val="000000" w:themeColor="text1"/>
          <w:sz w:val="24"/>
          <w:highlight w:val="none"/>
          <w14:textFill>
            <w14:solidFill>
              <w14:schemeClr w14:val="tx1"/>
            </w14:solidFill>
          </w14:textFill>
        </w:rPr>
        <w:t>。</w:t>
      </w:r>
    </w:p>
    <w:p>
      <w:pPr>
        <w:pStyle w:val="38"/>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6. 招标文件的澄清、修改</w:t>
      </w:r>
    </w:p>
    <w:p>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宋体"/>
          <w:color w:val="000000" w:themeColor="text1"/>
          <w:sz w:val="18"/>
          <w:szCs w:val="18"/>
          <w:highlight w:val="none"/>
          <w:lang w:val="en-US"/>
          <w14:textFill>
            <w14:solidFill>
              <w14:schemeClr w14:val="tx1"/>
            </w14:solidFill>
          </w14:textFill>
        </w:rPr>
      </w:pPr>
    </w:p>
    <w:p>
      <w:pPr>
        <w:adjustRightInd/>
        <w:spacing w:line="360" w:lineRule="auto"/>
        <w:jc w:val="center"/>
        <w:outlineLvl w:val="0"/>
        <w:rPr>
          <w:rFonts w:ascii="仿宋" w:hAnsi="仿宋" w:eastAsia="仿宋" w:cs="宋体"/>
          <w:b/>
          <w:color w:val="000000" w:themeColor="text1"/>
          <w:sz w:val="30"/>
          <w:szCs w:val="20"/>
          <w:highlight w:val="none"/>
          <w14:textFill>
            <w14:solidFill>
              <w14:schemeClr w14:val="tx1"/>
            </w14:solidFill>
          </w14:textFill>
        </w:rPr>
      </w:pPr>
      <w:r>
        <w:rPr>
          <w:rFonts w:hint="eastAsia" w:ascii="仿宋" w:hAnsi="仿宋" w:eastAsia="仿宋" w:cs="宋体"/>
          <w:b/>
          <w:color w:val="000000" w:themeColor="text1"/>
          <w:sz w:val="30"/>
          <w:szCs w:val="20"/>
          <w:highlight w:val="none"/>
          <w14:textFill>
            <w14:solidFill>
              <w14:schemeClr w14:val="tx1"/>
            </w14:solidFill>
          </w14:textFill>
        </w:rPr>
        <w:t>三、投标</w:t>
      </w:r>
    </w:p>
    <w:p>
      <w:pPr>
        <w:pStyle w:val="38"/>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ascii="仿宋" w:hAnsi="仿宋" w:eastAsia="仿宋" w:cs="宋体"/>
          <w:snapToGrid w:val="0"/>
          <w:color w:val="000000" w:themeColor="text1"/>
          <w:kern w:val="28"/>
          <w:sz w:val="24"/>
          <w:highlight w:val="none"/>
          <w14:textFill>
            <w14:solidFill>
              <w14:schemeClr w14:val="tx1"/>
            </w14:solidFill>
          </w14:textFill>
        </w:rPr>
      </w:pPr>
      <w:r>
        <w:rPr>
          <w:rFonts w:hint="eastAsia" w:ascii="仿宋" w:hAnsi="仿宋" w:eastAsia="仿宋"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8"/>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8.开标前答疑会或现场考察</w:t>
      </w:r>
    </w:p>
    <w:p>
      <w:pPr>
        <w:pStyle w:val="38"/>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8"/>
        <w:spacing w:line="360" w:lineRule="auto"/>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kern w:val="28"/>
          <w:sz w:val="24"/>
          <w:szCs w:val="24"/>
          <w:highlight w:val="none"/>
          <w14:textFill>
            <w14:solidFill>
              <w14:schemeClr w14:val="tx1"/>
            </w14:solidFill>
          </w14:textFill>
        </w:rPr>
        <w:t>9.投标保证金</w:t>
      </w:r>
    </w:p>
    <w:p>
      <w:pPr>
        <w:pStyle w:val="5"/>
        <w:spacing w:line="360" w:lineRule="auto"/>
        <w:ind w:firstLine="470" w:firstLineChars="19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本项目不需缴纳投标保证金。</w:t>
      </w:r>
    </w:p>
    <w:p>
      <w:pPr>
        <w:pStyle w:val="38"/>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投标文件及投标人与采购有关的来往通知、函件和文件均应使用中文。</w:t>
      </w:r>
    </w:p>
    <w:p>
      <w:pPr>
        <w:pStyle w:val="38"/>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11. 投标文件的组成</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hint="eastAsia" w:ascii="仿宋" w:hAnsi="仿宋" w:eastAsia="仿宋" w:cs="宋体"/>
          <w:b/>
          <w:color w:val="000000" w:themeColor="text1"/>
          <w:sz w:val="24"/>
          <w:highlight w:val="none"/>
          <w14:textFill>
            <w14:solidFill>
              <w14:schemeClr w14:val="tx1"/>
            </w14:solidFill>
          </w14:textFill>
        </w:rPr>
        <w:t>资格文件</w:t>
      </w:r>
      <w:r>
        <w:rPr>
          <w:rFonts w:hint="eastAsia" w:ascii="仿宋" w:hAnsi="仿宋" w:eastAsia="仿宋"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ascii="仿宋" w:hAnsi="仿宋" w:eastAsia="仿宋" w:cs="宋体"/>
          <w:color w:val="000000" w:themeColor="text1"/>
          <w:sz w:val="24"/>
          <w:highlight w:val="none"/>
          <w14:textFill>
            <w14:solidFill>
              <w14:schemeClr w14:val="tx1"/>
            </w14:solidFill>
          </w14:textFill>
        </w:rPr>
        <w:t>1.1.2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联合协议（如果有)；</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11.2.1投标函；</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pPr>
        <w:snapToGrid w:val="0"/>
        <w:spacing w:line="360" w:lineRule="auto"/>
        <w:ind w:firstLine="960" w:firstLineChars="4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仿宋" w:hAnsi="仿宋" w:eastAsia="仿宋" w:cs="宋体"/>
          <w:color w:val="000000" w:themeColor="text1"/>
          <w:sz w:val="24"/>
          <w:highlight w:val="none"/>
          <w:u w:val="singl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11.</w:t>
      </w:r>
      <w:r>
        <w:rPr>
          <w:rFonts w:hint="eastAsia" w:ascii="仿宋" w:hAnsi="仿宋" w:eastAsia="仿宋" w:cs="宋体"/>
          <w:color w:val="000000" w:themeColor="text1"/>
          <w:kern w:val="0"/>
          <w:sz w:val="24"/>
          <w:highlight w:val="none"/>
          <w14:textFill>
            <w14:solidFill>
              <w14:schemeClr w14:val="tx1"/>
            </w14:solidFill>
          </w14:textFill>
        </w:rPr>
        <w:t>3</w:t>
      </w:r>
      <w:r>
        <w:rPr>
          <w:rFonts w:hint="eastAsia" w:ascii="仿宋" w:hAnsi="仿宋" w:eastAsia="仿宋" w:cs="宋体"/>
          <w:b/>
          <w:color w:val="000000" w:themeColor="text1"/>
          <w:sz w:val="24"/>
          <w:highlight w:val="none"/>
          <w14:textFill>
            <w14:solidFill>
              <w14:schemeClr w14:val="tx1"/>
            </w14:solidFill>
          </w14:textFill>
        </w:rPr>
        <w:t>报价文件：</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11.3.2 报价情况说明（如供应商报价低于项目预算50%的，应当提交本文档，详细阐述不影响产品质量或者诚信履约的具体原因）；</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11.3.3中小企业声明函</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投标人提供虚假材料投标的，投标无效。</w:t>
      </w:r>
    </w:p>
    <w:p>
      <w:pPr>
        <w:spacing w:line="360" w:lineRule="auto"/>
        <w:ind w:firstLine="723" w:firstLineChars="3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投标人应对投标文件中材料的真实性、合法性负责。</w:t>
      </w:r>
    </w:p>
    <w:p>
      <w:pPr>
        <w:pStyle w:val="90"/>
        <w:snapToGrid w:val="0"/>
        <w:spacing w:before="0"/>
        <w:ind w:firstLine="0" w:firstLineChars="0"/>
        <w:outlineLvl w:val="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12</w:t>
      </w:r>
      <w:r>
        <w:rPr>
          <w:rFonts w:hint="eastAsia" w:ascii="仿宋" w:hAnsi="仿宋" w:eastAsia="仿宋" w:cs="宋体"/>
          <w:b/>
          <w:color w:val="000000" w:themeColor="text1"/>
          <w:kern w:val="0"/>
          <w:szCs w:val="24"/>
          <w:highlight w:val="none"/>
          <w:lang w:val="zh-CN"/>
          <w14:textFill>
            <w14:solidFill>
              <w14:schemeClr w14:val="tx1"/>
            </w14:solidFill>
          </w14:textFill>
        </w:rPr>
        <w:t xml:space="preserve">. </w:t>
      </w:r>
      <w:r>
        <w:rPr>
          <w:rFonts w:hint="eastAsia" w:ascii="仿宋" w:hAnsi="仿宋" w:eastAsia="仿宋" w:cs="宋体"/>
          <w:b/>
          <w:color w:val="000000" w:themeColor="text1"/>
          <w:szCs w:val="24"/>
          <w:highlight w:val="none"/>
          <w14:textFill>
            <w14:solidFill>
              <w14:schemeClr w14:val="tx1"/>
            </w14:solidFill>
          </w14:textFill>
        </w:rPr>
        <w:t>投标文件的编制</w:t>
      </w:r>
    </w:p>
    <w:p>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13.投标文件的签署、盖章</w:t>
      </w:r>
    </w:p>
    <w:p>
      <w:pPr>
        <w:pStyle w:val="90"/>
        <w:snapToGrid w:val="0"/>
        <w:spacing w:before="0"/>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宋体"/>
          <w:color w:val="000000" w:themeColor="text1"/>
          <w:highlight w:val="none"/>
          <w14:textFill>
            <w14:solidFill>
              <w14:schemeClr w14:val="tx1"/>
            </w14:solidFill>
          </w14:textFill>
        </w:rPr>
        <w:t>求进行签署、盖章。</w:t>
      </w:r>
      <w:r>
        <w:rPr>
          <w:rFonts w:hint="eastAsia" w:ascii="仿宋" w:hAnsi="仿宋" w:eastAsia="仿宋" w:cs="宋体"/>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宋体"/>
          <w:color w:val="000000" w:themeColor="text1"/>
          <w:szCs w:val="24"/>
          <w:highlight w:val="none"/>
          <w14:textFill>
            <w14:solidFill>
              <w14:schemeClr w14:val="tx1"/>
            </w14:solidFill>
          </w14:textFill>
        </w:rPr>
        <w:t>。</w:t>
      </w:r>
    </w:p>
    <w:p>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90"/>
        <w:snapToGrid w:val="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13.3招标文件对投标文件签署、盖章的要求适用于电子签名。</w:t>
      </w:r>
    </w:p>
    <w:p>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14. 投标文件的提交、补充、修改、撤回</w:t>
      </w:r>
    </w:p>
    <w:p>
      <w:pPr>
        <w:pStyle w:val="9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9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pPr>
        <w:pStyle w:val="38"/>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15.备份投标文件</w:t>
      </w:r>
    </w:p>
    <w:p>
      <w:pPr>
        <w:pStyle w:val="38"/>
        <w:spacing w:line="360" w:lineRule="auto"/>
        <w:ind w:firstLine="360" w:firstLineChars="15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8"/>
        <w:spacing w:line="360" w:lineRule="auto"/>
        <w:ind w:firstLine="480" w:firstLineChars="20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highlight w:val="none"/>
          <w14:textFill>
            <w14:solidFill>
              <w14:schemeClr w14:val="tx1"/>
            </w14:solidFill>
          </w14:textFill>
        </w:rPr>
        <w:t>不符合上述制作、</w:t>
      </w:r>
      <w:r>
        <w:rPr>
          <w:rFonts w:hint="eastAsia" w:ascii="仿宋" w:hAnsi="仿宋" w:eastAsia="仿宋" w:cs="宋体"/>
          <w:b/>
          <w:color w:val="000000" w:themeColor="text1"/>
          <w:sz w:val="24"/>
          <w:szCs w:val="24"/>
          <w:highlight w:val="none"/>
          <w14:textFill>
            <w14:solidFill>
              <w14:schemeClr w14:val="tx1"/>
            </w14:solidFill>
          </w14:textFill>
        </w:rPr>
        <w:t>存储、密封规定的备份投标文件将被视为无效或者被拒绝接收。</w:t>
      </w:r>
    </w:p>
    <w:p>
      <w:pPr>
        <w:pStyle w:val="38"/>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pPr>
        <w:pStyle w:val="38"/>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8"/>
        <w:spacing w:line="360" w:lineRule="auto"/>
        <w:ind w:firstLine="479" w:firstLineChars="199"/>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16.投标文件的无效处理</w:t>
      </w:r>
    </w:p>
    <w:p>
      <w:pPr>
        <w:pStyle w:val="26"/>
        <w:spacing w:line="360" w:lineRule="auto"/>
        <w:ind w:firstLine="360" w:firstLineChars="15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有招标文件第四部分</w:t>
      </w:r>
      <w:r>
        <w:rPr>
          <w:rFonts w:ascii="仿宋" w:hAnsi="仿宋" w:eastAsia="仿宋" w:cs="宋体"/>
          <w:color w:val="000000" w:themeColor="text1"/>
          <w:szCs w:val="21"/>
          <w:highlight w:val="none"/>
          <w14:textFill>
            <w14:solidFill>
              <w14:schemeClr w14:val="tx1"/>
            </w14:solidFill>
          </w14:textFill>
        </w:rPr>
        <w:t>4.2规定</w:t>
      </w:r>
      <w:r>
        <w:rPr>
          <w:rFonts w:hint="eastAsia" w:ascii="仿宋" w:hAnsi="仿宋" w:eastAsia="仿宋" w:cs="宋体"/>
          <w:color w:val="000000" w:themeColor="text1"/>
          <w:szCs w:val="21"/>
          <w:highlight w:val="none"/>
          <w14:textFill>
            <w14:solidFill>
              <w14:schemeClr w14:val="tx1"/>
            </w14:solidFill>
          </w14:textFill>
        </w:rPr>
        <w:t>的情形之一的，投标无效：</w:t>
      </w:r>
    </w:p>
    <w:p>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宋体"/>
          <w:b/>
          <w:color w:val="000000" w:themeColor="text1"/>
          <w:sz w:val="24"/>
          <w:szCs w:val="20"/>
          <w:highlight w:val="none"/>
          <w14:textFill>
            <w14:solidFill>
              <w14:schemeClr w14:val="tx1"/>
            </w14:solidFill>
          </w14:textFill>
        </w:rPr>
        <w:t>投标人的投标文件中承</w:t>
      </w:r>
      <w:r>
        <w:rPr>
          <w:rFonts w:hint="eastAsia" w:ascii="仿宋" w:hAnsi="仿宋" w:eastAsia="仿宋" w:cs="宋体"/>
          <w:b/>
          <w:color w:val="000000" w:themeColor="text1"/>
          <w:sz w:val="24"/>
          <w:szCs w:val="21"/>
          <w:highlight w:val="none"/>
          <w14:textFill>
            <w14:solidFill>
              <w14:schemeClr w14:val="tx1"/>
            </w14:solidFill>
          </w14:textFill>
        </w:rPr>
        <w:t>诺的投标有效期少于招标文件中载明的投标有效期的，投标无效。</w:t>
      </w:r>
    </w:p>
    <w:p>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17.2投标文件合格投递后，自投标截止日期起，在投标有效期内有效。</w:t>
      </w:r>
    </w:p>
    <w:p>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90"/>
        <w:spacing w:before="0"/>
        <w:ind w:firstLine="643"/>
        <w:rPr>
          <w:rFonts w:ascii="仿宋" w:hAnsi="仿宋" w:eastAsia="仿宋" w:cs="宋体"/>
          <w:b/>
          <w:color w:val="000000" w:themeColor="text1"/>
          <w:sz w:val="32"/>
          <w:highlight w:val="none"/>
          <w14:textFill>
            <w14:solidFill>
              <w14:schemeClr w14:val="tx1"/>
            </w14:solidFill>
          </w14:textFill>
        </w:rPr>
      </w:pPr>
    </w:p>
    <w:p>
      <w:pPr>
        <w:pStyle w:val="90"/>
        <w:spacing w:before="0"/>
        <w:ind w:firstLine="1928" w:firstLineChars="600"/>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四、开标、资格审查与信用信息查询</w:t>
      </w:r>
    </w:p>
    <w:p>
      <w:pPr>
        <w:pStyle w:val="245"/>
        <w:spacing w:before="0" w:line="360" w:lineRule="auto"/>
        <w:ind w:left="0" w:firstLine="0" w:firstLineChars="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18.开标</w:t>
      </w:r>
    </w:p>
    <w:p>
      <w:pPr>
        <w:pStyle w:val="245"/>
        <w:spacing w:before="0" w:line="360" w:lineRule="auto"/>
        <w:ind w:left="0" w:firstLine="480" w:firstLineChars="2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pPr>
        <w:pStyle w:val="245"/>
        <w:spacing w:before="0" w:line="360" w:lineRule="auto"/>
        <w:ind w:left="0" w:firstLine="240"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pPr>
        <w:pStyle w:val="245"/>
        <w:spacing w:before="0" w:line="360" w:lineRule="auto"/>
        <w:ind w:left="0" w:firstLine="240" w:firstLineChars="100"/>
        <w:contextualSpacing/>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w:t>
      </w:r>
      <w:r>
        <w:rPr>
          <w:rFonts w:hint="eastAsia" w:ascii="仿宋" w:hAnsi="仿宋" w:eastAsia="仿宋" w:cs="宋体"/>
          <w:b/>
          <w:color w:val="000000" w:themeColor="text1"/>
          <w:sz w:val="24"/>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pPr>
        <w:widowControl/>
        <w:spacing w:before="0" w:beforeAutospacing="0" w:after="0" w:line="360" w:lineRule="auto"/>
        <w:jc w:val="left"/>
        <w:rPr>
          <w:rFonts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19</w:t>
      </w:r>
      <w:r>
        <w:rPr>
          <w:rFonts w:hint="eastAsia" w:ascii="仿宋" w:hAnsi="仿宋" w:eastAsia="仿宋" w:cs="宋体"/>
          <w:b/>
          <w:color w:val="000000" w:themeColor="text1"/>
          <w:sz w:val="24"/>
          <w:szCs w:val="20"/>
          <w:highlight w:val="none"/>
          <w:lang w:val="en-US" w:eastAsia="zh-CN"/>
          <w14:textFill>
            <w14:solidFill>
              <w14:schemeClr w14:val="tx1"/>
            </w14:solidFill>
          </w14:textFill>
        </w:rPr>
        <w:t>.</w:t>
      </w:r>
      <w:r>
        <w:rPr>
          <w:rFonts w:hint="eastAsia" w:ascii="仿宋" w:hAnsi="仿宋" w:eastAsia="仿宋" w:cs="宋体"/>
          <w:b/>
          <w:color w:val="000000" w:themeColor="text1"/>
          <w:sz w:val="24"/>
          <w:szCs w:val="20"/>
          <w:highlight w:val="none"/>
          <w14:textFill>
            <w14:solidFill>
              <w14:schemeClr w14:val="tx1"/>
            </w14:solidFill>
          </w14:textFill>
        </w:rPr>
        <w:t>资格审查</w:t>
      </w:r>
    </w:p>
    <w:p>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19.1采购人或采购代理机构依据法律法规和招标文件的规定，对投标人的资格进行审查。</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19.2</w:t>
      </w:r>
      <w:r>
        <w:rPr>
          <w:rFonts w:hint="eastAsia" w:ascii="仿宋" w:hAnsi="仿宋" w:eastAsia="仿宋" w:cs="宋体"/>
          <w:color w:val="000000" w:themeColor="text1"/>
          <w:sz w:val="24"/>
          <w:highlight w:val="none"/>
          <w14:textFill>
            <w14:solidFill>
              <w14:schemeClr w14:val="tx1"/>
            </w14:solidFill>
          </w14:textFill>
        </w:rPr>
        <w:t>投标人未按照招标文件要求提供与资格条件相应的有效资格证明材料的，视为投标人不具备招标文件中规定的资格要求，其投标无效。</w:t>
      </w:r>
    </w:p>
    <w:p>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19.3对未通过资格审查的投标人，采购人或采购代理机构告知其未通过的原因。</w:t>
      </w:r>
    </w:p>
    <w:p>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w:t>
      </w:r>
      <w:r>
        <w:rPr>
          <w:rFonts w:hint="eastAsia" w:ascii="仿宋" w:hAnsi="仿宋" w:eastAsia="仿宋" w:cs="宋体"/>
          <w:color w:val="000000" w:themeColor="text1"/>
          <w:highlight w:val="none"/>
          <w14:textFill>
            <w14:solidFill>
              <w14:schemeClr w14:val="tx1"/>
            </w14:solidFill>
          </w14:textFill>
        </w:rPr>
        <w:t>4合格投标人不足3家的，不再评标。</w:t>
      </w:r>
    </w:p>
    <w:p>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20</w:t>
      </w:r>
      <w:r>
        <w:rPr>
          <w:rFonts w:hint="eastAsia" w:ascii="仿宋" w:hAnsi="仿宋" w:eastAsia="仿宋" w:cs="宋体"/>
          <w:b/>
          <w:color w:val="000000" w:themeColor="text1"/>
          <w:szCs w:val="24"/>
          <w:highlight w:val="none"/>
          <w:lang w:val="en-US" w:eastAsia="zh-CN"/>
          <w14:textFill>
            <w14:solidFill>
              <w14:schemeClr w14:val="tx1"/>
            </w14:solidFill>
          </w14:textFill>
        </w:rPr>
        <w:t>.</w:t>
      </w:r>
      <w:r>
        <w:rPr>
          <w:rFonts w:hint="eastAsia" w:ascii="仿宋" w:hAnsi="仿宋" w:eastAsia="仿宋" w:cs="宋体"/>
          <w:b/>
          <w:color w:val="000000" w:themeColor="text1"/>
          <w:szCs w:val="24"/>
          <w:highlight w:val="none"/>
          <w14:textFill>
            <w14:solidFill>
              <w14:schemeClr w14:val="tx1"/>
            </w14:solidFill>
          </w14:textFill>
        </w:rPr>
        <w:t>信用信息查询</w:t>
      </w:r>
    </w:p>
    <w:p>
      <w:pPr>
        <w:pStyle w:val="90"/>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pPr>
        <w:pStyle w:val="90"/>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90"/>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highlight w:val="none"/>
          <w14:textFill>
            <w14:solidFill>
              <w14:schemeClr w14:val="tx1"/>
            </w14:solidFill>
          </w14:textFill>
        </w:rPr>
        <w:t>。</w:t>
      </w:r>
    </w:p>
    <w:p>
      <w:pPr>
        <w:pStyle w:val="90"/>
        <w:spacing w:before="0"/>
        <w:ind w:firstLine="0" w:firstLineChars="0"/>
        <w:rPr>
          <w:rFonts w:ascii="仿宋" w:hAnsi="仿宋" w:eastAsia="仿宋" w:cs="宋体"/>
          <w:color w:val="000000" w:themeColor="text1"/>
          <w:kern w:val="0"/>
          <w:szCs w:val="24"/>
          <w:highlight w:val="none"/>
          <w14:textFill>
            <w14:solidFill>
              <w14:schemeClr w14:val="tx1"/>
            </w14:solidFill>
          </w14:textFill>
        </w:rPr>
      </w:pPr>
    </w:p>
    <w:p>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五、评标</w:t>
      </w:r>
    </w:p>
    <w:p>
      <w:pPr>
        <w:spacing w:line="360" w:lineRule="auto"/>
        <w:rPr>
          <w:rFonts w:ascii="仿宋" w:hAnsi="仿宋" w:eastAsia="仿宋" w:cs="宋体"/>
          <w:b/>
          <w:color w:val="000000" w:themeColor="text1"/>
          <w:sz w:val="24"/>
          <w:highlight w:val="none"/>
          <w14:textFill>
            <w14:solidFill>
              <w14:schemeClr w14:val="tx1"/>
            </w14:solidFill>
          </w14:textFill>
        </w:rPr>
      </w:pPr>
      <w:bookmarkStart w:id="13" w:name="_Toc91899903"/>
      <w:r>
        <w:rPr>
          <w:rFonts w:hint="eastAsia" w:ascii="仿宋" w:hAnsi="仿宋" w:eastAsia="仿宋" w:cs="宋体"/>
          <w:b/>
          <w:color w:val="000000" w:themeColor="text1"/>
          <w:sz w:val="24"/>
          <w:highlight w:val="none"/>
          <w14:textFill>
            <w14:solidFill>
              <w14:schemeClr w14:val="tx1"/>
            </w14:solidFill>
          </w14:textFill>
        </w:rPr>
        <w:t>21.</w:t>
      </w:r>
      <w:r>
        <w:rPr>
          <w:rFonts w:hint="eastAsia" w:ascii="仿宋" w:hAnsi="仿宋" w:eastAsia="仿宋"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highlight w:val="none"/>
          <w14:textFill>
            <w14:solidFill>
              <w14:schemeClr w14:val="tx1"/>
            </w14:solidFill>
          </w14:textFill>
        </w:rPr>
        <w:t>详见招标文件第四部分评标办法。</w:t>
      </w:r>
    </w:p>
    <w:p>
      <w:pPr>
        <w:spacing w:line="360" w:lineRule="auto"/>
        <w:rPr>
          <w:rFonts w:ascii="仿宋" w:hAnsi="仿宋" w:eastAsia="仿宋" w:cs="宋体"/>
          <w:b/>
          <w:color w:val="000000" w:themeColor="text1"/>
          <w:sz w:val="24"/>
          <w:highlight w:val="none"/>
          <w14:textFill>
            <w14:solidFill>
              <w14:schemeClr w14:val="tx1"/>
            </w14:solidFill>
          </w14:textFill>
        </w:rPr>
      </w:pPr>
    </w:p>
    <w:p>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六、定 标</w:t>
      </w:r>
    </w:p>
    <w:p>
      <w:pPr>
        <w:pStyle w:val="26"/>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22.确定中标供应商</w:t>
      </w:r>
    </w:p>
    <w:p>
      <w:pPr>
        <w:pStyle w:val="90"/>
        <w:snapToGrid w:val="0"/>
        <w:spacing w:before="0"/>
        <w:ind w:firstLine="4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90"/>
        <w:snapToGrid w:val="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23.中标通知与中标结果公告</w:t>
      </w:r>
    </w:p>
    <w:p>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23.3公告期限为1个工作日。</w:t>
      </w:r>
    </w:p>
    <w:p>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七、合同授予</w:t>
      </w:r>
    </w:p>
    <w:p>
      <w:pPr>
        <w:pStyle w:val="26"/>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24.</w:t>
      </w:r>
      <w:r>
        <w:rPr>
          <w:rFonts w:hint="eastAsia" w:ascii="仿宋" w:hAnsi="仿宋" w:eastAsia="仿宋" w:cs="宋体"/>
          <w:color w:val="000000" w:themeColor="text1"/>
          <w:highlight w:val="none"/>
          <w14:textFill>
            <w14:solidFill>
              <w14:schemeClr w14:val="tx1"/>
            </w14:solidFill>
          </w14:textFill>
        </w:rPr>
        <w:t>合同主要条款详见第五部分拟签订的合同文本。</w:t>
      </w:r>
    </w:p>
    <w:p>
      <w:pPr>
        <w:pStyle w:val="26"/>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25.合同的签订</w:t>
      </w:r>
    </w:p>
    <w:p>
      <w:pPr>
        <w:widowControl/>
        <w:shd w:val="clear" w:color="auto" w:fill="FFFFFF"/>
        <w:spacing w:line="360" w:lineRule="auto"/>
        <w:ind w:firstLine="48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25.1</w:t>
      </w:r>
      <w:r>
        <w:rPr>
          <w:rFonts w:hint="eastAsia" w:ascii="仿宋" w:hAnsi="仿宋" w:eastAsia="仿宋"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0"/>
        <w:snapToGrid w:val="0"/>
        <w:spacing w:before="0"/>
        <w:ind w:firstLine="480"/>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90"/>
        <w:snapToGrid w:val="0"/>
        <w:spacing w:before="0" w:after="12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26.履约保证金</w:t>
      </w:r>
    </w:p>
    <w:p>
      <w:pPr>
        <w:tabs>
          <w:tab w:val="left" w:pos="0"/>
        </w:tabs>
        <w:spacing w:line="360" w:lineRule="auto"/>
        <w:ind w:firstLine="482"/>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仿宋" w:hAnsi="仿宋" w:eastAsia="仿宋" w:cs="宋体"/>
          <w:color w:val="000000" w:themeColor="text1"/>
          <w:sz w:val="24"/>
          <w:highlight w:val="none"/>
          <w14:textFill>
            <w14:solidFill>
              <w14:schemeClr w14:val="tx1"/>
            </w14:solidFill>
          </w14:textFill>
        </w:rPr>
        <w:t>。</w:t>
      </w:r>
    </w:p>
    <w:p>
      <w:pPr>
        <w:pStyle w:val="3"/>
        <w:ind w:left="0" w:firstLine="480" w:firstLineChars="200"/>
        <w:rPr>
          <w:rFonts w:ascii="仿宋" w:eastAsia="仿宋" w:cs="宋体"/>
          <w:color w:val="000000" w:themeColor="text1"/>
          <w:highlight w:val="none"/>
          <w:lang w:val="en-US"/>
          <w14:textFill>
            <w14:solidFill>
              <w14:schemeClr w14:val="tx1"/>
            </w14:solidFill>
          </w14:textFill>
        </w:rPr>
      </w:pPr>
      <w:r>
        <w:rPr>
          <w:rFonts w:hint="eastAsia" w:ascii="仿宋" w:eastAsia="仿宋" w:cs="宋体"/>
          <w:b w:val="0"/>
          <w:bCs w:val="0"/>
          <w:snapToGrid w:val="0"/>
          <w:color w:val="000000" w:themeColor="text1"/>
          <w:kern w:val="28"/>
          <w:sz w:val="24"/>
          <w:highlight w:val="none"/>
          <w14:textFill>
            <w14:solidFill>
              <w14:schemeClr w14:val="tx1"/>
            </w14:solidFill>
          </w14:textFill>
        </w:rPr>
        <w:t>供应商</w:t>
      </w:r>
      <w:r>
        <w:rPr>
          <w:rFonts w:hint="eastAsia" w:ascii="仿宋" w:eastAsia="仿宋" w:cs="宋体"/>
          <w:b w:val="0"/>
          <w:bCs w:val="0"/>
          <w:snapToGrid w:val="0"/>
          <w:color w:val="000000" w:themeColor="text1"/>
          <w:kern w:val="28"/>
          <w:sz w:val="24"/>
          <w:highlight w:val="none"/>
          <w:lang w:val="en-US"/>
          <w14:textFill>
            <w14:solidFill>
              <w14:schemeClr w14:val="tx1"/>
            </w14:solidFill>
          </w14:textFill>
        </w:rPr>
        <w:t>可</w:t>
      </w:r>
      <w:r>
        <w:rPr>
          <w:rFonts w:hint="eastAsia" w:ascii="仿宋" w:eastAsia="仿宋"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仿宋" w:eastAsia="仿宋" w:cs="宋体"/>
          <w:b w:val="0"/>
          <w:bCs w:val="0"/>
          <w:snapToGrid w:val="0"/>
          <w:color w:val="000000" w:themeColor="text1"/>
          <w:kern w:val="28"/>
          <w:sz w:val="24"/>
          <w:highlight w:val="none"/>
          <w14:textFill>
            <w14:solidFill>
              <w14:schemeClr w14:val="tx1"/>
            </w14:solidFill>
          </w14:textFill>
        </w:rPr>
        <w:t>。</w:t>
      </w:r>
    </w:p>
    <w:p>
      <w:pPr>
        <w:pStyle w:val="26"/>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27.预付款</w:t>
      </w:r>
    </w:p>
    <w:p>
      <w:pPr>
        <w:snapToGrid w:val="0"/>
        <w:spacing w:line="360" w:lineRule="auto"/>
        <w:ind w:firstLine="480" w:firstLineChars="200"/>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pP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pStyle w:val="84"/>
        <w:rPr>
          <w:color w:val="000000" w:themeColor="text1"/>
          <w:highlight w:val="none"/>
          <w:lang w:val="zh-CN"/>
          <w14:textFill>
            <w14:solidFill>
              <w14:schemeClr w14:val="tx1"/>
            </w14:solidFill>
          </w14:textFill>
        </w:rPr>
      </w:pPr>
    </w:p>
    <w:p>
      <w:pPr>
        <w:snapToGrid w:val="0"/>
        <w:spacing w:line="360" w:lineRule="auto"/>
        <w:ind w:firstLine="3357" w:firstLineChars="1045"/>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八、电子交易活动的中止</w:t>
      </w:r>
    </w:p>
    <w:p>
      <w:pPr>
        <w:tabs>
          <w:tab w:val="left" w:pos="0"/>
        </w:tabs>
        <w:spacing w:line="360" w:lineRule="auto"/>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28.电子交易活动的中止。</w:t>
      </w:r>
      <w:r>
        <w:rPr>
          <w:rFonts w:hint="eastAsia" w:ascii="仿宋" w:hAnsi="仿宋" w:eastAsia="仿宋" w:cs="宋体"/>
          <w:color w:val="000000" w:themeColor="text1"/>
          <w:sz w:val="24"/>
          <w:szCs w:val="20"/>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28.1电子交易平台发生故障而无法登录访问的； </w:t>
      </w:r>
    </w:p>
    <w:p>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28.2电子交易平台应用或数据库出现错误，不能进行正常操作的；</w:t>
      </w:r>
    </w:p>
    <w:p>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28.3电子交易平台发现严重安全漏洞，有潜在泄密危险的；</w:t>
      </w:r>
    </w:p>
    <w:p>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28.4病毒发作导致不能进行正常操作的； </w:t>
      </w:r>
    </w:p>
    <w:p>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28.5其他无法保证电子交易的公平、公正和安全的情况。</w:t>
      </w:r>
    </w:p>
    <w:p>
      <w:pPr>
        <w:numPr>
          <w:ilvl w:val="-1"/>
          <w:numId w:val="0"/>
        </w:numPr>
        <w:tabs>
          <w:tab w:val="left" w:pos="0"/>
        </w:tabs>
        <w:spacing w:line="360" w:lineRule="auto"/>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lang w:val="en-US" w:eastAsia="zh-CN"/>
          <w14:textFill>
            <w14:solidFill>
              <w14:schemeClr w14:val="tx1"/>
            </w14:solidFill>
          </w14:textFill>
        </w:rPr>
        <w:t>29.</w:t>
      </w:r>
      <w:r>
        <w:rPr>
          <w:rFonts w:hint="eastAsia" w:ascii="仿宋" w:hAnsi="仿宋" w:eastAsia="仿宋" w:cs="宋体"/>
          <w:b/>
          <w:color w:val="000000" w:themeColor="text1"/>
          <w:sz w:val="24"/>
          <w:szCs w:val="20"/>
          <w:highlight w:val="none"/>
          <w14:textFill>
            <w14:solidFill>
              <w14:schemeClr w14:val="tx1"/>
            </w14:solidFill>
          </w14:textFill>
        </w:rPr>
        <w:t>出现以上情形，</w:t>
      </w:r>
      <w:r>
        <w:rPr>
          <w:rFonts w:hint="eastAsia" w:ascii="仿宋" w:hAnsi="仿宋" w:eastAsia="仿宋" w:cs="宋体"/>
          <w:color w:val="000000" w:themeColor="text1"/>
          <w:sz w:val="24"/>
          <w:szCs w:val="20"/>
          <w:highlight w:val="none"/>
          <w14:textFill>
            <w14:solidFill>
              <w14:schemeClr w14:val="tx1"/>
            </w14:solidFill>
          </w14:textFill>
        </w:rPr>
        <w:t>不影响采购公平、公正性的，采购组织机构可以待上述情形消除后继续组织电子交易活动，也可以决定某些环节以纸质形式进行；影响或可能影响采购公平、公正性的，应当重新采购。</w:t>
      </w:r>
    </w:p>
    <w:p>
      <w:pPr>
        <w:pStyle w:val="84"/>
        <w:numPr>
          <w:ilvl w:val="-1"/>
          <w:numId w:val="0"/>
        </w:numPr>
        <w:ind w:firstLine="0" w:firstLineChars="0"/>
        <w:rPr>
          <w:color w:val="000000" w:themeColor="text1"/>
          <w:highlight w:val="none"/>
          <w14:textFill>
            <w14:solidFill>
              <w14:schemeClr w14:val="tx1"/>
            </w14:solidFill>
          </w14:textFill>
        </w:rPr>
      </w:pPr>
    </w:p>
    <w:p>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九、验收</w:t>
      </w:r>
    </w:p>
    <w:p>
      <w:pPr>
        <w:pStyle w:val="26"/>
        <w:spacing w:line="360" w:lineRule="auto"/>
        <w:ind w:firstLine="0" w:firstLineChars="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30.验收</w:t>
      </w:r>
    </w:p>
    <w:p>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color w:val="000000" w:themeColor="text1"/>
          <w:sz w:val="18"/>
          <w:szCs w:val="18"/>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5" w:h="16838"/>
          <w:pgMar w:top="680" w:right="1417" w:bottom="680" w:left="1417" w:header="851" w:footer="992" w:gutter="0"/>
          <w:cols w:space="0" w:num="1"/>
          <w:titlePg/>
          <w:rtlGutter w:val="0"/>
          <w:docGrid w:linePitch="312" w:charSpace="0"/>
        </w:sectPr>
      </w:pPr>
      <w:bookmarkStart w:id="14" w:name="_Hlt74714665"/>
      <w:bookmarkEnd w:id="14"/>
      <w:bookmarkStart w:id="15" w:name="_Hlt74730295"/>
      <w:bookmarkEnd w:id="15"/>
      <w:bookmarkStart w:id="16" w:name="_Hlt68403820"/>
      <w:bookmarkEnd w:id="16"/>
      <w:bookmarkStart w:id="17" w:name="_Hlt75236290"/>
      <w:bookmarkEnd w:id="17"/>
      <w:bookmarkStart w:id="18" w:name="_Hlt75236101"/>
      <w:bookmarkEnd w:id="18"/>
      <w:bookmarkStart w:id="19" w:name="_Hlt68057669"/>
      <w:bookmarkEnd w:id="19"/>
      <w:bookmarkStart w:id="20" w:name="_Hlt74707468"/>
      <w:bookmarkEnd w:id="20"/>
      <w:bookmarkStart w:id="21" w:name="_Hlt74729768"/>
      <w:bookmarkEnd w:id="21"/>
      <w:bookmarkStart w:id="22" w:name="_Hlt75236011"/>
      <w:bookmarkEnd w:id="22"/>
      <w:bookmarkStart w:id="23" w:name="_Hlt68072998"/>
      <w:bookmarkEnd w:id="23"/>
      <w:bookmarkStart w:id="24" w:name="_Hlt68072990"/>
      <w:bookmarkEnd w:id="24"/>
      <w:bookmarkStart w:id="25" w:name="_Hlt68073093"/>
      <w:bookmarkEnd w:id="25"/>
      <w:r>
        <w:rPr>
          <w:rFonts w:hint="eastAsia" w:ascii="仿宋" w:hAnsi="仿宋" w:eastAsia="仿宋" w:cs="宋体"/>
          <w:color w:val="000000" w:themeColor="text1"/>
          <w:kern w:val="0"/>
          <w:sz w:val="24"/>
          <w:highlight w:val="none"/>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bookmarkStart w:id="26" w:name="第四部分"/>
      <w:r>
        <w:rPr>
          <w:rFonts w:hint="eastAsia" w:ascii="仿宋" w:hAnsi="仿宋" w:eastAsia="仿宋" w:cs="宋体"/>
          <w:b/>
          <w:color w:val="000000" w:themeColor="text1"/>
          <w:sz w:val="36"/>
          <w:szCs w:val="36"/>
          <w:highlight w:val="none"/>
          <w14:textFill>
            <w14:solidFill>
              <w14:schemeClr w14:val="tx1"/>
            </w14:solidFill>
          </w14:textFill>
        </w:rPr>
        <w:t>第三部分 采购需求</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一、项目概况</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本项目为“交钥匙”项目，采购内容包括按提供符合采购人要求的</w:t>
      </w:r>
      <w:r>
        <w:rPr>
          <w:rFonts w:hint="eastAsia" w:ascii="仿宋" w:hAnsi="仿宋" w:eastAsia="仿宋" w:cs="仿宋"/>
          <w:color w:val="000000" w:themeColor="text1"/>
          <w:sz w:val="24"/>
          <w:highlight w:val="none"/>
          <w:lang w:val="en-US" w:eastAsia="zh-CN"/>
          <w14:textFill>
            <w14:solidFill>
              <w14:schemeClr w14:val="tx1"/>
            </w14:solidFill>
          </w14:textFill>
        </w:rPr>
        <w:t>宿管</w:t>
      </w:r>
      <w:r>
        <w:rPr>
          <w:rFonts w:hint="eastAsia" w:ascii="仿宋" w:hAnsi="仿宋" w:eastAsia="仿宋" w:cs="仿宋"/>
          <w:color w:val="000000" w:themeColor="text1"/>
          <w:sz w:val="24"/>
          <w:highlight w:val="none"/>
          <w14:textFill>
            <w14:solidFill>
              <w14:schemeClr w14:val="tx1"/>
            </w14:solidFill>
          </w14:textFill>
        </w:rPr>
        <w:t>人员，在服务期内为</w:t>
      </w:r>
      <w:r>
        <w:rPr>
          <w:rFonts w:hint="eastAsia" w:ascii="仿宋" w:hAnsi="仿宋" w:eastAsia="仿宋" w:cs="仿宋"/>
          <w:color w:val="000000" w:themeColor="text1"/>
          <w:sz w:val="24"/>
          <w:highlight w:val="none"/>
          <w:lang w:eastAsia="zh-CN"/>
          <w14:textFill>
            <w14:solidFill>
              <w14:schemeClr w14:val="tx1"/>
            </w14:solidFill>
          </w14:textFill>
        </w:rPr>
        <w:t>杭州临平职业高级中学</w:t>
      </w:r>
      <w:r>
        <w:rPr>
          <w:rFonts w:hint="eastAsia" w:ascii="仿宋" w:hAnsi="仿宋" w:eastAsia="仿宋" w:cs="仿宋"/>
          <w:color w:val="000000" w:themeColor="text1"/>
          <w:sz w:val="24"/>
          <w:highlight w:val="none"/>
          <w14:textFill>
            <w14:solidFill>
              <w14:schemeClr w14:val="tx1"/>
            </w14:solidFill>
          </w14:textFill>
        </w:rPr>
        <w:t>提供合格的</w:t>
      </w:r>
      <w:r>
        <w:rPr>
          <w:rFonts w:hint="eastAsia" w:ascii="仿宋" w:hAnsi="仿宋" w:eastAsia="仿宋" w:cs="仿宋"/>
          <w:color w:val="000000" w:themeColor="text1"/>
          <w:sz w:val="24"/>
          <w:highlight w:val="none"/>
          <w:lang w:val="en-US" w:eastAsia="zh-CN"/>
          <w14:textFill>
            <w14:solidFill>
              <w14:schemeClr w14:val="tx1"/>
            </w14:solidFill>
          </w14:textFill>
        </w:rPr>
        <w:t>宿管</w:t>
      </w:r>
      <w:r>
        <w:rPr>
          <w:rFonts w:hint="eastAsia" w:ascii="仿宋" w:hAnsi="仿宋" w:eastAsia="仿宋" w:cs="仿宋"/>
          <w:color w:val="000000" w:themeColor="text1"/>
          <w:sz w:val="24"/>
          <w:highlight w:val="none"/>
          <w14:textFill>
            <w14:solidFill>
              <w14:schemeClr w14:val="tx1"/>
            </w14:solidFill>
          </w14:textFill>
        </w:rPr>
        <w:t>服务</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其中学生公寓楼共有</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10</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幢，设</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10</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个公寓管理点。</w:t>
      </w:r>
      <w:r>
        <w:rPr>
          <w:rFonts w:hint="eastAsia" w:ascii="仿宋" w:hAnsi="仿宋" w:eastAsia="仿宋" w:cs="仿宋"/>
          <w:color w:val="000000" w:themeColor="text1"/>
          <w:sz w:val="24"/>
          <w:highlight w:val="none"/>
          <w14:textFill>
            <w14:solidFill>
              <w14:schemeClr w14:val="tx1"/>
            </w14:solidFill>
          </w14:textFill>
        </w:rPr>
        <w:t>投标报价包括所有管理人员的工资、社保、加班费、培训费、通讯设备、服装费、低值易耗品、工具及相关设备费、临时性杂项服务费、政策性文件规定及合同包含的所有风险、责任、税费、合理利润等各项全部费用。</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二、人员素质要求</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项目负责人要求50周岁以下、具有本科及以上学历，有担任类似项目负责人3年及以上管理经验；</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宿舍部主管要求</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本科</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及以上学历，年龄</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50</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周岁以下，有</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二</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年以上有关宿管方面的工作经验；宿管员要求</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高中</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及以上学历，年龄不得超过45周岁，身体健康，具有良好的沟通能力、工作认真负责、责任心强，入职时需有健康证、无犯罪记录，并定期接受培训。</w:t>
      </w:r>
    </w:p>
    <w:p>
      <w:pPr>
        <w:numPr>
          <w:ilvl w:val="0"/>
          <w:numId w:val="4"/>
        </w:numPr>
        <w:spacing w:line="360" w:lineRule="auto"/>
        <w:ind w:firstLine="477" w:firstLineChars="198"/>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人员数量配备</w:t>
      </w:r>
    </w:p>
    <w:tbl>
      <w:tblPr>
        <w:tblStyle w:val="67"/>
        <w:tblW w:w="0" w:type="auto"/>
        <w:jc w:val="center"/>
        <w:tblLayout w:type="fixed"/>
        <w:tblCellMar>
          <w:top w:w="0" w:type="dxa"/>
          <w:left w:w="108" w:type="dxa"/>
          <w:bottom w:w="0" w:type="dxa"/>
          <w:right w:w="108" w:type="dxa"/>
        </w:tblCellMar>
      </w:tblPr>
      <w:tblGrid>
        <w:gridCol w:w="828"/>
        <w:gridCol w:w="1680"/>
        <w:gridCol w:w="1350"/>
        <w:gridCol w:w="4291"/>
      </w:tblGrid>
      <w:tr>
        <w:tblPrEx>
          <w:tblCellMar>
            <w:top w:w="0" w:type="dxa"/>
            <w:left w:w="108" w:type="dxa"/>
            <w:bottom w:w="0" w:type="dxa"/>
            <w:right w:w="108" w:type="dxa"/>
          </w:tblCellMar>
        </w:tblPrEx>
        <w:trPr>
          <w:trHeight w:val="627"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pStyle w:val="66"/>
              <w:numPr>
                <w:ilvl w:val="0"/>
                <w:numId w:val="0"/>
              </w:numP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序号</w:t>
            </w:r>
          </w:p>
        </w:tc>
        <w:tc>
          <w:tcPr>
            <w:tcW w:w="1680" w:type="dxa"/>
            <w:tcBorders>
              <w:top w:val="single" w:color="auto" w:sz="4" w:space="0"/>
              <w:left w:val="nil"/>
              <w:bottom w:val="single" w:color="auto" w:sz="4" w:space="0"/>
              <w:right w:val="single" w:color="auto" w:sz="4" w:space="0"/>
            </w:tcBorders>
            <w:noWrap/>
            <w:vAlign w:val="center"/>
          </w:tcPr>
          <w:p>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岗位</w:t>
            </w:r>
          </w:p>
        </w:tc>
        <w:tc>
          <w:tcPr>
            <w:tcW w:w="1350" w:type="dxa"/>
            <w:tcBorders>
              <w:top w:val="single" w:color="auto" w:sz="4" w:space="0"/>
              <w:left w:val="nil"/>
              <w:bottom w:val="single" w:color="auto" w:sz="4" w:space="0"/>
              <w:right w:val="single" w:color="auto" w:sz="4" w:space="0"/>
            </w:tcBorders>
            <w:noWrap/>
            <w:vAlign w:val="center"/>
          </w:tcPr>
          <w:p>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人员数量</w:t>
            </w:r>
          </w:p>
        </w:tc>
        <w:tc>
          <w:tcPr>
            <w:tcW w:w="4291" w:type="dxa"/>
            <w:tcBorders>
              <w:top w:val="single" w:color="auto" w:sz="4" w:space="0"/>
              <w:left w:val="nil"/>
              <w:bottom w:val="single" w:color="auto" w:sz="4" w:space="0"/>
              <w:right w:val="single" w:color="auto" w:sz="4" w:space="0"/>
            </w:tcBorders>
            <w:noWrap/>
            <w:vAlign w:val="center"/>
          </w:tcPr>
          <w:p>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备注</w:t>
            </w:r>
          </w:p>
        </w:tc>
      </w:tr>
      <w:tr>
        <w:tblPrEx>
          <w:tblCellMar>
            <w:top w:w="0" w:type="dxa"/>
            <w:left w:w="108" w:type="dxa"/>
            <w:bottom w:w="0" w:type="dxa"/>
            <w:right w:w="108" w:type="dxa"/>
          </w:tblCellMar>
        </w:tblPrEx>
        <w:trPr>
          <w:trHeight w:val="627"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1</w:t>
            </w:r>
          </w:p>
        </w:tc>
        <w:tc>
          <w:tcPr>
            <w:tcW w:w="1680" w:type="dxa"/>
            <w:tcBorders>
              <w:top w:val="single" w:color="auto" w:sz="4" w:space="0"/>
              <w:left w:val="nil"/>
              <w:bottom w:val="single" w:color="auto" w:sz="4" w:space="0"/>
              <w:right w:val="single" w:color="auto" w:sz="4" w:space="0"/>
            </w:tcBorders>
            <w:noWrap/>
            <w:vAlign w:val="center"/>
          </w:tcPr>
          <w:p>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项目负责人</w:t>
            </w:r>
          </w:p>
        </w:tc>
        <w:tc>
          <w:tcPr>
            <w:tcW w:w="1350" w:type="dxa"/>
            <w:tcBorders>
              <w:top w:val="single" w:color="auto" w:sz="4" w:space="0"/>
              <w:left w:val="nil"/>
              <w:bottom w:val="single" w:color="auto" w:sz="4" w:space="0"/>
              <w:right w:val="single" w:color="auto" w:sz="4" w:space="0"/>
            </w:tcBorders>
            <w:noWrap/>
            <w:vAlign w:val="center"/>
          </w:tcPr>
          <w:p>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1</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人</w:t>
            </w:r>
          </w:p>
        </w:tc>
        <w:tc>
          <w:tcPr>
            <w:tcW w:w="4291" w:type="dxa"/>
            <w:tcBorders>
              <w:top w:val="single" w:color="auto" w:sz="4" w:space="0"/>
              <w:left w:val="nil"/>
              <w:bottom w:val="single" w:color="auto" w:sz="4" w:space="0"/>
              <w:right w:val="single" w:color="auto" w:sz="4" w:space="0"/>
            </w:tcBorders>
            <w:noWrap/>
            <w:vAlign w:val="center"/>
          </w:tcPr>
          <w:p>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50周岁以下，本科及以上学历，有3年以上类似管理经验</w:t>
            </w:r>
          </w:p>
        </w:tc>
      </w:tr>
      <w:tr>
        <w:tblPrEx>
          <w:tblCellMar>
            <w:top w:w="0" w:type="dxa"/>
            <w:left w:w="108" w:type="dxa"/>
            <w:bottom w:w="0" w:type="dxa"/>
            <w:right w:w="108" w:type="dxa"/>
          </w:tblCellMar>
        </w:tblPrEx>
        <w:trPr>
          <w:trHeight w:val="627"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2</w:t>
            </w:r>
          </w:p>
        </w:tc>
        <w:tc>
          <w:tcPr>
            <w:tcW w:w="1680" w:type="dxa"/>
            <w:tcBorders>
              <w:top w:val="single" w:color="auto" w:sz="4" w:space="0"/>
              <w:left w:val="nil"/>
              <w:bottom w:val="single" w:color="auto" w:sz="4" w:space="0"/>
              <w:right w:val="single" w:color="auto" w:sz="4" w:space="0"/>
            </w:tcBorders>
            <w:noWrap/>
            <w:vAlign w:val="center"/>
          </w:tcPr>
          <w:p>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宿管部主管</w:t>
            </w:r>
          </w:p>
        </w:tc>
        <w:tc>
          <w:tcPr>
            <w:tcW w:w="1350" w:type="dxa"/>
            <w:tcBorders>
              <w:top w:val="single" w:color="auto" w:sz="4" w:space="0"/>
              <w:left w:val="nil"/>
              <w:bottom w:val="single" w:color="auto" w:sz="4" w:space="0"/>
              <w:right w:val="single" w:color="auto" w:sz="4" w:space="0"/>
            </w:tcBorders>
            <w:noWrap/>
            <w:vAlign w:val="center"/>
          </w:tcPr>
          <w:p>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1人</w:t>
            </w:r>
          </w:p>
        </w:tc>
        <w:tc>
          <w:tcPr>
            <w:tcW w:w="4291" w:type="dxa"/>
            <w:tcBorders>
              <w:top w:val="single" w:color="auto" w:sz="4" w:space="0"/>
              <w:left w:val="nil"/>
              <w:bottom w:val="single" w:color="auto" w:sz="4" w:space="0"/>
              <w:right w:val="single" w:color="auto" w:sz="4" w:space="0"/>
            </w:tcBorders>
            <w:noWrap/>
            <w:vAlign w:val="center"/>
          </w:tcPr>
          <w:p>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本科</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及以上学历，年龄</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50</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周岁以下，有</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2</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年以上有关宿管方面的工作经验。</w:t>
            </w:r>
          </w:p>
        </w:tc>
      </w:tr>
      <w:tr>
        <w:tblPrEx>
          <w:tblCellMar>
            <w:top w:w="0" w:type="dxa"/>
            <w:left w:w="108" w:type="dxa"/>
            <w:bottom w:w="0" w:type="dxa"/>
            <w:right w:w="108" w:type="dxa"/>
          </w:tblCellMar>
        </w:tblPrEx>
        <w:trPr>
          <w:trHeight w:val="55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3</w:t>
            </w:r>
          </w:p>
        </w:tc>
        <w:tc>
          <w:tcPr>
            <w:tcW w:w="1680" w:type="dxa"/>
            <w:tcBorders>
              <w:top w:val="single" w:color="auto" w:sz="4" w:space="0"/>
              <w:left w:val="nil"/>
              <w:bottom w:val="single" w:color="auto" w:sz="4" w:space="0"/>
              <w:right w:val="single" w:color="auto" w:sz="4" w:space="0"/>
            </w:tcBorders>
            <w:noWrap/>
            <w:vAlign w:val="center"/>
          </w:tcPr>
          <w:p>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宿管员</w:t>
            </w:r>
          </w:p>
        </w:tc>
        <w:tc>
          <w:tcPr>
            <w:tcW w:w="1350" w:type="dxa"/>
            <w:tcBorders>
              <w:top w:val="single" w:color="auto" w:sz="4" w:space="0"/>
              <w:left w:val="nil"/>
              <w:bottom w:val="single" w:color="auto" w:sz="4" w:space="0"/>
              <w:right w:val="single" w:color="auto" w:sz="4" w:space="0"/>
            </w:tcBorders>
            <w:noWrap/>
            <w:vAlign w:val="center"/>
          </w:tcPr>
          <w:p>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2</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人</w:t>
            </w:r>
          </w:p>
        </w:tc>
        <w:tc>
          <w:tcPr>
            <w:tcW w:w="4291" w:type="dxa"/>
            <w:tcBorders>
              <w:top w:val="single" w:color="auto" w:sz="4" w:space="0"/>
              <w:left w:val="nil"/>
              <w:bottom w:val="single" w:color="auto" w:sz="4" w:space="0"/>
              <w:right w:val="single" w:color="auto" w:sz="4" w:space="0"/>
            </w:tcBorders>
            <w:noWrap/>
            <w:vAlign w:val="center"/>
          </w:tcPr>
          <w:p>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各宿舍楼要求宿管员24小时值勤。</w:t>
            </w:r>
          </w:p>
        </w:tc>
      </w:tr>
      <w:tr>
        <w:tblPrEx>
          <w:tblCellMar>
            <w:top w:w="0" w:type="dxa"/>
            <w:left w:w="108" w:type="dxa"/>
            <w:bottom w:w="0" w:type="dxa"/>
            <w:right w:w="108" w:type="dxa"/>
          </w:tblCellMar>
        </w:tblPrEx>
        <w:trPr>
          <w:trHeight w:val="558"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4</w:t>
            </w:r>
          </w:p>
        </w:tc>
        <w:tc>
          <w:tcPr>
            <w:tcW w:w="1680" w:type="dxa"/>
            <w:tcBorders>
              <w:top w:val="single" w:color="auto" w:sz="4" w:space="0"/>
              <w:left w:val="nil"/>
              <w:bottom w:val="single" w:color="auto" w:sz="4" w:space="0"/>
              <w:right w:val="single" w:color="auto" w:sz="4" w:space="0"/>
            </w:tcBorders>
            <w:noWrap/>
            <w:vAlign w:val="center"/>
          </w:tcPr>
          <w:p>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合计</w:t>
            </w:r>
          </w:p>
        </w:tc>
        <w:tc>
          <w:tcPr>
            <w:tcW w:w="1350" w:type="dxa"/>
            <w:tcBorders>
              <w:top w:val="single" w:color="auto" w:sz="4" w:space="0"/>
              <w:left w:val="nil"/>
              <w:bottom w:val="single" w:color="auto" w:sz="4" w:space="0"/>
              <w:right w:val="single" w:color="auto" w:sz="4" w:space="0"/>
            </w:tcBorders>
            <w:noWrap/>
            <w:vAlign w:val="center"/>
          </w:tcPr>
          <w:p>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27</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人</w:t>
            </w:r>
          </w:p>
        </w:tc>
        <w:tc>
          <w:tcPr>
            <w:tcW w:w="4291" w:type="dxa"/>
            <w:tcBorders>
              <w:top w:val="single" w:color="auto" w:sz="4" w:space="0"/>
              <w:left w:val="nil"/>
              <w:bottom w:val="single" w:color="auto" w:sz="4" w:space="0"/>
              <w:right w:val="single" w:color="auto" w:sz="4" w:space="0"/>
            </w:tcBorders>
            <w:noWrap/>
            <w:vAlign w:val="center"/>
          </w:tcPr>
          <w:p>
            <w:pPr>
              <w:keepNext w:val="0"/>
              <w:keepLines w:val="0"/>
              <w:shd w:val="clear" w:color="auto" w:fill="auto"/>
              <w:bidi w:val="0"/>
              <w:adjustRightIn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w:t>
            </w:r>
          </w:p>
        </w:tc>
      </w:tr>
    </w:tbl>
    <w:p>
      <w:pPr>
        <w:pStyle w:val="66"/>
        <w:numPr>
          <w:ilvl w:val="0"/>
          <w:numId w:val="0"/>
        </w:numPr>
        <w:rPr>
          <w:rFonts w:hint="eastAsia" w:ascii="仿宋" w:hAnsi="仿宋" w:eastAsia="仿宋" w:cs="仿宋"/>
          <w:color w:val="000000" w:themeColor="text1"/>
          <w:highlight w:val="none"/>
          <w:lang w:val="en-US" w:eastAsia="zh-CN"/>
          <w14:textFill>
            <w14:solidFill>
              <w14:schemeClr w14:val="tx1"/>
            </w14:solidFill>
          </w14:textFill>
        </w:rPr>
      </w:pP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四、宿舍楼管理服务要求</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1、总体要求：营造“安全、文明、卫生、有序”的学生住宿、运动氛围，加强学生的安全意识教育，切实保障学生的人身及财物安全。</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2、要求具有一定的管理经验，有岗位育人的意识，对学生有爱心、有耐心。管理工作文明礼貌、语言规范。</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3、上岗时佩戴统一标志，统一着装，仪容仪表规范整齐。</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4、宿管员应服从学生处、政教处的管理。</w:t>
      </w:r>
    </w:p>
    <w:p>
      <w:pPr>
        <w:pStyle w:val="97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5、寝室管理特别要求：宿管员值班必须24小时在岗，严禁脱岗、串岗。</w:t>
      </w:r>
    </w:p>
    <w:p>
      <w:pPr>
        <w:pStyle w:val="97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6、为加强学生寝室安全管理，要求宿管员中，必须配备3人及以上具有保安员资质的宿管员，承担宿舍楼的消防安全排查，有效排解学生之间诸如打架之类的纠纷，及时应对、处置突发事件。</w:t>
      </w:r>
    </w:p>
    <w:p>
      <w:pPr>
        <w:pStyle w:val="97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7、学生在寝期间，要求宿管员定时巡查，督促学生遵守在寝纪律，发现异常情况及时处置。</w:t>
      </w:r>
    </w:p>
    <w:p>
      <w:pPr>
        <w:spacing w:line="360" w:lineRule="auto"/>
        <w:ind w:firstLine="482" w:firstLineChars="2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五、学生宿舍楼管理服务内容</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1、主要服务内容：</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(1)学生宿舍楼值班服务。</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(2)学生宿舍楼卫生管理。</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(3)学生宿舍楼的学生管理。</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(4)学生宿舍楼的安全管理。</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(5)学生宿舍楼卫生检查。</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2、具体服务内容：</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(1)学生宿舍楼服务</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①宿舍楼各大门进出人员的管理。</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②宿舍楼钥匙的保管和借用服务，公共场所、通道门钥匙的管理。</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③做好门厅秩序管理</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④学生宿舍楼7S管理卫生检查、公告。</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(2)学生宿舍楼的学生管理</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①白班人员，每天中午进行学生宿舍卫生检查，督促学生保持宿舍内卫生。</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②实行查房制度，每天早上及下午学生离开宿舍后，对所有宿舍进行检查，防止学生无故滞留。</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③对发现管理区域内、管理时段内违反学校相关管理制度的学生，及时报学校研究处理。</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④每天2次常规的楼区巡视工作，了解、掌握住校学生的动态，预防各类偶发事件的发生。</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⑤晚班人员应负责晚就寝巡查。</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⑥要特别注意学生身体、心理、言行的变化，及时与学生交流，及时与学生处、班主任沟通；要十分注意学生过激行为、群体性行为，及时制止、及时汇报。</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⑦认真及时填写《宿管交接班记录》等相关台账。</w:t>
      </w:r>
    </w:p>
    <w:p>
      <w:pPr>
        <w:pStyle w:val="26"/>
        <w:spacing w:line="360" w:lineRule="auto"/>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⑧对卫生优秀及较差的寝室要及时表扬或批评，并配合作好宣传、引导、教育工作。</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(3)学生宿舍楼的安全管理</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①来访或公务人员实行登记管理。</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②实行上课时间学生进楼验证（请假条）、登记制度。</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③ 定期开展学生宿舍楼安全检查，发现问题及时处置并上报。</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④ 熟知楼内消防设施配置情况，熟练掌握消防器材的使用；定期检查消防器材设施有无缺损，发现问题及时报修；保持消防通道的畅通。</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⑤杜绝学生寝室内违章用电、吸烟、火灾等重大隐患。宿管员不得在单元值班室烧制食物。一旦发生异常情况，应迅速反馈学校及相关部门，并采取必要的处理措施。</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⑥切实杜绝打架、斗殴、喝酒等隐患，一旦发生异常情况，应迅速反馈学校及相关部门，并采取必要的处理措施。</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⑦未经允许，不得让异常人员进入宿舍楼。若有异常情况，应及时反馈保卫部门，并采取必要的处理措施。</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⑧具备各项应急预案，发生问题及时响应。</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⑨宣传有关法律、消防知识，提高学生安全防范意识，共建和谐校园。</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⑩聘用员工履行合法用工手续。</w:t>
      </w:r>
    </w:p>
    <w:p>
      <w:pPr>
        <w:spacing w:line="360" w:lineRule="auto"/>
        <w:ind w:firstLine="482" w:firstLineChars="2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强调：投标人应针对上述服务内容和管理内容及要求，确保人员到位，所聘用的员工要具备作为宿管员必要的素质，包括相应的文化程度和沟通能力，要有爱心和强烈的责任心，同时履行合法用工手续，并有健康证明，所聘用人员应服从学校学管部门的管理。</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（4）学校常规活动</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①学校寒暑假学生需要补课、住宿，宿管员需要加班。</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②暑期军训期间，宿管员进行晚间管理。</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③每个学期开学前做好各宿舍的卫生工作。</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④以上工作，人员费用须包含在投标总价中。</w:t>
      </w:r>
    </w:p>
    <w:p>
      <w:pPr>
        <w:pStyle w:val="97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⑤双休日、国定节假日安排的加班，需学校政教处值班老师签字确认。</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（5）其他事项</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①除上述工作常规外，若遇特殊情况和特别任务，由学生处或相关部门另行安排工作，宿管员须积极协助完成。宿管员产生费用由校方承担。</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②所派遣的宿管员须经由学校面试认可，方可上岗。</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③所派遣的宿管员须保证能连续工作一学年及以上。</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④宿管员在工作期内出现下述情况，学校可以提出清退：</w:t>
      </w:r>
    </w:p>
    <w:p>
      <w:pPr>
        <w:spacing w:line="360" w:lineRule="auto"/>
        <w:ind w:firstLine="482" w:firstLineChars="2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工作出现严重失误，导致严重后果，此类情况出现一次即可清退；</w:t>
      </w:r>
    </w:p>
    <w:p>
      <w:pPr>
        <w:spacing w:line="360" w:lineRule="auto"/>
        <w:ind w:firstLine="482" w:firstLineChars="2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一个学期工作出现差错累计三次以上（含三次）。</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⑤节假日值班除了完成日常管理工作以外，宿管员还需在各单元巡视各宿舍不少于4次，检查学生在寝室内是否安全文明休息，指导学生处理好生活琐事。</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(6)其它工作：</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①协助学校教师做好学生安全返校、离校工作。</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②协助教师做好“7S”管理工作。</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fldChar w:fldCharType="begin"/>
      </w:r>
      <w:r>
        <w:rPr>
          <w:rFonts w:hint="eastAsia" w:ascii="仿宋" w:hAnsi="仿宋" w:eastAsia="仿宋" w:cs="仿宋"/>
          <w:color w:val="000000" w:themeColor="text1"/>
          <w:sz w:val="24"/>
          <w:highlight w:val="none"/>
          <w14:textFill>
            <w14:solidFill>
              <w14:schemeClr w14:val="tx1"/>
            </w14:solidFill>
          </w14:textFill>
        </w:rPr>
        <w:instrText xml:space="preserve"> = 3 \* GB3 </w:instrText>
      </w:r>
      <w:r>
        <w:rPr>
          <w:rFonts w:hint="eastAsia" w:ascii="仿宋" w:hAnsi="仿宋" w:eastAsia="仿宋" w:cs="仿宋"/>
          <w:color w:val="000000" w:themeColor="text1"/>
          <w:sz w:val="24"/>
          <w:highlight w:val="none"/>
          <w14:textFill>
            <w14:solidFill>
              <w14:schemeClr w14:val="tx1"/>
            </w14:solidFill>
          </w14:textFill>
        </w:rPr>
        <w:fldChar w:fldCharType="separate"/>
      </w:r>
      <w:r>
        <w:rPr>
          <w:rFonts w:hint="eastAsia" w:ascii="仿宋" w:hAnsi="仿宋" w:eastAsia="仿宋" w:cs="仿宋"/>
          <w:color w:val="000000" w:themeColor="text1"/>
          <w:sz w:val="24"/>
          <w:highlight w:val="none"/>
          <w14:textFill>
            <w14:solidFill>
              <w14:schemeClr w14:val="tx1"/>
            </w14:solidFill>
          </w14:textFill>
        </w:rPr>
        <w:t>③</w: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在学校规定的特殊期间（主要是后半夜）要不定期到宿舍检查学生是否违反相关的规定。</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fldChar w:fldCharType="begin"/>
      </w:r>
      <w:r>
        <w:rPr>
          <w:rFonts w:hint="eastAsia" w:ascii="仿宋" w:hAnsi="仿宋" w:eastAsia="仿宋" w:cs="仿宋"/>
          <w:color w:val="000000" w:themeColor="text1"/>
          <w:sz w:val="24"/>
          <w:highlight w:val="none"/>
          <w14:textFill>
            <w14:solidFill>
              <w14:schemeClr w14:val="tx1"/>
            </w14:solidFill>
          </w14:textFill>
        </w:rPr>
        <w:instrText xml:space="preserve"> = 4 \* GB3 </w:instrText>
      </w:r>
      <w:r>
        <w:rPr>
          <w:rFonts w:hint="eastAsia" w:ascii="仿宋" w:hAnsi="仿宋" w:eastAsia="仿宋" w:cs="仿宋"/>
          <w:color w:val="000000" w:themeColor="text1"/>
          <w:sz w:val="24"/>
          <w:highlight w:val="none"/>
          <w14:textFill>
            <w14:solidFill>
              <w14:schemeClr w14:val="tx1"/>
            </w14:solidFill>
          </w14:textFill>
        </w:rPr>
        <w:fldChar w:fldCharType="separate"/>
      </w:r>
      <w:r>
        <w:rPr>
          <w:rFonts w:hint="eastAsia" w:ascii="仿宋" w:hAnsi="仿宋" w:eastAsia="仿宋" w:cs="仿宋"/>
          <w:color w:val="000000" w:themeColor="text1"/>
          <w:sz w:val="24"/>
          <w:highlight w:val="none"/>
          <w14:textFill>
            <w14:solidFill>
              <w14:schemeClr w14:val="tx1"/>
            </w14:solidFill>
          </w14:textFill>
        </w:rPr>
        <w:t>④</w: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完成管理部门临时性任务。</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（7）安全要求</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①宿管员不得在宿舍内烧食物。</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②杜绝学生公寓内违章用电、吸烟、火灾等重大隐患。一旦发生非常情况，应迅速反馈学校及相关部门，并采取必要的处理措施。</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fldChar w:fldCharType="begin"/>
      </w:r>
      <w:r>
        <w:rPr>
          <w:rFonts w:hint="eastAsia" w:ascii="仿宋" w:hAnsi="仿宋" w:eastAsia="仿宋" w:cs="仿宋"/>
          <w:color w:val="000000" w:themeColor="text1"/>
          <w:sz w:val="24"/>
          <w:highlight w:val="none"/>
          <w14:textFill>
            <w14:solidFill>
              <w14:schemeClr w14:val="tx1"/>
            </w14:solidFill>
          </w14:textFill>
        </w:rPr>
        <w:instrText xml:space="preserve"> = 3 \* GB3 </w:instrText>
      </w:r>
      <w:r>
        <w:rPr>
          <w:rFonts w:hint="eastAsia" w:ascii="仿宋" w:hAnsi="仿宋" w:eastAsia="仿宋" w:cs="仿宋"/>
          <w:color w:val="000000" w:themeColor="text1"/>
          <w:sz w:val="24"/>
          <w:highlight w:val="none"/>
          <w14:textFill>
            <w14:solidFill>
              <w14:schemeClr w14:val="tx1"/>
            </w14:solidFill>
          </w14:textFill>
        </w:rPr>
        <w:fldChar w:fldCharType="separate"/>
      </w:r>
      <w:r>
        <w:rPr>
          <w:rFonts w:hint="eastAsia" w:ascii="仿宋" w:hAnsi="仿宋" w:eastAsia="仿宋" w:cs="仿宋"/>
          <w:color w:val="000000" w:themeColor="text1"/>
          <w:sz w:val="24"/>
          <w:highlight w:val="none"/>
          <w14:textFill>
            <w14:solidFill>
              <w14:schemeClr w14:val="tx1"/>
            </w14:solidFill>
          </w14:textFill>
        </w:rPr>
        <w:t>③</w: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切实杜绝打架、斗殴等隐患，一旦发生突发情况，应迅速反馈学校及相关部门，并采取必要的处理措施。</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fldChar w:fldCharType="begin"/>
      </w:r>
      <w:r>
        <w:rPr>
          <w:rFonts w:hint="eastAsia" w:ascii="仿宋" w:hAnsi="仿宋" w:eastAsia="仿宋" w:cs="仿宋"/>
          <w:color w:val="000000" w:themeColor="text1"/>
          <w:sz w:val="24"/>
          <w:highlight w:val="none"/>
          <w14:textFill>
            <w14:solidFill>
              <w14:schemeClr w14:val="tx1"/>
            </w14:solidFill>
          </w14:textFill>
        </w:rPr>
        <w:instrText xml:space="preserve"> = 4 \* GB3 </w:instrText>
      </w:r>
      <w:r>
        <w:rPr>
          <w:rFonts w:hint="eastAsia" w:ascii="仿宋" w:hAnsi="仿宋" w:eastAsia="仿宋" w:cs="仿宋"/>
          <w:color w:val="000000" w:themeColor="text1"/>
          <w:sz w:val="24"/>
          <w:highlight w:val="none"/>
          <w14:textFill>
            <w14:solidFill>
              <w14:schemeClr w14:val="tx1"/>
            </w14:solidFill>
          </w14:textFill>
        </w:rPr>
        <w:fldChar w:fldCharType="separate"/>
      </w:r>
      <w:r>
        <w:rPr>
          <w:rFonts w:hint="eastAsia" w:ascii="仿宋" w:hAnsi="仿宋" w:eastAsia="仿宋" w:cs="仿宋"/>
          <w:color w:val="000000" w:themeColor="text1"/>
          <w:sz w:val="24"/>
          <w:highlight w:val="none"/>
          <w14:textFill>
            <w14:solidFill>
              <w14:schemeClr w14:val="tx1"/>
            </w14:solidFill>
          </w14:textFill>
        </w:rPr>
        <w:t>④</w: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未经允许，不得让非校外人员进入公寓楼。若有异常情况，应及时反馈学生处保卫部门，并采取必要的处理措施。</w:t>
      </w:r>
    </w:p>
    <w:p>
      <w:pPr>
        <w:pStyle w:val="97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⑤明确疏散引导员，确保消防疏散通道畅通，严禁上锁。</w:t>
      </w:r>
    </w:p>
    <w:p>
      <w:pPr>
        <w:pStyle w:val="97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（8）服务时间：</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①白天：上午8：30—下午16：30，中午不休息；</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②晚上：下午16：30—第二天上午8：30。</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fldChar w:fldCharType="begin"/>
      </w:r>
      <w:r>
        <w:rPr>
          <w:rFonts w:hint="eastAsia" w:ascii="仿宋" w:hAnsi="仿宋" w:eastAsia="仿宋" w:cs="仿宋"/>
          <w:color w:val="000000" w:themeColor="text1"/>
          <w:sz w:val="24"/>
          <w:highlight w:val="none"/>
          <w14:textFill>
            <w14:solidFill>
              <w14:schemeClr w14:val="tx1"/>
            </w14:solidFill>
          </w14:textFill>
        </w:rPr>
        <w:instrText xml:space="preserve"> = 3 \* GB3 </w:instrText>
      </w:r>
      <w:r>
        <w:rPr>
          <w:rFonts w:hint="eastAsia" w:ascii="仿宋" w:hAnsi="仿宋" w:eastAsia="仿宋" w:cs="仿宋"/>
          <w:color w:val="000000" w:themeColor="text1"/>
          <w:sz w:val="24"/>
          <w:highlight w:val="none"/>
          <w14:textFill>
            <w14:solidFill>
              <w14:schemeClr w14:val="tx1"/>
            </w14:solidFill>
          </w14:textFill>
        </w:rPr>
        <w:fldChar w:fldCharType="separate"/>
      </w:r>
      <w:r>
        <w:rPr>
          <w:rFonts w:hint="eastAsia" w:ascii="仿宋" w:hAnsi="仿宋" w:eastAsia="仿宋" w:cs="仿宋"/>
          <w:color w:val="000000" w:themeColor="text1"/>
          <w:sz w:val="24"/>
          <w:highlight w:val="none"/>
          <w14:textFill>
            <w14:solidFill>
              <w14:schemeClr w14:val="tx1"/>
            </w14:solidFill>
          </w14:textFill>
        </w:rPr>
        <w:t>③</w: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宿管员有寒暑假。但必须完成放假后及开学前的所有寝室的卫生、公共区域的卫生。</w:t>
      </w:r>
    </w:p>
    <w:p>
      <w:pPr>
        <w:spacing w:line="360" w:lineRule="auto"/>
        <w:ind w:firstLine="482" w:firstLineChars="2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六、学校宿管上班时间、地点、职责：</w:t>
      </w:r>
    </w:p>
    <w:tbl>
      <w:tblPr>
        <w:tblStyle w:val="67"/>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712"/>
        <w:gridCol w:w="3874"/>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042" w:type="dxa"/>
            <w:noWrap/>
            <w:vAlign w:val="center"/>
          </w:tcPr>
          <w:p>
            <w:pPr>
              <w:spacing w:line="360" w:lineRule="auto"/>
              <w:contextualSpacing/>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时间</w:t>
            </w:r>
          </w:p>
        </w:tc>
        <w:tc>
          <w:tcPr>
            <w:tcW w:w="712" w:type="dxa"/>
            <w:noWrap/>
            <w:vAlign w:val="center"/>
          </w:tcPr>
          <w:p>
            <w:pPr>
              <w:spacing w:line="360" w:lineRule="auto"/>
              <w:contextualSpacing/>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w:t>
            </w:r>
          </w:p>
        </w:tc>
        <w:tc>
          <w:tcPr>
            <w:tcW w:w="3874" w:type="dxa"/>
            <w:noWrap/>
            <w:vAlign w:val="center"/>
          </w:tcPr>
          <w:p>
            <w:pPr>
              <w:spacing w:line="360" w:lineRule="auto"/>
              <w:contextualSpacing/>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职责</w:t>
            </w:r>
          </w:p>
        </w:tc>
        <w:tc>
          <w:tcPr>
            <w:tcW w:w="2785" w:type="dxa"/>
            <w:noWrap/>
            <w:vAlign w:val="center"/>
          </w:tcPr>
          <w:p>
            <w:pPr>
              <w:spacing w:line="360" w:lineRule="auto"/>
              <w:contextualSpacing/>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7" w:hRule="atLeast"/>
          <w:jc w:val="center"/>
        </w:trPr>
        <w:tc>
          <w:tcPr>
            <w:tcW w:w="1042"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16：30—</w:t>
            </w:r>
          </w:p>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18：00</w:t>
            </w:r>
          </w:p>
        </w:tc>
        <w:tc>
          <w:tcPr>
            <w:tcW w:w="712"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各宿舍楼</w:t>
            </w:r>
          </w:p>
        </w:tc>
        <w:tc>
          <w:tcPr>
            <w:tcW w:w="3874"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16：30准时到岗，保证学生寝室内学生秩序、安全；须进行楼层与寝室的巡视，了解学生回寝室后的情况，督促学生打开水。</w:t>
            </w:r>
          </w:p>
        </w:tc>
        <w:tc>
          <w:tcPr>
            <w:tcW w:w="2785"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做好周日学生点到和假期留校学生的签到工作，上交返校报到情况给政教处值班教师；</w:t>
            </w:r>
          </w:p>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17：50督促学生按时离开寝室，按时上课；</w:t>
            </w:r>
          </w:p>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认真做好本宿舍楼的各项工作，不串岗。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1042"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18：00—</w:t>
            </w:r>
          </w:p>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20：30</w:t>
            </w:r>
          </w:p>
        </w:tc>
        <w:tc>
          <w:tcPr>
            <w:tcW w:w="712"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各宿舍楼</w:t>
            </w:r>
          </w:p>
        </w:tc>
        <w:tc>
          <w:tcPr>
            <w:tcW w:w="3874"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楼内值班；检查寝室内水电、通风；对有突发情况回寝室学生进行管理；每天20：20—21：20一楼大门口迎候学生回寝室。</w:t>
            </w:r>
          </w:p>
        </w:tc>
        <w:tc>
          <w:tcPr>
            <w:tcW w:w="2785"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认真做好本宿舍楼的各项工作，不串岗，发现不文明或违反校纪校规的行为及时制止并向值班教师反映。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042"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20：30—</w:t>
            </w:r>
          </w:p>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21：30</w:t>
            </w:r>
          </w:p>
        </w:tc>
        <w:tc>
          <w:tcPr>
            <w:tcW w:w="712"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各宿舍楼</w:t>
            </w:r>
          </w:p>
        </w:tc>
        <w:tc>
          <w:tcPr>
            <w:tcW w:w="3874"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逐一检查学生晚自修后回寝室情况，清点、核对寝室学生人数，有问题立即通报当晚值周教师。督促学生洗漱、就寝；维持好学生秩序；卫生检查督促；</w:t>
            </w:r>
          </w:p>
        </w:tc>
        <w:tc>
          <w:tcPr>
            <w:tcW w:w="2785"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042"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21：30—</w:t>
            </w:r>
          </w:p>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22：30</w:t>
            </w:r>
          </w:p>
        </w:tc>
        <w:tc>
          <w:tcPr>
            <w:tcW w:w="712"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各宿舍楼</w:t>
            </w:r>
          </w:p>
        </w:tc>
        <w:tc>
          <w:tcPr>
            <w:tcW w:w="3874"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检查督促学生就寝情况；按照作息时间表规定熄灯后杜绝喧哗、吵闹等情况发生，宿管员须巡楼至22：30（巡至少3次），督促学生按时就寝，查看学生就寝情况。</w:t>
            </w:r>
          </w:p>
        </w:tc>
        <w:tc>
          <w:tcPr>
            <w:tcW w:w="2785"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1042"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22：30—</w:t>
            </w:r>
          </w:p>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5：50</w:t>
            </w:r>
          </w:p>
        </w:tc>
        <w:tc>
          <w:tcPr>
            <w:tcW w:w="712"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各宿舍楼</w:t>
            </w:r>
          </w:p>
        </w:tc>
        <w:tc>
          <w:tcPr>
            <w:tcW w:w="3874"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对学生就寝后出现的讲话、使用手机、玩游戏机、起床活动等违反校级校规情况要进行管理。不定期在晚间（指深夜和凌晨）对学生寝室进行抽查。遇学生生病等突发事件要及时与值周教师、医务室联系。</w:t>
            </w:r>
          </w:p>
        </w:tc>
        <w:tc>
          <w:tcPr>
            <w:tcW w:w="2785"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不定期抽查学生夜间就寝情况；特殊日子不少于5次检查；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042"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6：00—</w:t>
            </w:r>
          </w:p>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7：00</w:t>
            </w:r>
          </w:p>
        </w:tc>
        <w:tc>
          <w:tcPr>
            <w:tcW w:w="712"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各宿舍楼</w:t>
            </w:r>
          </w:p>
        </w:tc>
        <w:tc>
          <w:tcPr>
            <w:tcW w:w="3874"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督促学生起床并做好电源控制</w:t>
            </w:r>
          </w:p>
        </w:tc>
        <w:tc>
          <w:tcPr>
            <w:tcW w:w="2785"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042"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7：30—</w:t>
            </w:r>
          </w:p>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10：00</w:t>
            </w:r>
          </w:p>
        </w:tc>
        <w:tc>
          <w:tcPr>
            <w:tcW w:w="712"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各宿舍楼</w:t>
            </w:r>
          </w:p>
        </w:tc>
        <w:tc>
          <w:tcPr>
            <w:tcW w:w="3874"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检查寝室卫生、打分，并汇总、登记，报政教处、学生处；前一天检查情况写在公示栏上。</w:t>
            </w:r>
          </w:p>
        </w:tc>
        <w:tc>
          <w:tcPr>
            <w:tcW w:w="2785"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督促学生按时离开寝室，按时上课。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042"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10：00—</w:t>
            </w:r>
          </w:p>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16：30</w:t>
            </w:r>
          </w:p>
        </w:tc>
        <w:tc>
          <w:tcPr>
            <w:tcW w:w="712"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各宿舍楼</w:t>
            </w:r>
          </w:p>
        </w:tc>
        <w:tc>
          <w:tcPr>
            <w:tcW w:w="3874"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做好本宿舍楼的日常管理工作。包括学生出入寝室、接待来访人员，全部按学校规范要求执行。遇突发情况要及时处理。</w:t>
            </w:r>
          </w:p>
        </w:tc>
        <w:tc>
          <w:tcPr>
            <w:tcW w:w="2785" w:type="dxa"/>
            <w:noWrap/>
            <w:vAlign w:val="center"/>
          </w:tcPr>
          <w:p>
            <w:pPr>
              <w:spacing w:line="36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宿管员值班必须24小时在门岗，不得擅自离开。</w:t>
            </w:r>
          </w:p>
        </w:tc>
      </w:tr>
    </w:tbl>
    <w:p>
      <w:pPr>
        <w:spacing w:line="360" w:lineRule="auto"/>
        <w:ind w:firstLine="482" w:firstLineChars="2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七、其他工勤人员管理服务内容及要求</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 实训场室管理服务内容 </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1）做好实训设备的调试及维护保养，保障安全、正常运行；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2）实训场室管理员负责学校实训场室的按时开门、关门；</w:t>
      </w:r>
    </w:p>
    <w:p>
      <w:pPr>
        <w:pStyle w:val="97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3）实训场室管理员负责实训课程所需的教具、工具、材料的提前准备；</w:t>
      </w:r>
    </w:p>
    <w:p>
      <w:pPr>
        <w:pStyle w:val="97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4）实训场室管理员要做好实训场室的整理，监督并带领学生做好每周的实训场室的值日卫生。</w:t>
      </w:r>
    </w:p>
    <w:p>
      <w:pPr>
        <w:pStyle w:val="97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2、其他工勤人员（校车驾驶员）管理服务内容：</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1）做好相关车辆的日常维护保养、清洁卫生；</w:t>
      </w:r>
    </w:p>
    <w:p>
      <w:pPr>
        <w:pStyle w:val="97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2）做好相关车辆的定期年审、检测手续；</w:t>
      </w:r>
    </w:p>
    <w:p>
      <w:pPr>
        <w:pStyle w:val="97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3）完成日常出车工作任务，确保安全运行；</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3、人员要求</w:t>
      </w:r>
    </w:p>
    <w:p>
      <w:pPr>
        <w:spacing w:line="360" w:lineRule="auto"/>
        <w:ind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1)校车驾驶员必须持有相应等级驾驶证；实训场室管理员必须经过专业培训，合格后才能从事相关工作。</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4、其他要求</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1）相关工勤人员应遵守学校规章制度，遵守劳动纪律，认真履行岗位职责，保质保量完成各项工作任务；</w:t>
      </w:r>
    </w:p>
    <w:p>
      <w:pPr>
        <w:pStyle w:val="97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2）相关工勤人员要接受并服从学校、派遣单位的双重管理。</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八、安全责任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1、乙方应强化安全意识，做好文明、安全的管理服务工作，爱护甲方财产。</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2、乙方应保证所派遣的人员身体健康、品行良好。</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3、乙方应遵守《劳动合同法》，并为派遣的人员办理意外工伤保险。乙方人员在路途和工作中发生的一切意外事故，概由乙方承担相应的责任，与甲方无涉。</w:t>
      </w:r>
    </w:p>
    <w:p>
      <w:pPr>
        <w:snapToGrid w:val="0"/>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九、违约责任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1、学生宿舍楼管理服务质量不合格，经甲方多次通知仍旧没有改进，甲方有权提前解除合同。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2、甲方无故延迟支付服务款的，按每日万分之三向乙方支付违约金。</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3、如果乙方不能达到服务标准，甲方要求解除合同，须提前一个月以书面形式通知乙方，并在合同解除后15天内将余款结清。如果乙方要求解除合同，须提前二个月以书面形式通知甲方。</w:t>
      </w:r>
    </w:p>
    <w:p>
      <w:pPr>
        <w:snapToGrid w:val="0"/>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十、考核办法</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考核办法（季度考核）：项目合同总价的20%作为考核费用，考核费用的四分之一作为季度考核费，校方根据考核结果支付季度考核费。季度总体考核得分90分以上（不含）的不扣考核费，85分-90分的扣季度考核费用的2%，85分以下（不含）的扣季度考核费5%，70分以下（不含）的扣季度考核费10%并给予严重警告、限期整改。</w:t>
      </w:r>
    </w:p>
    <w:p>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（一）季度考核评分表</w:t>
      </w:r>
    </w:p>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季度考核评分表</w:t>
      </w:r>
    </w:p>
    <w:p>
      <w:pPr>
        <w:widowControl/>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检查人员：                                       检查日期：</w:t>
      </w:r>
    </w:p>
    <w:tbl>
      <w:tblPr>
        <w:tblStyle w:val="67"/>
        <w:tblW w:w="891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0"/>
        <w:gridCol w:w="6383"/>
        <w:gridCol w:w="725"/>
        <w:gridCol w:w="9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870" w:type="dxa"/>
            <w:noWrap/>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w:t>
            </w:r>
          </w:p>
        </w:tc>
        <w:tc>
          <w:tcPr>
            <w:tcW w:w="6382" w:type="dxa"/>
            <w:noWrap/>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评分依据</w:t>
            </w:r>
          </w:p>
        </w:tc>
        <w:tc>
          <w:tcPr>
            <w:tcW w:w="725" w:type="dxa"/>
            <w:noWrap/>
            <w:tcMar>
              <w:top w:w="0" w:type="dxa"/>
              <w:left w:w="108" w:type="dxa"/>
              <w:bottom w:w="0" w:type="dxa"/>
              <w:right w:w="108" w:type="dxa"/>
            </w:tcMar>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分值</w:t>
            </w:r>
          </w:p>
        </w:tc>
        <w:tc>
          <w:tcPr>
            <w:tcW w:w="936" w:type="dxa"/>
            <w:noWrap/>
            <w:tcMar>
              <w:top w:w="0" w:type="dxa"/>
              <w:left w:w="108" w:type="dxa"/>
              <w:bottom w:w="0" w:type="dxa"/>
              <w:right w:w="108" w:type="dxa"/>
            </w:tcMar>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扣分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9" w:hRule="atLeast"/>
          <w:jc w:val="center"/>
        </w:trPr>
        <w:tc>
          <w:tcPr>
            <w:tcW w:w="870" w:type="dxa"/>
            <w:vMerge w:val="restart"/>
            <w:noWrap/>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机构</w:t>
            </w:r>
          </w:p>
          <w:p>
            <w:pPr>
              <w:pStyle w:val="97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人员</w:t>
            </w:r>
          </w:p>
          <w:p>
            <w:pPr>
              <w:pStyle w:val="970"/>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p>
            <w:pPr>
              <w:pStyle w:val="970"/>
              <w:spacing w:line="360" w:lineRule="auto"/>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制度</w:t>
            </w:r>
          </w:p>
          <w:p>
            <w:pPr>
              <w:pStyle w:val="970"/>
              <w:spacing w:line="360" w:lineRule="auto"/>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考核</w:t>
            </w:r>
          </w:p>
          <w:p>
            <w:pPr>
              <w:pStyle w:val="970"/>
              <w:spacing w:line="360" w:lineRule="auto"/>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（20分）</w:t>
            </w:r>
          </w:p>
        </w:tc>
        <w:tc>
          <w:tcPr>
            <w:tcW w:w="6382" w:type="dxa"/>
            <w:noWrap/>
            <w:vAlign w:val="center"/>
          </w:tcPr>
          <w:p>
            <w:pPr>
              <w:widowControl/>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管理机构健全，有专人负责，分工明确，人员配备到位及时、合理。各项规章制度完善，奖罚措施切实可行。一项达不到扣1分</w:t>
            </w:r>
          </w:p>
        </w:tc>
        <w:tc>
          <w:tcPr>
            <w:tcW w:w="725" w:type="dxa"/>
            <w:noWrap/>
            <w:tcMar>
              <w:top w:w="0" w:type="dxa"/>
              <w:left w:w="108" w:type="dxa"/>
              <w:bottom w:w="0" w:type="dxa"/>
              <w:right w:w="108" w:type="dxa"/>
            </w:tcMar>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936" w:type="dxa"/>
            <w:noWrap/>
            <w:tcMar>
              <w:top w:w="0" w:type="dxa"/>
              <w:left w:w="108" w:type="dxa"/>
              <w:bottom w:w="0" w:type="dxa"/>
              <w:right w:w="108" w:type="dxa"/>
            </w:tcMar>
            <w:vAlign w:val="center"/>
          </w:tcPr>
          <w:p>
            <w:pPr>
              <w:widowControl/>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1" w:hRule="atLeast"/>
          <w:jc w:val="center"/>
        </w:trPr>
        <w:tc>
          <w:tcPr>
            <w:tcW w:w="870" w:type="dxa"/>
            <w:vMerge w:val="continue"/>
            <w:noWrap/>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c>
          <w:tcPr>
            <w:tcW w:w="6382" w:type="dxa"/>
            <w:noWrap/>
            <w:vAlign w:val="center"/>
          </w:tcPr>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有完善的管理服务方案，物业管理与服务工作计划全面，内容清晰明了。一项达不到扣1分</w:t>
            </w:r>
          </w:p>
        </w:tc>
        <w:tc>
          <w:tcPr>
            <w:tcW w:w="725" w:type="dxa"/>
            <w:noWrap/>
            <w:tcMar>
              <w:top w:w="0" w:type="dxa"/>
              <w:left w:w="108" w:type="dxa"/>
              <w:bottom w:w="0" w:type="dxa"/>
              <w:right w:w="108" w:type="dxa"/>
            </w:tcMar>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936" w:type="dxa"/>
            <w:noWrap/>
            <w:tcMar>
              <w:top w:w="0" w:type="dxa"/>
              <w:left w:w="108" w:type="dxa"/>
              <w:bottom w:w="0" w:type="dxa"/>
              <w:right w:w="108" w:type="dxa"/>
            </w:tcMar>
            <w:vAlign w:val="center"/>
          </w:tcPr>
          <w:p>
            <w:pPr>
              <w:widowControl/>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1" w:hRule="atLeast"/>
          <w:jc w:val="center"/>
        </w:trPr>
        <w:tc>
          <w:tcPr>
            <w:tcW w:w="870" w:type="dxa"/>
            <w:vMerge w:val="continue"/>
            <w:noWrap/>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c>
          <w:tcPr>
            <w:tcW w:w="6382" w:type="dxa"/>
            <w:noWrap/>
            <w:vAlign w:val="center"/>
          </w:tcPr>
          <w:p>
            <w:pPr>
              <w:widowControl/>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管理人员管理检查到位，时间落实到位。检查内容明确，标准要求明确。时间未落实，检查标准不明确，内容漏项，每发现一次扣1分</w:t>
            </w:r>
          </w:p>
        </w:tc>
        <w:tc>
          <w:tcPr>
            <w:tcW w:w="725" w:type="dxa"/>
            <w:noWrap/>
            <w:tcMar>
              <w:top w:w="0" w:type="dxa"/>
              <w:left w:w="108" w:type="dxa"/>
              <w:bottom w:w="0" w:type="dxa"/>
              <w:right w:w="108" w:type="dxa"/>
            </w:tcMar>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936" w:type="dxa"/>
            <w:noWrap/>
            <w:tcMar>
              <w:top w:w="0" w:type="dxa"/>
              <w:left w:w="108" w:type="dxa"/>
              <w:bottom w:w="0" w:type="dxa"/>
              <w:right w:w="108" w:type="dxa"/>
            </w:tcMar>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c>
          <w:tcPr>
            <w:tcW w:w="6382" w:type="dxa"/>
            <w:noWrap/>
            <w:vAlign w:val="center"/>
          </w:tcPr>
          <w:p>
            <w:pPr>
              <w:widowControl/>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人员服装统一，仪表端庄，举止文明，遵规守纪，不离岗、不脱岗。每发现一次不合格扣1分</w:t>
            </w:r>
          </w:p>
        </w:tc>
        <w:tc>
          <w:tcPr>
            <w:tcW w:w="725" w:type="dxa"/>
            <w:noWrap/>
            <w:tcMar>
              <w:top w:w="0" w:type="dxa"/>
              <w:left w:w="108" w:type="dxa"/>
              <w:bottom w:w="0" w:type="dxa"/>
              <w:right w:w="108" w:type="dxa"/>
            </w:tcMar>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936" w:type="dxa"/>
            <w:noWrap/>
            <w:tcMar>
              <w:top w:w="0" w:type="dxa"/>
              <w:left w:w="108" w:type="dxa"/>
              <w:bottom w:w="0" w:type="dxa"/>
              <w:right w:w="108" w:type="dxa"/>
            </w:tcMar>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restart"/>
            <w:noWrap/>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具体</w:t>
            </w:r>
          </w:p>
          <w:p>
            <w:pPr>
              <w:pStyle w:val="970"/>
              <w:spacing w:line="360" w:lineRule="auto"/>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日常</w:t>
            </w:r>
          </w:p>
          <w:p>
            <w:pPr>
              <w:pStyle w:val="970"/>
              <w:spacing w:line="360" w:lineRule="auto"/>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工作</w:t>
            </w:r>
          </w:p>
          <w:p>
            <w:pPr>
              <w:pStyle w:val="970"/>
              <w:spacing w:line="360" w:lineRule="auto"/>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考核</w:t>
            </w:r>
          </w:p>
        </w:tc>
        <w:tc>
          <w:tcPr>
            <w:tcW w:w="6382" w:type="dxa"/>
            <w:noWrap/>
            <w:vAlign w:val="center"/>
          </w:tcPr>
          <w:p>
            <w:pPr>
              <w:widowControl/>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宿管理员必须24小时在岗，如有脱岗，发现一次扣2分；致使学生受侵害或公共财物、学生财物损失的，扣5分</w:t>
            </w:r>
          </w:p>
        </w:tc>
        <w:tc>
          <w:tcPr>
            <w:tcW w:w="725" w:type="dxa"/>
            <w:noWrap/>
            <w:tcMar>
              <w:top w:w="0" w:type="dxa"/>
              <w:left w:w="108" w:type="dxa"/>
              <w:bottom w:w="0" w:type="dxa"/>
              <w:right w:w="108" w:type="dxa"/>
            </w:tcMar>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936" w:type="dxa"/>
            <w:noWrap/>
            <w:tcMar>
              <w:top w:w="0" w:type="dxa"/>
              <w:left w:w="108" w:type="dxa"/>
              <w:bottom w:w="0" w:type="dxa"/>
              <w:right w:w="108" w:type="dxa"/>
            </w:tcMar>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c>
          <w:tcPr>
            <w:tcW w:w="6382" w:type="dxa"/>
            <w:noWrap/>
            <w:vAlign w:val="center"/>
          </w:tcPr>
          <w:p>
            <w:pPr>
              <w:widowControl/>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不按时开、关宿舍门，发现一次扣2分。</w:t>
            </w:r>
          </w:p>
        </w:tc>
        <w:tc>
          <w:tcPr>
            <w:tcW w:w="725" w:type="dxa"/>
            <w:noWrap/>
            <w:tcMar>
              <w:top w:w="0" w:type="dxa"/>
              <w:left w:w="108" w:type="dxa"/>
              <w:bottom w:w="0" w:type="dxa"/>
              <w:right w:w="108" w:type="dxa"/>
            </w:tcMar>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936" w:type="dxa"/>
            <w:noWrap/>
            <w:tcMar>
              <w:top w:w="0" w:type="dxa"/>
              <w:left w:w="108" w:type="dxa"/>
              <w:bottom w:w="0" w:type="dxa"/>
              <w:right w:w="108" w:type="dxa"/>
            </w:tcMar>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c>
          <w:tcPr>
            <w:tcW w:w="6382" w:type="dxa"/>
            <w:noWrap/>
            <w:vAlign w:val="center"/>
          </w:tcPr>
          <w:p>
            <w:p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严禁打骂学生，发现一次扣2分。</w:t>
            </w:r>
          </w:p>
        </w:tc>
        <w:tc>
          <w:tcPr>
            <w:tcW w:w="725" w:type="dxa"/>
            <w:noWrap/>
            <w:tcMar>
              <w:top w:w="0" w:type="dxa"/>
              <w:left w:w="108" w:type="dxa"/>
              <w:bottom w:w="0" w:type="dxa"/>
              <w:right w:w="108" w:type="dxa"/>
            </w:tcMar>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936" w:type="dxa"/>
            <w:noWrap/>
            <w:tcMar>
              <w:top w:w="0" w:type="dxa"/>
              <w:left w:w="108" w:type="dxa"/>
              <w:bottom w:w="0" w:type="dxa"/>
              <w:right w:w="108" w:type="dxa"/>
            </w:tcMar>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c>
          <w:tcPr>
            <w:tcW w:w="6382" w:type="dxa"/>
            <w:noWrap/>
            <w:vAlign w:val="center"/>
          </w:tcPr>
          <w:p>
            <w:p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每天学生上课离宿舍后，要做到详细检查、详细登记，排除隐患,。发现一次扣1分；若因工作失职造成安全事故发生的，出现一次扣5分。</w:t>
            </w:r>
          </w:p>
        </w:tc>
        <w:tc>
          <w:tcPr>
            <w:tcW w:w="725" w:type="dxa"/>
            <w:noWrap/>
            <w:tcMar>
              <w:top w:w="0" w:type="dxa"/>
              <w:left w:w="108" w:type="dxa"/>
              <w:bottom w:w="0" w:type="dxa"/>
              <w:right w:w="108" w:type="dxa"/>
            </w:tcMar>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936" w:type="dxa"/>
            <w:noWrap/>
            <w:tcMar>
              <w:top w:w="0" w:type="dxa"/>
              <w:left w:w="108" w:type="dxa"/>
              <w:bottom w:w="0" w:type="dxa"/>
              <w:right w:w="108" w:type="dxa"/>
            </w:tcMar>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c>
          <w:tcPr>
            <w:tcW w:w="6382" w:type="dxa"/>
            <w:noWrap/>
            <w:vAlign w:val="center"/>
          </w:tcPr>
          <w:p>
            <w:p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宿舍内卫生不合格未及时整改，发现垃圾未倒，地面不干净，没有打扫的，每室一次扣1分。</w:t>
            </w:r>
          </w:p>
        </w:tc>
        <w:tc>
          <w:tcPr>
            <w:tcW w:w="725" w:type="dxa"/>
            <w:noWrap/>
            <w:tcMar>
              <w:top w:w="0" w:type="dxa"/>
              <w:left w:w="108" w:type="dxa"/>
              <w:bottom w:w="0" w:type="dxa"/>
              <w:right w:w="108" w:type="dxa"/>
            </w:tcMar>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936" w:type="dxa"/>
            <w:noWrap/>
            <w:tcMar>
              <w:top w:w="0" w:type="dxa"/>
              <w:left w:w="108" w:type="dxa"/>
              <w:bottom w:w="0" w:type="dxa"/>
              <w:right w:w="108" w:type="dxa"/>
            </w:tcMar>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c>
          <w:tcPr>
            <w:tcW w:w="6382" w:type="dxa"/>
            <w:noWrap/>
            <w:vAlign w:val="center"/>
          </w:tcPr>
          <w:p>
            <w:pPr>
              <w:widowControl/>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学生在宿舍区域内大呼小叫，打架，男女生互串宿舍等不良现象，未及时制止，发现一次扣1分，情节严重的扣2-5分。</w:t>
            </w:r>
          </w:p>
        </w:tc>
        <w:tc>
          <w:tcPr>
            <w:tcW w:w="725" w:type="dxa"/>
            <w:noWrap/>
            <w:tcMar>
              <w:top w:w="0" w:type="dxa"/>
              <w:left w:w="108" w:type="dxa"/>
              <w:bottom w:w="0" w:type="dxa"/>
              <w:right w:w="108" w:type="dxa"/>
            </w:tcMar>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936" w:type="dxa"/>
            <w:noWrap/>
            <w:tcMar>
              <w:top w:w="0" w:type="dxa"/>
              <w:left w:w="108" w:type="dxa"/>
              <w:bottom w:w="0" w:type="dxa"/>
              <w:right w:w="108" w:type="dxa"/>
            </w:tcMar>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c>
          <w:tcPr>
            <w:tcW w:w="6382" w:type="dxa"/>
            <w:noWrap/>
            <w:vAlign w:val="center"/>
          </w:tcPr>
          <w:p>
            <w:pPr>
              <w:widowControl/>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每天学生就寝后，检查结果出现漏报、错报的一次发生一次扣2分；少检查、少登记、登记不实的，一次扣2分，无任何记录的一天扣5分。</w:t>
            </w:r>
          </w:p>
        </w:tc>
        <w:tc>
          <w:tcPr>
            <w:tcW w:w="725" w:type="dxa"/>
            <w:noWrap/>
            <w:tcMar>
              <w:top w:w="0" w:type="dxa"/>
              <w:left w:w="108" w:type="dxa"/>
              <w:bottom w:w="0" w:type="dxa"/>
              <w:right w:w="108" w:type="dxa"/>
            </w:tcMar>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936" w:type="dxa"/>
            <w:noWrap/>
            <w:tcMar>
              <w:top w:w="0" w:type="dxa"/>
              <w:left w:w="108" w:type="dxa"/>
              <w:bottom w:w="0" w:type="dxa"/>
              <w:right w:w="108" w:type="dxa"/>
            </w:tcMar>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c>
          <w:tcPr>
            <w:tcW w:w="6382" w:type="dxa"/>
            <w:noWrap/>
            <w:vAlign w:val="center"/>
          </w:tcPr>
          <w:p>
            <w:pPr>
              <w:widowControl/>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不按规范做好出入登记的，发现一次扣2分；因此导致不良后果的扣5分。</w:t>
            </w:r>
          </w:p>
        </w:tc>
        <w:tc>
          <w:tcPr>
            <w:tcW w:w="725" w:type="dxa"/>
            <w:noWrap/>
            <w:tcMar>
              <w:top w:w="0" w:type="dxa"/>
              <w:left w:w="108" w:type="dxa"/>
              <w:bottom w:w="0" w:type="dxa"/>
              <w:right w:w="108" w:type="dxa"/>
            </w:tcMar>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936" w:type="dxa"/>
            <w:noWrap/>
            <w:tcMar>
              <w:top w:w="0" w:type="dxa"/>
              <w:left w:w="108" w:type="dxa"/>
              <w:bottom w:w="0" w:type="dxa"/>
              <w:right w:w="108" w:type="dxa"/>
            </w:tcMar>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c>
          <w:tcPr>
            <w:tcW w:w="6382" w:type="dxa"/>
            <w:noWrap/>
            <w:vAlign w:val="center"/>
          </w:tcPr>
          <w:p>
            <w:p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学生在宿舍楼期间，宿管员不按要求巡查管理，顾自玩手机，抽烟，睡岗等，发现一次违规情节扣2分。</w:t>
            </w:r>
          </w:p>
        </w:tc>
        <w:tc>
          <w:tcPr>
            <w:tcW w:w="725" w:type="dxa"/>
            <w:noWrap/>
            <w:tcMar>
              <w:top w:w="0" w:type="dxa"/>
              <w:left w:w="108" w:type="dxa"/>
              <w:bottom w:w="0" w:type="dxa"/>
              <w:right w:w="108" w:type="dxa"/>
            </w:tcMar>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936" w:type="dxa"/>
            <w:noWrap/>
            <w:tcMar>
              <w:top w:w="0" w:type="dxa"/>
              <w:left w:w="108" w:type="dxa"/>
              <w:bottom w:w="0" w:type="dxa"/>
              <w:right w:w="108" w:type="dxa"/>
            </w:tcMar>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c>
          <w:tcPr>
            <w:tcW w:w="6382" w:type="dxa"/>
            <w:noWrap/>
            <w:vAlign w:val="center"/>
          </w:tcPr>
          <w:p>
            <w:p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宿管员上班时间不按要求着装，发现一次扣1分。</w:t>
            </w:r>
          </w:p>
        </w:tc>
        <w:tc>
          <w:tcPr>
            <w:tcW w:w="725" w:type="dxa"/>
            <w:noWrap/>
            <w:tcMar>
              <w:top w:w="0" w:type="dxa"/>
              <w:left w:w="108" w:type="dxa"/>
              <w:bottom w:w="0" w:type="dxa"/>
              <w:right w:w="108" w:type="dxa"/>
            </w:tcMar>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936" w:type="dxa"/>
            <w:noWrap/>
            <w:tcMar>
              <w:top w:w="0" w:type="dxa"/>
              <w:left w:w="108" w:type="dxa"/>
              <w:bottom w:w="0" w:type="dxa"/>
              <w:right w:w="108" w:type="dxa"/>
            </w:tcMar>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c>
          <w:tcPr>
            <w:tcW w:w="6382" w:type="dxa"/>
            <w:noWrap/>
            <w:vAlign w:val="center"/>
          </w:tcPr>
          <w:p>
            <w:p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宿管员上班时间工作不作为、不负责、混日子，发现一次扣1分。</w:t>
            </w:r>
          </w:p>
        </w:tc>
        <w:tc>
          <w:tcPr>
            <w:tcW w:w="725" w:type="dxa"/>
            <w:noWrap/>
            <w:tcMar>
              <w:top w:w="0" w:type="dxa"/>
              <w:left w:w="108" w:type="dxa"/>
              <w:bottom w:w="0" w:type="dxa"/>
              <w:right w:w="108" w:type="dxa"/>
            </w:tcMar>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936" w:type="dxa"/>
            <w:noWrap/>
            <w:tcMar>
              <w:top w:w="0" w:type="dxa"/>
              <w:left w:w="108" w:type="dxa"/>
              <w:bottom w:w="0" w:type="dxa"/>
              <w:right w:w="108" w:type="dxa"/>
            </w:tcMar>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870" w:type="dxa"/>
            <w:vMerge w:val="continue"/>
            <w:noWrap/>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c>
          <w:tcPr>
            <w:tcW w:w="6382" w:type="dxa"/>
            <w:noWrap/>
            <w:vAlign w:val="center"/>
          </w:tcPr>
          <w:p>
            <w:p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宿管员不认真做好责任区域卫生或卫生检查时不合格，发现一次扣1分。</w:t>
            </w:r>
          </w:p>
        </w:tc>
        <w:tc>
          <w:tcPr>
            <w:tcW w:w="725" w:type="dxa"/>
            <w:noWrap/>
            <w:tcMar>
              <w:top w:w="0" w:type="dxa"/>
              <w:left w:w="108" w:type="dxa"/>
              <w:bottom w:w="0" w:type="dxa"/>
              <w:right w:w="108" w:type="dxa"/>
            </w:tcMar>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936" w:type="dxa"/>
            <w:noWrap/>
            <w:tcMar>
              <w:top w:w="0" w:type="dxa"/>
              <w:left w:w="108" w:type="dxa"/>
              <w:bottom w:w="0" w:type="dxa"/>
              <w:right w:w="108" w:type="dxa"/>
            </w:tcMar>
            <w:vAlign w:val="center"/>
          </w:tcPr>
          <w:p>
            <w:pPr>
              <w:widowControl/>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7253" w:type="dxa"/>
            <w:gridSpan w:val="2"/>
            <w:noWrap/>
            <w:vAlign w:val="center"/>
          </w:tcPr>
          <w:p>
            <w:pPr>
              <w:adjustRightInd/>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合计</w:t>
            </w:r>
          </w:p>
        </w:tc>
        <w:tc>
          <w:tcPr>
            <w:tcW w:w="725" w:type="dxa"/>
            <w:noWrap/>
            <w:tcMar>
              <w:top w:w="0" w:type="dxa"/>
              <w:left w:w="108" w:type="dxa"/>
              <w:bottom w:w="0" w:type="dxa"/>
              <w:right w:w="108" w:type="dxa"/>
            </w:tcMar>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100</w:t>
            </w:r>
          </w:p>
        </w:tc>
        <w:tc>
          <w:tcPr>
            <w:tcW w:w="936" w:type="dxa"/>
            <w:noWrap/>
            <w:tcMar>
              <w:top w:w="0" w:type="dxa"/>
              <w:left w:w="108" w:type="dxa"/>
              <w:bottom w:w="0" w:type="dxa"/>
              <w:right w:w="108" w:type="dxa"/>
            </w:tcMar>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7978" w:type="dxa"/>
            <w:gridSpan w:val="3"/>
            <w:noWrap/>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年    月至    月）季度考核得分</w:t>
            </w:r>
          </w:p>
        </w:tc>
        <w:tc>
          <w:tcPr>
            <w:tcW w:w="936" w:type="dxa"/>
            <w:noWrap/>
            <w:tcMar>
              <w:top w:w="0" w:type="dxa"/>
              <w:left w:w="108" w:type="dxa"/>
              <w:bottom w:w="0" w:type="dxa"/>
              <w:right w:w="108" w:type="dxa"/>
            </w:tcMar>
            <w:vAlign w:val="center"/>
          </w:tcPr>
          <w:p>
            <w:pPr>
              <w:widowControl/>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pPr>
        <w:widowControl/>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（二）宿管员考核办法：</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为加强对学生宿舍的管理，明确管理员的职责，切实把学生宿舍管理各项</w:t>
      </w:r>
    </w:p>
    <w:p>
      <w:p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工作落到实处，特制订本考核办法。</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对宿舍管理员工作情况的考核，实行百分制(即每个月100分)倒扣分的</w:t>
      </w:r>
    </w:p>
    <w:p>
      <w:p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办法进行。具体为：低于90分的每月扣绩效工资200元，低于80分的每月扣绩效工资300元，低于70分的每月扣绩效工资500元。</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1、宿管理员必须24小时在岗，如有脱岗，发现一次扣5分；致使学生受侵害或公共财物、学生财物损失的，扣10分，并视后果轻重程度，酌情扣除绩效工资(不低于100元)。</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2、不按时开、关宿舍门，一次扣2分。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3、严禁打骂学生，发现一次扣2分。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4、每天学生上课离宿舍后，要做到详细检查、详细登记，排除隐患,若因工作失职造成安全事故发生的，出现一次扣5分，视后果轻重程度酌情扣除绩</w:t>
      </w:r>
    </w:p>
    <w:p>
      <w:p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效工资(不少于100元)。</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5、宿舍内卫生不合格未及时整改，发现垃圾未倒，地面不干净，没有打扫的，每室一次扣1分。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6、学生在宿舍区域内大呼小叫，打架，男女生互串宿舍等不良现象，未及时制止，发现一次扣5分，造成不良后果的酌情扣除绩效工资(不少于100元)。</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7、每天学生就寝后，检查结果出现漏报、错报的一次发生一次扣5分；少检查、少登记、登记不实的，一次扣5分，无任何记录的一天扣10分。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8、不按规范做好出入登记的，发现一次扣2分；因此导致不良后果的，酌情扣绩效工资（不少于50元）。</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9、学生在宿舍楼期间，宿管员不按要求巡查管理，顾自玩手机，抽烟，睡岗等，发现一次违规情节扣2分。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10、宿管员上班时间不按要求着装，发现一次扣1分。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11、宿管员不作为、不负责、混日子，屡教不改的，给予辞退或换岗处理。</w:t>
      </w:r>
    </w:p>
    <w:p>
      <w:pPr>
        <w:adjustRightInd/>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（三）学生宿舍管理考核细则及实施方案</w:t>
      </w:r>
    </w:p>
    <w:p>
      <w:p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1、总则</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为了营造“文明、整洁、健康、温馨”的宿舍文化氛围，保证住校学生有一个良好的生活和休息环境，保证学生正常的学习和学生的身体健康，保证学校教育教学工作的顺利进行。特制定本制度。</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管理方针:定置管理 定期检查 严格考核 严格奖惩</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管理目标:干净整洁 井然有序 做到“日常状态就是最好状态”</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管理范围:所有住校学生</w:t>
      </w:r>
    </w:p>
    <w:p>
      <w:p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2、细则及量化</w:t>
      </w:r>
    </w:p>
    <w:p>
      <w:p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2.1考核标准:</w:t>
      </w:r>
    </w:p>
    <w:p>
      <w:p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2.1.1内务卫生(60分)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A.室内、门前地面干净，无灰尘、无纸屑、无污水。</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B.墙壁、屋顶无灰尘，无污损，无蜘蛛网。</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C.门窗干净明亮，清洁工具摆放整齐有序。</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D.被褥折叠工整，摆放一致，床铺平整洁净，无杂物堆放。</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E.被子、床单干净整洁，无脏衣、脏袜、脏鞋，</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F.室内卫生清洁，无异味、无怪味。</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G.箱子、背包及生活日用品统一归类，摆放平齐一致。</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H.值周厕所整洁干净，无垃圾、杂物。</w:t>
      </w:r>
    </w:p>
    <w:p>
      <w:p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2.1.2品德行为(30分)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A.宿舍成员团结友爱，思想积极向上，讲文明、懂礼貌。(4分)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B.寝室室长认真负责，宿舍成员模范遵守中小学学生守则和宿舍管理制度，无违法违纪现象。(4分)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C.遵守作息纪律，按时起床，准时离寝，及时归宿。(4分)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D.学生班、团(队)干部尽职尽责，所在宿舍内务、卫生达标。(4分)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E.无赌博、吸烟、酗酒、打架斗殴、观看传播不健康书籍及影视作品、浏览黄色网页等现象，不将棋牌、球类、游戏机等玩具带入宿舍。(5分)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F.不在宿舍楼内追逐、打闹、喧哗，敲门、开关门轻声，无高声播放音乐现象。(5分)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G.尊重宿舍管理员和保洁员的劳动成果，配合值周教师和班主任完成各项工作任务。(4分)</w:t>
      </w:r>
    </w:p>
    <w:p>
      <w:p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2.1.3宿舍文化(10分)</w:t>
      </w:r>
    </w:p>
    <w:p>
      <w:p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2.2扣分标准:</w:t>
      </w:r>
    </w:p>
    <w:p>
      <w:p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2.2.1内务卫生</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A.室内垃圾。发现一个扣1分。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B.室内不整洁，东西乱放，一处扣1分。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C.厕所内有积水扣1分，槽内有粪便扣1分。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D.在其它区域乱扔垃圾或不爱护厕所及楼梯间卫生，一人次扣1分。</w:t>
      </w:r>
    </w:p>
    <w:p>
      <w:p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2.2.2品德行为</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A.在宿舍打架斗殴，一人次扣1分。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B.不按时就寝，一人次扣1分。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C.灭灯后有人在室内追逐打闹，一人次扣1分。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D.在宿舍楼内高声喧哗，一人次扣1分。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E.进出宿舍楼不按规定进出，一人次扣1分。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F.上下楼道，不按规则靠右行走，一人次扣1分。</w:t>
      </w:r>
    </w:p>
    <w:p>
      <w:p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2.2.3宿舍文化(10分)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A.在宿舍内乱写乱画，一处扣1分。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B.学生宿舍布局格调高雅，无乱贴乱画乱挂现象。(3分)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C.环境良好，就寝文明，秩序井然。(3分)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D.学习、文化氛围浓厚，宿舍成员学习努力刻苦。(3分)</w:t>
      </w:r>
    </w:p>
    <w:p>
      <w:p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2.3安全要求:</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A.个人贵重物品要妥善保管，如有丢失，后果自负。</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B.爱护室内公共财物，若损坏，按照原价赔偿，分清责任由责任人承担，无法分清由全寝室均摊。</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C.注意安全，不乱改乱接电源线，不准使用电热器，和其他非室内的照明灯具，违者，除没收电器、灯具外另报政教处处理。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D.不得使用明火，以防着火。</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E.按规定通道，按照上下行路线行走。不得在楼道追逐打闹。</w:t>
      </w:r>
    </w:p>
    <w:p>
      <w:p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2.4检查、考核和奖惩</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A.各个寝室选举产生一个寝室长，负责本寝室日常的卫生、纪律等管理事宜；</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B.每个寝室每天必须安排一个值日生，在寝室长的督促、指导下，负责本寝室本天的卫生、纪律情况；</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C.日常的宿舍卫生、宿舍纪律的检查、管理和考核由宿舍管理人员完成；</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D.每天检查一次，结果以量化的标准计分；</w:t>
      </w:r>
    </w:p>
    <w:p>
      <w:pP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E.每周的“文明寝室”将在全校师生会上颁发锦旗，同时对该寝室进行奖励。</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十一、付款方式</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合同金额按季度支付，每季度支付合同金额的25%；学校按季考核，在季度服务费中扣除相应罚款。乙方需提供相应发票。</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十二、服务期：一年。</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 xml:space="preserve">    </w:t>
      </w:r>
    </w:p>
    <w:p>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br w:type="page"/>
      </w:r>
      <w:r>
        <w:rPr>
          <w:rFonts w:hint="eastAsia" w:ascii="仿宋" w:hAnsi="仿宋" w:eastAsia="仿宋" w:cs="宋体"/>
          <w:b/>
          <w:color w:val="000000" w:themeColor="text1"/>
          <w:sz w:val="36"/>
          <w:szCs w:val="36"/>
          <w:highlight w:val="none"/>
          <w14:textFill>
            <w14:solidFill>
              <w14:schemeClr w14:val="tx1"/>
            </w14:solidFill>
          </w14:textFill>
        </w:rPr>
        <w:t xml:space="preserve">第四部分 </w:t>
      </w:r>
      <w:bookmarkStart w:id="27" w:name="_Toc184314451"/>
      <w:bookmarkEnd w:id="27"/>
      <w:bookmarkStart w:id="28" w:name="_Toc184310342"/>
      <w:bookmarkEnd w:id="28"/>
      <w:bookmarkStart w:id="29" w:name="_Toc184314429"/>
      <w:bookmarkEnd w:id="29"/>
      <w:bookmarkStart w:id="30" w:name="_Toc184314464"/>
      <w:bookmarkEnd w:id="30"/>
      <w:bookmarkStart w:id="31" w:name="_Toc184312114"/>
      <w:bookmarkEnd w:id="31"/>
      <w:bookmarkStart w:id="32" w:name="_Toc184314453"/>
      <w:bookmarkEnd w:id="32"/>
      <w:bookmarkStart w:id="33" w:name="_Toc184312138"/>
      <w:bookmarkEnd w:id="33"/>
      <w:bookmarkStart w:id="34" w:name="_Toc184313284"/>
      <w:bookmarkEnd w:id="34"/>
      <w:bookmarkStart w:id="35" w:name="_Toc184308069"/>
      <w:bookmarkEnd w:id="35"/>
      <w:bookmarkStart w:id="36" w:name="_Toc184312089"/>
      <w:bookmarkEnd w:id="36"/>
      <w:bookmarkStart w:id="37" w:name="_Toc184308062"/>
      <w:bookmarkEnd w:id="37"/>
      <w:bookmarkStart w:id="38" w:name="_Toc184308067"/>
      <w:bookmarkEnd w:id="38"/>
      <w:bookmarkStart w:id="39" w:name="_Toc184313266"/>
      <w:bookmarkEnd w:id="39"/>
      <w:bookmarkStart w:id="40" w:name="_Toc184308051"/>
      <w:bookmarkEnd w:id="40"/>
      <w:bookmarkStart w:id="41" w:name="_Toc184312103"/>
      <w:bookmarkEnd w:id="41"/>
      <w:bookmarkStart w:id="42" w:name="_Toc184308053"/>
      <w:bookmarkEnd w:id="42"/>
      <w:bookmarkStart w:id="43" w:name="_Toc184310316"/>
      <w:bookmarkEnd w:id="43"/>
      <w:bookmarkStart w:id="44" w:name="_Toc184310297"/>
      <w:bookmarkEnd w:id="44"/>
      <w:bookmarkStart w:id="45" w:name="_Toc184308060"/>
      <w:bookmarkEnd w:id="45"/>
      <w:bookmarkStart w:id="46" w:name="_Toc184313255"/>
      <w:bookmarkEnd w:id="46"/>
      <w:bookmarkStart w:id="47" w:name="_Toc184312134"/>
      <w:bookmarkEnd w:id="47"/>
      <w:bookmarkStart w:id="48" w:name="_Toc184314416"/>
      <w:bookmarkEnd w:id="48"/>
      <w:bookmarkStart w:id="49" w:name="_Toc184313251"/>
      <w:bookmarkEnd w:id="49"/>
      <w:bookmarkStart w:id="50" w:name="_Toc184312123"/>
      <w:bookmarkEnd w:id="50"/>
      <w:bookmarkStart w:id="51" w:name="_Toc184312113"/>
      <w:bookmarkEnd w:id="51"/>
      <w:bookmarkStart w:id="52" w:name="_Toc184313295"/>
      <w:bookmarkEnd w:id="52"/>
      <w:bookmarkStart w:id="53" w:name="_Toc184313285"/>
      <w:bookmarkEnd w:id="53"/>
      <w:bookmarkStart w:id="54" w:name="_Toc184313303"/>
      <w:bookmarkEnd w:id="54"/>
      <w:bookmarkStart w:id="55" w:name="_Toc184314479"/>
      <w:bookmarkEnd w:id="55"/>
      <w:bookmarkStart w:id="56" w:name="_Toc184312079"/>
      <w:bookmarkEnd w:id="56"/>
      <w:bookmarkStart w:id="57" w:name="_Toc184308085"/>
      <w:bookmarkEnd w:id="57"/>
      <w:bookmarkStart w:id="58" w:name="_Toc184313269"/>
      <w:bookmarkEnd w:id="58"/>
      <w:bookmarkStart w:id="59" w:name="_Toc184313252"/>
      <w:bookmarkEnd w:id="59"/>
      <w:bookmarkStart w:id="60" w:name="_Toc184308076"/>
      <w:bookmarkEnd w:id="60"/>
      <w:bookmarkStart w:id="61" w:name="_Toc184314447"/>
      <w:bookmarkEnd w:id="61"/>
      <w:bookmarkStart w:id="62" w:name="_Toc184310338"/>
      <w:bookmarkEnd w:id="62"/>
      <w:bookmarkStart w:id="63" w:name="_Toc184310324"/>
      <w:bookmarkEnd w:id="63"/>
      <w:bookmarkStart w:id="64" w:name="_Toc184310343"/>
      <w:bookmarkEnd w:id="64"/>
      <w:bookmarkStart w:id="65" w:name="_Toc184313302"/>
      <w:bookmarkEnd w:id="65"/>
      <w:bookmarkStart w:id="66" w:name="_Toc184312136"/>
      <w:bookmarkEnd w:id="66"/>
      <w:bookmarkStart w:id="67" w:name="_Toc184308084"/>
      <w:bookmarkEnd w:id="67"/>
      <w:bookmarkStart w:id="68" w:name="_Toc184313310"/>
      <w:bookmarkEnd w:id="68"/>
      <w:bookmarkStart w:id="69" w:name="_Toc184308093"/>
      <w:bookmarkEnd w:id="69"/>
      <w:bookmarkStart w:id="70" w:name="_Toc184314442"/>
      <w:bookmarkEnd w:id="70"/>
      <w:bookmarkStart w:id="71" w:name="_Toc184310336"/>
      <w:bookmarkEnd w:id="71"/>
      <w:bookmarkStart w:id="72" w:name="_Toc184312108"/>
      <w:bookmarkEnd w:id="72"/>
      <w:bookmarkStart w:id="73" w:name="_Toc184314457"/>
      <w:bookmarkEnd w:id="73"/>
      <w:bookmarkStart w:id="74" w:name="_Toc184314471"/>
      <w:bookmarkEnd w:id="74"/>
      <w:bookmarkStart w:id="75" w:name="_Toc184308092"/>
      <w:bookmarkEnd w:id="75"/>
      <w:bookmarkStart w:id="76" w:name="_Toc184313292"/>
      <w:bookmarkEnd w:id="76"/>
      <w:bookmarkStart w:id="77" w:name="_Toc184312069"/>
      <w:bookmarkEnd w:id="77"/>
      <w:bookmarkStart w:id="78" w:name="_Toc184308097"/>
      <w:bookmarkEnd w:id="78"/>
      <w:bookmarkStart w:id="79" w:name="_Toc184314419"/>
      <w:bookmarkEnd w:id="79"/>
      <w:bookmarkStart w:id="80" w:name="_Toc184313248"/>
      <w:bookmarkEnd w:id="80"/>
      <w:bookmarkStart w:id="81" w:name="_Toc184314448"/>
      <w:bookmarkEnd w:id="81"/>
      <w:bookmarkStart w:id="82" w:name="_Toc184313253"/>
      <w:bookmarkEnd w:id="82"/>
      <w:bookmarkStart w:id="83" w:name="_Toc184308056"/>
      <w:bookmarkEnd w:id="83"/>
      <w:bookmarkStart w:id="84" w:name="_Toc184312116"/>
      <w:bookmarkEnd w:id="84"/>
      <w:bookmarkStart w:id="85" w:name="_Toc184312099"/>
      <w:bookmarkEnd w:id="85"/>
      <w:bookmarkStart w:id="86" w:name="_Toc184310325"/>
      <w:bookmarkEnd w:id="86"/>
      <w:bookmarkStart w:id="87" w:name="_Toc184313240"/>
      <w:bookmarkEnd w:id="87"/>
      <w:bookmarkStart w:id="88" w:name="_Toc184314430"/>
      <w:bookmarkEnd w:id="88"/>
      <w:bookmarkStart w:id="89" w:name="_Toc184313291"/>
      <w:bookmarkEnd w:id="89"/>
      <w:bookmarkStart w:id="90" w:name="_Toc184313259"/>
      <w:bookmarkEnd w:id="90"/>
      <w:bookmarkStart w:id="91" w:name="_Toc184308095"/>
      <w:bookmarkEnd w:id="91"/>
      <w:bookmarkStart w:id="92" w:name="_Toc184313249"/>
      <w:bookmarkEnd w:id="92"/>
      <w:bookmarkStart w:id="93" w:name="_Toc184312067"/>
      <w:bookmarkEnd w:id="93"/>
      <w:bookmarkStart w:id="94" w:name="_Toc184313286"/>
      <w:bookmarkEnd w:id="94"/>
      <w:bookmarkStart w:id="95" w:name="_Toc184310304"/>
      <w:bookmarkEnd w:id="95"/>
      <w:bookmarkStart w:id="96" w:name="_Toc184314456"/>
      <w:bookmarkEnd w:id="96"/>
      <w:bookmarkStart w:id="97" w:name="_Toc184312084"/>
      <w:bookmarkEnd w:id="97"/>
      <w:bookmarkStart w:id="98" w:name="_Toc184310278"/>
      <w:bookmarkEnd w:id="98"/>
      <w:bookmarkStart w:id="99" w:name="_Toc184310331"/>
      <w:bookmarkEnd w:id="99"/>
      <w:bookmarkStart w:id="100" w:name="_Toc184312081"/>
      <w:bookmarkEnd w:id="100"/>
      <w:bookmarkStart w:id="101" w:name="_Toc184310303"/>
      <w:bookmarkEnd w:id="101"/>
      <w:bookmarkStart w:id="102" w:name="_Toc184308039"/>
      <w:bookmarkEnd w:id="102"/>
      <w:bookmarkStart w:id="103" w:name="_Toc184312068"/>
      <w:bookmarkEnd w:id="103"/>
      <w:bookmarkStart w:id="104" w:name="_Toc184312128"/>
      <w:bookmarkEnd w:id="104"/>
      <w:bookmarkStart w:id="105" w:name="_Toc184308086"/>
      <w:bookmarkEnd w:id="105"/>
      <w:bookmarkStart w:id="106" w:name="_Toc184313307"/>
      <w:bookmarkEnd w:id="106"/>
      <w:bookmarkStart w:id="107" w:name="_Toc184314433"/>
      <w:bookmarkEnd w:id="107"/>
      <w:bookmarkStart w:id="108" w:name="_Toc184312130"/>
      <w:bookmarkEnd w:id="108"/>
      <w:bookmarkStart w:id="109" w:name="_Toc184310310"/>
      <w:bookmarkEnd w:id="109"/>
      <w:bookmarkStart w:id="110" w:name="_Toc184314452"/>
      <w:bookmarkEnd w:id="110"/>
      <w:bookmarkStart w:id="111" w:name="_Toc184308058"/>
      <w:bookmarkEnd w:id="111"/>
      <w:bookmarkStart w:id="112" w:name="_Toc184308042"/>
      <w:bookmarkEnd w:id="112"/>
      <w:bookmarkStart w:id="113" w:name="_Toc184313298"/>
      <w:bookmarkEnd w:id="113"/>
      <w:bookmarkStart w:id="114" w:name="_Toc184308055"/>
      <w:bookmarkEnd w:id="114"/>
      <w:bookmarkStart w:id="115" w:name="_Toc184310314"/>
      <w:bookmarkEnd w:id="115"/>
      <w:bookmarkStart w:id="116" w:name="_Toc184310275"/>
      <w:bookmarkEnd w:id="116"/>
      <w:bookmarkStart w:id="117" w:name="_Toc184314461"/>
      <w:bookmarkEnd w:id="117"/>
      <w:bookmarkStart w:id="118" w:name="_Toc184313264"/>
      <w:bookmarkEnd w:id="118"/>
      <w:bookmarkStart w:id="119" w:name="_Toc184313300"/>
      <w:bookmarkEnd w:id="119"/>
      <w:bookmarkStart w:id="120" w:name="_Toc184314435"/>
      <w:bookmarkEnd w:id="120"/>
      <w:bookmarkStart w:id="121" w:name="_Toc184314437"/>
      <w:bookmarkEnd w:id="121"/>
      <w:bookmarkStart w:id="122" w:name="_Toc184314432"/>
      <w:bookmarkEnd w:id="122"/>
      <w:bookmarkStart w:id="123" w:name="_Toc184313290"/>
      <w:bookmarkEnd w:id="123"/>
      <w:bookmarkStart w:id="124" w:name="_Toc184310330"/>
      <w:bookmarkEnd w:id="124"/>
      <w:bookmarkStart w:id="125" w:name="_Toc184310286"/>
      <w:bookmarkEnd w:id="125"/>
      <w:bookmarkStart w:id="126" w:name="_Toc184308094"/>
      <w:bookmarkEnd w:id="126"/>
      <w:bookmarkStart w:id="127" w:name="_Toc184312109"/>
      <w:bookmarkEnd w:id="127"/>
      <w:bookmarkStart w:id="128" w:name="_Toc184308075"/>
      <w:bookmarkEnd w:id="128"/>
      <w:bookmarkStart w:id="129" w:name="_Toc184312124"/>
      <w:bookmarkEnd w:id="129"/>
      <w:bookmarkStart w:id="130" w:name="_Toc184310313"/>
      <w:bookmarkEnd w:id="130"/>
      <w:bookmarkStart w:id="131" w:name="_Toc184310287"/>
      <w:bookmarkEnd w:id="131"/>
      <w:bookmarkStart w:id="132" w:name="_Toc184310280"/>
      <w:bookmarkEnd w:id="132"/>
      <w:bookmarkStart w:id="133" w:name="_Toc184310337"/>
      <w:bookmarkEnd w:id="133"/>
      <w:bookmarkStart w:id="134" w:name="_Toc184310307"/>
      <w:bookmarkEnd w:id="134"/>
      <w:bookmarkStart w:id="135" w:name="_Toc184308043"/>
      <w:bookmarkEnd w:id="135"/>
      <w:bookmarkStart w:id="136" w:name="_Toc184313281"/>
      <w:bookmarkEnd w:id="136"/>
      <w:bookmarkStart w:id="137" w:name="_Toc184310319"/>
      <w:bookmarkEnd w:id="137"/>
      <w:bookmarkStart w:id="138" w:name="_Toc184314428"/>
      <w:bookmarkEnd w:id="138"/>
      <w:bookmarkStart w:id="139" w:name="_Toc184312097"/>
      <w:bookmarkEnd w:id="139"/>
      <w:bookmarkStart w:id="140" w:name="_Toc184312080"/>
      <w:bookmarkEnd w:id="140"/>
      <w:bookmarkStart w:id="141" w:name="_Toc184310272"/>
      <w:bookmarkEnd w:id="141"/>
      <w:bookmarkStart w:id="142" w:name="_Toc184310293"/>
      <w:bookmarkEnd w:id="142"/>
      <w:bookmarkStart w:id="143" w:name="_Toc184312115"/>
      <w:bookmarkEnd w:id="143"/>
      <w:bookmarkStart w:id="144" w:name="_Toc184312126"/>
      <w:bookmarkEnd w:id="144"/>
      <w:bookmarkStart w:id="145" w:name="_Toc184310291"/>
      <w:bookmarkEnd w:id="145"/>
      <w:bookmarkStart w:id="146" w:name="_Toc184312091"/>
      <w:bookmarkEnd w:id="146"/>
      <w:bookmarkStart w:id="147" w:name="_Toc184312095"/>
      <w:bookmarkEnd w:id="147"/>
      <w:bookmarkStart w:id="148" w:name="_Toc184314468"/>
      <w:bookmarkEnd w:id="148"/>
      <w:bookmarkStart w:id="149" w:name="_Toc184308070"/>
      <w:bookmarkEnd w:id="149"/>
      <w:bookmarkStart w:id="150" w:name="_Toc184314415"/>
      <w:bookmarkEnd w:id="150"/>
      <w:bookmarkStart w:id="151" w:name="_Toc184310274"/>
      <w:bookmarkEnd w:id="151"/>
      <w:bookmarkStart w:id="152" w:name="_Toc184308088"/>
      <w:bookmarkEnd w:id="152"/>
      <w:bookmarkStart w:id="153" w:name="_Toc184308107"/>
      <w:bookmarkEnd w:id="153"/>
      <w:bookmarkStart w:id="154" w:name="_Toc184308087"/>
      <w:bookmarkEnd w:id="154"/>
      <w:bookmarkStart w:id="155" w:name="_Toc184308044"/>
      <w:bookmarkEnd w:id="155"/>
      <w:bookmarkStart w:id="156" w:name="_Toc184310281"/>
      <w:bookmarkEnd w:id="156"/>
      <w:bookmarkStart w:id="157" w:name="_Toc184308057"/>
      <w:bookmarkEnd w:id="157"/>
      <w:bookmarkStart w:id="158" w:name="_Toc184312129"/>
      <w:bookmarkEnd w:id="158"/>
      <w:bookmarkStart w:id="159" w:name="_Toc184313246"/>
      <w:bookmarkEnd w:id="159"/>
      <w:bookmarkStart w:id="160" w:name="_Toc184313308"/>
      <w:bookmarkEnd w:id="160"/>
      <w:bookmarkStart w:id="161" w:name="_Toc184314439"/>
      <w:bookmarkEnd w:id="161"/>
      <w:bookmarkStart w:id="162" w:name="_Toc184313293"/>
      <w:bookmarkEnd w:id="162"/>
      <w:bookmarkStart w:id="163" w:name="_Toc184313263"/>
      <w:bookmarkEnd w:id="163"/>
      <w:bookmarkStart w:id="164" w:name="_Toc184308108"/>
      <w:bookmarkEnd w:id="164"/>
      <w:bookmarkStart w:id="165" w:name="_Toc184308091"/>
      <w:bookmarkEnd w:id="165"/>
      <w:bookmarkStart w:id="166" w:name="_Toc184312088"/>
      <w:bookmarkEnd w:id="166"/>
      <w:bookmarkStart w:id="167" w:name="_Toc184310341"/>
      <w:bookmarkEnd w:id="167"/>
      <w:bookmarkStart w:id="168" w:name="_Toc184314458"/>
      <w:bookmarkEnd w:id="168"/>
      <w:bookmarkStart w:id="169" w:name="_Toc184310298"/>
      <w:bookmarkEnd w:id="169"/>
      <w:bookmarkStart w:id="170" w:name="_Toc184314455"/>
      <w:bookmarkEnd w:id="170"/>
      <w:bookmarkStart w:id="171" w:name="_Toc184308090"/>
      <w:bookmarkEnd w:id="171"/>
      <w:bookmarkStart w:id="172" w:name="_Toc184313238"/>
      <w:bookmarkEnd w:id="172"/>
      <w:bookmarkStart w:id="173" w:name="_Toc184314481"/>
      <w:bookmarkEnd w:id="173"/>
      <w:bookmarkStart w:id="174" w:name="_Toc184310300"/>
      <w:bookmarkEnd w:id="174"/>
      <w:bookmarkStart w:id="175" w:name="_Toc184314422"/>
      <w:bookmarkEnd w:id="175"/>
      <w:bookmarkStart w:id="176" w:name="_Toc184308103"/>
      <w:bookmarkEnd w:id="176"/>
      <w:bookmarkStart w:id="177" w:name="_Toc184314417"/>
      <w:bookmarkEnd w:id="177"/>
      <w:bookmarkStart w:id="178" w:name="_Toc184308079"/>
      <w:bookmarkEnd w:id="178"/>
      <w:bookmarkStart w:id="179" w:name="_Toc184313282"/>
      <w:bookmarkEnd w:id="179"/>
      <w:bookmarkStart w:id="180" w:name="_Toc184308036"/>
      <w:bookmarkEnd w:id="180"/>
      <w:bookmarkStart w:id="181" w:name="_Toc184313277"/>
      <w:bookmarkEnd w:id="181"/>
      <w:bookmarkStart w:id="182" w:name="_Toc184314444"/>
      <w:bookmarkEnd w:id="182"/>
      <w:bookmarkStart w:id="183" w:name="_Toc184308045"/>
      <w:bookmarkEnd w:id="183"/>
      <w:bookmarkStart w:id="184" w:name="_Toc184314475"/>
      <w:bookmarkEnd w:id="184"/>
      <w:bookmarkStart w:id="185" w:name="_Toc184312077"/>
      <w:bookmarkEnd w:id="185"/>
      <w:bookmarkStart w:id="186" w:name="_Toc184312106"/>
      <w:bookmarkEnd w:id="186"/>
      <w:bookmarkStart w:id="187" w:name="_Toc184313260"/>
      <w:bookmarkEnd w:id="187"/>
      <w:bookmarkStart w:id="188" w:name="_Toc184310332"/>
      <w:bookmarkEnd w:id="188"/>
      <w:bookmarkStart w:id="189" w:name="_Toc184308082"/>
      <w:bookmarkEnd w:id="189"/>
      <w:bookmarkStart w:id="190" w:name="_Toc184310321"/>
      <w:bookmarkEnd w:id="190"/>
      <w:bookmarkStart w:id="191" w:name="_Toc184310277"/>
      <w:bookmarkEnd w:id="191"/>
      <w:bookmarkStart w:id="192" w:name="_Toc184308059"/>
      <w:bookmarkEnd w:id="192"/>
      <w:bookmarkStart w:id="193" w:name="_Toc184312119"/>
      <w:bookmarkEnd w:id="193"/>
      <w:bookmarkStart w:id="194" w:name="_Toc184314477"/>
      <w:bookmarkEnd w:id="194"/>
      <w:bookmarkStart w:id="195" w:name="_Toc184312135"/>
      <w:bookmarkEnd w:id="195"/>
      <w:bookmarkStart w:id="196" w:name="_Toc184312104"/>
      <w:bookmarkEnd w:id="196"/>
      <w:bookmarkStart w:id="197" w:name="_Toc184310328"/>
      <w:bookmarkEnd w:id="197"/>
      <w:bookmarkStart w:id="198" w:name="_Toc184310329"/>
      <w:bookmarkEnd w:id="198"/>
      <w:bookmarkStart w:id="199" w:name="_Toc184313242"/>
      <w:bookmarkEnd w:id="199"/>
      <w:bookmarkStart w:id="200" w:name="_Toc184312073"/>
      <w:bookmarkEnd w:id="200"/>
      <w:bookmarkStart w:id="201" w:name="_Toc184308037"/>
      <w:bookmarkEnd w:id="201"/>
      <w:bookmarkStart w:id="202" w:name="_Toc184314434"/>
      <w:bookmarkEnd w:id="202"/>
      <w:bookmarkStart w:id="203" w:name="_Toc184310288"/>
      <w:bookmarkEnd w:id="203"/>
      <w:bookmarkStart w:id="204" w:name="_Toc184308061"/>
      <w:bookmarkEnd w:id="204"/>
      <w:bookmarkStart w:id="205" w:name="_Toc184310276"/>
      <w:bookmarkEnd w:id="205"/>
      <w:bookmarkStart w:id="206" w:name="_Toc184310335"/>
      <w:bookmarkEnd w:id="206"/>
      <w:bookmarkStart w:id="207" w:name="_Toc184310309"/>
      <w:bookmarkEnd w:id="207"/>
      <w:bookmarkStart w:id="208" w:name="_Toc184312137"/>
      <w:bookmarkEnd w:id="208"/>
      <w:bookmarkStart w:id="209" w:name="_Toc184312131"/>
      <w:bookmarkEnd w:id="209"/>
      <w:bookmarkStart w:id="210" w:name="_Toc184313306"/>
      <w:bookmarkEnd w:id="210"/>
      <w:bookmarkStart w:id="211" w:name="_Toc184312127"/>
      <w:bookmarkEnd w:id="211"/>
      <w:bookmarkStart w:id="212" w:name="_Toc184312098"/>
      <w:bookmarkEnd w:id="212"/>
      <w:bookmarkStart w:id="213" w:name="_Toc184308100"/>
      <w:bookmarkEnd w:id="213"/>
      <w:bookmarkStart w:id="214" w:name="_Toc184308105"/>
      <w:bookmarkEnd w:id="214"/>
      <w:bookmarkStart w:id="215" w:name="_Toc184314425"/>
      <w:bookmarkEnd w:id="215"/>
      <w:bookmarkStart w:id="216" w:name="_Toc184314424"/>
      <w:bookmarkEnd w:id="216"/>
      <w:bookmarkStart w:id="217" w:name="_Toc184313283"/>
      <w:bookmarkEnd w:id="217"/>
      <w:bookmarkStart w:id="218" w:name="_Toc184314476"/>
      <w:bookmarkEnd w:id="218"/>
      <w:bookmarkStart w:id="219" w:name="_Toc184314472"/>
      <w:bookmarkEnd w:id="219"/>
      <w:bookmarkStart w:id="220" w:name="_Toc184310296"/>
      <w:bookmarkEnd w:id="220"/>
      <w:bookmarkStart w:id="221" w:name="_Toc184310301"/>
      <w:bookmarkEnd w:id="221"/>
      <w:bookmarkStart w:id="222" w:name="_Toc184313272"/>
      <w:bookmarkEnd w:id="222"/>
      <w:bookmarkStart w:id="223" w:name="_Toc184314450"/>
      <w:bookmarkEnd w:id="223"/>
      <w:bookmarkStart w:id="224" w:name="_Toc184312118"/>
      <w:bookmarkEnd w:id="224"/>
      <w:bookmarkStart w:id="225" w:name="_Toc184310294"/>
      <w:bookmarkEnd w:id="225"/>
      <w:bookmarkStart w:id="226" w:name="_Toc184308089"/>
      <w:bookmarkEnd w:id="226"/>
      <w:bookmarkStart w:id="227" w:name="_Toc184314440"/>
      <w:bookmarkEnd w:id="227"/>
      <w:bookmarkStart w:id="228" w:name="_Toc184310315"/>
      <w:bookmarkEnd w:id="228"/>
      <w:bookmarkStart w:id="229" w:name="_Toc184308074"/>
      <w:bookmarkEnd w:id="229"/>
      <w:bookmarkStart w:id="230" w:name="_Toc184313265"/>
      <w:bookmarkEnd w:id="230"/>
      <w:bookmarkStart w:id="231" w:name="_Toc184312071"/>
      <w:bookmarkEnd w:id="231"/>
      <w:bookmarkStart w:id="232" w:name="_Toc184312122"/>
      <w:bookmarkEnd w:id="232"/>
      <w:bookmarkStart w:id="233" w:name="_Toc184308049"/>
      <w:bookmarkEnd w:id="233"/>
      <w:bookmarkStart w:id="234" w:name="_Toc184312086"/>
      <w:bookmarkEnd w:id="234"/>
      <w:bookmarkStart w:id="235" w:name="_Toc184310312"/>
      <w:bookmarkEnd w:id="235"/>
      <w:bookmarkStart w:id="236" w:name="_Toc184308073"/>
      <w:bookmarkEnd w:id="236"/>
      <w:bookmarkStart w:id="237" w:name="_Toc184314449"/>
      <w:bookmarkEnd w:id="237"/>
      <w:bookmarkStart w:id="238" w:name="_Toc184313275"/>
      <w:bookmarkEnd w:id="238"/>
      <w:bookmarkStart w:id="239" w:name="_Toc184310317"/>
      <w:bookmarkEnd w:id="239"/>
      <w:bookmarkStart w:id="240" w:name="_Toc184312096"/>
      <w:bookmarkEnd w:id="240"/>
      <w:bookmarkStart w:id="241" w:name="_Toc184313256"/>
      <w:bookmarkEnd w:id="241"/>
      <w:bookmarkStart w:id="242" w:name="_Toc184314463"/>
      <w:bookmarkEnd w:id="242"/>
      <w:bookmarkStart w:id="243" w:name="_Toc184310279"/>
      <w:bookmarkEnd w:id="243"/>
      <w:bookmarkStart w:id="244" w:name="_Toc184314412"/>
      <w:bookmarkEnd w:id="244"/>
      <w:bookmarkStart w:id="245" w:name="_Toc184310339"/>
      <w:bookmarkEnd w:id="245"/>
      <w:bookmarkStart w:id="246" w:name="_Toc184308104"/>
      <w:bookmarkEnd w:id="246"/>
      <w:bookmarkStart w:id="247" w:name="_Toc184313254"/>
      <w:bookmarkEnd w:id="247"/>
      <w:bookmarkStart w:id="248" w:name="_Toc184313301"/>
      <w:bookmarkEnd w:id="248"/>
      <w:bookmarkStart w:id="249" w:name="_Toc184308102"/>
      <w:bookmarkEnd w:id="249"/>
      <w:bookmarkStart w:id="250" w:name="_Toc184312083"/>
      <w:bookmarkEnd w:id="250"/>
      <w:bookmarkStart w:id="251" w:name="_Toc184313287"/>
      <w:bookmarkEnd w:id="251"/>
      <w:bookmarkStart w:id="252" w:name="_Toc184314460"/>
      <w:bookmarkEnd w:id="252"/>
      <w:bookmarkStart w:id="253" w:name="_Toc184312120"/>
      <w:bookmarkEnd w:id="253"/>
      <w:bookmarkStart w:id="254" w:name="_Toc184313244"/>
      <w:bookmarkEnd w:id="254"/>
      <w:bookmarkStart w:id="255" w:name="_Toc184314426"/>
      <w:bookmarkEnd w:id="255"/>
      <w:bookmarkStart w:id="256" w:name="_Toc184313309"/>
      <w:bookmarkEnd w:id="256"/>
      <w:bookmarkStart w:id="257" w:name="_Toc184314470"/>
      <w:bookmarkEnd w:id="257"/>
      <w:bookmarkStart w:id="258" w:name="_Toc184313294"/>
      <w:bookmarkEnd w:id="258"/>
      <w:bookmarkStart w:id="259" w:name="_Toc184313261"/>
      <w:bookmarkEnd w:id="259"/>
      <w:bookmarkStart w:id="260" w:name="_Toc184310311"/>
      <w:bookmarkEnd w:id="260"/>
      <w:bookmarkStart w:id="261" w:name="_Toc184313270"/>
      <w:bookmarkEnd w:id="261"/>
      <w:bookmarkStart w:id="262" w:name="_Toc184308080"/>
      <w:bookmarkEnd w:id="262"/>
      <w:bookmarkStart w:id="263" w:name="_Toc184310308"/>
      <w:bookmarkEnd w:id="263"/>
      <w:bookmarkStart w:id="264" w:name="_Toc184313278"/>
      <w:bookmarkEnd w:id="264"/>
      <w:bookmarkStart w:id="265" w:name="_Toc184308065"/>
      <w:bookmarkEnd w:id="265"/>
      <w:bookmarkStart w:id="266" w:name="_Toc184310282"/>
      <w:bookmarkEnd w:id="266"/>
      <w:bookmarkStart w:id="267" w:name="_Toc184308106"/>
      <w:bookmarkEnd w:id="267"/>
      <w:bookmarkStart w:id="268" w:name="_Toc184310344"/>
      <w:bookmarkEnd w:id="268"/>
      <w:bookmarkStart w:id="269" w:name="_Toc184308046"/>
      <w:bookmarkEnd w:id="269"/>
      <w:bookmarkStart w:id="270" w:name="_Toc184312111"/>
      <w:bookmarkEnd w:id="270"/>
      <w:bookmarkStart w:id="271" w:name="_Toc184308066"/>
      <w:bookmarkEnd w:id="271"/>
      <w:bookmarkStart w:id="272" w:name="_Toc184314418"/>
      <w:bookmarkEnd w:id="272"/>
      <w:bookmarkStart w:id="273" w:name="_Toc184312082"/>
      <w:bookmarkEnd w:id="273"/>
      <w:bookmarkStart w:id="274" w:name="_Toc184308099"/>
      <w:bookmarkEnd w:id="274"/>
      <w:bookmarkStart w:id="275" w:name="_Toc184310285"/>
      <w:bookmarkEnd w:id="275"/>
      <w:bookmarkStart w:id="276" w:name="_Toc184312092"/>
      <w:bookmarkEnd w:id="276"/>
      <w:bookmarkStart w:id="277" w:name="_Toc184313280"/>
      <w:bookmarkEnd w:id="277"/>
      <w:bookmarkStart w:id="278" w:name="_Toc184313243"/>
      <w:bookmarkEnd w:id="278"/>
      <w:bookmarkStart w:id="279" w:name="_Toc184313299"/>
      <w:bookmarkEnd w:id="279"/>
      <w:bookmarkStart w:id="280" w:name="_Toc184314469"/>
      <w:bookmarkEnd w:id="280"/>
      <w:bookmarkStart w:id="281" w:name="_Toc184312102"/>
      <w:bookmarkEnd w:id="281"/>
      <w:bookmarkStart w:id="282" w:name="_Toc184313268"/>
      <w:bookmarkEnd w:id="282"/>
      <w:bookmarkStart w:id="283" w:name="_Toc184314467"/>
      <w:bookmarkEnd w:id="283"/>
      <w:bookmarkStart w:id="284" w:name="_Toc184312139"/>
      <w:bookmarkEnd w:id="284"/>
      <w:bookmarkStart w:id="285" w:name="_Toc184312132"/>
      <w:bookmarkEnd w:id="285"/>
      <w:bookmarkStart w:id="286" w:name="_Toc184308052"/>
      <w:bookmarkEnd w:id="286"/>
      <w:bookmarkStart w:id="287" w:name="_Toc184310322"/>
      <w:bookmarkEnd w:id="287"/>
      <w:bookmarkStart w:id="288" w:name="_Toc184308077"/>
      <w:bookmarkEnd w:id="288"/>
      <w:bookmarkStart w:id="289" w:name="_Toc184313296"/>
      <w:bookmarkEnd w:id="289"/>
      <w:bookmarkStart w:id="290" w:name="_Toc184313245"/>
      <w:bookmarkEnd w:id="290"/>
      <w:bookmarkStart w:id="291" w:name="_Toc184308078"/>
      <w:bookmarkEnd w:id="291"/>
      <w:bookmarkStart w:id="292" w:name="_Toc184313271"/>
      <w:bookmarkEnd w:id="292"/>
      <w:bookmarkStart w:id="293" w:name="_Toc184312105"/>
      <w:bookmarkEnd w:id="293"/>
      <w:bookmarkStart w:id="294" w:name="_Toc184310299"/>
      <w:bookmarkEnd w:id="294"/>
      <w:bookmarkStart w:id="295" w:name="_Toc184310323"/>
      <w:bookmarkEnd w:id="295"/>
      <w:bookmarkStart w:id="296" w:name="_Toc184310320"/>
      <w:bookmarkEnd w:id="296"/>
      <w:bookmarkStart w:id="297" w:name="_Toc184308081"/>
      <w:bookmarkEnd w:id="297"/>
      <w:bookmarkStart w:id="298" w:name="_Toc184312107"/>
      <w:bookmarkEnd w:id="298"/>
      <w:bookmarkStart w:id="299" w:name="_Toc184308047"/>
      <w:bookmarkEnd w:id="299"/>
      <w:bookmarkStart w:id="300" w:name="_Toc184313241"/>
      <w:bookmarkEnd w:id="300"/>
      <w:bookmarkStart w:id="301" w:name="_Toc184312093"/>
      <w:bookmarkEnd w:id="301"/>
      <w:bookmarkStart w:id="302" w:name="_Toc184310302"/>
      <w:bookmarkEnd w:id="302"/>
      <w:bookmarkStart w:id="303" w:name="_Toc184308064"/>
      <w:bookmarkEnd w:id="303"/>
      <w:bookmarkStart w:id="304" w:name="_Toc184314459"/>
      <w:bookmarkEnd w:id="304"/>
      <w:bookmarkStart w:id="305" w:name="_Toc184308101"/>
      <w:bookmarkEnd w:id="305"/>
      <w:bookmarkStart w:id="306" w:name="_Toc184314421"/>
      <w:bookmarkEnd w:id="306"/>
      <w:bookmarkStart w:id="307" w:name="_Toc184312072"/>
      <w:bookmarkEnd w:id="307"/>
      <w:bookmarkStart w:id="308" w:name="_Toc184310283"/>
      <w:bookmarkEnd w:id="308"/>
      <w:bookmarkStart w:id="309" w:name="_Toc184310318"/>
      <w:bookmarkEnd w:id="309"/>
      <w:bookmarkStart w:id="310" w:name="_Toc184314478"/>
      <w:bookmarkEnd w:id="310"/>
      <w:bookmarkStart w:id="311" w:name="_Toc184310327"/>
      <w:bookmarkEnd w:id="311"/>
      <w:bookmarkStart w:id="312" w:name="_Toc184312133"/>
      <w:bookmarkEnd w:id="312"/>
      <w:bookmarkStart w:id="313" w:name="_Toc184314480"/>
      <w:bookmarkEnd w:id="313"/>
      <w:bookmarkStart w:id="314" w:name="_Toc184308054"/>
      <w:bookmarkEnd w:id="314"/>
      <w:bookmarkStart w:id="315" w:name="_Toc184308098"/>
      <w:bookmarkEnd w:id="315"/>
      <w:bookmarkStart w:id="316" w:name="_Toc184314410"/>
      <w:bookmarkEnd w:id="316"/>
      <w:bookmarkStart w:id="317" w:name="_Toc184314414"/>
      <w:bookmarkEnd w:id="317"/>
      <w:bookmarkStart w:id="318" w:name="_Toc184308071"/>
      <w:bookmarkEnd w:id="318"/>
      <w:bookmarkStart w:id="319" w:name="_Toc184312117"/>
      <w:bookmarkEnd w:id="319"/>
      <w:bookmarkStart w:id="320" w:name="_Toc184312076"/>
      <w:bookmarkEnd w:id="320"/>
      <w:bookmarkStart w:id="321" w:name="_Toc184314466"/>
      <w:bookmarkEnd w:id="321"/>
      <w:bookmarkStart w:id="322" w:name="_Toc184310289"/>
      <w:bookmarkEnd w:id="322"/>
      <w:bookmarkStart w:id="323" w:name="_Toc184314443"/>
      <w:bookmarkEnd w:id="323"/>
      <w:bookmarkStart w:id="324" w:name="_Toc184310334"/>
      <w:bookmarkEnd w:id="324"/>
      <w:bookmarkStart w:id="325" w:name="_Toc184312070"/>
      <w:bookmarkEnd w:id="325"/>
      <w:bookmarkStart w:id="326" w:name="_Toc184313267"/>
      <w:bookmarkEnd w:id="326"/>
      <w:bookmarkStart w:id="327" w:name="_Toc184314436"/>
      <w:bookmarkEnd w:id="327"/>
      <w:bookmarkStart w:id="328" w:name="_Toc184314420"/>
      <w:bookmarkEnd w:id="328"/>
      <w:bookmarkStart w:id="329" w:name="_Toc184312085"/>
      <w:bookmarkEnd w:id="329"/>
      <w:bookmarkStart w:id="330" w:name="_Toc184313297"/>
      <w:bookmarkEnd w:id="330"/>
      <w:bookmarkStart w:id="331" w:name="_Toc184314423"/>
      <w:bookmarkEnd w:id="331"/>
      <w:bookmarkStart w:id="332" w:name="_Toc184312100"/>
      <w:bookmarkEnd w:id="332"/>
      <w:bookmarkStart w:id="333" w:name="_Toc184314438"/>
      <w:bookmarkEnd w:id="333"/>
      <w:bookmarkStart w:id="334" w:name="_Toc184312112"/>
      <w:bookmarkEnd w:id="334"/>
      <w:bookmarkStart w:id="335" w:name="_Toc184314411"/>
      <w:bookmarkEnd w:id="335"/>
      <w:bookmarkStart w:id="336" w:name="_Toc184314454"/>
      <w:bookmarkEnd w:id="336"/>
      <w:bookmarkStart w:id="337" w:name="_Toc184313239"/>
      <w:bookmarkEnd w:id="337"/>
      <w:bookmarkStart w:id="338" w:name="_Toc184312075"/>
      <w:bookmarkEnd w:id="338"/>
      <w:bookmarkStart w:id="339" w:name="_Toc184308072"/>
      <w:bookmarkEnd w:id="339"/>
      <w:bookmarkStart w:id="340" w:name="_Toc184314441"/>
      <w:bookmarkEnd w:id="340"/>
      <w:bookmarkStart w:id="341" w:name="_Toc184308048"/>
      <w:bookmarkEnd w:id="341"/>
      <w:bookmarkStart w:id="342" w:name="_Toc184310284"/>
      <w:bookmarkEnd w:id="342"/>
      <w:bookmarkStart w:id="343" w:name="_Toc184310292"/>
      <w:bookmarkEnd w:id="343"/>
      <w:bookmarkStart w:id="344" w:name="_Toc184312110"/>
      <w:bookmarkEnd w:id="344"/>
      <w:bookmarkStart w:id="345" w:name="_Toc184310306"/>
      <w:bookmarkEnd w:id="345"/>
      <w:bookmarkStart w:id="346" w:name="_Toc184313274"/>
      <w:bookmarkEnd w:id="346"/>
      <w:bookmarkStart w:id="347" w:name="_Toc184314465"/>
      <w:bookmarkEnd w:id="347"/>
      <w:bookmarkStart w:id="348" w:name="_Toc184313304"/>
      <w:bookmarkEnd w:id="348"/>
      <w:bookmarkStart w:id="349" w:name="_Toc184313258"/>
      <w:bookmarkEnd w:id="349"/>
      <w:bookmarkStart w:id="350" w:name="_Toc184308050"/>
      <w:bookmarkEnd w:id="350"/>
      <w:bookmarkStart w:id="351" w:name="_Toc184314445"/>
      <w:bookmarkEnd w:id="351"/>
      <w:bookmarkStart w:id="352" w:name="_Toc184313276"/>
      <w:bookmarkEnd w:id="352"/>
      <w:bookmarkStart w:id="353" w:name="_Toc184310326"/>
      <w:bookmarkEnd w:id="353"/>
      <w:bookmarkStart w:id="354" w:name="_Toc184308083"/>
      <w:bookmarkEnd w:id="354"/>
      <w:bookmarkStart w:id="355" w:name="_Toc184310295"/>
      <w:bookmarkEnd w:id="355"/>
      <w:bookmarkStart w:id="356" w:name="_Toc184312101"/>
      <w:bookmarkEnd w:id="356"/>
      <w:bookmarkStart w:id="357" w:name="_Toc184310290"/>
      <w:bookmarkEnd w:id="357"/>
      <w:bookmarkStart w:id="358" w:name="_Toc184313279"/>
      <w:bookmarkEnd w:id="358"/>
      <w:bookmarkStart w:id="359" w:name="_Toc184314482"/>
      <w:bookmarkEnd w:id="359"/>
      <w:bookmarkStart w:id="360" w:name="_Toc184314413"/>
      <w:bookmarkEnd w:id="360"/>
      <w:bookmarkStart w:id="361" w:name="_Toc184314474"/>
      <w:bookmarkEnd w:id="361"/>
      <w:bookmarkStart w:id="362" w:name="_Toc184308096"/>
      <w:bookmarkEnd w:id="362"/>
      <w:bookmarkStart w:id="363" w:name="_Toc184312121"/>
      <w:bookmarkEnd w:id="363"/>
      <w:bookmarkStart w:id="364" w:name="_Toc184313250"/>
      <w:bookmarkEnd w:id="364"/>
      <w:bookmarkStart w:id="365" w:name="_Toc184308041"/>
      <w:bookmarkEnd w:id="365"/>
      <w:bookmarkStart w:id="366" w:name="_Toc184314431"/>
      <w:bookmarkEnd w:id="366"/>
      <w:bookmarkStart w:id="367" w:name="_Toc184313305"/>
      <w:bookmarkEnd w:id="367"/>
      <w:bookmarkStart w:id="368" w:name="_Toc184310340"/>
      <w:bookmarkEnd w:id="368"/>
      <w:bookmarkStart w:id="369" w:name="_Toc184308063"/>
      <w:bookmarkEnd w:id="369"/>
      <w:bookmarkStart w:id="370" w:name="_Toc184314427"/>
      <w:bookmarkEnd w:id="370"/>
      <w:bookmarkStart w:id="371" w:name="_Toc184313273"/>
      <w:bookmarkEnd w:id="371"/>
      <w:bookmarkStart w:id="372" w:name="_Toc184310305"/>
      <w:bookmarkEnd w:id="372"/>
      <w:bookmarkStart w:id="373" w:name="_Toc184308068"/>
      <w:bookmarkEnd w:id="373"/>
      <w:bookmarkStart w:id="374" w:name="_Toc184312125"/>
      <w:bookmarkEnd w:id="374"/>
      <w:bookmarkStart w:id="375" w:name="_Toc184312090"/>
      <w:bookmarkEnd w:id="375"/>
      <w:bookmarkStart w:id="376" w:name="_Toc184312074"/>
      <w:bookmarkEnd w:id="376"/>
      <w:bookmarkStart w:id="377" w:name="_Toc184310273"/>
      <w:bookmarkEnd w:id="377"/>
      <w:bookmarkStart w:id="378" w:name="_Toc184313257"/>
      <w:bookmarkEnd w:id="378"/>
      <w:bookmarkStart w:id="379" w:name="_Toc184313288"/>
      <w:bookmarkEnd w:id="379"/>
      <w:bookmarkStart w:id="380" w:name="_Toc184308040"/>
      <w:bookmarkEnd w:id="380"/>
      <w:bookmarkStart w:id="381" w:name="_Toc184314473"/>
      <w:bookmarkEnd w:id="381"/>
      <w:bookmarkStart w:id="382" w:name="_Toc184313289"/>
      <w:bookmarkEnd w:id="382"/>
      <w:bookmarkStart w:id="383" w:name="_Toc184312087"/>
      <w:bookmarkEnd w:id="383"/>
      <w:bookmarkStart w:id="384" w:name="_Toc184312078"/>
      <w:bookmarkEnd w:id="384"/>
      <w:bookmarkStart w:id="385" w:name="_Toc184313247"/>
      <w:bookmarkEnd w:id="385"/>
      <w:bookmarkStart w:id="386" w:name="_Toc184314446"/>
      <w:bookmarkEnd w:id="386"/>
      <w:bookmarkStart w:id="387" w:name="_Toc184312094"/>
      <w:bookmarkEnd w:id="387"/>
      <w:bookmarkStart w:id="388" w:name="_Toc184314462"/>
      <w:bookmarkEnd w:id="388"/>
      <w:bookmarkStart w:id="389" w:name="_Toc184313262"/>
      <w:bookmarkEnd w:id="389"/>
      <w:bookmarkStart w:id="390" w:name="_Toc184308038"/>
      <w:bookmarkEnd w:id="390"/>
      <w:bookmarkStart w:id="391" w:name="_Toc184310333"/>
      <w:bookmarkEnd w:id="391"/>
      <w:r>
        <w:rPr>
          <w:rFonts w:hint="eastAsia" w:ascii="仿宋" w:hAnsi="仿宋" w:eastAsia="仿宋" w:cs="宋体"/>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评标办法前附表</w:t>
      </w:r>
    </w:p>
    <w:tbl>
      <w:tblPr>
        <w:tblStyle w:val="6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598"/>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序号</w:t>
            </w:r>
          </w:p>
        </w:tc>
        <w:tc>
          <w:tcPr>
            <w:tcW w:w="5598" w:type="dxa"/>
            <w:noWrap w:val="0"/>
            <w:vAlign w:val="center"/>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评标标准</w:t>
            </w:r>
          </w:p>
        </w:tc>
        <w:tc>
          <w:tcPr>
            <w:tcW w:w="992" w:type="dxa"/>
            <w:noWrap w:val="0"/>
            <w:vAlign w:val="center"/>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分值/权重（分）</w:t>
            </w:r>
          </w:p>
        </w:tc>
        <w:tc>
          <w:tcPr>
            <w:tcW w:w="993" w:type="dxa"/>
            <w:noWrap w:val="0"/>
            <w:vAlign w:val="center"/>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bCs/>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bCs/>
                <w:color w:val="000000" w:themeColor="text1"/>
                <w:spacing w:val="0"/>
                <w:w w:val="100"/>
                <w:kern w:val="2"/>
                <w:position w:val="0"/>
                <w:sz w:val="24"/>
                <w:highlight w:val="none"/>
                <w:shd w:val="clear" w:color="auto" w:fill="auto"/>
                <w:lang w:eastAsia="zh-CN" w:bidi="ar-SA"/>
                <w14:textFill>
                  <w14:solidFill>
                    <w14:schemeClr w14:val="tx1"/>
                  </w14:solidFill>
                </w14:textFill>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numPr>
                <w:ilvl w:val="0"/>
                <w:numId w:val="5"/>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p>
        </w:tc>
        <w:tc>
          <w:tcPr>
            <w:tcW w:w="5598" w:type="dxa"/>
            <w:noWrap w:val="0"/>
            <w:vAlign w:val="top"/>
          </w:tcPr>
          <w:p>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供应商具有职业健康安全管理体系认证证书的得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3</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分；具有质量管理体系认证证书的得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3</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分，具有环境管理体系认证证书的得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3</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分，所有证书须在有效期内。</w:t>
            </w:r>
          </w:p>
          <w:p>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投标文件中须提供有效证书复制件，否则不得分。</w:t>
            </w:r>
          </w:p>
        </w:tc>
        <w:tc>
          <w:tcPr>
            <w:tcW w:w="992" w:type="dxa"/>
            <w:noWrap w:val="0"/>
            <w:vAlign w:val="top"/>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9</w:t>
            </w:r>
          </w:p>
        </w:tc>
        <w:tc>
          <w:tcPr>
            <w:tcW w:w="993" w:type="dxa"/>
            <w:noWrap w:val="0"/>
            <w:vAlign w:val="center"/>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numPr>
                <w:ilvl w:val="0"/>
                <w:numId w:val="5"/>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p>
        </w:tc>
        <w:tc>
          <w:tcPr>
            <w:tcW w:w="5598" w:type="dxa"/>
            <w:noWrap w:val="0"/>
            <w:vAlign w:val="top"/>
          </w:tcPr>
          <w:p>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投标人自20</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22</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年1月1日（以合同签订时间为准）以来实施的</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学校</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服务项目业绩。每提供一项得0.5分，最多得1分。注：供应商需在投标文件中提供合同复制件，否则不得分。</w:t>
            </w:r>
          </w:p>
        </w:tc>
        <w:tc>
          <w:tcPr>
            <w:tcW w:w="992" w:type="dxa"/>
            <w:noWrap w:val="0"/>
            <w:vAlign w:val="top"/>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1</w:t>
            </w:r>
          </w:p>
        </w:tc>
        <w:tc>
          <w:tcPr>
            <w:tcW w:w="993" w:type="dxa"/>
            <w:noWrap w:val="0"/>
            <w:vAlign w:val="center"/>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numPr>
                <w:ilvl w:val="0"/>
                <w:numId w:val="5"/>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p>
        </w:tc>
        <w:tc>
          <w:tcPr>
            <w:tcW w:w="5598" w:type="dxa"/>
            <w:noWrap w:val="0"/>
            <w:vAlign w:val="top"/>
          </w:tcPr>
          <w:p>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1)项目负责人50周岁以下得2分、具有本科及以上学历得2分，担任类似项目负责人3年及以上管理经验得2分，本项最高得6分。注：投标文件中提供身份证、学历证明、管理经验证明、上述证书复制件，同时提供该人员在供应商单位的社保缴纳记录（落款时间在本项目招标公告发布之日至本项目投标截止日社保部门出具的单位或个人社保证明）复制件，否则不得分）。</w:t>
            </w:r>
          </w:p>
          <w:p>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2)宿管主管50周岁以下得2分、具有本科及以上学历得2分， 有2年以上有关宿管方面管理经验得2分，本项最高得6分。注：投标文件中提供身份证、学历证明、管理经验证明、上述证书复制件，同时提供该人员在供应商单位的社保缴纳记录（落款时间在本项目招标公告发布之日至本项目投标截止日社保部门出具的单位或个人社保证明）复制件，否则不得分）。</w:t>
            </w:r>
          </w:p>
          <w:p>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3）承诺拟派宿管员（6分）: 宿管人员年龄均在45周岁以下、高中及以上文化的得1分，提供承诺得6分，格式自拟，不提供或内容不全不得分。</w:t>
            </w:r>
          </w:p>
        </w:tc>
        <w:tc>
          <w:tcPr>
            <w:tcW w:w="992" w:type="dxa"/>
            <w:noWrap w:val="0"/>
            <w:vAlign w:val="top"/>
          </w:tcPr>
          <w:p>
            <w:pPr>
              <w:keepNext w:val="0"/>
              <w:keepLines w:val="0"/>
              <w:shd w:val="clear" w:color="auto" w:fill="auto"/>
              <w:bidi w:val="0"/>
              <w:adjustRightInd w:val="0"/>
              <w:snapToGrid w:val="0"/>
              <w:spacing w:before="0" w:after="0" w:line="360" w:lineRule="auto"/>
              <w:ind w:left="0" w:right="0" w:firstLine="0"/>
              <w:jc w:val="center"/>
              <w:rPr>
                <w:rFonts w:hint="default"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18</w:t>
            </w:r>
          </w:p>
        </w:tc>
        <w:tc>
          <w:tcPr>
            <w:tcW w:w="993" w:type="dxa"/>
            <w:noWrap w:val="0"/>
            <w:vAlign w:val="center"/>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numPr>
                <w:ilvl w:val="0"/>
                <w:numId w:val="5"/>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p>
        </w:tc>
        <w:tc>
          <w:tcPr>
            <w:tcW w:w="5598" w:type="dxa"/>
            <w:noWrap w:val="0"/>
            <w:vAlign w:val="top"/>
          </w:tcPr>
          <w:p>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根据本项目服务特点提出合理的管理服务理念，提出的服务定位、目标、管理模式切合实际的得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分；根据本项目服务特点提出较合理的管理服务理念，提出的服务定位、目标、管理模式较切合实际的得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4</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分；根据本项目服务特点提出基本合理的管理服务理念，提出的服务定位、目标、管理模式基本切合实际的得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2</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分；根据本项目服务特点提出管理服务理念1分；其他不得分。</w:t>
            </w:r>
          </w:p>
        </w:tc>
        <w:tc>
          <w:tcPr>
            <w:tcW w:w="992" w:type="dxa"/>
            <w:noWrap w:val="0"/>
            <w:vAlign w:val="top"/>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w:t>
            </w:r>
          </w:p>
        </w:tc>
        <w:tc>
          <w:tcPr>
            <w:tcW w:w="993" w:type="dxa"/>
            <w:noWrap w:val="0"/>
            <w:vAlign w:val="center"/>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numPr>
                <w:ilvl w:val="0"/>
                <w:numId w:val="5"/>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p>
        </w:tc>
        <w:tc>
          <w:tcPr>
            <w:tcW w:w="5598" w:type="dxa"/>
            <w:noWrap w:val="0"/>
            <w:vAlign w:val="top"/>
          </w:tcPr>
          <w:p>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供应商针对本项目实施，运作流程图、激励机制、监督机制、自我约束机制、信息反馈渠道及处理机制情况非常完善可行的得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分；运作流程图、激励机制、监督机制、自我约束机制、信息反馈渠道及处理机制情况完善可行的得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4</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运作流程图、激励机制、监督机制、自我约束机制、信息反馈渠道及处理机制情况较完善较可行的得2分；运作流程图、激励机制、监督机制、自我约束机制、信息反馈渠道及处理机制情况一般的得1分；其他不得分。</w:t>
            </w:r>
          </w:p>
        </w:tc>
        <w:tc>
          <w:tcPr>
            <w:tcW w:w="992" w:type="dxa"/>
            <w:noWrap w:val="0"/>
            <w:vAlign w:val="top"/>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w:t>
            </w:r>
          </w:p>
        </w:tc>
        <w:tc>
          <w:tcPr>
            <w:tcW w:w="993" w:type="dxa"/>
            <w:noWrap w:val="0"/>
            <w:vAlign w:val="center"/>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numPr>
                <w:ilvl w:val="0"/>
                <w:numId w:val="5"/>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p>
        </w:tc>
        <w:tc>
          <w:tcPr>
            <w:tcW w:w="5598" w:type="dxa"/>
            <w:noWrap w:val="0"/>
            <w:vAlign w:val="top"/>
          </w:tcPr>
          <w:p>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供应商针对学生宿舍楼管理服务提出科学合理的质量、安全保障措施得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分；针对学生宿舍楼管理服务提出较科学较合理的质量、安全保障措施得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4</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分；针对学生宿舍楼管理服务提出基本科学基本合理的质量、安全保障措施得2分；针对学生宿舍楼管理服务提出质量、安全保障措施得1分；其他不得分。</w:t>
            </w:r>
          </w:p>
        </w:tc>
        <w:tc>
          <w:tcPr>
            <w:tcW w:w="992" w:type="dxa"/>
            <w:noWrap w:val="0"/>
            <w:vAlign w:val="top"/>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w:t>
            </w:r>
          </w:p>
        </w:tc>
        <w:tc>
          <w:tcPr>
            <w:tcW w:w="993" w:type="dxa"/>
            <w:noWrap w:val="0"/>
            <w:vAlign w:val="center"/>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numPr>
                <w:ilvl w:val="0"/>
                <w:numId w:val="5"/>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p>
        </w:tc>
        <w:tc>
          <w:tcPr>
            <w:tcW w:w="5598" w:type="dxa"/>
            <w:noWrap w:val="0"/>
            <w:vAlign w:val="top"/>
          </w:tcPr>
          <w:p>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供应商针对本项目的各项管理制度：宿舍楼管理制度、宿舍楼安全管理规范、本项目各级人员的管理制度、各岗位职责、考核奖罚制度符合要求，切实可行的得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分；宿舍楼管理制度、宿舍楼安全管理规范、本项目各级人员的管理制度、各岗位职责、考核奖罚制度较符合要求，较切实可行的得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4</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宿舍楼管理制度、宿舍楼安全管理规范、本项目各级人员的管理制度、各岗位职责、考核奖罚制度基本符合要求，基本切实可行的得2分；有宿舍楼管理制度、宿舍楼安全管理规范、本项目各级人员的管理制度、各岗位职责、考核奖罚制度的得1分；其他不得分。</w:t>
            </w:r>
          </w:p>
        </w:tc>
        <w:tc>
          <w:tcPr>
            <w:tcW w:w="992" w:type="dxa"/>
            <w:noWrap w:val="0"/>
            <w:vAlign w:val="top"/>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w:t>
            </w:r>
          </w:p>
        </w:tc>
        <w:tc>
          <w:tcPr>
            <w:tcW w:w="993" w:type="dxa"/>
            <w:noWrap w:val="0"/>
            <w:vAlign w:val="center"/>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numPr>
                <w:ilvl w:val="0"/>
                <w:numId w:val="5"/>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p>
        </w:tc>
        <w:tc>
          <w:tcPr>
            <w:tcW w:w="5598" w:type="dxa"/>
            <w:shd w:val="clear" w:color="auto" w:fill="auto"/>
            <w:noWrap w:val="0"/>
            <w:vAlign w:val="top"/>
          </w:tcPr>
          <w:p>
            <w:pPr>
              <w:keepNext w:val="0"/>
              <w:keepLines w:val="0"/>
              <w:shd w:val="clear" w:color="auto" w:fill="auto"/>
              <w:bidi w:val="0"/>
              <w:adjustRightInd w:val="0"/>
              <w:snapToGrid w:val="0"/>
              <w:spacing w:before="0" w:after="0" w:line="360" w:lineRule="auto"/>
              <w:ind w:left="0" w:leftChars="0" w:right="0" w:rightChars="0" w:firstLine="0" w:firstLineChars="0"/>
              <w:jc w:val="left"/>
              <w:rPr>
                <w:rFonts w:hint="eastAsia" w:ascii="仿宋" w:hAnsi="仿宋" w:eastAsia="仿宋" w:cs="仿宋"/>
                <w:color w:val="000000" w:themeColor="text1"/>
                <w:spacing w:val="0"/>
                <w:w w:val="100"/>
                <w:kern w:val="2"/>
                <w:position w:val="0"/>
                <w:sz w:val="24"/>
                <w:szCs w:val="24"/>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宿管员教育、培训提升计划：具备完善的宿管员教育、培训提升计划的得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分，较完善的得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4</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分，基本完善得2分，</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不完善</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的得1分，</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没有计划</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不得分。</w:t>
            </w:r>
          </w:p>
        </w:tc>
        <w:tc>
          <w:tcPr>
            <w:tcW w:w="992" w:type="dxa"/>
            <w:shd w:val="clear" w:color="auto" w:fill="auto"/>
            <w:noWrap w:val="0"/>
            <w:vAlign w:val="top"/>
          </w:tcPr>
          <w:p>
            <w:pPr>
              <w:keepNext w:val="0"/>
              <w:keepLines w:val="0"/>
              <w:shd w:val="clear" w:color="auto" w:fill="auto"/>
              <w:bidi w:val="0"/>
              <w:adjustRightInd w:val="0"/>
              <w:snapToGrid w:val="0"/>
              <w:spacing w:before="0" w:after="0" w:line="360" w:lineRule="auto"/>
              <w:ind w:left="0" w:leftChars="0" w:right="0" w:rightChars="0" w:firstLine="0" w:firstLineChars="0"/>
              <w:jc w:val="center"/>
              <w:rPr>
                <w:rFonts w:hint="eastAsia" w:ascii="仿宋" w:hAnsi="仿宋" w:eastAsia="仿宋" w:cs="仿宋"/>
                <w:color w:val="000000" w:themeColor="text1"/>
                <w:spacing w:val="0"/>
                <w:w w:val="100"/>
                <w:kern w:val="2"/>
                <w:position w:val="0"/>
                <w:sz w:val="24"/>
                <w:szCs w:val="24"/>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w:t>
            </w:r>
          </w:p>
        </w:tc>
        <w:tc>
          <w:tcPr>
            <w:tcW w:w="993" w:type="dxa"/>
            <w:shd w:val="clear" w:color="auto" w:fill="auto"/>
            <w:noWrap w:val="0"/>
            <w:vAlign w:val="center"/>
          </w:tcPr>
          <w:p>
            <w:pPr>
              <w:keepNext w:val="0"/>
              <w:keepLines w:val="0"/>
              <w:shd w:val="clear" w:color="auto" w:fill="auto"/>
              <w:bidi w:val="0"/>
              <w:adjustRightInd w:val="0"/>
              <w:snapToGrid w:val="0"/>
              <w:spacing w:before="0" w:after="0" w:line="360" w:lineRule="auto"/>
              <w:ind w:left="0" w:leftChars="0" w:right="0" w:rightChars="0" w:firstLine="0" w:firstLineChars="0"/>
              <w:jc w:val="center"/>
              <w:rPr>
                <w:rFonts w:hint="eastAsia" w:ascii="仿宋" w:hAnsi="仿宋" w:eastAsia="仿宋" w:cs="仿宋"/>
                <w:color w:val="000000" w:themeColor="text1"/>
                <w:spacing w:val="0"/>
                <w:w w:val="100"/>
                <w:kern w:val="2"/>
                <w:position w:val="0"/>
                <w:sz w:val="24"/>
                <w:szCs w:val="24"/>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numPr>
                <w:ilvl w:val="0"/>
                <w:numId w:val="5"/>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p>
        </w:tc>
        <w:tc>
          <w:tcPr>
            <w:tcW w:w="5598" w:type="dxa"/>
            <w:shd w:val="clear" w:color="auto" w:fill="auto"/>
            <w:noWrap w:val="0"/>
            <w:vAlign w:val="top"/>
          </w:tcPr>
          <w:p>
            <w:pPr>
              <w:keepNext w:val="0"/>
              <w:keepLines w:val="0"/>
              <w:shd w:val="clear" w:color="auto" w:fill="auto"/>
              <w:bidi w:val="0"/>
              <w:adjustRightInd w:val="0"/>
              <w:snapToGrid w:val="0"/>
              <w:spacing w:before="0" w:after="0" w:line="360" w:lineRule="auto"/>
              <w:ind w:left="0" w:leftChars="0" w:right="0" w:rightChars="0" w:firstLine="0" w:firstLineChars="0"/>
              <w:jc w:val="left"/>
              <w:rPr>
                <w:rFonts w:hint="eastAsia" w:ascii="仿宋" w:hAnsi="仿宋" w:eastAsia="仿宋" w:cs="仿宋"/>
                <w:color w:val="000000" w:themeColor="text1"/>
                <w:spacing w:val="0"/>
                <w:w w:val="100"/>
                <w:kern w:val="2"/>
                <w:position w:val="0"/>
                <w:sz w:val="24"/>
                <w:szCs w:val="24"/>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供应商针对本项目实施，具有非常完善的组织架构和管理流程的得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分；具有完善的组织架构和管理流程的得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4</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分；具有较完善的组织架构和管理流程的得2分；组织架构和管理流程一般的得1分；其他不得分。</w:t>
            </w:r>
          </w:p>
        </w:tc>
        <w:tc>
          <w:tcPr>
            <w:tcW w:w="992" w:type="dxa"/>
            <w:shd w:val="clear" w:color="auto" w:fill="auto"/>
            <w:noWrap w:val="0"/>
            <w:vAlign w:val="top"/>
          </w:tcPr>
          <w:p>
            <w:pPr>
              <w:keepNext w:val="0"/>
              <w:keepLines w:val="0"/>
              <w:shd w:val="clear" w:color="auto" w:fill="auto"/>
              <w:bidi w:val="0"/>
              <w:adjustRightInd w:val="0"/>
              <w:snapToGrid w:val="0"/>
              <w:spacing w:before="0" w:after="0" w:line="360" w:lineRule="auto"/>
              <w:ind w:left="0" w:leftChars="0" w:right="0" w:rightChars="0" w:firstLine="0" w:firstLineChars="0"/>
              <w:jc w:val="center"/>
              <w:rPr>
                <w:rFonts w:hint="eastAsia" w:ascii="仿宋" w:hAnsi="仿宋" w:eastAsia="仿宋" w:cs="仿宋"/>
                <w:color w:val="000000" w:themeColor="text1"/>
                <w:spacing w:val="0"/>
                <w:w w:val="100"/>
                <w:kern w:val="2"/>
                <w:position w:val="0"/>
                <w:sz w:val="24"/>
                <w:szCs w:val="24"/>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w:t>
            </w:r>
          </w:p>
        </w:tc>
        <w:tc>
          <w:tcPr>
            <w:tcW w:w="993" w:type="dxa"/>
            <w:shd w:val="clear" w:color="auto" w:fill="auto"/>
            <w:noWrap w:val="0"/>
            <w:vAlign w:val="center"/>
          </w:tcPr>
          <w:p>
            <w:pPr>
              <w:keepNext w:val="0"/>
              <w:keepLines w:val="0"/>
              <w:shd w:val="clear" w:color="auto" w:fill="auto"/>
              <w:bidi w:val="0"/>
              <w:adjustRightInd w:val="0"/>
              <w:snapToGrid w:val="0"/>
              <w:spacing w:before="0" w:after="0" w:line="360" w:lineRule="auto"/>
              <w:ind w:left="0" w:leftChars="0" w:right="0" w:rightChars="0" w:firstLine="0" w:firstLineChars="0"/>
              <w:jc w:val="center"/>
              <w:rPr>
                <w:rFonts w:hint="eastAsia" w:ascii="仿宋" w:hAnsi="仿宋" w:eastAsia="仿宋" w:cs="仿宋"/>
                <w:color w:val="000000" w:themeColor="text1"/>
                <w:spacing w:val="0"/>
                <w:w w:val="100"/>
                <w:kern w:val="2"/>
                <w:position w:val="0"/>
                <w:sz w:val="24"/>
                <w:szCs w:val="24"/>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numPr>
                <w:ilvl w:val="0"/>
                <w:numId w:val="5"/>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p>
        </w:tc>
        <w:tc>
          <w:tcPr>
            <w:tcW w:w="5598" w:type="dxa"/>
            <w:noWrap w:val="0"/>
            <w:vAlign w:val="top"/>
          </w:tcPr>
          <w:p>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根据本项目寝室卫生检查、监督方案切合实际的得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分；根据本项目寝室卫生检查、监督方案较切合实际的得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4</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分；根据本项目寝室卫生检查、监督方案基本切合实际的得2分；有寝室卫生检查、监督方案的得1分；其他不得分。</w:t>
            </w:r>
          </w:p>
        </w:tc>
        <w:tc>
          <w:tcPr>
            <w:tcW w:w="992" w:type="dxa"/>
            <w:noWrap w:val="0"/>
            <w:vAlign w:val="top"/>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w:t>
            </w:r>
          </w:p>
        </w:tc>
        <w:tc>
          <w:tcPr>
            <w:tcW w:w="993" w:type="dxa"/>
            <w:noWrap w:val="0"/>
            <w:vAlign w:val="center"/>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numPr>
                <w:ilvl w:val="0"/>
                <w:numId w:val="5"/>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p>
        </w:tc>
        <w:tc>
          <w:tcPr>
            <w:tcW w:w="5598" w:type="dxa"/>
            <w:noWrap w:val="0"/>
            <w:vAlign w:val="top"/>
          </w:tcPr>
          <w:p>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根据本项目寝室安全检查监督方案切合实际的得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分；根据本项目寝室安全检查监督方案较切合实际的得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4</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分；根据本项目寝室安全检查监督方案基本切合实际的得2分；有寝室安全检查监督方案的得1分；其他不得分。</w:t>
            </w:r>
          </w:p>
        </w:tc>
        <w:tc>
          <w:tcPr>
            <w:tcW w:w="992" w:type="dxa"/>
            <w:noWrap w:val="0"/>
            <w:vAlign w:val="top"/>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w:t>
            </w:r>
          </w:p>
        </w:tc>
        <w:tc>
          <w:tcPr>
            <w:tcW w:w="993" w:type="dxa"/>
            <w:noWrap w:val="0"/>
            <w:vAlign w:val="center"/>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numPr>
                <w:ilvl w:val="0"/>
                <w:numId w:val="5"/>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p>
        </w:tc>
        <w:tc>
          <w:tcPr>
            <w:tcW w:w="5598" w:type="dxa"/>
            <w:noWrap w:val="0"/>
            <w:vAlign w:val="top"/>
          </w:tcPr>
          <w:p>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根据本项目寝室纪律检查、监督方案切合实际的得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分；根据本项目寝室纪律检查、监督方案较切合实际的得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4</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分；根据本项目寝室纪律检查、监督方案基本切合实际的得2分；有寝室纪律检查、监督方案的得1分；其他不得分。</w:t>
            </w:r>
          </w:p>
        </w:tc>
        <w:tc>
          <w:tcPr>
            <w:tcW w:w="992" w:type="dxa"/>
            <w:noWrap w:val="0"/>
            <w:vAlign w:val="top"/>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w:t>
            </w:r>
          </w:p>
        </w:tc>
        <w:tc>
          <w:tcPr>
            <w:tcW w:w="993" w:type="dxa"/>
            <w:noWrap w:val="0"/>
            <w:vAlign w:val="center"/>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numPr>
                <w:ilvl w:val="0"/>
                <w:numId w:val="5"/>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p>
        </w:tc>
        <w:tc>
          <w:tcPr>
            <w:tcW w:w="5598" w:type="dxa"/>
            <w:noWrap w:val="0"/>
            <w:vAlign w:val="top"/>
          </w:tcPr>
          <w:p>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根据本项目人员出入管理方案切合实际的得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分；根据本项目人员出入管理方案较切合实际的得</w:t>
            </w: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4</w:t>
            </w: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分；根据本项目人员出入管理方案基本切合实际的得2分；有人员出入管理方案的得1分；其他不得分。</w:t>
            </w:r>
          </w:p>
        </w:tc>
        <w:tc>
          <w:tcPr>
            <w:tcW w:w="992" w:type="dxa"/>
            <w:noWrap w:val="0"/>
            <w:vAlign w:val="top"/>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val="en-US" w:eastAsia="zh-CN" w:bidi="ar-SA"/>
                <w14:textFill>
                  <w14:solidFill>
                    <w14:schemeClr w14:val="tx1"/>
                  </w14:solidFill>
                </w14:textFill>
              </w:rPr>
              <w:t>5</w:t>
            </w:r>
          </w:p>
        </w:tc>
        <w:tc>
          <w:tcPr>
            <w:tcW w:w="993" w:type="dxa"/>
            <w:noWrap w:val="0"/>
            <w:vAlign w:val="center"/>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numPr>
                <w:ilvl w:val="0"/>
                <w:numId w:val="5"/>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p>
        </w:tc>
        <w:tc>
          <w:tcPr>
            <w:tcW w:w="5598" w:type="dxa"/>
            <w:noWrap w:val="0"/>
            <w:vAlign w:val="top"/>
          </w:tcPr>
          <w:p>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具备完善的安全防范措施以及消防等紧急预案的得4分；具备较完善的安全防范措施以及消防等紧急预案的得3分；具备基本完善的安全防范措施以及消防等紧急预案的得2分；具备安全防范措施以及消防等紧急预案的得1分；其他不得分。</w:t>
            </w:r>
          </w:p>
        </w:tc>
        <w:tc>
          <w:tcPr>
            <w:tcW w:w="992" w:type="dxa"/>
            <w:noWrap w:val="0"/>
            <w:vAlign w:val="top"/>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4</w:t>
            </w:r>
          </w:p>
        </w:tc>
        <w:tc>
          <w:tcPr>
            <w:tcW w:w="993" w:type="dxa"/>
            <w:noWrap w:val="0"/>
            <w:vAlign w:val="center"/>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numPr>
                <w:ilvl w:val="0"/>
                <w:numId w:val="5"/>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p>
        </w:tc>
        <w:tc>
          <w:tcPr>
            <w:tcW w:w="5598" w:type="dxa"/>
            <w:noWrap w:val="0"/>
            <w:vAlign w:val="top"/>
          </w:tcPr>
          <w:p>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具备完善的学生在寝时间突发疾病、私自离校等紧急情况应对预案的得4分；具备较完善的学生在寝时间突发疾病、私自离校等紧急情况应对预案的得3分；具备基本完善的学生在寝时间突发疾病、私自离校等紧急情况应对预案的得2分；具备学生在寝时间突发疾病、私自离校等紧急情况应对预案的得1分；其他不得分。</w:t>
            </w:r>
          </w:p>
        </w:tc>
        <w:tc>
          <w:tcPr>
            <w:tcW w:w="992" w:type="dxa"/>
            <w:noWrap w:val="0"/>
            <w:vAlign w:val="top"/>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4</w:t>
            </w:r>
          </w:p>
        </w:tc>
        <w:tc>
          <w:tcPr>
            <w:tcW w:w="993" w:type="dxa"/>
            <w:noWrap w:val="0"/>
            <w:vAlign w:val="center"/>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numPr>
                <w:ilvl w:val="0"/>
                <w:numId w:val="5"/>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p>
        </w:tc>
        <w:tc>
          <w:tcPr>
            <w:tcW w:w="5598" w:type="dxa"/>
            <w:noWrap w:val="0"/>
            <w:vAlign w:val="top"/>
          </w:tcPr>
          <w:p>
            <w:pPr>
              <w:keepNext w:val="0"/>
              <w:keepLines w:val="0"/>
              <w:shd w:val="clear" w:color="auto" w:fill="auto"/>
              <w:bidi w:val="0"/>
              <w:adjustRightInd w:val="0"/>
              <w:snapToGrid w:val="0"/>
              <w:spacing w:before="0" w:after="0" w:line="360" w:lineRule="auto"/>
              <w:ind w:left="0" w:right="0" w:firstLine="0"/>
              <w:jc w:val="left"/>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根据本项目后续服务质量承诺科学可行的得4分；根据本项目后续服务质量承诺较科学较可行的得3分；根据本项目后续服务质量承诺基本科学基本可行的得2分；根据本项目后续服务质量承诺科学可行性一般的得1分；其他不得分。</w:t>
            </w:r>
          </w:p>
        </w:tc>
        <w:tc>
          <w:tcPr>
            <w:tcW w:w="992" w:type="dxa"/>
            <w:noWrap w:val="0"/>
            <w:vAlign w:val="top"/>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4</w:t>
            </w:r>
          </w:p>
        </w:tc>
        <w:tc>
          <w:tcPr>
            <w:tcW w:w="993" w:type="dxa"/>
            <w:noWrap w:val="0"/>
            <w:vAlign w:val="center"/>
          </w:tcPr>
          <w:p>
            <w:pPr>
              <w:keepNext w:val="0"/>
              <w:keepLines w:val="0"/>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主观分</w:t>
            </w:r>
          </w:p>
          <w:p>
            <w:pPr>
              <w:keepNext/>
              <w:keepLines/>
              <w:widowControl w:val="0"/>
              <w:shd w:val="clear" w:color="auto" w:fill="auto"/>
              <w:tabs>
                <w:tab w:val="left" w:pos="432"/>
              </w:tabs>
              <w:bidi w:val="0"/>
              <w:adjustRightInd/>
              <w:spacing w:before="0" w:after="0" w:line="360" w:lineRule="auto"/>
              <w:ind w:left="432" w:right="0" w:hanging="432"/>
              <w:jc w:val="left"/>
              <w:outlineLvl w:val="1"/>
              <w:rPr>
                <w:rFonts w:hint="eastAsia" w:ascii="仿宋" w:hAnsi="仿宋" w:eastAsia="仿宋" w:cs="仿宋"/>
                <w:b/>
                <w:bCs/>
                <w:color w:val="000000" w:themeColor="text1"/>
                <w:spacing w:val="0"/>
                <w:w w:val="100"/>
                <w:kern w:val="2"/>
                <w:position w:val="0"/>
                <w:sz w:val="32"/>
                <w:szCs w:val="32"/>
                <w:highlight w:val="none"/>
                <w:shd w:val="clear" w:color="auto" w:fill="auto"/>
                <w:lang w:val="zh-CN"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keepNext w:val="0"/>
              <w:keepLines w:val="0"/>
              <w:numPr>
                <w:ilvl w:val="0"/>
                <w:numId w:val="5"/>
              </w:numPr>
              <w:shd w:val="clear" w:color="auto" w:fill="auto"/>
              <w:bidi w:val="0"/>
              <w:adjustRightInd w:val="0"/>
              <w:snapToGrid w:val="0"/>
              <w:spacing w:before="0" w:after="0" w:line="360" w:lineRule="auto"/>
              <w:ind w:left="0" w:right="0" w:firstLine="0"/>
              <w:jc w:val="cente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p>
        </w:tc>
        <w:tc>
          <w:tcPr>
            <w:tcW w:w="5598" w:type="dxa"/>
            <w:noWrap w:val="0"/>
            <w:vAlign w:val="top"/>
          </w:tcPr>
          <w:p>
            <w:pPr>
              <w:keepNext w:val="0"/>
              <w:keepLines w:val="0"/>
              <w:shd w:val="clear" w:color="auto" w:fill="auto"/>
              <w:bidi w:val="0"/>
              <w:adjustRightInd w:val="0"/>
              <w:spacing w:before="0" w:after="0" w:line="360" w:lineRule="auto"/>
              <w:ind w:left="0" w:right="0" w:firstLine="0"/>
              <w:jc w:val="both"/>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有效投标报价的最低价作为评标基准价，其最低报价为满分；按［投标报价得分=（评标基准价/投标报价）*权重］的计算公式计算（报价得分保留两位小数，后一位四舍五入）。</w:t>
            </w:r>
          </w:p>
          <w:p>
            <w:pPr>
              <w:keepNext w:val="0"/>
              <w:keepLines w:val="0"/>
              <w:shd w:val="clear" w:color="auto" w:fill="auto"/>
              <w:bidi w:val="0"/>
              <w:adjustRightInd w:val="0"/>
              <w:spacing w:before="0" w:after="0" w:line="360" w:lineRule="auto"/>
              <w:ind w:left="0" w:right="0" w:firstLine="0"/>
              <w:jc w:val="both"/>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评标过程中，不得去掉报价中的最高报价和最低报价。</w:t>
            </w:r>
          </w:p>
          <w:p>
            <w:pPr>
              <w:keepNext w:val="0"/>
              <w:keepLines w:val="0"/>
              <w:shd w:val="clear" w:color="auto" w:fill="auto"/>
              <w:bidi w:val="0"/>
              <w:adjustRightInd w:val="0"/>
              <w:spacing w:before="0" w:after="0" w:line="360" w:lineRule="auto"/>
              <w:ind w:left="0" w:right="0" w:firstLine="0"/>
              <w:jc w:val="both"/>
              <w:rPr>
                <w:rFonts w:hint="eastAsia" w:ascii="仿宋" w:hAnsi="仿宋" w:eastAsia="仿宋" w:cs="仿宋"/>
                <w:color w:val="000000" w:themeColor="text1"/>
                <w:spacing w:val="0"/>
                <w:w w:val="100"/>
                <w:kern w:val="2"/>
                <w:position w:val="0"/>
                <w:sz w:val="21"/>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992" w:type="dxa"/>
            <w:noWrap w:val="0"/>
            <w:vAlign w:val="center"/>
          </w:tcPr>
          <w:p>
            <w:pPr>
              <w:keepNext w:val="0"/>
              <w:keepLines w:val="0"/>
              <w:shd w:val="clear" w:color="auto" w:fill="auto"/>
              <w:bidi w:val="0"/>
              <w:adjustRightInd w:val="0"/>
              <w:spacing w:before="0" w:after="0" w:line="360" w:lineRule="auto"/>
              <w:ind w:left="0" w:right="0" w:firstLine="0"/>
              <w:jc w:val="center"/>
              <w:outlineLvl w:val="0"/>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10</w:t>
            </w:r>
          </w:p>
        </w:tc>
        <w:tc>
          <w:tcPr>
            <w:tcW w:w="993" w:type="dxa"/>
            <w:noWrap w:val="0"/>
            <w:vAlign w:val="center"/>
          </w:tcPr>
          <w:p>
            <w:pPr>
              <w:keepNext w:val="0"/>
              <w:keepLines w:val="0"/>
              <w:shd w:val="clear" w:color="auto" w:fill="auto"/>
              <w:bidi w:val="0"/>
              <w:adjustRightInd w:val="0"/>
              <w:spacing w:before="0" w:after="0" w:line="360" w:lineRule="auto"/>
              <w:ind w:left="0" w:right="0" w:firstLine="0"/>
              <w:jc w:val="center"/>
              <w:outlineLvl w:val="0"/>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pPr>
            <w:r>
              <w:rPr>
                <w:rFonts w:hint="eastAsia" w:ascii="仿宋" w:hAnsi="仿宋" w:eastAsia="仿宋" w:cs="仿宋"/>
                <w:color w:val="000000" w:themeColor="text1"/>
                <w:spacing w:val="0"/>
                <w:w w:val="100"/>
                <w:kern w:val="2"/>
                <w:position w:val="0"/>
                <w:sz w:val="24"/>
                <w:highlight w:val="none"/>
                <w:shd w:val="clear" w:color="auto" w:fill="auto"/>
                <w:lang w:eastAsia="zh-CN" w:bidi="ar-SA"/>
                <w14:textFill>
                  <w14:solidFill>
                    <w14:schemeClr w14:val="tx1"/>
                  </w14:solidFill>
                </w14:textFill>
              </w:rPr>
              <w:t>/</w:t>
            </w:r>
          </w:p>
        </w:tc>
      </w:tr>
    </w:tbl>
    <w:p>
      <w:pPr>
        <w:snapToGrid w:val="0"/>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宋体" w:hAnsi="宋体" w:eastAsia="仿宋" w:cs="宋体"/>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宋体"/>
          <w:color w:val="000000" w:themeColor="text1"/>
          <w:sz w:val="20"/>
          <w:szCs w:val="20"/>
          <w:highlight w:val="none"/>
          <w:shd w:val="clear" w:color="auto" w:fill="FFFFFF"/>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备注：</w:t>
      </w:r>
      <w:r>
        <w:rPr>
          <w:rFonts w:hint="eastAsia" w:ascii="仿宋" w:hAnsi="仿宋" w:eastAsia="仿宋" w:cs="宋体"/>
          <w:color w:val="000000" w:themeColor="text1"/>
          <w:sz w:val="24"/>
          <w:highlight w:val="none"/>
          <w14:textFill>
            <w14:solidFill>
              <w14:schemeClr w14:val="tx1"/>
            </w14:solidFill>
          </w14:textFill>
        </w:rPr>
        <w:t>投标人编制投标文件（商务技术文件部分）时，建议按此目录（序号和内容）</w:t>
      </w:r>
    </w:p>
    <w:p>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提供评标标准相应的商务技术资料。</w:t>
      </w:r>
      <w:r>
        <w:rPr>
          <w:rFonts w:hint="eastAsia" w:ascii="宋体" w:hAnsi="宋体" w:eastAsia="仿宋" w:cs="宋体"/>
          <w:color w:val="000000" w:themeColor="text1"/>
          <w:sz w:val="24"/>
          <w:highlight w:val="none"/>
          <w14:textFill>
            <w14:solidFill>
              <w14:schemeClr w14:val="tx1"/>
            </w14:solidFill>
          </w14:textFill>
        </w:rPr>
        <w:t> </w:t>
      </w:r>
    </w:p>
    <w:p>
      <w:pPr>
        <w:snapToGrid w:val="0"/>
        <w:spacing w:line="360" w:lineRule="auto"/>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1.</w:t>
      </w:r>
      <w:r>
        <w:rPr>
          <w:rFonts w:hint="eastAsia" w:ascii="仿宋" w:hAnsi="仿宋" w:eastAsia="仿宋" w:cs="宋体"/>
          <w:b/>
          <w:color w:val="000000" w:themeColor="text1"/>
          <w:kern w:val="0"/>
          <w:sz w:val="24"/>
          <w:highlight w:val="none"/>
          <w:lang w:val="en-US" w:eastAsia="zh-CN"/>
          <w14:textFill>
            <w14:solidFill>
              <w14:schemeClr w14:val="tx1"/>
            </w14:solidFill>
          </w14:textFill>
        </w:rPr>
        <w:t>1</w:t>
      </w:r>
      <w:r>
        <w:rPr>
          <w:rFonts w:hint="eastAsia" w:ascii="仿宋" w:hAnsi="仿宋" w:eastAsia="仿宋" w:cs="宋体"/>
          <w:b/>
          <w:color w:val="000000" w:themeColor="text1"/>
          <w:kern w:val="0"/>
          <w:sz w:val="24"/>
          <w:highlight w:val="none"/>
          <w14:textFill>
            <w14:solidFill>
              <w14:schemeClr w14:val="tx1"/>
            </w14:solidFill>
          </w14:textFill>
        </w:rPr>
        <w:t>本项目采用综合评分法。</w:t>
      </w:r>
      <w:r>
        <w:rPr>
          <w:rFonts w:hint="eastAsia" w:ascii="仿宋" w:hAnsi="仿宋" w:eastAsia="仿宋"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二、评标标准</w:t>
      </w:r>
    </w:p>
    <w:p>
      <w:pPr>
        <w:spacing w:line="360" w:lineRule="auto"/>
        <w:ind w:firstLine="472" w:firstLineChars="196"/>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w:t>
      </w:r>
      <w:r>
        <w:rPr>
          <w:rFonts w:hint="eastAsia" w:ascii="仿宋" w:hAnsi="仿宋" w:eastAsia="仿宋" w:cs="宋体"/>
          <w:b/>
          <w:color w:val="000000" w:themeColor="text1"/>
          <w:sz w:val="24"/>
          <w:highlight w:val="none"/>
          <w:lang w:val="en-US" w:eastAsia="zh-CN"/>
          <w14:textFill>
            <w14:solidFill>
              <w14:schemeClr w14:val="tx1"/>
            </w14:solidFill>
          </w14:textFill>
        </w:rPr>
        <w:t>1</w:t>
      </w:r>
      <w:r>
        <w:rPr>
          <w:rFonts w:hint="eastAsia" w:ascii="仿宋" w:hAnsi="仿宋" w:eastAsia="仿宋" w:cs="宋体"/>
          <w:b/>
          <w:color w:val="000000" w:themeColor="text1"/>
          <w:sz w:val="24"/>
          <w:highlight w:val="none"/>
          <w14:textFill>
            <w14:solidFill>
              <w14:schemeClr w14:val="tx1"/>
            </w14:solidFill>
          </w14:textFill>
        </w:rPr>
        <w:t>评标标准：</w:t>
      </w:r>
      <w:r>
        <w:rPr>
          <w:rFonts w:hint="eastAsia" w:ascii="仿宋" w:hAnsi="仿宋" w:eastAsia="仿宋" w:cs="宋体"/>
          <w:color w:val="000000" w:themeColor="text1"/>
          <w:kern w:val="0"/>
          <w:sz w:val="24"/>
          <w:highlight w:val="none"/>
          <w14:textFill>
            <w14:solidFill>
              <w14:schemeClr w14:val="tx1"/>
            </w14:solidFill>
          </w14:textFill>
        </w:rPr>
        <w:t>见评标办法前附表。</w:t>
      </w:r>
    </w:p>
    <w:p>
      <w:pPr>
        <w:spacing w:line="360" w:lineRule="auto"/>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三、评标程序</w:t>
      </w:r>
    </w:p>
    <w:p>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3.1符合性审查。</w:t>
      </w:r>
      <w:r>
        <w:rPr>
          <w:rFonts w:hint="eastAsia" w:ascii="仿宋" w:hAnsi="仿宋" w:eastAsia="仿宋"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3.2 比较与评价。</w:t>
      </w:r>
      <w:r>
        <w:rPr>
          <w:rFonts w:hint="eastAsia" w:ascii="仿宋" w:hAnsi="仿宋" w:eastAsia="仿宋"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3.3汇总商务技术得分。</w:t>
      </w:r>
      <w:r>
        <w:rPr>
          <w:rFonts w:hint="eastAsia" w:ascii="仿宋" w:hAnsi="仿宋" w:eastAsia="仿宋"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r>
        <w:rPr>
          <w:rFonts w:hint="eastAsia" w:ascii="仿宋" w:hAnsi="仿宋" w:eastAsia="仿宋" w:cs="Arial"/>
          <w:b/>
          <w:color w:val="000000" w:themeColor="text1"/>
          <w:kern w:val="0"/>
          <w:sz w:val="24"/>
          <w:highlight w:val="none"/>
          <w14:textFill>
            <w14:solidFill>
              <w14:schemeClr w14:val="tx1"/>
            </w14:solidFill>
          </w14:textFill>
        </w:rPr>
        <w:t>（评标委员会各成员评分的算术平均值，保留两位小数，后一位四舍五入）</w:t>
      </w:r>
      <w:r>
        <w:rPr>
          <w:rFonts w:hint="eastAsia" w:ascii="仿宋" w:hAnsi="仿宋" w:eastAsia="仿宋" w:cs="宋体"/>
          <w:color w:val="000000" w:themeColor="text1"/>
          <w:kern w:val="0"/>
          <w:sz w:val="24"/>
          <w:highlight w:val="none"/>
          <w14:textFill>
            <w14:solidFill>
              <w14:schemeClr w14:val="tx1"/>
            </w14:solidFill>
          </w14:textFill>
        </w:rPr>
        <w:t>。</w:t>
      </w:r>
    </w:p>
    <w:p>
      <w:pPr>
        <w:spacing w:line="360" w:lineRule="auto"/>
        <w:ind w:firstLine="472" w:firstLineChars="196"/>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3.4报价评审。</w:t>
      </w:r>
    </w:p>
    <w:p>
      <w:pPr>
        <w:pStyle w:val="90"/>
        <w:spacing w:before="0"/>
        <w:ind w:firstLine="508" w:firstLineChars="212"/>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3.4.1投标文件报价出现前后不一致的，按照下列规定修正：</w:t>
      </w:r>
    </w:p>
    <w:p>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3.4.1.2大写金额和小写金额不一致的，以大写金额为准;</w:t>
      </w:r>
    </w:p>
    <w:p>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3.4.3投标报价超过招标文件中规定的预算金额或者最高限价的，投标无效。</w:t>
      </w:r>
    </w:p>
    <w:p>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3.5排序与推荐。</w:t>
      </w:r>
      <w:r>
        <w:rPr>
          <w:rFonts w:hint="eastAsia" w:ascii="仿宋" w:hAnsi="仿宋" w:eastAsia="仿宋"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3.6编写评标报告。</w:t>
      </w:r>
      <w:r>
        <w:rPr>
          <w:rFonts w:hint="eastAsia" w:ascii="仿宋" w:hAnsi="仿宋" w:eastAsia="仿宋"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0" w:line="360" w:lineRule="auto"/>
        <w:jc w:val="left"/>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四、评标中的其他事项</w:t>
      </w:r>
    </w:p>
    <w:p>
      <w:pPr>
        <w:pStyle w:val="90"/>
        <w:spacing w:before="0"/>
        <w:ind w:firstLine="472" w:firstLineChars="196"/>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4.2投标无效。</w:t>
      </w:r>
      <w:r>
        <w:rPr>
          <w:rFonts w:hint="eastAsia" w:ascii="仿宋" w:hAnsi="仿宋" w:eastAsia="仿宋"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4.2.6投标文件出现不是唯一的、有选择性投标报价的;</w:t>
      </w:r>
    </w:p>
    <w:p>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4.2.8</w:t>
      </w:r>
      <w:r>
        <w:rPr>
          <w:rFonts w:hint="eastAsia" w:ascii="仿宋" w:hAnsi="仿宋" w:eastAsia="仿宋" w:cs="宋体"/>
          <w:color w:val="000000" w:themeColor="text1"/>
          <w:kern w:val="0"/>
          <w:sz w:val="24"/>
          <w:highlight w:val="none"/>
          <w:lang w:val="en-US" w:eastAsia="zh-CN"/>
          <w14:textFill>
            <w14:solidFill>
              <w14:schemeClr w14:val="tx1"/>
            </w14:solidFill>
          </w14:textFill>
        </w:rPr>
        <w:t>《中小企业声明函》填写企业类型错误或者未填写企业类型的，投标无效</w:t>
      </w:r>
      <w:r>
        <w:rPr>
          <w:rFonts w:hint="eastAsia" w:ascii="仿宋" w:hAnsi="仿宋" w:eastAsia="仿宋" w:cs="宋体"/>
          <w:color w:val="000000" w:themeColor="text1"/>
          <w:kern w:val="0"/>
          <w:sz w:val="24"/>
          <w:highlight w:val="none"/>
          <w14:textFill>
            <w14:solidFill>
              <w14:schemeClr w14:val="tx1"/>
            </w14:solidFill>
          </w14:textFill>
        </w:rPr>
        <w:t>;</w:t>
      </w:r>
    </w:p>
    <w:p>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 xml:space="preserve">4.2.12 </w:t>
      </w:r>
      <w:r>
        <w:rPr>
          <w:rFonts w:hint="eastAsia" w:ascii="仿宋" w:hAnsi="仿宋" w:eastAsia="仿宋" w:cs="宋体"/>
          <w:color w:val="000000" w:themeColor="text1"/>
          <w:kern w:val="0"/>
          <w:sz w:val="24"/>
          <w:highlight w:val="none"/>
          <w14:textFill>
            <w14:solidFill>
              <w14:schemeClr w14:val="tx1"/>
            </w14:solidFill>
          </w14:textFill>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w:t>
      </w:r>
      <w:r>
        <w:rPr>
          <w:rFonts w:hint="eastAsia" w:ascii="仿宋" w:hAnsi="仿宋" w:eastAsia="仿宋" w:cs="宋体"/>
          <w:color w:val="000000" w:themeColor="text1"/>
          <w:kern w:val="0"/>
          <w:sz w:val="24"/>
          <w:highlight w:val="none"/>
          <w:lang w:val="en-US" w:eastAsia="zh-CN"/>
          <w14:textFill>
            <w14:solidFill>
              <w14:schemeClr w14:val="tx1"/>
            </w14:solidFill>
          </w14:textFill>
        </w:rPr>
        <w:t>3</w:t>
      </w:r>
      <w:r>
        <w:rPr>
          <w:rFonts w:hint="eastAsia" w:ascii="仿宋" w:hAnsi="仿宋" w:eastAsia="仿宋"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pPr>
        <w:pStyle w:val="3"/>
        <w:ind w:left="862" w:leftChars="205"/>
        <w:rPr>
          <w:rFonts w:ascii="仿宋" w:eastAsia="仿宋" w:cs="宋体"/>
          <w:b w:val="0"/>
          <w:bCs w:val="0"/>
          <w:color w:val="000000" w:themeColor="text1"/>
          <w:kern w:val="0"/>
          <w:sz w:val="24"/>
          <w:szCs w:val="24"/>
          <w:highlight w:val="none"/>
          <w:lang w:val="en-US"/>
          <w14:textFill>
            <w14:solidFill>
              <w14:schemeClr w14:val="tx1"/>
            </w14:solidFill>
          </w14:textFill>
        </w:rPr>
      </w:pPr>
      <w:r>
        <w:rPr>
          <w:rFonts w:hint="eastAsia" w:ascii="仿宋" w:eastAsia="仿宋" w:cs="宋体"/>
          <w:b w:val="0"/>
          <w:bCs w:val="0"/>
          <w:color w:val="000000" w:themeColor="text1"/>
          <w:kern w:val="0"/>
          <w:sz w:val="24"/>
          <w:szCs w:val="24"/>
          <w:highlight w:val="none"/>
          <w:lang w:val="en-US"/>
          <w14:textFill>
            <w14:solidFill>
              <w14:schemeClr w14:val="tx1"/>
            </w14:solidFill>
          </w14:textFill>
        </w:rPr>
        <w:t>4.2.1</w:t>
      </w:r>
      <w:r>
        <w:rPr>
          <w:rFonts w:hint="eastAsia" w:ascii="仿宋" w:eastAsia="仿宋" w:cs="宋体"/>
          <w:b w:val="0"/>
          <w:bCs w:val="0"/>
          <w:color w:val="000000" w:themeColor="text1"/>
          <w:kern w:val="0"/>
          <w:sz w:val="24"/>
          <w:szCs w:val="24"/>
          <w:highlight w:val="none"/>
          <w:lang w:val="en-US" w:eastAsia="zh-CN"/>
          <w14:textFill>
            <w14:solidFill>
              <w14:schemeClr w14:val="tx1"/>
            </w14:solidFill>
          </w14:textFill>
        </w:rPr>
        <w:t>4</w:t>
      </w:r>
      <w:r>
        <w:rPr>
          <w:rFonts w:hint="eastAsia" w:ascii="仿宋" w:eastAsia="仿宋" w:cs="宋体"/>
          <w:b w:val="0"/>
          <w:bCs w:val="0"/>
          <w:color w:val="000000" w:themeColor="text1"/>
          <w:kern w:val="0"/>
          <w:sz w:val="24"/>
          <w:szCs w:val="24"/>
          <w:highlight w:val="none"/>
          <w:lang w:val="en-US"/>
          <w14:textFill>
            <w14:solidFill>
              <w14:schemeClr w14:val="tx1"/>
            </w14:solidFill>
          </w14:textFill>
        </w:rPr>
        <w:t xml:space="preserve"> 投标文件不满足招标文件的其它实质性要求的；</w:t>
      </w:r>
    </w:p>
    <w:p>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w:t>
      </w:r>
      <w:r>
        <w:rPr>
          <w:rFonts w:hint="eastAsia" w:ascii="仿宋" w:hAnsi="仿宋" w:eastAsia="仿宋" w:cs="宋体"/>
          <w:color w:val="000000" w:themeColor="text1"/>
          <w:kern w:val="0"/>
          <w:sz w:val="24"/>
          <w:highlight w:val="none"/>
          <w:lang w:val="en-US" w:eastAsia="zh-CN"/>
          <w14:textFill>
            <w14:solidFill>
              <w14:schemeClr w14:val="tx1"/>
            </w14:solidFill>
          </w14:textFill>
        </w:rPr>
        <w:t>5</w:t>
      </w:r>
      <w:r>
        <w:rPr>
          <w:rFonts w:hint="eastAsia" w:ascii="仿宋" w:hAnsi="仿宋" w:eastAsia="仿宋"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5.废标。</w:t>
      </w:r>
      <w:r>
        <w:rPr>
          <w:rFonts w:hint="eastAsia" w:ascii="仿宋" w:hAnsi="仿宋" w:eastAsia="仿宋"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6"/>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5.1符合专业条件的供应商或者对招标文件作实质响应的供应商不足3家的；</w:t>
      </w:r>
    </w:p>
    <w:p>
      <w:pPr>
        <w:pStyle w:val="26"/>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5.2出现影响采购公正的违法、违规行为的；</w:t>
      </w:r>
    </w:p>
    <w:p>
      <w:pPr>
        <w:pStyle w:val="26"/>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5.3投标人的报价均超过了采购预算，采购人不能支付的；</w:t>
      </w:r>
    </w:p>
    <w:p>
      <w:pPr>
        <w:pStyle w:val="26"/>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5.4因重大变故，采购任务取消的。</w:t>
      </w:r>
    </w:p>
    <w:p>
      <w:pPr>
        <w:pStyle w:val="26"/>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废标后，采购机构应当将废标理由通知所有投标人。</w:t>
      </w:r>
    </w:p>
    <w:p>
      <w:pPr>
        <w:pStyle w:val="26"/>
        <w:snapToGrid w:val="0"/>
        <w:spacing w:line="360" w:lineRule="auto"/>
        <w:ind w:firstLine="590" w:firstLineChars="245"/>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6.修改招标文件，重新组织采购活动。</w:t>
      </w:r>
      <w:r>
        <w:rPr>
          <w:rFonts w:hint="eastAsia" w:ascii="仿宋" w:hAnsi="仿宋" w:eastAsia="仿宋"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7.重新开展采购。</w:t>
      </w:r>
      <w:r>
        <w:rPr>
          <w:rFonts w:hint="eastAsia" w:ascii="仿宋" w:hAnsi="仿宋" w:eastAsia="仿宋"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26"/>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7.1未确定中标供应商的，终止本次政府采购活动，重新开展政府采购活动。</w:t>
      </w:r>
    </w:p>
    <w:p>
      <w:pPr>
        <w:pStyle w:val="26"/>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7.4政府采购合同已经履行，给采购人、供应商造成损失的，由责任人承担赔偿责任。</w:t>
      </w:r>
    </w:p>
    <w:p>
      <w:pPr>
        <w:pStyle w:val="26"/>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6"/>
    <w:p>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sectPr>
          <w:pgSz w:w="11905" w:h="16838"/>
          <w:pgMar w:top="680" w:right="1417" w:bottom="680" w:left="1417" w:header="851" w:footer="992" w:gutter="0"/>
          <w:cols w:space="0" w:num="1"/>
          <w:titlePg/>
          <w:rtlGutter w:val="0"/>
          <w:docGrid w:linePitch="0" w:charSpace="0"/>
        </w:sectPr>
      </w:pPr>
      <w:bookmarkStart w:id="392" w:name="第五部分"/>
      <w:bookmarkStart w:id="393" w:name="_Toc86217003"/>
    </w:p>
    <w:p>
      <w:pPr>
        <w:spacing w:line="360" w:lineRule="auto"/>
        <w:ind w:left="720" w:leftChars="343" w:firstLine="1084" w:firstLineChars="300"/>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第五部分 拟签订的合同文本</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政府采购合同参考范本</w:t>
      </w:r>
    </w:p>
    <w:p>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（服务类）</w:t>
      </w:r>
    </w:p>
    <w:p>
      <w:pPr>
        <w:pStyle w:val="28"/>
        <w:ind w:firstLine="2843" w:firstLineChars="11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第一部分 合同书</w:t>
      </w:r>
    </w:p>
    <w:p>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pPr>
        <w:pStyle w:val="3"/>
        <w:rPr>
          <w:rFonts w:hint="eastAsia" w:ascii="仿宋" w:eastAsia="仿宋" w:cs="仿宋"/>
          <w:color w:val="000000" w:themeColor="text1"/>
          <w:sz w:val="24"/>
          <w:szCs w:val="24"/>
          <w:highlight w:val="none"/>
          <w14:textFill>
            <w14:solidFill>
              <w14:schemeClr w14:val="tx1"/>
            </w14:solidFill>
          </w14:textFill>
        </w:rPr>
      </w:pPr>
    </w:p>
    <w:p>
      <w:pPr>
        <w:spacing w:before="120" w:line="360" w:lineRule="auto"/>
        <w:ind w:left="96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pStyle w:val="287"/>
        <w:spacing w:before="120"/>
        <w:rPr>
          <w:rFonts w:hint="eastAsia" w:ascii="仿宋" w:hAnsi="仿宋" w:eastAsia="仿宋" w:cs="仿宋"/>
          <w:color w:val="000000" w:themeColor="text1"/>
          <w:szCs w:val="24"/>
          <w:highlight w:val="none"/>
          <w14:textFill>
            <w14:solidFill>
              <w14:schemeClr w14:val="tx1"/>
            </w14:solidFill>
          </w14:textFill>
        </w:rPr>
      </w:pPr>
    </w:p>
    <w:p>
      <w:pPr>
        <w:pStyle w:val="287"/>
        <w:spacing w:before="120"/>
        <w:rPr>
          <w:rFonts w:hint="eastAsia" w:ascii="仿宋" w:hAnsi="仿宋" w:eastAsia="仿宋" w:cs="仿宋"/>
          <w:color w:val="000000" w:themeColor="text1"/>
          <w:szCs w:val="24"/>
          <w:highlight w:val="none"/>
          <w14:textFill>
            <w14:solidFill>
              <w14:schemeClr w14:val="tx1"/>
            </w14:solidFill>
          </w14:textFill>
        </w:rPr>
      </w:pPr>
    </w:p>
    <w:p>
      <w:pPr>
        <w:spacing w:line="360" w:lineRule="auto"/>
        <w:rPr>
          <w:rFonts w:hint="eastAsia" w:ascii="仿宋" w:hAnsi="仿宋" w:eastAsia="仿宋" w:cs="仿宋"/>
          <w:color w:val="000000" w:themeColor="text1"/>
          <w:sz w:val="24"/>
          <w:highlight w:val="none"/>
          <w14:textFill>
            <w14:solidFill>
              <w14:schemeClr w14:val="tx1"/>
            </w14:solidFill>
          </w14:textFill>
        </w:rPr>
      </w:pPr>
    </w:p>
    <w:p>
      <w:pPr>
        <w:spacing w:before="120" w:line="360" w:lineRule="auto"/>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pPr>
        <w:spacing w:before="120" w:line="360" w:lineRule="auto"/>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pPr>
        <w:spacing w:before="120" w:line="360" w:lineRule="auto"/>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pPr>
        <w:spacing w:before="120" w:line="360" w:lineRule="auto"/>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pPr>
        <w:widowControl/>
        <w:spacing w:line="360" w:lineRule="auto"/>
        <w:jc w:val="left"/>
        <w:rPr>
          <w:rFonts w:hint="eastAsia" w:ascii="仿宋" w:hAnsi="仿宋" w:eastAsia="仿宋" w:cs="仿宋"/>
          <w:color w:val="000000" w:themeColor="text1"/>
          <w:kern w:val="0"/>
          <w:sz w:val="24"/>
          <w:highlight w:val="none"/>
          <w14:textFill>
            <w14:solidFill>
              <w14:schemeClr w14:val="tx1"/>
            </w14:solidFill>
          </w14:textFill>
        </w:rPr>
        <w:sectPr>
          <w:headerReference r:id="rId8" w:type="default"/>
          <w:footerReference r:id="rId9" w:type="default"/>
          <w:pgSz w:w="11907" w:h="16840"/>
          <w:pgMar w:top="1474" w:right="1814" w:bottom="1474" w:left="1814" w:header="851" w:footer="851" w:gutter="0"/>
          <w:cols w:space="720" w:num="1"/>
          <w:titlePg/>
          <w:docGrid w:linePitch="312" w:charSpace="0"/>
        </w:sect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年</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月</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以</w:t>
      </w:r>
      <w:r>
        <w:rPr>
          <w:rFonts w:hint="eastAsia" w:ascii="仿宋" w:hAnsi="仿宋" w:eastAsia="仿宋" w:cs="仿宋"/>
          <w:color w:val="000000" w:themeColor="text1"/>
          <w:sz w:val="24"/>
          <w:highlight w:val="none"/>
          <w:u w:val="single"/>
          <w14:textFill>
            <w14:solidFill>
              <w14:schemeClr w14:val="tx1"/>
            </w14:solidFill>
          </w14:textFill>
        </w:rPr>
        <w:t xml:space="preserve">   公开招标  </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项目进行了采购。经</w:t>
      </w:r>
      <w:r>
        <w:rPr>
          <w:rFonts w:hint="eastAsia" w:ascii="仿宋" w:hAnsi="仿宋" w:eastAsia="仿宋" w:cs="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s="仿宋"/>
          <w:color w:val="000000" w:themeColor="text1"/>
          <w:sz w:val="24"/>
          <w:highlight w:val="none"/>
          <w14:textFill>
            <w14:solidFill>
              <w14:schemeClr w14:val="tx1"/>
            </w14:solidFill>
          </w14:textFill>
        </w:rPr>
        <w:t>评定，</w:t>
      </w:r>
      <w:r>
        <w:rPr>
          <w:rFonts w:hint="eastAsia" w:ascii="仿宋" w:hAnsi="仿宋" w:eastAsia="仿宋" w:cs="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s="仿宋"/>
          <w:color w:val="000000" w:themeColor="text1"/>
          <w:sz w:val="24"/>
          <w:highlight w:val="none"/>
          <w14:textFill>
            <w14:solidFill>
              <w14:schemeClr w14:val="tx1"/>
            </w14:solidFill>
          </w14:textFill>
        </w:rPr>
        <w:t>为该项目中标供应商。现于中标通知书发出之日起10个工作日内，按照采购文件确定的事项签订本合同。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(以下简称：甲方)和</w:t>
      </w:r>
      <w:r>
        <w:rPr>
          <w:rFonts w:hint="eastAsia" w:ascii="仿宋" w:hAnsi="仿宋" w:eastAsia="仿宋" w:cs="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s="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s="仿宋"/>
          <w:color w:val="000000" w:themeColor="text1"/>
          <w:sz w:val="24"/>
          <w:highlight w:val="none"/>
          <w14:textFill>
            <w14:solidFill>
              <w14:schemeClr w14:val="tx1"/>
            </w14:solidFill>
          </w14:textFill>
        </w:rPr>
        <w:t>条款，以兹共同遵守、全面履行。</w:t>
      </w:r>
    </w:p>
    <w:p>
      <w:pPr>
        <w:spacing w:line="360" w:lineRule="auto"/>
        <w:ind w:firstLine="482"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 合同组成部分</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 本合同及其补充合同、变更协议；</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 中标通知书；</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 投标或者响应文件（含澄清或者说明文件）；</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 采购文件（含澄清或者修改文件）；</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1.1.5 其他相关采购文件。</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1.2 标的</w:t>
      </w:r>
    </w:p>
    <w:p>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 服务内容：</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 服务标准：</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 技术保障：</w:t>
      </w:r>
      <w:r>
        <w:rPr>
          <w:rFonts w:hint="eastAsia" w:ascii="仿宋" w:hAnsi="仿宋" w:eastAsia="仿宋" w:cs="仿宋"/>
          <w:color w:val="000000" w:themeColor="text1"/>
          <w:sz w:val="24"/>
          <w:highlight w:val="none"/>
          <w:u w:val="single"/>
          <w14:textFill>
            <w14:solidFill>
              <w14:schemeClr w14:val="tx1"/>
            </w14:solidFill>
          </w14:textFill>
        </w:rPr>
        <w:t>　∕   ；</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 服务人员组成：</w:t>
      </w:r>
      <w:r>
        <w:rPr>
          <w:rFonts w:hint="eastAsia" w:ascii="仿宋" w:hAnsi="仿宋" w:eastAsia="仿宋" w:cs="仿宋"/>
          <w:color w:val="000000" w:themeColor="text1"/>
          <w:sz w:val="24"/>
          <w:highlight w:val="none"/>
          <w:u w:val="single"/>
          <w14:textFill>
            <w14:solidFill>
              <w14:schemeClr w14:val="tx1"/>
            </w14:solidFill>
          </w14:textFill>
        </w:rPr>
        <w:t xml:space="preserve">　详见附件一　   </w:t>
      </w:r>
      <w:r>
        <w:rPr>
          <w:rFonts w:hint="eastAsia" w:ascii="仿宋" w:hAnsi="仿宋" w:eastAsia="仿宋" w:cs="仿宋"/>
          <w:color w:val="000000" w:themeColor="text1"/>
          <w:sz w:val="24"/>
          <w:highlight w:val="none"/>
          <w14:textFill>
            <w14:solidFill>
              <w14:schemeClr w14:val="tx1"/>
            </w14:solidFill>
          </w14:textFill>
        </w:rPr>
        <w:t>；</w:t>
      </w:r>
    </w:p>
    <w:p>
      <w:pPr>
        <w:pStyle w:val="62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1.2.5合同</w:t>
      </w:r>
      <w:r>
        <w:rPr>
          <w:rFonts w:hint="eastAsia" w:ascii="仿宋" w:hAnsi="仿宋" w:eastAsia="仿宋" w:cs="仿宋"/>
          <w:color w:val="000000" w:themeColor="text1"/>
          <w:highlight w:val="none"/>
          <w:u w:val="single"/>
          <w14:textFill>
            <w14:solidFill>
              <w14:schemeClr w14:val="tx1"/>
            </w14:solidFill>
          </w14:textFill>
        </w:rPr>
        <w:t xml:space="preserve"> 不 </w:t>
      </w:r>
      <w:r>
        <w:rPr>
          <w:rFonts w:hint="eastAsia" w:ascii="仿宋" w:hAnsi="仿宋" w:eastAsia="仿宋" w:cs="仿宋"/>
          <w:color w:val="000000" w:themeColor="text1"/>
          <w:highlight w:val="none"/>
          <w14:textFill>
            <w14:solidFill>
              <w14:schemeClr w14:val="tx1"/>
            </w14:solidFill>
          </w14:textFill>
        </w:rPr>
        <w:t>（是/否）涉及货物。若涉及货物的，则：</w:t>
      </w:r>
    </w:p>
    <w:p>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1.2.5.1 货物名称、品牌、规格型号、花色：</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1.2.5.2 货物数量：</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1.2.5.3 货物质量：</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 价款</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本项目采用以下第</w:t>
      </w:r>
      <w:r>
        <w:rPr>
          <w:rFonts w:hint="eastAsia" w:ascii="仿宋" w:hAnsi="仿宋" w:eastAsia="仿宋" w:cs="仿宋"/>
          <w:color w:val="000000" w:themeColor="text1"/>
          <w:sz w:val="24"/>
          <w:highlight w:val="none"/>
          <w:u w:val="single"/>
          <w14:textFill>
            <w14:solidFill>
              <w14:schemeClr w14:val="tx1"/>
            </w14:solidFill>
          </w14:textFill>
        </w:rPr>
        <w:t xml:space="preserve"> 1.3.1  </w:t>
      </w:r>
      <w:r>
        <w:rPr>
          <w:rFonts w:hint="eastAsia" w:ascii="仿宋" w:hAnsi="仿宋" w:eastAsia="仿宋" w:cs="仿宋"/>
          <w:color w:val="000000" w:themeColor="text1"/>
          <w:sz w:val="24"/>
          <w:highlight w:val="none"/>
          <w14:textFill>
            <w14:solidFill>
              <w14:schemeClr w14:val="tx1"/>
            </w14:solidFill>
          </w14:textFill>
        </w:rPr>
        <w:t>条款规定的计价方式计价。</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1.3.1总价合同，本合同总价（含税）为：￥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分项价格：</w:t>
      </w:r>
    </w:p>
    <w:tbl>
      <w:tblPr>
        <w:tblStyle w:val="6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3402"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分项名称</w:t>
            </w:r>
          </w:p>
        </w:tc>
        <w:tc>
          <w:tcPr>
            <w:tcW w:w="2552" w:type="dxa"/>
            <w:vAlign w:val="center"/>
          </w:tcPr>
          <w:p>
            <w:pPr>
              <w:pStyle w:val="11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总价</w:t>
            </w:r>
          </w:p>
        </w:tc>
        <w:tc>
          <w:tcPr>
            <w:tcW w:w="2552"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bl>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1.3.2单价合同，本合同单价（含税）标准为：</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。服务工作量的计量方式为：</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pPr>
        <w:pStyle w:val="3"/>
        <w:rPr>
          <w:rFonts w:hint="eastAsia" w:asci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1.3.3其他计价方式：</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14:textFill>
            <w14:solidFill>
              <w14:schemeClr w14:val="tx1"/>
            </w14:solidFill>
          </w14:textFill>
        </w:rPr>
        <w:t>。</w:t>
      </w:r>
    </w:p>
    <w:p>
      <w:pPr>
        <w:pStyle w:val="620"/>
        <w:spacing w:before="0" w:beforeAutospacing="0" w:after="0" w:afterAutospacing="0" w:line="360" w:lineRule="auto"/>
        <w:ind w:firstLine="480"/>
        <w:rPr>
          <w:rFonts w:hint="eastAsia" w:ascii="仿宋" w:hAnsi="仿宋" w:eastAsia="仿宋" w:cs="仿宋"/>
          <w:b/>
          <w:color w:val="000000" w:themeColor="text1"/>
          <w:highlight w:val="none"/>
          <w14:textFill>
            <w14:solidFill>
              <w14:schemeClr w14:val="tx1"/>
            </w14:solidFill>
          </w14:textFill>
        </w:rPr>
      </w:pPr>
      <w:bookmarkStart w:id="394" w:name="_Toc10340"/>
      <w:bookmarkStart w:id="395" w:name="_Toc1814"/>
      <w:bookmarkStart w:id="396" w:name="_Toc22618"/>
      <w:r>
        <w:rPr>
          <w:rFonts w:hint="eastAsia" w:ascii="仿宋" w:hAnsi="仿宋" w:eastAsia="仿宋" w:cs="仿宋"/>
          <w:b/>
          <w:color w:val="000000" w:themeColor="text1"/>
          <w:highlight w:val="none"/>
          <w14:textFill>
            <w14:solidFill>
              <w14:schemeClr w14:val="tx1"/>
            </w14:solidFill>
          </w14:textFill>
        </w:rPr>
        <w:t>1.4履约保证金</w:t>
      </w:r>
    </w:p>
    <w:p>
      <w:pPr>
        <w:pStyle w:val="62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乙方需要支付履约保证金。若需要支付履约保证金的，则：</w:t>
      </w:r>
    </w:p>
    <w:p>
      <w:pPr>
        <w:spacing w:line="360" w:lineRule="auto"/>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1.4.1履约保证金的比例为合同金额的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1.4.2履约保证金支付方式详见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pPr>
        <w:pStyle w:val="3"/>
        <w:tabs>
          <w:tab w:val="left" w:pos="0"/>
        </w:tabs>
        <w:ind w:left="0" w:firstLine="480" w:firstLineChars="200"/>
        <w:rPr>
          <w:rFonts w:hint="eastAsia" w:asci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0.05  </w:t>
      </w:r>
      <w:r>
        <w:rPr>
          <w:rFonts w:hint="eastAsia" w:ascii="仿宋" w:hAnsi="仿宋" w:eastAsia="仿宋" w:cs="仿宋"/>
          <w:color w:val="000000" w:themeColor="text1"/>
          <w:kern w:val="0"/>
          <w:sz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20  </w:t>
      </w:r>
      <w:r>
        <w:rPr>
          <w:rFonts w:hint="eastAsia" w:ascii="仿宋" w:hAnsi="仿宋" w:eastAsia="仿宋" w:cs="仿宋"/>
          <w:color w:val="000000" w:themeColor="text1"/>
          <w:kern w:val="0"/>
          <w:sz w:val="24"/>
          <w:highlight w:val="none"/>
          <w14:textFill>
            <w14:solidFill>
              <w14:schemeClr w14:val="tx1"/>
            </w14:solidFill>
          </w14:textFill>
        </w:rPr>
        <w:t xml:space="preserve"> %。</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w:t>
      </w:r>
      <w:bookmarkEnd w:id="394"/>
      <w:bookmarkEnd w:id="395"/>
      <w:bookmarkEnd w:id="396"/>
      <w:r>
        <w:rPr>
          <w:rFonts w:hint="eastAsia" w:ascii="仿宋" w:hAnsi="仿宋" w:eastAsia="仿宋" w:cs="仿宋"/>
          <w:b/>
          <w:color w:val="000000" w:themeColor="text1"/>
          <w:sz w:val="24"/>
          <w:highlight w:val="none"/>
          <w14:textFill>
            <w14:solidFill>
              <w14:schemeClr w14:val="tx1"/>
            </w14:solidFill>
          </w14:textFill>
        </w:rPr>
        <w:t>预付款</w:t>
      </w:r>
    </w:p>
    <w:p>
      <w:pPr>
        <w:pStyle w:val="62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甲方</w:t>
      </w:r>
      <w:r>
        <w:rPr>
          <w:rFonts w:hint="eastAsia" w:ascii="仿宋" w:hAnsi="仿宋" w:eastAsia="仿宋" w:cs="仿宋"/>
          <w:color w:val="000000" w:themeColor="text1"/>
          <w:highlight w:val="none"/>
          <w:u w:val="single"/>
          <w14:textFill>
            <w14:solidFill>
              <w14:schemeClr w14:val="tx1"/>
            </w14:solidFill>
          </w14:textFill>
        </w:rPr>
        <w:t xml:space="preserve">    不 </w:t>
      </w:r>
      <w:r>
        <w:rPr>
          <w:rFonts w:hint="eastAsia" w:ascii="仿宋" w:hAnsi="仿宋" w:eastAsia="仿宋" w:cs="仿宋"/>
          <w:color w:val="000000" w:themeColor="text1"/>
          <w:highlight w:val="none"/>
          <w14:textFill>
            <w14:solidFill>
              <w14:schemeClr w14:val="tx1"/>
            </w14:solidFill>
          </w14:textFill>
        </w:rPr>
        <w:t>（是/否）需要支付预付款。若需要支付预付款的，则：</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1.5.1预付款比例、支付方式、时间详见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pPr>
        <w:pStyle w:val="62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1.5.2预付款的扣回方式详见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pPr>
        <w:pStyle w:val="620"/>
        <w:spacing w:before="0" w:beforeAutospacing="0" w:after="0" w:afterAutospacing="0" w:line="360" w:lineRule="auto"/>
        <w:ind w:firstLine="480"/>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1.5.3预付款的担保措施详见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pPr>
        <w:pStyle w:val="620"/>
        <w:spacing w:before="0" w:beforeAutospacing="0" w:after="0" w:afterAutospacing="0" w:line="360" w:lineRule="auto"/>
        <w:ind w:firstLine="48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1.6资金支付</w:t>
      </w:r>
    </w:p>
    <w:p>
      <w:pPr>
        <w:pStyle w:val="62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15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1.6.2资金支付的方式、时间和条件详见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1.7 履行期限、地点和方式</w:t>
      </w:r>
    </w:p>
    <w:p>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 服务交付（实施）的时间（期限）：</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 服务交付（实施）的地点（地域范围）：</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 服务交付（实施）的方式：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1.7.4若服务涉及货物的，则货物的：</w:t>
      </w:r>
    </w:p>
    <w:p>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1.7.4.1 交付期限：详见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1.7.4.2 交付地点：</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1.7.4.3 交付方式：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2" w:firstLineChars="200"/>
        <w:outlineLvl w:val="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1.8违约责任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000000" w:themeColor="text1"/>
          <w:sz w:val="24"/>
          <w:highlight w:val="none"/>
          <w:u w:val="single"/>
          <w14:textFill>
            <w14:solidFill>
              <w14:schemeClr w14:val="tx1"/>
            </w14:solidFill>
          </w14:textFill>
        </w:rPr>
        <w:t xml:space="preserve">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pPr>
        <w:pStyle w:val="3"/>
        <w:ind w:left="0" w:firstLine="480" w:firstLineChars="200"/>
        <w:rPr>
          <w:rFonts w:hint="eastAsia" w:ascii="仿宋" w:hAnsi="仿宋" w:eastAsia="仿宋" w:cs="仿宋"/>
          <w:b w:val="0"/>
          <w:bCs w:val="0"/>
          <w:color w:val="000000" w:themeColor="text1"/>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0.0</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 xml:space="preserve">5 </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%计算，最高限额为本合同总价的</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20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1.8.7违约责任</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另有约定的，从其约定。</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397" w:name="_Toc28375"/>
      <w:bookmarkStart w:id="398" w:name="_Toc16021"/>
      <w:bookmarkStart w:id="399" w:name="_Toc15583"/>
      <w:r>
        <w:rPr>
          <w:rFonts w:hint="eastAsia" w:ascii="仿宋" w:hAnsi="仿宋" w:eastAsia="仿宋" w:cs="仿宋"/>
          <w:b/>
          <w:color w:val="000000" w:themeColor="text1"/>
          <w:sz w:val="24"/>
          <w:highlight w:val="none"/>
          <w14:textFill>
            <w14:solidFill>
              <w14:schemeClr w14:val="tx1"/>
            </w14:solidFill>
          </w14:textFill>
        </w:rPr>
        <w:t>1.9合同争议的解决</w:t>
      </w:r>
      <w:bookmarkEnd w:id="397"/>
      <w:bookmarkEnd w:id="398"/>
      <w:bookmarkEnd w:id="399"/>
    </w:p>
    <w:p>
      <w:pPr>
        <w:spacing w:line="360" w:lineRule="auto"/>
        <w:ind w:left="-61" w:leftChars="-29" w:right="-420" w:rightChars="-200"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highlight w:val="none"/>
          <w:u w:val="single"/>
          <w14:textFill>
            <w14:solidFill>
              <w14:schemeClr w14:val="tx1"/>
            </w14:solidFill>
          </w14:textFill>
        </w:rPr>
        <w:t xml:space="preserve">  1.9.1  </w:t>
      </w:r>
      <w:r>
        <w:rPr>
          <w:rFonts w:hint="eastAsia" w:ascii="仿宋" w:hAnsi="仿宋" w:eastAsia="仿宋" w:cs="仿宋"/>
          <w:color w:val="000000" w:themeColor="text1"/>
          <w:sz w:val="24"/>
          <w:highlight w:val="none"/>
          <w14:textFill>
            <w14:solidFill>
              <w14:schemeClr w14:val="tx1"/>
            </w14:solidFill>
          </w14:textFill>
        </w:rPr>
        <w:t>条款规定的方式解决：</w:t>
      </w:r>
    </w:p>
    <w:p>
      <w:pPr>
        <w:spacing w:line="360" w:lineRule="auto"/>
        <w:ind w:left="-420" w:leftChars="-200" w:right="-420" w:rightChars="-200"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 将争议提交</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仲裁委员会依申请仲裁时其现行有效的仲裁规则裁决；</w:t>
      </w:r>
    </w:p>
    <w:p>
      <w:pPr>
        <w:spacing w:line="360" w:lineRule="auto"/>
        <w:ind w:left="-420" w:leftChars="-200" w:right="-420" w:rightChars="-200"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 向</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人民法院起诉。</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00" w:name="_Toc11173"/>
      <w:bookmarkStart w:id="401" w:name="_Toc15322"/>
      <w:bookmarkStart w:id="402" w:name="_Toc7245"/>
      <w:r>
        <w:rPr>
          <w:rFonts w:hint="eastAsia" w:ascii="仿宋" w:hAnsi="仿宋" w:eastAsia="仿宋" w:cs="仿宋"/>
          <w:b/>
          <w:color w:val="000000" w:themeColor="text1"/>
          <w:sz w:val="24"/>
          <w:highlight w:val="none"/>
          <w14:textFill>
            <w14:solidFill>
              <w14:schemeClr w14:val="tx1"/>
            </w14:solidFill>
          </w14:textFill>
        </w:rPr>
        <w:t>2.0 合同生效</w:t>
      </w:r>
      <w:bookmarkEnd w:id="400"/>
      <w:bookmarkEnd w:id="401"/>
      <w:bookmarkEnd w:id="402"/>
    </w:p>
    <w:p>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本合同自双方当事人盖章签字时生效。</w:t>
      </w: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p>
    <w:p>
      <w:pPr>
        <w:autoSpaceDE/>
        <w:autoSpaceDN/>
        <w:spacing w:line="240" w:lineRule="auto"/>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br w:type="page"/>
      </w:r>
    </w:p>
    <w:p>
      <w:pPr>
        <w:autoSpaceDE w:val="0"/>
        <w:autoSpaceDN w:val="0"/>
        <w:spacing w:line="360" w:lineRule="auto"/>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此页无正文，为签署页</w:t>
      </w:r>
      <w:r>
        <w:rPr>
          <w:rFonts w:hint="eastAsia" w:ascii="仿宋" w:hAnsi="仿宋" w:eastAsia="仿宋" w:cs="仿宋"/>
          <w:b/>
          <w:color w:val="000000" w:themeColor="text1"/>
          <w:sz w:val="24"/>
          <w:highlight w:val="none"/>
          <w:lang w:val="zh-CN"/>
          <w14:textFill>
            <w14:solidFill>
              <w14:schemeClr w14:val="tx1"/>
            </w14:solidFill>
          </w14:textFill>
        </w:rPr>
        <w:t>）</w:t>
      </w: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甲方</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b/>
          <w:color w:val="000000" w:themeColor="text1"/>
          <w:sz w:val="24"/>
          <w:highlight w:val="none"/>
          <w:lang w:val="zh-CN"/>
          <w14:textFill>
            <w14:solidFill>
              <w14:schemeClr w14:val="tx1"/>
            </w14:solidFill>
          </w14:textFill>
        </w:rPr>
        <w:t xml:space="preserve">      乙方</w:t>
      </w:r>
      <w:r>
        <w:rPr>
          <w:rFonts w:hint="eastAsia" w:ascii="仿宋" w:hAnsi="仿宋" w:eastAsia="仿宋" w:cs="仿宋"/>
          <w:color w:val="000000" w:themeColor="text1"/>
          <w:sz w:val="24"/>
          <w:highlight w:val="none"/>
          <w:lang w:val="zh-CN"/>
          <w14:textFill>
            <w14:solidFill>
              <w14:schemeClr w14:val="tx1"/>
            </w14:solidFill>
          </w14:textFill>
        </w:rPr>
        <w:t>：</w:t>
      </w: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统一社会信用代码：                        统一社会信用代码或身份证号码：</w:t>
      </w: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住所：                                   住所：</w:t>
      </w: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                             法定代表人或</w:t>
      </w: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授权代表（签字）：                       授权代表（签字）: </w:t>
      </w: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联系人：                                 联系人：</w:t>
      </w: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约定送达地址：                           约定送达地址：</w:t>
      </w: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邮政编码：                               邮政编码：</w:t>
      </w: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电话:                                    电话: </w:t>
      </w: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传真:                                    传真:</w:t>
      </w:r>
    </w:p>
    <w:p>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电子邮箱：                               电子邮箱：</w:t>
      </w:r>
    </w:p>
    <w:p>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开户银行：                               开户银行： </w:t>
      </w:r>
    </w:p>
    <w:p>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开户名称：                               开户名称： </w:t>
      </w:r>
    </w:p>
    <w:p>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开户账号：</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开户账号：</w:t>
      </w:r>
    </w:p>
    <w:p>
      <w:pPr>
        <w:widowControl/>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pPr>
        <w:widowControl/>
        <w:adjustRightInd/>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pPr>
        <w:pStyle w:val="28"/>
        <w:ind w:firstLine="482"/>
        <w:jc w:val="center"/>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第二部分 合同一般条款</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 定义</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本合同中的下列词语应按以下内容进行解释：</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 “合同”系指采购人和中标供应商签订的载明双方当事人所达成的协议，并包括所有的附件、附录和构成合同的其他文件。</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 “合同价”系指根据合同约定，中标供应商在完全履行合同义务后，采购人应支付给中标供应商的价格。</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 “服务”系指中标供应商根据合同约定应向采购人履行的除货物和工程以外的其他政府采购对象，包括采购人自身需要的服务和向社会公众提供的公共服务。</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 “甲方”系指与中标供应商签署合同的采购人；采购人委托采购代理机构代表其与乙方签订合同的，采购人的授权委托书作为合同附件。</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 “现场”系指合同约定提供服务的地点。</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2.2 技术规范</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2.3 知识产权</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 合同涉及技术成果的归属和收益的分成办法的，详见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2.4 履约检查和问题反馈</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2.4.2 合同履行期间，甲方有权将履行过程中出现的问题反馈给乙方，双方当事人应以书面形式约定需要完善和改进的内容。</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2.5 结算方式和付款条件</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2.6 技术资料和保密义务</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2.6.2 乙方有义务妥善保管和保护由甲方提供的前款信息和资料等；</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2.7 质量保证</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2.8 延迟履行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2.9 合同变更</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2.10 合同转让和分包</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合同的权利义务依法不得转让，但经甲方</w:t>
      </w:r>
      <w:r>
        <w:rPr>
          <w:rFonts w:hint="eastAsia" w:ascii="仿宋" w:hAnsi="仿宋" w:eastAsia="仿宋" w:cs="仿宋"/>
          <w:color w:val="000000" w:themeColor="text1"/>
          <w:sz w:val="24"/>
          <w:highlight w:val="none"/>
          <w:lang w:val="en-US" w:eastAsia="zh-CN"/>
          <w14:textFill>
            <w14:solidFill>
              <w14:schemeClr w14:val="tx1"/>
            </w14:solidFill>
          </w14:textFill>
        </w:rPr>
        <w:t>书面</w:t>
      </w:r>
      <w:r>
        <w:rPr>
          <w:rFonts w:hint="eastAsia" w:ascii="仿宋" w:hAnsi="仿宋" w:eastAsia="仿宋" w:cs="仿宋"/>
          <w:color w:val="000000" w:themeColor="text1"/>
          <w:sz w:val="24"/>
          <w:highlight w:val="none"/>
          <w14:textFill>
            <w14:solidFill>
              <w14:schemeClr w14:val="tx1"/>
            </w14:solidFill>
          </w14:textFill>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2.11 不可抗力</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2.11.2 因不可抗力致使不能实现合同目的的，当事人可以解除合同；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2.11.3 因不可抗力致使合同有变更必要的，双方当事人应在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约定时间内以书面形式变更合同；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2.11.4受不可抗力影响的一方在不可抗力发生后，应在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约定时间内，将有关部门出具的证明文件送达对方当事人。</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2.12 税费</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与合同有关的一切税费，均按照中华人民共和国法律的相关规定缴纳。</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2.13 乙方破产</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2.14 合同中止、终止</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2.14.1 双方当事人不得擅自中止或者终止合同；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2.15 检验和验收</w:t>
      </w:r>
    </w:p>
    <w:p>
      <w:pPr>
        <w:tabs>
          <w:tab w:val="left" w:pos="360"/>
          <w:tab w:val="left" w:pos="540"/>
          <w:tab w:val="left" w:pos="1080"/>
        </w:tabs>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2.15.1 乙方按照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的约定，定期提交服务报告，甲方按照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的约定进行定期验收；</w:t>
      </w:r>
    </w:p>
    <w:p>
      <w:pPr>
        <w:tabs>
          <w:tab w:val="left" w:pos="360"/>
          <w:tab w:val="left" w:pos="540"/>
          <w:tab w:val="left" w:pos="1080"/>
        </w:tabs>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2.15.3 检验和验收标准、程序等具体内容以及前述验收书的效力详见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i/>
          <w:color w:val="000000" w:themeColor="text1"/>
          <w:sz w:val="24"/>
          <w:highlight w:val="none"/>
          <w14:textFill>
            <w14:solidFill>
              <w14:schemeClr w14:val="tx1"/>
            </w14:solidFill>
          </w14:textFill>
        </w:rPr>
        <w:t>。</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2.16 通知和送达</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4"/>
          <w:highlight w:val="none"/>
          <w:u w:val="singl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2.17 合同使用的文字和适用的法律</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2.17.1 合同使用汉语书就、变更和解释；</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2.17.2 合同适用中华人民共和国法律。</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03" w:name="_Toc30599"/>
      <w:bookmarkStart w:id="404" w:name="_Toc4355"/>
      <w:bookmarkStart w:id="405" w:name="_Toc18540"/>
      <w:r>
        <w:rPr>
          <w:rFonts w:hint="eastAsia" w:ascii="仿宋" w:hAnsi="仿宋" w:eastAsia="仿宋" w:cs="仿宋"/>
          <w:b/>
          <w:color w:val="000000" w:themeColor="text1"/>
          <w:sz w:val="24"/>
          <w:highlight w:val="none"/>
          <w14:textFill>
            <w14:solidFill>
              <w14:schemeClr w14:val="tx1"/>
            </w14:solidFill>
          </w14:textFill>
        </w:rPr>
        <w:t>2.18 计量单位</w:t>
      </w:r>
      <w:bookmarkEnd w:id="403"/>
      <w:bookmarkEnd w:id="404"/>
      <w:bookmarkEnd w:id="405"/>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除技术规范中另有规定外,合同的计量单位均使用国家法定计量单位。</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2.19合同份数</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规定，每份均具有同等法律效力。</w:t>
      </w:r>
    </w:p>
    <w:p>
      <w:pPr>
        <w:spacing w:line="360" w:lineRule="auto"/>
        <w:jc w:val="center"/>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sz w:val="24"/>
          <w:highlight w:val="none"/>
          <w14:textFill>
            <w14:solidFill>
              <w14:schemeClr w14:val="tx1"/>
            </w14:solidFill>
          </w14:textFill>
        </w:rPr>
        <w:t xml:space="preserve"> 第三部分  合同专用条款</w:t>
      </w:r>
    </w:p>
    <w:p>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pPr>
              <w:spacing w:line="360" w:lineRule="auto"/>
              <w:jc w:val="center"/>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条款号</w:t>
            </w:r>
          </w:p>
        </w:tc>
        <w:tc>
          <w:tcPr>
            <w:tcW w:w="7558" w:type="dxa"/>
            <w:vAlign w:val="center"/>
          </w:tcPr>
          <w:p>
            <w:pPr>
              <w:spacing w:line="360" w:lineRule="auto"/>
              <w:jc w:val="center"/>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1.4.4</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 xml:space="preserve">1.5.1 </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1.5.2</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 xml:space="preserve">1.5.3 </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1.6.7</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1.7</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1.7.1</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1.7.2</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2.3.2</w:t>
            </w:r>
          </w:p>
        </w:tc>
        <w:tc>
          <w:tcPr>
            <w:tcW w:w="7558" w:type="dxa"/>
            <w:vAlign w:val="center"/>
          </w:tcPr>
          <w:p>
            <w:pPr>
              <w:spacing w:line="360" w:lineRule="auto"/>
              <w:ind w:left="-420" w:leftChars="-200" w:right="-420" w:rightChars="-200" w:firstLine="480" w:firstLineChars="200"/>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w:t>
            </w:r>
            <w:r>
              <w:rPr>
                <w:rFonts w:ascii="仿宋" w:hAnsi="仿宋" w:eastAsia="仿宋" w:cs="宋体"/>
                <w:bCs/>
                <w:color w:val="000000" w:themeColor="text1"/>
                <w:sz w:val="24"/>
                <w:highlight w:val="none"/>
                <w14:textFill>
                  <w14:solidFill>
                    <w14:schemeClr w14:val="tx1"/>
                  </w14:solidFill>
                </w14:textFill>
              </w:rPr>
              <w:t>5</w:t>
            </w:r>
          </w:p>
        </w:tc>
        <w:tc>
          <w:tcPr>
            <w:tcW w:w="7558" w:type="dxa"/>
            <w:vAlign w:val="center"/>
          </w:tcPr>
          <w:p>
            <w:pPr>
              <w:spacing w:line="360" w:lineRule="auto"/>
              <w:ind w:left="-420" w:leftChars="-200" w:right="-420" w:rightChars="-200" w:firstLine="480" w:firstLineChars="200"/>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w:t>
            </w:r>
            <w:r>
              <w:rPr>
                <w:rFonts w:ascii="仿宋" w:hAnsi="仿宋" w:eastAsia="仿宋" w:cs="宋体"/>
                <w:bCs/>
                <w:color w:val="000000" w:themeColor="text1"/>
                <w:sz w:val="24"/>
                <w:highlight w:val="none"/>
                <w14:textFill>
                  <w14:solidFill>
                    <w14:schemeClr w14:val="tx1"/>
                  </w14:solidFill>
                </w14:textFill>
              </w:rPr>
              <w:t>11</w:t>
            </w:r>
            <w:r>
              <w:rPr>
                <w:rFonts w:hint="eastAsia" w:ascii="仿宋" w:hAnsi="仿宋" w:eastAsia="仿宋" w:cs="宋体"/>
                <w:bCs/>
                <w:color w:val="000000" w:themeColor="text1"/>
                <w:sz w:val="24"/>
                <w:highlight w:val="none"/>
                <w14:textFill>
                  <w14:solidFill>
                    <w14:schemeClr w14:val="tx1"/>
                  </w14:solidFill>
                </w14:textFill>
              </w:rPr>
              <w:t>.</w:t>
            </w:r>
            <w:r>
              <w:rPr>
                <w:rFonts w:ascii="仿宋" w:hAnsi="仿宋" w:eastAsia="仿宋" w:cs="宋体"/>
                <w:bCs/>
                <w:color w:val="000000" w:themeColor="text1"/>
                <w:sz w:val="24"/>
                <w:highlight w:val="none"/>
                <w14:textFill>
                  <w14:solidFill>
                    <w14:schemeClr w14:val="tx1"/>
                  </w14:solidFill>
                </w14:textFill>
              </w:rPr>
              <w:t>3</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w:t>
            </w:r>
            <w:r>
              <w:rPr>
                <w:rFonts w:ascii="仿宋" w:hAnsi="仿宋" w:eastAsia="仿宋" w:cs="宋体"/>
                <w:bCs/>
                <w:color w:val="000000" w:themeColor="text1"/>
                <w:sz w:val="24"/>
                <w:highlight w:val="none"/>
                <w14:textFill>
                  <w14:solidFill>
                    <w14:schemeClr w14:val="tx1"/>
                  </w14:solidFill>
                </w14:textFill>
              </w:rPr>
              <w:t>11.4</w:t>
            </w:r>
          </w:p>
        </w:tc>
        <w:tc>
          <w:tcPr>
            <w:tcW w:w="7558" w:type="dxa"/>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w:t>
            </w:r>
            <w:r>
              <w:rPr>
                <w:rFonts w:ascii="仿宋" w:hAnsi="仿宋" w:eastAsia="仿宋" w:cs="宋体"/>
                <w:bCs/>
                <w:color w:val="000000" w:themeColor="text1"/>
                <w:sz w:val="24"/>
                <w:highlight w:val="none"/>
                <w14:textFill>
                  <w14:solidFill>
                    <w14:schemeClr w14:val="tx1"/>
                  </w14:solidFill>
                </w14:textFill>
              </w:rPr>
              <w:t>15</w:t>
            </w:r>
            <w:r>
              <w:rPr>
                <w:rFonts w:hint="eastAsia" w:ascii="仿宋" w:hAnsi="仿宋" w:eastAsia="仿宋" w:cs="宋体"/>
                <w:bCs/>
                <w:color w:val="000000" w:themeColor="text1"/>
                <w:sz w:val="24"/>
                <w:highlight w:val="none"/>
                <w14:textFill>
                  <w14:solidFill>
                    <w14:schemeClr w14:val="tx1"/>
                  </w14:solidFill>
                </w14:textFill>
              </w:rPr>
              <w:t>.</w:t>
            </w:r>
            <w:r>
              <w:rPr>
                <w:rFonts w:ascii="仿宋" w:hAnsi="仿宋" w:eastAsia="仿宋" w:cs="宋体"/>
                <w:bCs/>
                <w:color w:val="000000" w:themeColor="text1"/>
                <w:sz w:val="24"/>
                <w:highlight w:val="none"/>
                <w14:textFill>
                  <w14:solidFill>
                    <w14:schemeClr w14:val="tx1"/>
                  </w14:solidFill>
                </w14:textFill>
              </w:rPr>
              <w:t>1</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w:t>
            </w:r>
            <w:r>
              <w:rPr>
                <w:rFonts w:ascii="仿宋" w:hAnsi="仿宋" w:eastAsia="仿宋" w:cs="宋体"/>
                <w:bCs/>
                <w:color w:val="000000" w:themeColor="text1"/>
                <w:sz w:val="24"/>
                <w:highlight w:val="none"/>
                <w14:textFill>
                  <w14:solidFill>
                    <w14:schemeClr w14:val="tx1"/>
                  </w14:solidFill>
                </w14:textFill>
              </w:rPr>
              <w:t>15</w:t>
            </w:r>
            <w:r>
              <w:rPr>
                <w:rFonts w:hint="eastAsia" w:ascii="仿宋" w:hAnsi="仿宋" w:eastAsia="仿宋" w:cs="宋体"/>
                <w:bCs/>
                <w:color w:val="000000" w:themeColor="text1"/>
                <w:sz w:val="24"/>
                <w:highlight w:val="none"/>
                <w14:textFill>
                  <w14:solidFill>
                    <w14:schemeClr w14:val="tx1"/>
                  </w14:solidFill>
                </w14:textFill>
              </w:rPr>
              <w:t>.</w:t>
            </w:r>
            <w:r>
              <w:rPr>
                <w:rFonts w:ascii="仿宋" w:hAnsi="仿宋" w:eastAsia="仿宋" w:cs="宋体"/>
                <w:bCs/>
                <w:color w:val="000000" w:themeColor="text1"/>
                <w:sz w:val="24"/>
                <w:highlight w:val="none"/>
                <w14:textFill>
                  <w14:solidFill>
                    <w14:schemeClr w14:val="tx1"/>
                  </w14:solidFill>
                </w14:textFill>
              </w:rPr>
              <w:t>3</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2.1</w:t>
            </w:r>
            <w:r>
              <w:rPr>
                <w:rFonts w:ascii="仿宋" w:hAnsi="仿宋" w:eastAsia="仿宋" w:cs="宋体"/>
                <w:bCs/>
                <w:color w:val="000000" w:themeColor="text1"/>
                <w:sz w:val="24"/>
                <w:highlight w:val="none"/>
                <w14:textFill>
                  <w14:solidFill>
                    <w14:schemeClr w14:val="tx1"/>
                  </w14:solidFill>
                </w14:textFill>
              </w:rPr>
              <w:t>8</w:t>
            </w:r>
            <w:r>
              <w:rPr>
                <w:rFonts w:hint="eastAsia" w:ascii="仿宋" w:hAnsi="仿宋" w:eastAsia="仿宋" w:cs="宋体"/>
                <w:bCs/>
                <w:color w:val="000000" w:themeColor="text1"/>
                <w:sz w:val="24"/>
                <w:highlight w:val="none"/>
                <w14:textFill>
                  <w14:solidFill>
                    <w14:schemeClr w14:val="tx1"/>
                  </w14:solidFill>
                </w14:textFill>
              </w:rPr>
              <w:t>.1</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2.1</w:t>
            </w:r>
            <w:r>
              <w:rPr>
                <w:rFonts w:ascii="仿宋" w:hAnsi="仿宋" w:eastAsia="仿宋" w:cs="宋体"/>
                <w:bCs/>
                <w:color w:val="000000" w:themeColor="text1"/>
                <w:sz w:val="24"/>
                <w:highlight w:val="none"/>
                <w14:textFill>
                  <w14:solidFill>
                    <w14:schemeClr w14:val="tx1"/>
                  </w14:solidFill>
                </w14:textFill>
              </w:rPr>
              <w:t>8</w:t>
            </w:r>
            <w:r>
              <w:rPr>
                <w:rFonts w:hint="eastAsia" w:ascii="仿宋" w:hAnsi="仿宋" w:eastAsia="仿宋" w:cs="宋体"/>
                <w:bCs/>
                <w:color w:val="000000" w:themeColor="text1"/>
                <w:sz w:val="24"/>
                <w:highlight w:val="none"/>
                <w14:textFill>
                  <w14:solidFill>
                    <w14:schemeClr w14:val="tx1"/>
                  </w14:solidFill>
                </w14:textFill>
              </w:rPr>
              <w:t>.</w:t>
            </w:r>
            <w:r>
              <w:rPr>
                <w:rFonts w:ascii="仿宋" w:hAnsi="仿宋" w:eastAsia="仿宋" w:cs="宋体"/>
                <w:bCs/>
                <w:color w:val="000000" w:themeColor="text1"/>
                <w:sz w:val="24"/>
                <w:highlight w:val="none"/>
                <w14:textFill>
                  <w14:solidFill>
                    <w14:schemeClr w14:val="tx1"/>
                  </w14:solidFill>
                </w14:textFill>
              </w:rPr>
              <w:t>2</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2.20</w:t>
            </w:r>
          </w:p>
        </w:tc>
        <w:tc>
          <w:tcPr>
            <w:tcW w:w="7558" w:type="dxa"/>
          </w:tcPr>
          <w:p>
            <w:pPr>
              <w:spacing w:line="360" w:lineRule="auto"/>
              <w:rPr>
                <w:rFonts w:ascii="仿宋" w:hAnsi="仿宋" w:eastAsia="仿宋" w:cs="宋体"/>
                <w:bCs/>
                <w:color w:val="000000" w:themeColor="text1"/>
                <w:sz w:val="24"/>
                <w:highlight w:val="none"/>
                <w14:textFill>
                  <w14:solidFill>
                    <w14:schemeClr w14:val="tx1"/>
                  </w14:solidFill>
                </w14:textFill>
              </w:rPr>
            </w:pPr>
          </w:p>
        </w:tc>
      </w:tr>
    </w:tbl>
    <w:p>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 此仅为合同书样本，中标单位需根据实际情况和采购人签订相应的合同！</w:t>
      </w:r>
    </w:p>
    <w:p>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第六部分</w:t>
      </w:r>
      <w:bookmarkEnd w:id="392"/>
      <w:bookmarkEnd w:id="393"/>
      <w:r>
        <w:rPr>
          <w:rFonts w:hint="eastAsia" w:ascii="仿宋" w:hAnsi="仿宋" w:eastAsia="仿宋" w:cs="宋体"/>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宋体"/>
          <w:color w:val="000000" w:themeColor="text1"/>
          <w:sz w:val="24"/>
          <w:highlight w:val="none"/>
          <w14:textFill>
            <w14:solidFill>
              <w14:schemeClr w14:val="tx1"/>
            </w14:solidFill>
          </w14:textFill>
        </w:rPr>
        <w:t>………………………………………………………………（页码）</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）落实政府采购政策需满足的资格要求………………………………（页码）</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）本项目的特定资格要求………………………………………………（页码）</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br w:type="page"/>
      </w:r>
      <w:r>
        <w:rPr>
          <w:rFonts w:hint="eastAsia" w:ascii="仿宋" w:hAnsi="仿宋" w:eastAsia="仿宋"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r>
        <w:rPr>
          <w:rFonts w:hint="eastAsia" w:ascii="仿宋" w:hAnsi="仿宋" w:eastAsia="仿宋"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我方参与</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【招标编号：</w:t>
      </w:r>
      <w:r>
        <w:rPr>
          <w:rFonts w:hint="eastAsia" w:ascii="仿宋" w:hAnsi="仿宋" w:eastAsia="仿宋" w:cs="宋体"/>
          <w:color w:val="000000" w:themeColor="text1"/>
          <w:sz w:val="24"/>
          <w:highlight w:val="none"/>
          <w:u w:val="single"/>
          <w14:textFill>
            <w14:solidFill>
              <w14:schemeClr w14:val="tx1"/>
            </w14:solidFill>
          </w14:textFill>
        </w:rPr>
        <w:t>（采购编号）</w:t>
      </w:r>
      <w:r>
        <w:rPr>
          <w:rFonts w:hint="eastAsia" w:ascii="仿宋" w:hAnsi="仿宋" w:eastAsia="仿宋" w:cs="宋体"/>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color w:val="000000" w:themeColor="text1"/>
          <w:kern w:val="0"/>
          <w:sz w:val="24"/>
          <w:highlight w:val="none"/>
          <w:lang w:val="zh-CN"/>
          <w14:textFill>
            <w14:solidFill>
              <w14:schemeClr w14:val="tx1"/>
            </w14:solidFill>
          </w14:textFill>
        </w:rPr>
      </w:pPr>
    </w:p>
    <w:p>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p>
    <w:p>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 xml:space="preserve">：  年  </w:t>
      </w:r>
      <w:r>
        <w:rPr>
          <w:rFonts w:hint="eastAsia" w:ascii="仿宋" w:hAnsi="仿宋" w:eastAsia="仿宋" w:cs="宋体"/>
          <w:color w:val="000000" w:themeColor="text1"/>
          <w:kern w:val="0"/>
          <w:sz w:val="24"/>
          <w:highlight w:val="none"/>
          <w:lang w:val="zh-CN"/>
          <w14:textFill>
            <w14:solidFill>
              <w14:schemeClr w14:val="tx1"/>
            </w14:solidFill>
          </w14:textFill>
        </w:rPr>
        <w:t>月 日</w:t>
      </w: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rPr>
          <w:rFonts w:ascii="仿宋" w:hAnsi="仿宋" w:eastAsia="仿宋" w:cs="宋体"/>
          <w:color w:val="000000" w:themeColor="text1"/>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二、联合协议（如果有）</w:t>
      </w:r>
    </w:p>
    <w:p>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三、落实政府采购政策需满足的资格要求</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widowControl/>
        <w:spacing w:line="360" w:lineRule="auto"/>
        <w:ind w:firstLine="472" w:firstLineChars="196"/>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A</w:t>
      </w:r>
      <w:r>
        <w:rPr>
          <w:rFonts w:hint="eastAsia" w:ascii="仿宋" w:hAnsi="仿宋" w:eastAsia="仿宋"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w:t>
      </w:r>
    </w:p>
    <w:p>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四、本项目的特定资格要求</w:t>
      </w:r>
    </w:p>
    <w:p>
      <w:pPr>
        <w:spacing w:line="360" w:lineRule="auto"/>
        <w:jc w:val="center"/>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（根据招标公告本项目的特定资格要求提供相应的材料；未要求的，无需提供）</w:t>
      </w: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widowControl/>
        <w:adjustRightInd/>
        <w:spacing w:line="360" w:lineRule="auto"/>
        <w:jc w:val="left"/>
        <w:rPr>
          <w:rFonts w:ascii="仿宋" w:hAnsi="仿宋" w:eastAsia="仿宋" w:cs="宋体"/>
          <w:b/>
          <w:color w:val="000000" w:themeColor="text1"/>
          <w:kern w:val="0"/>
          <w:sz w:val="36"/>
          <w:szCs w:val="36"/>
          <w:highlight w:val="none"/>
          <w14:textFill>
            <w14:solidFill>
              <w14:schemeClr w14:val="tx1"/>
            </w14:solidFill>
          </w14:textFill>
        </w:rPr>
      </w:pPr>
      <w:r>
        <w:rPr>
          <w:rFonts w:ascii="仿宋" w:hAnsi="仿宋" w:eastAsia="仿宋" w:cs="宋体"/>
          <w:b/>
          <w:color w:val="000000" w:themeColor="text1"/>
          <w:kern w:val="0"/>
          <w:sz w:val="36"/>
          <w:szCs w:val="36"/>
          <w:highlight w:val="none"/>
          <w14:textFill>
            <w14:solidFill>
              <w14:schemeClr w14:val="tx1"/>
            </w14:solidFill>
          </w14:textFill>
        </w:rPr>
        <w:br w:type="page"/>
      </w:r>
    </w:p>
    <w:p>
      <w:pPr>
        <w:spacing w:line="360" w:lineRule="auto"/>
        <w:ind w:right="420"/>
        <w:jc w:val="center"/>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ascii="仿宋" w:hAnsi="仿宋" w:eastAsia="仿宋" w:cs="宋体"/>
          <w:b/>
          <w:color w:val="000000" w:themeColor="text1"/>
          <w:kern w:val="0"/>
          <w:sz w:val="24"/>
          <w:highlight w:val="none"/>
          <w14:textFill>
            <w14:solidFill>
              <w14:schemeClr w14:val="tx1"/>
            </w14:solidFill>
          </w14:textFill>
        </w:rPr>
      </w:pPr>
    </w:p>
    <w:p>
      <w:pPr>
        <w:spacing w:line="360" w:lineRule="auto"/>
        <w:jc w:val="center"/>
        <w:outlineLvl w:val="0"/>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（1）投标函</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宋体"/>
          <w:color w:val="000000" w:themeColor="text1"/>
          <w:highlight w:val="none"/>
          <w14:textFill>
            <w14:solidFill>
              <w14:schemeClr w14:val="tx1"/>
            </w14:solidFill>
          </w14:textFill>
        </w:rPr>
        <w:t>………（页码）</w:t>
      </w:r>
    </w:p>
    <w:p>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color w:val="000000" w:themeColor="text1"/>
          <w:highlight w:val="none"/>
          <w14:textFill>
            <w14:solidFill>
              <w14:schemeClr w14:val="tx1"/>
            </w14:solidFill>
          </w14:textFill>
        </w:rPr>
        <w:t>…………………………………………………………………………（页码）</w:t>
      </w:r>
    </w:p>
    <w:p>
      <w:pPr>
        <w:snapToGrid w:val="0"/>
        <w:spacing w:line="360" w:lineRule="auto"/>
        <w:ind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r>
        <w:rPr>
          <w:rFonts w:hint="eastAsia" w:ascii="仿宋" w:hAnsi="仿宋" w:eastAsia="仿宋" w:cs="宋体"/>
          <w:color w:val="000000" w:themeColor="text1"/>
          <w:highlight w:val="none"/>
          <w14:textFill>
            <w14:solidFill>
              <w14:schemeClr w14:val="tx1"/>
            </w14:solidFill>
          </w14:textFill>
        </w:rPr>
        <w:t>………………………………………………………………………（页码）</w:t>
      </w:r>
    </w:p>
    <w:p>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r>
        <w:rPr>
          <w:rFonts w:hint="eastAsia" w:ascii="仿宋" w:hAnsi="仿宋" w:eastAsia="仿宋" w:cs="宋体"/>
          <w:color w:val="000000" w:themeColor="text1"/>
          <w:highlight w:val="none"/>
          <w14:textFill>
            <w14:solidFill>
              <w14:schemeClr w14:val="tx1"/>
            </w14:solidFill>
          </w14:textFill>
        </w:rPr>
        <w:t>………………………………………………………………………（页码）</w:t>
      </w:r>
    </w:p>
    <w:p>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宋体"/>
          <w:color w:val="000000" w:themeColor="text1"/>
          <w:highlight w:val="none"/>
          <w14:textFill>
            <w14:solidFill>
              <w14:schemeClr w14:val="tx1"/>
            </w14:solidFill>
          </w14:textFill>
        </w:rPr>
        <w:t>…………………………………………………（页码）</w:t>
      </w: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pacing w:line="360" w:lineRule="auto"/>
        <w:rPr>
          <w:rFonts w:ascii="仿宋" w:hAnsi="仿宋" w:eastAsia="仿宋" w:cs="宋体"/>
          <w:b/>
          <w:color w:val="000000" w:themeColor="text1"/>
          <w:kern w:val="0"/>
          <w:sz w:val="32"/>
          <w:szCs w:val="32"/>
          <w:highlight w:val="none"/>
          <w:lang w:val="zh-CN"/>
          <w14:textFill>
            <w14:solidFill>
              <w14:schemeClr w14:val="tx1"/>
            </w14:solidFill>
          </w14:textFill>
        </w:rPr>
      </w:pPr>
    </w:p>
    <w:p>
      <w:pPr>
        <w:widowControl/>
        <w:adjustRightInd/>
        <w:spacing w:line="360" w:lineRule="auto"/>
        <w:jc w:val="left"/>
        <w:rPr>
          <w:rFonts w:ascii="仿宋" w:hAnsi="仿宋" w:eastAsia="仿宋" w:cs="宋体"/>
          <w:b/>
          <w:color w:val="000000" w:themeColor="text1"/>
          <w:kern w:val="0"/>
          <w:sz w:val="32"/>
          <w:szCs w:val="32"/>
          <w:highlight w:val="none"/>
          <w14:textFill>
            <w14:solidFill>
              <w14:schemeClr w14:val="tx1"/>
            </w14:solidFill>
          </w14:textFill>
        </w:rPr>
      </w:pPr>
      <w:r>
        <w:rPr>
          <w:rFonts w:ascii="仿宋" w:hAnsi="仿宋" w:eastAsia="仿宋" w:cs="宋体"/>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一、投标</w:t>
      </w:r>
      <w:r>
        <w:rPr>
          <w:rFonts w:hint="eastAsia" w:ascii="仿宋" w:hAnsi="仿宋" w:eastAsia="仿宋" w:cs="宋体"/>
          <w:b/>
          <w:color w:val="000000" w:themeColor="text1"/>
          <w:sz w:val="32"/>
          <w:szCs w:val="32"/>
          <w:highlight w:val="none"/>
          <w14:textFill>
            <w14:solidFill>
              <w14:schemeClr w14:val="tx1"/>
            </w14:solidFill>
          </w14:textFill>
        </w:rPr>
        <w:t>函</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1、我方承诺投标有效期从提交投标文件的截止之日起    天（不少于90天）</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w:t>
      </w:r>
      <w:bookmarkStart w:id="406" w:name="_Hlk101257010"/>
      <w:r>
        <w:rPr>
          <w:rFonts w:hint="eastAsia" w:ascii="仿宋" w:hAnsi="仿宋" w:eastAsia="仿宋" w:cs="宋体"/>
          <w:color w:val="000000" w:themeColor="text1"/>
          <w:sz w:val="24"/>
          <w:highlight w:val="none"/>
          <w14:textFill>
            <w14:solidFill>
              <w14:schemeClr w14:val="tx1"/>
            </w14:solidFill>
          </w14:textFill>
        </w:rPr>
        <w:t>（如果有)</w:t>
      </w:r>
      <w:bookmarkEnd w:id="406"/>
      <w:r>
        <w:rPr>
          <w:rFonts w:hint="eastAsia" w:ascii="仿宋" w:hAnsi="仿宋" w:eastAsia="仿宋" w:cs="宋体"/>
          <w:snapToGrid w:val="0"/>
          <w:color w:val="000000" w:themeColor="text1"/>
          <w:kern w:val="28"/>
          <w:sz w:val="24"/>
          <w:szCs w:val="20"/>
          <w:highlight w:val="none"/>
          <w14:textFill>
            <w14:solidFill>
              <w14:schemeClr w14:val="tx1"/>
            </w14:solidFill>
          </w14:textFill>
        </w:rPr>
        <w:t>；</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落实政府采购政策需满足的资格要求（如果有）；</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本项目的特定资格要求（如果有)。</w:t>
      </w:r>
    </w:p>
    <w:p>
      <w:pPr>
        <w:snapToGrid w:val="0"/>
        <w:spacing w:line="360" w:lineRule="auto"/>
        <w:ind w:left="210" w:leftChars="1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2.2.1投标函；</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分包意向协议（如果有)；</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pPr>
        <w:snapToGrid w:val="0"/>
        <w:spacing w:line="360" w:lineRule="auto"/>
        <w:ind w:left="420" w:leftChars="2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2.3.2报价情况说明（如果有）；</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2.3.3中小企业声明函（如果有）。</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4.4在合同约定的期限内完成合同规定的全部义务。 </w:t>
      </w:r>
    </w:p>
    <w:p>
      <w:pPr>
        <w:numPr>
          <w:ilvl w:val="0"/>
          <w:numId w:val="6"/>
        </w:numPr>
        <w:snapToGrid w:val="0"/>
        <w:spacing w:line="360" w:lineRule="auto"/>
        <w:ind w:left="210" w:leftChars="100"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其他补充说明:</w:t>
      </w:r>
    </w:p>
    <w:p>
      <w:pPr>
        <w:numPr>
          <w:ilvl w:val="0"/>
          <w:numId w:val="0"/>
        </w:numPr>
        <w:snapToGrid w:val="0"/>
        <w:spacing w:line="360" w:lineRule="auto"/>
        <w:ind w:firstLine="720" w:firstLineChars="3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5.1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r>
        <w:rPr>
          <w:rFonts w:hint="eastAsia" w:ascii="仿宋" w:hAnsi="仿宋" w:eastAsia="仿宋" w:cs="宋体"/>
          <w:color w:val="000000" w:themeColor="text1"/>
          <w:sz w:val="24"/>
          <w:highlight w:val="none"/>
          <w14:textFill>
            <w14:solidFill>
              <w14:schemeClr w14:val="tx1"/>
            </w14:solidFill>
          </w14:textFill>
        </w:rPr>
        <w:t>。</w:t>
      </w:r>
    </w:p>
    <w:p>
      <w:pPr>
        <w:spacing w:line="360" w:lineRule="auto"/>
        <w:ind w:firstLine="3600" w:firstLineChars="150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 xml:space="preserve">：                          </w:t>
      </w:r>
    </w:p>
    <w:p>
      <w:pPr>
        <w:spacing w:line="360" w:lineRule="auto"/>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仿宋" w:hAnsi="仿宋" w:eastAsia="仿宋" w:cs="宋体"/>
          <w:color w:val="000000" w:themeColor="text1"/>
          <w:kern w:val="0"/>
          <w:sz w:val="24"/>
          <w:highlight w:val="none"/>
          <w:u w:val="single"/>
          <w14:textFill>
            <w14:solidFill>
              <w14:schemeClr w14:val="tx1"/>
            </w14:solidFill>
          </w14:textFill>
        </w:rPr>
      </w:pPr>
    </w:p>
    <w:p>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注：按本格式和要求提供。</w:t>
      </w:r>
    </w:p>
    <w:p>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rPr>
          <w:rFonts w:ascii="仿宋" w:hAnsi="仿宋" w:eastAsia="仿宋" w:cs="宋体"/>
          <w:color w:val="000000" w:themeColor="text1"/>
          <w:sz w:val="24"/>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ind w:firstLine="2872" w:firstLineChars="894"/>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授权委托书（适用于非联合体投标）</w:t>
      </w:r>
    </w:p>
    <w:p>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为我方代理人（身份证号码：，手机：</w:t>
      </w:r>
      <w:r>
        <w:rPr>
          <w:rFonts w:hint="eastAsia" w:ascii="仿宋" w:hAnsi="仿宋" w:eastAsia="仿宋" w:cs="宋体"/>
          <w:color w:val="000000" w:themeColor="text1"/>
          <w:kern w:val="0"/>
          <w:sz w:val="24"/>
          <w:highlight w:val="none"/>
          <w14:textFill>
            <w14:solidFill>
              <w14:schemeClr w14:val="tx1"/>
            </w14:solidFill>
          </w14:textFill>
        </w:rPr>
        <w:t xml:space="preserve">  ，所在单位：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自年月日起至年月日止。</w:t>
      </w:r>
    </w:p>
    <w:p>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为我方代理人（身份证号码：，手机：</w:t>
      </w:r>
      <w:r>
        <w:rPr>
          <w:rFonts w:hint="eastAsia" w:ascii="仿宋" w:hAnsi="仿宋" w:eastAsia="仿宋" w:cs="宋体"/>
          <w:color w:val="000000" w:themeColor="text1"/>
          <w:kern w:val="0"/>
          <w:sz w:val="24"/>
          <w:highlight w:val="none"/>
          <w14:textFill>
            <w14:solidFill>
              <w14:schemeClr w14:val="tx1"/>
            </w14:solidFill>
          </w14:textFill>
        </w:rPr>
        <w:t xml:space="preserve">  ，所在单位：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自年月日起至年月日止。</w:t>
      </w:r>
    </w:p>
    <w:p>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rPr>
          <w:rFonts w:ascii="仿宋" w:hAnsi="仿宋" w:eastAsia="仿宋" w:cs="宋体"/>
          <w:color w:val="000000" w:themeColor="text1"/>
          <w:highlight w:val="none"/>
          <w14:textFill>
            <w14:solidFill>
              <w14:schemeClr w14:val="tx1"/>
            </w14:solidFill>
          </w14:textFill>
        </w:rPr>
      </w:pPr>
    </w:p>
    <w:p>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92"/>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2"/>
              <w:adjustRightIn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正面：                                 反面：</w:t>
            </w:r>
          </w:p>
          <w:p>
            <w:pPr>
              <w:pStyle w:val="92"/>
              <w:adjustRightInd w:val="0"/>
              <w:spacing w:line="360" w:lineRule="auto"/>
              <w:rPr>
                <w:rFonts w:ascii="仿宋" w:hAnsi="仿宋" w:eastAsia="仿宋"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注：联合体投标的，提供联合体牵头人相关证明即可</w:t>
      </w:r>
    </w:p>
    <w:p>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投标人（或联合体牵头人）名称(电子签名)：                              </w:t>
      </w:r>
    </w:p>
    <w:p>
      <w:pPr>
        <w:spacing w:line="360" w:lineRule="auto"/>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rPr>
          <w:rFonts w:ascii="仿宋" w:hAnsi="仿宋" w:eastAsia="仿宋" w:cs="宋体"/>
          <w:b/>
          <w:color w:val="000000" w:themeColor="text1"/>
          <w:kern w:val="0"/>
          <w:sz w:val="32"/>
          <w:szCs w:val="32"/>
          <w:highlight w:val="none"/>
          <w14:textFill>
            <w14:solidFill>
              <w14:schemeClr w14:val="tx1"/>
            </w14:solidFill>
          </w14:textFill>
        </w:rPr>
        <w:sectPr>
          <w:headerReference r:id="rId11" w:type="first"/>
          <w:footerReference r:id="rId13" w:type="first"/>
          <w:headerReference r:id="rId10" w:type="default"/>
          <w:footerReference r:id="rId12" w:type="default"/>
          <w:pgSz w:w="11905" w:h="16838"/>
          <w:pgMar w:top="680" w:right="1417" w:bottom="680" w:left="1417" w:header="851" w:footer="992" w:gutter="0"/>
          <w:cols w:space="0" w:num="1"/>
          <w:titlePg/>
          <w:rtlGutter w:val="0"/>
          <w:docGrid w:linePitch="312" w:charSpace="0"/>
        </w:sectPr>
      </w:pPr>
    </w:p>
    <w:p>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三、分包意向协议（如果有）</w:t>
      </w:r>
    </w:p>
    <w:p>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中标后以分包方式履行合同的，提供分包意向协议(附件6</w:t>
      </w:r>
      <w:r>
        <w:rPr>
          <w:rFonts w:ascii="仿宋" w:hAnsi="仿宋" w:eastAsia="仿宋" w:cs="宋体"/>
          <w:b/>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四、符合性审查资料</w:t>
      </w: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序号</w:t>
            </w:r>
          </w:p>
        </w:tc>
        <w:tc>
          <w:tcPr>
            <w:tcW w:w="4991" w:type="dxa"/>
            <w:vAlign w:val="center"/>
          </w:tcPr>
          <w:p>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实质性要求</w:t>
            </w:r>
          </w:p>
        </w:tc>
        <w:tc>
          <w:tcPr>
            <w:tcW w:w="2551" w:type="dxa"/>
            <w:vAlign w:val="center"/>
          </w:tcPr>
          <w:p>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投标文件中的</w:t>
            </w:r>
          </w:p>
          <w:p>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p>
        </w:tc>
        <w:tc>
          <w:tcPr>
            <w:tcW w:w="4991" w:type="dxa"/>
          </w:tcPr>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投标文件按照招标文件要求签署、盖章。</w:t>
            </w:r>
          </w:p>
        </w:tc>
        <w:tc>
          <w:tcPr>
            <w:tcW w:w="2551" w:type="dxa"/>
            <w:vAlign w:val="center"/>
          </w:tcPr>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pPr>
              <w:spacing w:line="360" w:lineRule="auto"/>
              <w:rPr>
                <w:rFonts w:ascii="仿宋" w:hAnsi="仿宋" w:eastAsia="仿宋" w:cs="宋体"/>
                <w:color w:val="000000" w:themeColor="text1"/>
                <w:sz w:val="24"/>
                <w:highlight w:val="none"/>
                <w14:textFill>
                  <w14:solidFill>
                    <w14:schemeClr w14:val="tx1"/>
                  </w14:solidFill>
                </w14:textFill>
              </w:rPr>
            </w:pP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w:t>
            </w:r>
          </w:p>
          <w:p>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p>
        </w:tc>
        <w:tc>
          <w:tcPr>
            <w:tcW w:w="4991" w:type="dxa"/>
          </w:tcPr>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投标函</w:t>
            </w:r>
          </w:p>
        </w:tc>
        <w:tc>
          <w:tcPr>
            <w:tcW w:w="1418" w:type="dxa"/>
          </w:tcPr>
          <w:p>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3</w:t>
            </w:r>
          </w:p>
        </w:tc>
        <w:tc>
          <w:tcPr>
            <w:tcW w:w="4991" w:type="dxa"/>
          </w:tcPr>
          <w:p>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w:t>
            </w:r>
            <w:r>
              <w:rPr>
                <w:rFonts w:hint="eastAsia" w:ascii="仿宋" w:hAnsi="仿宋" w:eastAsia="仿宋" w:cs="宋体"/>
                <w:color w:val="000000" w:themeColor="text1"/>
                <w:sz w:val="24"/>
                <w:highlight w:val="none"/>
                <w:lang w:val="en-US" w:eastAsia="zh-CN"/>
                <w14:textFill>
                  <w14:solidFill>
                    <w14:schemeClr w14:val="tx1"/>
                  </w14:solidFill>
                </w14:textFill>
              </w:rPr>
              <w:t>文件的组成应符合招标文件要求</w:t>
            </w:r>
          </w:p>
        </w:tc>
        <w:tc>
          <w:tcPr>
            <w:tcW w:w="2551" w:type="dxa"/>
            <w:vAlign w:val="center"/>
          </w:tcPr>
          <w:p>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投标文件</w:t>
            </w:r>
          </w:p>
        </w:tc>
        <w:tc>
          <w:tcPr>
            <w:tcW w:w="1418" w:type="dxa"/>
            <w:vAlign w:val="top"/>
          </w:tcPr>
          <w:p>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6" w:type="dxa"/>
            <w:vAlign w:val="center"/>
          </w:tcPr>
          <w:p>
            <w:pPr>
              <w:spacing w:line="360" w:lineRule="auto"/>
              <w:jc w:val="cente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4</w:t>
            </w:r>
          </w:p>
        </w:tc>
        <w:tc>
          <w:tcPr>
            <w:tcW w:w="4991" w:type="dxa"/>
            <w:vAlign w:val="top"/>
          </w:tcPr>
          <w:p>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Merge w:val="restart"/>
          </w:tcPr>
          <w:p>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6" w:type="dxa"/>
            <w:vMerge w:val="restart"/>
            <w:vAlign w:val="center"/>
          </w:tcPr>
          <w:p>
            <w:pPr>
              <w:spacing w:line="360" w:lineRule="auto"/>
              <w:jc w:val="center"/>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5</w:t>
            </w:r>
          </w:p>
        </w:tc>
        <w:tc>
          <w:tcPr>
            <w:tcW w:w="4991" w:type="dxa"/>
            <w:vMerge w:val="restart"/>
            <w:vAlign w:val="top"/>
          </w:tcPr>
          <w:p>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pPr>
              <w:spacing w:line="360" w:lineRule="auto"/>
              <w:rPr>
                <w:rFonts w:hint="eastAsia" w:ascii="仿宋" w:hAnsi="仿宋" w:eastAsia="仿宋" w:cs="宋体"/>
                <w:color w:val="000000" w:themeColor="text1"/>
                <w:kern w:val="0"/>
                <w:sz w:val="24"/>
                <w:highlight w:val="none"/>
                <w14:textFill>
                  <w14:solidFill>
                    <w14:schemeClr w14:val="tx1"/>
                  </w14:solidFill>
                </w14:textFill>
              </w:rPr>
            </w:pPr>
          </w:p>
        </w:tc>
        <w:tc>
          <w:tcPr>
            <w:tcW w:w="1418" w:type="dxa"/>
            <w:vMerge w:val="continue"/>
          </w:tcPr>
          <w:p>
            <w:pPr>
              <w:spacing w:line="360" w:lineRule="auto"/>
              <w:rPr>
                <w:rFonts w:hint="eastAsia" w:ascii="仿宋" w:hAnsi="仿宋" w:eastAsia="仿宋"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46" w:type="dxa"/>
            <w:vMerge w:val="continue"/>
            <w:vAlign w:val="center"/>
          </w:tcPr>
          <w:p>
            <w:pPr>
              <w:spacing w:line="360" w:lineRule="auto"/>
              <w:jc w:val="center"/>
              <w:rPr>
                <w:rFonts w:hint="eastAsia" w:ascii="仿宋" w:hAnsi="仿宋" w:eastAsia="仿宋" w:cs="宋体"/>
                <w:color w:val="000000" w:themeColor="text1"/>
                <w:sz w:val="24"/>
                <w:highlight w:val="none"/>
                <w:lang w:val="en-US" w:eastAsia="zh-CN"/>
                <w14:textFill>
                  <w14:solidFill>
                    <w14:schemeClr w14:val="tx1"/>
                  </w14:solidFill>
                </w14:textFill>
              </w:rPr>
            </w:pPr>
          </w:p>
        </w:tc>
        <w:tc>
          <w:tcPr>
            <w:tcW w:w="4991" w:type="dxa"/>
            <w:vMerge w:val="continue"/>
          </w:tcPr>
          <w:p>
            <w:pPr>
              <w:spacing w:line="360" w:lineRule="auto"/>
              <w:rPr>
                <w:rFonts w:hint="eastAsia" w:ascii="仿宋" w:hAnsi="仿宋" w:eastAsia="仿宋" w:cs="宋体"/>
                <w:color w:val="000000" w:themeColor="text1"/>
                <w:sz w:val="24"/>
                <w:highlight w:val="none"/>
                <w14:textFill>
                  <w14:solidFill>
                    <w14:schemeClr w14:val="tx1"/>
                  </w14:solidFill>
                </w14:textFill>
              </w:rPr>
            </w:pPr>
          </w:p>
        </w:tc>
        <w:tc>
          <w:tcPr>
            <w:tcW w:w="2551" w:type="dxa"/>
            <w:vMerge w:val="continue"/>
            <w:vAlign w:val="center"/>
          </w:tcPr>
          <w:p>
            <w:pPr>
              <w:spacing w:line="360" w:lineRule="auto"/>
              <w:rPr>
                <w:rFonts w:hint="eastAsia" w:ascii="仿宋" w:hAnsi="仿宋" w:eastAsia="仿宋" w:cs="宋体"/>
                <w:color w:val="000000" w:themeColor="text1"/>
                <w:kern w:val="0"/>
                <w:sz w:val="24"/>
                <w:highlight w:val="none"/>
                <w14:textFill>
                  <w14:solidFill>
                    <w14:schemeClr w14:val="tx1"/>
                  </w14:solidFill>
                </w14:textFill>
              </w:rPr>
            </w:pPr>
          </w:p>
        </w:tc>
        <w:tc>
          <w:tcPr>
            <w:tcW w:w="1418" w:type="dxa"/>
          </w:tcPr>
          <w:p>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46" w:type="dxa"/>
            <w:vAlign w:val="center"/>
          </w:tcPr>
          <w:p>
            <w:pPr>
              <w:spacing w:line="360" w:lineRule="auto"/>
              <w:jc w:val="center"/>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tc>
        <w:tc>
          <w:tcPr>
            <w:tcW w:w="4991" w:type="dxa"/>
            <w:vAlign w:val="top"/>
          </w:tcPr>
          <w:p>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其他实质性要求</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sz w:val="24"/>
                <w:highlight w:val="none"/>
                <w:lang w:val="en-US" w:eastAsia="zh-CN"/>
                <w14:textFill>
                  <w14:solidFill>
                    <w14:schemeClr w14:val="tx1"/>
                  </w14:solidFill>
                </w14:textFill>
              </w:rPr>
              <w:t>：</w:t>
            </w:r>
          </w:p>
        </w:tc>
        <w:tc>
          <w:tcPr>
            <w:tcW w:w="2551" w:type="dxa"/>
            <w:vMerge w:val="continue"/>
            <w:vAlign w:val="center"/>
          </w:tcPr>
          <w:p>
            <w:pPr>
              <w:spacing w:line="360" w:lineRule="auto"/>
              <w:rPr>
                <w:rFonts w:hint="eastAsia" w:ascii="仿宋" w:hAnsi="仿宋" w:eastAsia="仿宋" w:cs="宋体"/>
                <w:color w:val="000000" w:themeColor="text1"/>
                <w:kern w:val="0"/>
                <w:sz w:val="24"/>
                <w:highlight w:val="none"/>
                <w14:textFill>
                  <w14:solidFill>
                    <w14:schemeClr w14:val="tx1"/>
                  </w14:solidFill>
                </w14:textFill>
              </w:rPr>
            </w:pPr>
          </w:p>
        </w:tc>
        <w:tc>
          <w:tcPr>
            <w:tcW w:w="1418" w:type="dxa"/>
          </w:tcPr>
          <w:p>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bl>
    <w:p>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日期：  年  月  日</w:t>
      </w: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五、评标标准相应的商务技术资料</w:t>
      </w:r>
    </w:p>
    <w:p>
      <w:pPr>
        <w:snapToGrid w:val="0"/>
        <w:spacing w:line="360" w:lineRule="auto"/>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8"/>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序号</w:t>
            </w:r>
          </w:p>
        </w:tc>
        <w:tc>
          <w:tcPr>
            <w:tcW w:w="5465" w:type="dxa"/>
          </w:tcPr>
          <w:p>
            <w:pPr>
              <w:snapToGrid w:val="0"/>
              <w:spacing w:line="36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投标文件中评标标准相应的商务技术资料目录*</w:t>
            </w:r>
          </w:p>
        </w:tc>
        <w:tc>
          <w:tcPr>
            <w:tcW w:w="3046" w:type="dxa"/>
          </w:tcPr>
          <w:p>
            <w:pPr>
              <w:snapToGrid w:val="0"/>
              <w:spacing w:line="240" w:lineRule="atLeast"/>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1</w:t>
            </w:r>
          </w:p>
        </w:tc>
        <w:tc>
          <w:tcPr>
            <w:tcW w:w="5465" w:type="dxa"/>
          </w:tcPr>
          <w:p>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XXX（预先填写）</w:t>
            </w:r>
          </w:p>
        </w:tc>
        <w:tc>
          <w:tcPr>
            <w:tcW w:w="3046" w:type="dxa"/>
          </w:tcPr>
          <w:p>
            <w:pPr>
              <w:snapToGrid/>
              <w:spacing w:line="24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见投标文件第</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2</w:t>
            </w:r>
          </w:p>
        </w:tc>
        <w:tc>
          <w:tcPr>
            <w:tcW w:w="5465" w:type="dxa"/>
          </w:tcPr>
          <w:p>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XXX</w:t>
            </w:r>
          </w:p>
        </w:tc>
        <w:tc>
          <w:tcPr>
            <w:tcW w:w="3046" w:type="dxa"/>
          </w:tcPr>
          <w:p>
            <w:pPr>
              <w:snapToGrid/>
              <w:spacing w:line="24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见投标文件第</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5465" w:type="dxa"/>
          </w:tcPr>
          <w:p>
            <w:pPr>
              <w:snapToGrid w:val="0"/>
              <w:spacing w:line="36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p>
        </w:tc>
        <w:tc>
          <w:tcPr>
            <w:tcW w:w="3046" w:type="dxa"/>
          </w:tcPr>
          <w:p>
            <w:pPr>
              <w:snapToGrid/>
              <w:spacing w:line="240" w:lineRule="auto"/>
              <w:jc w:val="center"/>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见投标文件第</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14:textFill>
                  <w14:solidFill>
                    <w14:schemeClr w14:val="tx1"/>
                  </w14:solidFill>
                </w14:textFill>
              </w:rPr>
              <w:t>页</w:t>
            </w:r>
          </w:p>
        </w:tc>
      </w:tr>
    </w:tbl>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六、投标标的清单</w:t>
      </w:r>
    </w:p>
    <w:tbl>
      <w:tblPr>
        <w:tblStyle w:val="67"/>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名称</w:t>
            </w:r>
          </w:p>
        </w:tc>
        <w:tc>
          <w:tcPr>
            <w:tcW w:w="11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p>
          <w:p>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p>
          <w:p>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备注（如果有）</w:t>
            </w:r>
          </w:p>
          <w:p>
            <w:pPr>
              <w:spacing w:line="360" w:lineRule="auto"/>
              <w:jc w:val="center"/>
              <w:rPr>
                <w:rFonts w:ascii="仿宋" w:hAnsi="仿宋" w:eastAsia="仿宋"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bl>
    <w:p>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 xml:space="preserve">                   日期：  年  月  日</w:t>
      </w: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序号</w:t>
            </w:r>
          </w:p>
        </w:tc>
        <w:tc>
          <w:tcPr>
            <w:tcW w:w="3683" w:type="dxa"/>
          </w:tcPr>
          <w:p>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招标文件章节及具体内容</w:t>
            </w:r>
          </w:p>
        </w:tc>
        <w:tc>
          <w:tcPr>
            <w:tcW w:w="3546" w:type="dxa"/>
          </w:tcPr>
          <w:p>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投标文件章节及具体内容</w:t>
            </w:r>
          </w:p>
        </w:tc>
        <w:tc>
          <w:tcPr>
            <w:tcW w:w="1276" w:type="dxa"/>
          </w:tcPr>
          <w:p>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3683" w:type="dxa"/>
          </w:tcPr>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3683" w:type="dxa"/>
          </w:tcPr>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w:t>
            </w:r>
          </w:p>
        </w:tc>
        <w:tc>
          <w:tcPr>
            <w:tcW w:w="3683" w:type="dxa"/>
          </w:tcPr>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bl>
    <w:p>
      <w:pPr>
        <w:spacing w:line="360" w:lineRule="auto"/>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pPr>
        <w:spacing w:line="360" w:lineRule="auto"/>
        <w:jc w:val="left"/>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注：</w:t>
      </w:r>
      <w:r>
        <w:rPr>
          <w:rFonts w:hint="eastAsia" w:ascii="仿宋" w:hAnsi="仿宋" w:eastAsia="仿宋" w:cs="宋体"/>
          <w:color w:val="000000" w:themeColor="text1"/>
          <w:kern w:val="0"/>
          <w:sz w:val="24"/>
          <w:highlight w:val="none"/>
          <w:lang w:val="en-US" w:eastAsia="zh-CN"/>
          <w14:textFill>
            <w14:solidFill>
              <w14:schemeClr w14:val="tx1"/>
            </w14:solidFill>
          </w14:textFill>
        </w:rPr>
        <w:t>1.</w:t>
      </w:r>
      <w:r>
        <w:rPr>
          <w:rFonts w:hint="eastAsia" w:ascii="仿宋" w:hAnsi="仿宋" w:eastAsia="仿宋" w:cs="宋体"/>
          <w:color w:val="000000" w:themeColor="text1"/>
          <w:kern w:val="0"/>
          <w:sz w:val="24"/>
          <w:highlight w:val="none"/>
          <w14:textFill>
            <w14:solidFill>
              <w14:schemeClr w14:val="tx1"/>
            </w14:solidFill>
          </w14:textFill>
        </w:rPr>
        <w:t>按本格式和要求提供。</w:t>
      </w:r>
    </w:p>
    <w:p>
      <w:pPr>
        <w:spacing w:line="360" w:lineRule="auto"/>
        <w:jc w:val="left"/>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2.本表格所反映的偏离情况与“符合性审查资料”、“评标标准相应的商务技术资料”不一致的，以“符合性审查资料”、“评标标准相应的商务技术资料”为准。</w:t>
      </w:r>
    </w:p>
    <w:p>
      <w:pPr>
        <w:spacing w:line="360" w:lineRule="auto"/>
        <w:jc w:val="left"/>
        <w:rPr>
          <w:rFonts w:hint="eastAsia" w:eastAsia="华文楷体"/>
          <w:color w:val="000000" w:themeColor="text1"/>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3.投标人须保证：除商务技术偏离表列出的偏离外，投标人响应招标文件的全部非实质性要求。</w:t>
      </w:r>
    </w:p>
    <w:p>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 xml:space="preserve">                   日期：  年  月  日</w:t>
      </w:r>
    </w:p>
    <w:p>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pPr>
        <w:spacing w:line="360" w:lineRule="auto"/>
        <w:ind w:firstLine="1911" w:firstLineChars="595"/>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八</w:t>
      </w:r>
      <w:r>
        <w:rPr>
          <w:rFonts w:hint="eastAsia" w:ascii="仿宋" w:hAnsi="仿宋" w:eastAsia="仿宋" w:cs="宋体"/>
          <w:b/>
          <w:color w:val="000000" w:themeColor="text1"/>
          <w:kern w:val="0"/>
          <w:sz w:val="32"/>
          <w:szCs w:val="32"/>
          <w:highlight w:val="none"/>
          <w14:textFill>
            <w14:solidFill>
              <w14:schemeClr w14:val="tx1"/>
            </w14:solidFill>
          </w14:textFill>
        </w:rPr>
        <w:t>、</w:t>
      </w:r>
      <w:r>
        <w:rPr>
          <w:rFonts w:hint="eastAsia" w:ascii="仿宋" w:hAnsi="仿宋" w:eastAsia="仿宋"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p>
    <w:p>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我单位响应你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六、严格遵守《</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政府采购法》《</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法》</w:t>
      </w:r>
      <w:r>
        <w:rPr>
          <w:rFonts w:hint="eastAsia" w:ascii="仿宋" w:hAnsi="仿宋" w:eastAsia="仿宋" w:cs="宋体"/>
          <w:color w:val="000000" w:themeColor="text1"/>
          <w:sz w:val="24"/>
          <w:highlight w:val="none"/>
          <w:lang w:val="zh-CN"/>
          <w14:textFill>
            <w14:solidFill>
              <w14:schemeClr w14:val="tx1"/>
            </w14:solidFill>
          </w14:textFill>
        </w:rPr>
        <w:t>《中华人民共和国民法典》</w:t>
      </w:r>
      <w:r>
        <w:rPr>
          <w:rFonts w:hint="eastAsia" w:ascii="仿宋" w:hAnsi="仿宋" w:eastAsia="仿宋"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如违反上述承诺，你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投标人（或联合体牵头人）名称(电子签名)：                                                                                                                                                                                                               </w:t>
      </w:r>
    </w:p>
    <w:p>
      <w:pPr>
        <w:spacing w:line="360" w:lineRule="auto"/>
        <w:ind w:left="4620" w:leftChars="2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pPr>
        <w:spacing w:line="360" w:lineRule="auto"/>
        <w:jc w:val="center"/>
        <w:rPr>
          <w:rFonts w:ascii="仿宋" w:hAnsi="仿宋" w:eastAsia="仿宋" w:cs="宋体"/>
          <w:b/>
          <w:bCs/>
          <w:color w:val="000000" w:themeColor="text1"/>
          <w:sz w:val="24"/>
          <w:highlight w:val="none"/>
          <w14:textFill>
            <w14:solidFill>
              <w14:schemeClr w14:val="tx1"/>
            </w14:solidFill>
          </w14:textFill>
        </w:rPr>
        <w:sectPr>
          <w:headerReference r:id="rId15" w:type="first"/>
          <w:footerReference r:id="rId17" w:type="first"/>
          <w:headerReference r:id="rId14" w:type="default"/>
          <w:footerReference r:id="rId16" w:type="default"/>
          <w:pgSz w:w="11905" w:h="16838"/>
          <w:pgMar w:top="680" w:right="1417" w:bottom="680" w:left="1417" w:header="851" w:footer="992" w:gutter="0"/>
          <w:cols w:space="0" w:num="1"/>
          <w:titlePg/>
          <w:rtlGutter w:val="0"/>
          <w:docGrid w:linePitch="312" w:charSpace="0"/>
        </w:sectPr>
      </w:pPr>
    </w:p>
    <w:p>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pPr>
        <w:numPr>
          <w:ilvl w:val="0"/>
          <w:numId w:val="7"/>
        </w:num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开标一览表（报价表）………………………………………………………（页码）</w:t>
      </w:r>
    </w:p>
    <w:p>
      <w:pPr>
        <w:numPr>
          <w:ilvl w:val="0"/>
          <w:numId w:val="7"/>
        </w:num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报价情况说明…………………………………………………………………（页码）</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（3）中小企业声明函………………………………………………………………（页码）</w:t>
      </w: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pStyle w:val="381"/>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headerReference r:id="rId19" w:type="first"/>
          <w:footerReference r:id="rId21" w:type="first"/>
          <w:headerReference r:id="rId18" w:type="default"/>
          <w:footerReference r:id="rId20" w:type="default"/>
          <w:pgSz w:w="11905" w:h="16838"/>
          <w:pgMar w:top="680" w:right="1417" w:bottom="680" w:left="1417" w:header="851" w:footer="992" w:gutter="0"/>
          <w:cols w:space="0" w:num="1"/>
          <w:titlePg/>
          <w:rtlGutter w:val="0"/>
          <w:docGrid w:linePitch="312" w:charSpace="0"/>
        </w:sectPr>
      </w:pPr>
    </w:p>
    <w:p>
      <w:pPr>
        <w:pStyle w:val="381"/>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pPr>
        <w:snapToGrid w:val="0"/>
        <w:spacing w:line="360" w:lineRule="auto"/>
        <w:ind w:firstLine="482"/>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kern w:val="0"/>
          <w:sz w:val="24"/>
          <w:highlight w:val="none"/>
          <w:lang w:val="zh-CN"/>
          <w14:textFill>
            <w14:solidFill>
              <w14:schemeClr w14:val="tx1"/>
            </w14:solidFill>
          </w14:textFill>
        </w:rPr>
        <w:t>【招标编号：</w:t>
      </w:r>
      <w:r>
        <w:rPr>
          <w:rFonts w:hint="eastAsia" w:ascii="仿宋" w:hAnsi="仿宋" w:eastAsia="仿宋" w:cs="宋体"/>
          <w:color w:val="000000" w:themeColor="text1"/>
          <w:sz w:val="24"/>
          <w:highlight w:val="none"/>
          <w14:textFill>
            <w14:solidFill>
              <w14:schemeClr w14:val="tx1"/>
            </w14:solidFill>
          </w14:textFill>
        </w:rPr>
        <w:t>（采购编号）】的实施</w:t>
      </w:r>
      <w:r>
        <w:rPr>
          <w:rFonts w:hint="eastAsia" w:ascii="仿宋" w:hAnsi="仿宋" w:eastAsia="仿宋" w:cs="宋体"/>
          <w:color w:val="000000" w:themeColor="text1"/>
          <w:kern w:val="0"/>
          <w:sz w:val="24"/>
          <w:highlight w:val="none"/>
          <w:lang w:val="zh-CN"/>
          <w14:textFill>
            <w14:solidFill>
              <w14:schemeClr w14:val="tx1"/>
            </w14:solidFill>
          </w14:textFill>
        </w:rPr>
        <w:t>。</w:t>
      </w:r>
    </w:p>
    <w:p>
      <w:pPr>
        <w:spacing w:line="360" w:lineRule="auto"/>
        <w:jc w:val="center"/>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开标一览表（报价表）(单位均为人民币元)</w:t>
      </w:r>
    </w:p>
    <w:tbl>
      <w:tblPr>
        <w:tblStyle w:val="6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683"/>
        <w:gridCol w:w="918"/>
        <w:gridCol w:w="1309"/>
        <w:gridCol w:w="1169"/>
        <w:gridCol w:w="995"/>
        <w:gridCol w:w="1046"/>
        <w:gridCol w:w="916"/>
        <w:gridCol w:w="90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4" w:hRule="atLeast"/>
        </w:trPr>
        <w:tc>
          <w:tcPr>
            <w:tcW w:w="562"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683"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918"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1309"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1169"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995"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1046"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服务人数</w:t>
            </w:r>
          </w:p>
        </w:tc>
        <w:tc>
          <w:tcPr>
            <w:tcW w:w="916" w:type="dxa"/>
            <w:vAlign w:val="center"/>
          </w:tcPr>
          <w:p>
            <w:pPr>
              <w:spacing w:line="360" w:lineRule="auto"/>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单价</w:t>
            </w:r>
          </w:p>
        </w:tc>
        <w:tc>
          <w:tcPr>
            <w:tcW w:w="900" w:type="dxa"/>
            <w:vAlign w:val="center"/>
          </w:tcPr>
          <w:p>
            <w:pPr>
              <w:spacing w:line="360" w:lineRule="auto"/>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合计</w:t>
            </w:r>
          </w:p>
        </w:tc>
        <w:tc>
          <w:tcPr>
            <w:tcW w:w="1356"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2"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683"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w:t>
            </w:r>
          </w:p>
        </w:tc>
        <w:tc>
          <w:tcPr>
            <w:tcW w:w="918"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09"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69"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5"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4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16" w:type="dxa"/>
            <w:vAlign w:val="top"/>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00" w:type="dxa"/>
            <w:vAlign w:val="top"/>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5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2"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683"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w:t>
            </w:r>
          </w:p>
        </w:tc>
        <w:tc>
          <w:tcPr>
            <w:tcW w:w="918"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09"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69"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5"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4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16" w:type="dxa"/>
            <w:vAlign w:val="top"/>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00" w:type="dxa"/>
            <w:vAlign w:val="top"/>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5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2"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683"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18"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09"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69"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5"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4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16" w:type="dxa"/>
            <w:vAlign w:val="top"/>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00" w:type="dxa"/>
            <w:vAlign w:val="top"/>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5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2"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683"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18"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09"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69"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5"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4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16" w:type="dxa"/>
            <w:vAlign w:val="top"/>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00" w:type="dxa"/>
            <w:vAlign w:val="top"/>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5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2"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683"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18"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09"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69"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5"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4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16" w:type="dxa"/>
            <w:vAlign w:val="top"/>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00" w:type="dxa"/>
            <w:vAlign w:val="top"/>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5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72" w:type="dxa"/>
            <w:gridSpan w:val="4"/>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投标报价（小写）</w:t>
            </w:r>
          </w:p>
        </w:tc>
        <w:tc>
          <w:tcPr>
            <w:tcW w:w="6382" w:type="dxa"/>
            <w:gridSpan w:val="6"/>
            <w:vAlign w:val="top"/>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472" w:type="dxa"/>
            <w:gridSpan w:val="4"/>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投标报价（大写）</w:t>
            </w:r>
          </w:p>
        </w:tc>
        <w:tc>
          <w:tcPr>
            <w:tcW w:w="6382" w:type="dxa"/>
            <w:gridSpan w:val="6"/>
            <w:vAlign w:val="top"/>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pPr>
        <w:snapToGrid w:val="0"/>
        <w:spacing w:line="360" w:lineRule="auto"/>
        <w:ind w:left="48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注：</w:t>
      </w:r>
    </w:p>
    <w:p>
      <w:pPr>
        <w:spacing w:line="360" w:lineRule="auto"/>
        <w:ind w:left="-2"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1、投标人需按本表格式填写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000000" w:themeColor="text1"/>
          <w:kern w:val="0"/>
          <w:sz w:val="24"/>
          <w:highlight w:val="none"/>
          <w:lang w:val="zh-CN"/>
          <w14:textFill>
            <w14:solidFill>
              <w14:schemeClr w14:val="tx1"/>
            </w14:solidFill>
          </w14:textFill>
        </w:rPr>
        <w:t>总价</w:t>
      </w:r>
      <w:r>
        <w:rPr>
          <w:rFonts w:hint="eastAsia" w:ascii="仿宋" w:hAnsi="仿宋" w:eastAsia="仿宋" w:cs="仿宋"/>
          <w:color w:val="000000" w:themeColor="text1"/>
          <w:kern w:val="0"/>
          <w:sz w:val="24"/>
          <w:highlight w:val="none"/>
          <w:lang w:val="zh-CN" w:eastAsia="zh-CN"/>
          <w14:textFill>
            <w14:solidFill>
              <w14:schemeClr w14:val="tx1"/>
            </w14:solidFill>
          </w14:textFill>
        </w:rPr>
        <w:t>不为零</w:t>
      </w:r>
      <w:r>
        <w:rPr>
          <w:rFonts w:hint="eastAsia" w:ascii="仿宋" w:hAnsi="仿宋" w:eastAsia="仿宋" w:cs="仿宋"/>
          <w:color w:val="000000" w:themeColor="text1"/>
          <w:kern w:val="0"/>
          <w:sz w:val="24"/>
          <w:highlight w:val="none"/>
          <w:lang w:val="zh-CN"/>
          <w14:textFill>
            <w14:solidFill>
              <w14:schemeClr w14:val="tx1"/>
            </w14:solidFill>
          </w14:textFill>
        </w:rPr>
        <w:t>，报价明细表中</w:t>
      </w:r>
      <w:r>
        <w:rPr>
          <w:rFonts w:hint="eastAsia" w:ascii="仿宋" w:hAnsi="仿宋" w:eastAsia="仿宋" w:cs="仿宋"/>
          <w:color w:val="000000" w:themeColor="text1"/>
          <w:kern w:val="0"/>
          <w:sz w:val="24"/>
          <w:highlight w:val="none"/>
          <w:lang w:val="zh-CN" w:eastAsia="zh-CN"/>
          <w14:textFill>
            <w14:solidFill>
              <w14:schemeClr w14:val="tx1"/>
            </w14:solidFill>
          </w14:textFill>
        </w:rPr>
        <w:t>（删除）部分</w:t>
      </w:r>
      <w:r>
        <w:rPr>
          <w:rFonts w:hint="eastAsia" w:ascii="仿宋" w:hAnsi="仿宋" w:eastAsia="仿宋" w:cs="仿宋"/>
          <w:color w:val="000000" w:themeColor="text1"/>
          <w:kern w:val="0"/>
          <w:sz w:val="24"/>
          <w:highlight w:val="none"/>
          <w:lang w:val="zh-CN"/>
          <w14:textFill>
            <w14:solidFill>
              <w14:schemeClr w14:val="tx1"/>
            </w14:solidFill>
          </w14:textFill>
        </w:rPr>
        <w:t>产品、服务单价为零的，视作已包含在总价中</w:t>
      </w:r>
      <w:r>
        <w:rPr>
          <w:rFonts w:hint="eastAsia" w:ascii="仿宋" w:hAnsi="仿宋" w:eastAsia="仿宋" w:cs="仿宋"/>
          <w:color w:val="000000" w:themeColor="text1"/>
          <w:kern w:val="0"/>
          <w:sz w:val="24"/>
          <w:highlight w:val="none"/>
          <w:lang w:val="zh-CN" w:eastAsia="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szCs w:val="22"/>
          <w:highlight w:val="none"/>
          <w:lang w:val="zh-CN"/>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right"/>
        <w:rPr>
          <w:rFonts w:ascii="仿宋" w:hAnsi="仿宋" w:eastAsia="仿宋" w:cs="宋体"/>
          <w:b w:val="0"/>
          <w:bCs w:val="0"/>
          <w:color w:val="000000" w:themeColor="text1"/>
          <w:kern w:val="0"/>
          <w:sz w:val="24"/>
          <w:highlight w:val="none"/>
          <w:lang w:val="zh-CN"/>
          <w14:textFill>
            <w14:solidFill>
              <w14:schemeClr w14:val="tx1"/>
            </w14:solidFill>
          </w14:textFill>
        </w:rPr>
      </w:pPr>
      <w:r>
        <w:rPr>
          <w:rFonts w:hint="eastAsia" w:ascii="仿宋" w:hAnsi="仿宋" w:eastAsia="仿宋" w:cs="宋体"/>
          <w:b w:val="0"/>
          <w:bCs w:val="0"/>
          <w:color w:val="000000" w:themeColor="text1"/>
          <w:kern w:val="0"/>
          <w:sz w:val="24"/>
          <w:highlight w:val="none"/>
          <w:lang w:val="zh-CN"/>
          <w14:textFill>
            <w14:solidFill>
              <w14:schemeClr w14:val="tx1"/>
            </w14:solidFill>
          </w14:textFill>
        </w:rPr>
        <w:t>投标人（或联合体牵头人）名称(电子签名)：</w:t>
      </w:r>
    </w:p>
    <w:p>
      <w:pPr>
        <w:spacing w:line="360" w:lineRule="auto"/>
        <w:ind w:left="4620" w:leftChars="2200" w:firstLine="235" w:firstLineChars="98"/>
        <w:jc w:val="right"/>
        <w:rPr>
          <w:rFonts w:ascii="仿宋" w:hAnsi="仿宋" w:eastAsia="仿宋" w:cs="宋体"/>
          <w:b w:val="0"/>
          <w:bCs w:val="0"/>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val="0"/>
          <w:color w:val="000000" w:themeColor="text1"/>
          <w:kern w:val="0"/>
          <w:sz w:val="24"/>
          <w:szCs w:val="20"/>
          <w:highlight w:val="none"/>
          <w:lang w:val="zh-CN"/>
          <w14:textFill>
            <w14:solidFill>
              <w14:schemeClr w14:val="tx1"/>
            </w14:solidFill>
          </w14:textFill>
        </w:rPr>
        <w:t>日期：   年   月   日</w:t>
      </w:r>
    </w:p>
    <w:p>
      <w:pPr>
        <w:pStyle w:val="381"/>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pgSz w:w="11905" w:h="16838"/>
          <w:pgMar w:top="680" w:right="1417" w:bottom="680" w:left="1417" w:header="851" w:footer="992" w:gutter="0"/>
          <w:cols w:space="0" w:num="1"/>
          <w:titlePg/>
          <w:rtlGutter w:val="0"/>
          <w:docGrid w:linePitch="312" w:charSpace="0"/>
        </w:sectPr>
      </w:pPr>
    </w:p>
    <w:p>
      <w:pPr>
        <w:jc w:val="center"/>
        <w:rPr>
          <w:rFonts w:ascii="仿宋" w:hAnsi="仿宋" w:eastAsia="仿宋" w:cs="宋体"/>
          <w:b/>
          <w:color w:val="000000" w:themeColor="text1"/>
          <w:kern w:val="44"/>
          <w:sz w:val="32"/>
          <w:szCs w:val="32"/>
          <w:highlight w:val="none"/>
          <w14:textFill>
            <w14:solidFill>
              <w14:schemeClr w14:val="tx1"/>
            </w14:solidFill>
          </w14:textFill>
        </w:rPr>
      </w:pPr>
      <w:r>
        <w:rPr>
          <w:rFonts w:hint="eastAsia" w:ascii="仿宋" w:hAnsi="仿宋" w:eastAsia="仿宋" w:cs="宋体"/>
          <w:b/>
          <w:color w:val="000000" w:themeColor="text1"/>
          <w:kern w:val="44"/>
          <w:sz w:val="32"/>
          <w:szCs w:val="32"/>
          <w:highlight w:val="none"/>
          <w14:textFill>
            <w14:solidFill>
              <w14:schemeClr w14:val="tx1"/>
            </w14:solidFill>
          </w14:textFill>
        </w:rPr>
        <w:t>二、报价情况说明（如果有）</w:t>
      </w:r>
    </w:p>
    <w:p>
      <w:pPr>
        <w:spacing w:line="36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（如供应商报价低于项目预算50%的，应当提交本文档，详细阐述不影响产品质量或者诚信履约的具体原因。）</w:t>
      </w:r>
    </w:p>
    <w:p>
      <w:pPr>
        <w:pStyle w:val="381"/>
        <w:tabs>
          <w:tab w:val="clear" w:pos="720"/>
        </w:tabs>
        <w:snapToGrid w:val="0"/>
        <w:spacing w:before="120" w:after="120"/>
        <w:ind w:firstLine="643"/>
        <w:outlineLvl w:val="9"/>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三、</w:t>
      </w:r>
      <w:r>
        <w:rPr>
          <w:rFonts w:hint="eastAsia" w:ascii="仿宋" w:hAnsi="仿宋" w:eastAsia="仿宋" w:cs="宋体"/>
          <w:color w:val="000000" w:themeColor="text1"/>
          <w:sz w:val="32"/>
          <w:szCs w:val="32"/>
          <w:highlight w:val="none"/>
          <w14:textFill>
            <w14:solidFill>
              <w14:schemeClr w14:val="tx1"/>
            </w14:solidFill>
          </w14:textFill>
        </w:rPr>
        <w:t>中小企业声明函（如果有）</w:t>
      </w:r>
    </w:p>
    <w:p>
      <w:pPr>
        <w:widowControl/>
        <w:spacing w:line="360" w:lineRule="auto"/>
        <w:ind w:firstLine="120" w:firstLineChars="5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000000" w:themeColor="text1"/>
          <w:sz w:val="24"/>
          <w:highlight w:val="none"/>
          <w14:textFill>
            <w14:solidFill>
              <w14:schemeClr w14:val="tx1"/>
            </w14:solidFill>
          </w14:textFill>
        </w:rPr>
        <w:t>7</w:t>
      </w:r>
      <w:r>
        <w:rPr>
          <w:rFonts w:hint="eastAsia" w:ascii="仿宋" w:hAnsi="仿宋" w:eastAsia="仿宋" w:cs="宋体"/>
          <w:b/>
          <w:color w:val="000000" w:themeColor="text1"/>
          <w:sz w:val="24"/>
          <w:highlight w:val="none"/>
          <w14:textFill>
            <w14:solidFill>
              <w14:schemeClr w14:val="tx1"/>
            </w14:solidFill>
          </w14:textFill>
        </w:rPr>
        <w:t>）。]</w:t>
      </w:r>
    </w:p>
    <w:p>
      <w:pPr>
        <w:pStyle w:val="2"/>
        <w:pageBreakBefore/>
        <w:widowControl/>
        <w:spacing w:before="100" w:beforeAutospacing="1" w:after="100" w:afterAutospacing="1" w:line="360" w:lineRule="auto"/>
        <w:ind w:left="1290" w:firstLine="3092" w:firstLineChars="7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附件</w:t>
      </w:r>
    </w:p>
    <w:p>
      <w:pPr>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附件1：</w:t>
      </w: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bookmarkStart w:id="407" w:name="OLE_LINK14"/>
      <w:bookmarkStart w:id="408" w:name="OLE_LINK13"/>
      <w:r>
        <w:rPr>
          <w:rFonts w:hint="eastAsia" w:ascii="仿宋" w:hAnsi="仿宋" w:eastAsia="仿宋" w:cs="宋体"/>
          <w:b/>
          <w:color w:val="000000" w:themeColor="text1"/>
          <w:spacing w:val="6"/>
          <w:sz w:val="32"/>
          <w:szCs w:val="32"/>
          <w:highlight w:val="none"/>
          <w14:textFill>
            <w14:solidFill>
              <w14:schemeClr w14:val="tx1"/>
            </w14:solidFill>
          </w14:textFill>
        </w:rPr>
        <w:t>残疾人福利性单位声明函</w:t>
      </w:r>
    </w:p>
    <w:bookmarkEnd w:id="407"/>
    <w:bookmarkEnd w:id="408"/>
    <w:p>
      <w:pPr>
        <w:spacing w:line="360" w:lineRule="auto"/>
        <w:rPr>
          <w:rFonts w:ascii="仿宋" w:hAnsi="仿宋" w:eastAsia="仿宋"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_单位的_</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附件2：</w:t>
      </w: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质疑函范本及制作说明</w:t>
      </w: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w:t>
      </w:r>
    </w:p>
    <w:p>
      <w:pPr>
        <w:snapToGrid w:val="0"/>
        <w:spacing w:beforeLines="100"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一、质疑供应商基本信息</w:t>
      </w:r>
    </w:p>
    <w:p>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质疑供应商：</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地址：邮编：</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 邮编：</w:t>
      </w:r>
    </w:p>
    <w:p>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二、质疑项目基本情况</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质疑项目的名称：</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质疑项目的编号：包号：</w:t>
      </w:r>
    </w:p>
    <w:p>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采购文件获取日期：</w:t>
      </w:r>
    </w:p>
    <w:p>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三、质疑事项具体内容</w:t>
      </w:r>
    </w:p>
    <w:p>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质疑事项1：</w:t>
      </w:r>
    </w:p>
    <w:p>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p>
    <w:p>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p>
    <w:p>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质疑事项2</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四、与质疑事项相关的质疑请求</w:t>
      </w:r>
    </w:p>
    <w:p>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color w:val="000000" w:themeColor="text1"/>
          <w:sz w:val="30"/>
          <w:szCs w:val="30"/>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附件3：</w:t>
      </w: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投诉书范本及制作说明</w:t>
      </w:r>
    </w:p>
    <w:p>
      <w:pPr>
        <w:spacing w:line="360" w:lineRule="auto"/>
        <w:jc w:val="center"/>
        <w:rPr>
          <w:rFonts w:ascii="仿宋" w:hAnsi="仿宋" w:eastAsia="仿宋" w:cs="宋体"/>
          <w:b/>
          <w:color w:val="000000" w:themeColor="text1"/>
          <w:sz w:val="24"/>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一、投诉相关主体基本情况</w:t>
      </w:r>
    </w:p>
    <w:p>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w:t>
      </w: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pPr>
        <w:tabs>
          <w:tab w:val="left" w:pos="6510"/>
        </w:tabs>
        <w:spacing w:line="360" w:lineRule="auto"/>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法定代表人/主要负责人：</w:t>
      </w:r>
    </w:p>
    <w:p>
      <w:pPr>
        <w:tabs>
          <w:tab w:val="left" w:pos="6510"/>
        </w:tabs>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授权代表：联系电话</w:t>
      </w:r>
      <w:r>
        <w:rPr>
          <w:rFonts w:hint="eastAsia" w:ascii="仿宋" w:hAnsi="仿宋" w:eastAsia="仿宋" w:cs="宋体"/>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被投诉人1：</w:t>
      </w: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被投诉人2</w:t>
      </w:r>
    </w:p>
    <w:p>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相关供应商：</w:t>
      </w: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二、投诉项目基本情况</w:t>
      </w:r>
    </w:p>
    <w:p>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采购项目名称：</w:t>
      </w: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采购项目编号：包号：</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代理机构名称：</w:t>
      </w:r>
    </w:p>
    <w:p>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采购结果公告: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三、质疑基本情况</w:t>
      </w:r>
    </w:p>
    <w:p>
      <w:pPr>
        <w:spacing w:line="360" w:lineRule="auto"/>
        <w:ind w:firstLine="480" w:firstLineChars="200"/>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投诉人于年月日,向提出质疑，质疑事项为：</w:t>
      </w:r>
    </w:p>
    <w:p>
      <w:pPr>
        <w:spacing w:line="360" w:lineRule="auto"/>
        <w:rPr>
          <w:rFonts w:ascii="仿宋" w:hAnsi="仿宋" w:eastAsia="仿宋" w:cs="宋体"/>
          <w:color w:val="000000" w:themeColor="text1"/>
          <w:sz w:val="24"/>
          <w:highlight w:val="none"/>
          <w:u w:val="dotted"/>
          <w14:textFill>
            <w14:solidFill>
              <w14:schemeClr w14:val="tx1"/>
            </w14:solidFill>
          </w14:textFill>
        </w:rPr>
      </w:pPr>
    </w:p>
    <w:p>
      <w:pPr>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dotted"/>
          <w14:textFill>
            <w14:solidFill>
              <w14:schemeClr w14:val="tx1"/>
            </w14:solidFill>
          </w14:textFill>
        </w:rPr>
        <w:t>采购人/代理机构</w:t>
      </w:r>
      <w:r>
        <w:rPr>
          <w:rFonts w:hint="eastAsia" w:ascii="仿宋" w:hAnsi="仿宋" w:eastAsia="仿宋" w:cs="宋体"/>
          <w:color w:val="000000" w:themeColor="text1"/>
          <w:sz w:val="24"/>
          <w:highlight w:val="none"/>
          <w14:textFill>
            <w14:solidFill>
              <w14:schemeClr w14:val="tx1"/>
            </w14:solidFill>
          </w14:textFill>
        </w:rPr>
        <w:t>于年月日,就质疑事项作出了答复/没有在法定期限内作出答复。</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四、投诉事项具体内容</w:t>
      </w: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 1：</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pPr>
        <w:spacing w:line="360" w:lineRule="auto"/>
        <w:rPr>
          <w:rFonts w:ascii="仿宋" w:hAnsi="仿宋" w:eastAsia="仿宋" w:cs="宋体"/>
          <w:color w:val="000000" w:themeColor="text1"/>
          <w:sz w:val="24"/>
          <w:highlight w:val="none"/>
          <w:u w:val="dotted"/>
          <w14:textFill>
            <w14:solidFill>
              <w14:schemeClr w14:val="tx1"/>
            </w14:solidFill>
          </w14:textFill>
        </w:rPr>
      </w:pP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pPr>
        <w:spacing w:line="360" w:lineRule="auto"/>
        <w:rPr>
          <w:rFonts w:ascii="仿宋" w:hAnsi="仿宋" w:eastAsia="仿宋" w:cs="宋体"/>
          <w:color w:val="000000" w:themeColor="text1"/>
          <w:sz w:val="24"/>
          <w:highlight w:val="none"/>
          <w:u w:val="dotted"/>
          <w14:textFill>
            <w14:solidFill>
              <w14:schemeClr w14:val="tx1"/>
            </w14:solidFill>
          </w14:textFill>
        </w:rPr>
      </w:pP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投诉事项2</w:t>
      </w:r>
    </w:p>
    <w:p>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五、与投诉事项相关的投诉请求</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pPr>
        <w:spacing w:line="360" w:lineRule="auto"/>
        <w:rPr>
          <w:rFonts w:ascii="仿宋" w:hAnsi="仿宋" w:eastAsia="仿宋" w:cs="宋体"/>
          <w:color w:val="000000" w:themeColor="text1"/>
          <w:sz w:val="24"/>
          <w:highlight w:val="none"/>
          <w:u w:val="single"/>
          <w14:textFill>
            <w14:solidFill>
              <w14:schemeClr w14:val="tx1"/>
            </w14:solidFill>
          </w14:textFill>
        </w:rPr>
      </w:pP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color w:val="000000" w:themeColor="text1"/>
          <w:sz w:val="24"/>
          <w:highlight w:val="none"/>
          <w14:textFill>
            <w14:solidFill>
              <w14:schemeClr w14:val="tx1"/>
            </w14:solidFill>
          </w14:textFill>
        </w:rPr>
      </w:pPr>
    </w:p>
    <w:p>
      <w:pPr>
        <w:pStyle w:val="84"/>
        <w:rPr>
          <w:color w:val="000000" w:themeColor="text1"/>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附件4：</w:t>
      </w:r>
    </w:p>
    <w:p>
      <w:pPr>
        <w:autoSpaceDE w:val="0"/>
        <w:autoSpaceDN w:val="0"/>
        <w:spacing w:line="360" w:lineRule="auto"/>
        <w:jc w:val="center"/>
        <w:rPr>
          <w:rFonts w:ascii="仿宋" w:hAnsi="仿宋" w:eastAsia="仿宋" w:cs="宋体"/>
          <w:b/>
          <w:bCs/>
          <w:color w:val="000000" w:themeColor="text1"/>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业务专用章使用说明函</w:t>
      </w:r>
    </w:p>
    <w:p>
      <w:pPr>
        <w:spacing w:line="360" w:lineRule="auto"/>
        <w:rPr>
          <w:rFonts w:ascii="仿宋" w:hAnsi="仿宋" w:eastAsia="仿宋" w:cs="宋体"/>
          <w:color w:val="000000" w:themeColor="text1"/>
          <w:sz w:val="24"/>
          <w:highlight w:val="none"/>
          <w:u w:val="single"/>
          <w14:textFill>
            <w14:solidFill>
              <w14:schemeClr w14:val="tx1"/>
            </w14:solidFill>
          </w14:textFill>
        </w:rPr>
      </w:pP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我方</w:t>
      </w:r>
      <w:r>
        <w:rPr>
          <w:rFonts w:hint="eastAsia" w:ascii="仿宋" w:hAnsi="仿宋" w:eastAsia="仿宋" w:cs="宋体"/>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宋体"/>
          <w:color w:val="000000" w:themeColor="text1"/>
          <w:sz w:val="24"/>
          <w:highlight w:val="none"/>
          <w14:textFill>
            <w14:solidFill>
              <w14:schemeClr w14:val="tx1"/>
            </w14:solidFill>
          </w14:textFill>
        </w:rPr>
        <w:t>你方组织的（项目名称）【招标编号：（采购编号）】</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pPr>
        <w:spacing w:line="360" w:lineRule="auto"/>
        <w:ind w:right="1440" w:firstLine="494"/>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pPr>
        <w:spacing w:line="360" w:lineRule="auto"/>
        <w:rPr>
          <w:rFonts w:ascii="仿宋" w:hAnsi="仿宋" w:eastAsia="仿宋" w:cs="宋体"/>
          <w:bCs/>
          <w:color w:val="000000" w:themeColor="text1"/>
          <w:sz w:val="24"/>
          <w:highlight w:val="none"/>
          <w14:textFill>
            <w14:solidFill>
              <w14:schemeClr w14:val="tx1"/>
            </w14:solidFill>
          </w14:textFill>
        </w:rPr>
      </w:pPr>
      <w:r>
        <w:rPr>
          <w:rFonts w:ascii="仿宋" w:hAnsi="仿宋" w:eastAsia="仿宋"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6350" t="6350" r="6985" b="26035"/>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6350" t="6350" r="12700" b="26035"/>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000000" w:themeColor="text1"/>
          <w:sz w:val="24"/>
          <w:highlight w:val="none"/>
          <w14:textFill>
            <w14:solidFill>
              <w14:schemeClr w14:val="tx1"/>
            </w14:solidFill>
          </w14:textFill>
        </w:rPr>
        <w:t>投标单位法定名称章（印模）                投标单位“XX专用章”（印模）</w:t>
      </w: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5</w:t>
      </w:r>
      <w:r>
        <w:rPr>
          <w:rFonts w:hint="eastAsia" w:ascii="仿宋" w:hAnsi="仿宋" w:eastAsia="仿宋" w:cs="宋体"/>
          <w:b/>
          <w:color w:val="000000" w:themeColor="text1"/>
          <w:spacing w:val="6"/>
          <w:sz w:val="32"/>
          <w:szCs w:val="32"/>
          <w:highlight w:val="none"/>
          <w14:textFill>
            <w14:solidFill>
              <w14:schemeClr w14:val="tx1"/>
            </w14:solidFill>
          </w14:textFill>
        </w:rPr>
        <w:t>：</w:t>
      </w:r>
    </w:p>
    <w:p>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宋体"/>
          <w:color w:val="000000" w:themeColor="text1"/>
          <w:kern w:val="0"/>
          <w:sz w:val="24"/>
          <w:highlight w:val="none"/>
          <w14:textFill>
            <w14:solidFill>
              <w14:schemeClr w14:val="tx1"/>
            </w14:solidFill>
          </w14:textFill>
        </w:rPr>
        <w:t>自愿</w:t>
      </w:r>
      <w:r>
        <w:rPr>
          <w:rFonts w:hint="eastAsia" w:ascii="仿宋" w:hAnsi="仿宋" w:eastAsia="仿宋" w:cs="宋体"/>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宋体"/>
          <w:color w:val="000000" w:themeColor="text1"/>
          <w:kern w:val="0"/>
          <w:sz w:val="24"/>
          <w:highlight w:val="none"/>
          <w14:textFill>
            <w14:solidFill>
              <w14:schemeClr w14:val="tx1"/>
            </w14:solidFill>
          </w14:textFill>
        </w:rPr>
        <w:t>参加</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一、各方一致决定，</w:t>
      </w:r>
      <w:r>
        <w:rPr>
          <w:rFonts w:hint="eastAsia" w:ascii="仿宋" w:hAnsi="仿宋" w:eastAsia="仿宋" w:cs="宋体"/>
          <w:color w:val="000000" w:themeColor="text1"/>
          <w:kern w:val="0"/>
          <w:sz w:val="24"/>
          <w:highlight w:val="none"/>
          <w:u w:val="single"/>
          <w14:textFill>
            <w14:solidFill>
              <w14:schemeClr w14:val="tx1"/>
            </w14:solidFill>
          </w14:textFill>
        </w:rPr>
        <w:t>（某联合体成员名称）</w:t>
      </w:r>
      <w:r>
        <w:rPr>
          <w:rFonts w:hint="eastAsia" w:ascii="仿宋" w:hAnsi="仿宋" w:eastAsia="仿宋" w:cs="宋体"/>
          <w:color w:val="000000" w:themeColor="text1"/>
          <w:kern w:val="0"/>
          <w:sz w:val="24"/>
          <w:highlight w:val="none"/>
          <w14:textFill>
            <w14:solidFill>
              <w14:schemeClr w14:val="tx1"/>
            </w14:solidFill>
          </w14:textFill>
        </w:rPr>
        <w:t>为联合体</w:t>
      </w:r>
      <w:r>
        <w:rPr>
          <w:rFonts w:hint="eastAsia" w:ascii="仿宋" w:hAnsi="仿宋" w:eastAsia="仿宋" w:cs="宋体"/>
          <w:color w:val="000000" w:themeColor="text1"/>
          <w:kern w:val="0"/>
          <w:sz w:val="24"/>
          <w:highlight w:val="none"/>
          <w:lang w:val="zh-CN"/>
          <w14:textFill>
            <w14:solidFill>
              <w14:schemeClr w14:val="tx1"/>
            </w14:solidFill>
          </w14:textFill>
        </w:rPr>
        <w:t>牵头人</w:t>
      </w:r>
      <w:r>
        <w:rPr>
          <w:rFonts w:hint="eastAsia" w:ascii="仿宋" w:hAnsi="仿宋" w:eastAsia="仿宋"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w:t>
      </w:r>
      <w:r>
        <w:rPr>
          <w:rFonts w:hint="eastAsia" w:ascii="仿宋" w:hAnsi="仿宋" w:eastAsia="仿宋" w:cs="宋体"/>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三、本次联合投标中，分工如下：</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（联合体成员1）</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w:t>
      </w:r>
      <w:r>
        <w:rPr>
          <w:rFonts w:ascii="仿宋" w:hAnsi="仿宋" w:eastAsia="仿宋" w:cs="宋体"/>
          <w:color w:val="000000" w:themeColor="text1"/>
          <w:kern w:val="0"/>
          <w:sz w:val="24"/>
          <w:highlight w:val="none"/>
          <w:u w:val="single"/>
          <w14:textFill>
            <w14:solidFill>
              <w14:schemeClr w14:val="tx1"/>
            </w14:solidFill>
          </w14:textFill>
        </w:rPr>
        <w:t>2</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四、联合体成员中小企业合同份额。</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w:t>
      </w:r>
      <w:bookmarkStart w:id="409" w:name="_Hlk101131882"/>
      <w:r>
        <w:rPr>
          <w:rFonts w:hint="eastAsia" w:ascii="仿宋" w:hAnsi="仿宋" w:eastAsia="仿宋" w:cs="宋体"/>
          <w:color w:val="000000" w:themeColor="text1"/>
          <w:kern w:val="0"/>
          <w:sz w:val="24"/>
          <w:highlight w:val="none"/>
          <w:u w:val="single"/>
          <w14:textFill>
            <w14:solidFill>
              <w14:schemeClr w14:val="tx1"/>
            </w14:solidFill>
          </w14:textFill>
        </w:rPr>
        <w:t>联合体成员X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bookmarkEnd w:id="409"/>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提供的服务由小微企业承接，其合同份额占到合同总金额   %以上</w:t>
      </w:r>
      <w:r>
        <w:rPr>
          <w:rFonts w:hint="eastAsia" w:ascii="仿宋" w:hAnsi="仿宋" w:eastAsia="仿宋" w:cs="宋体"/>
          <w:color w:val="000000" w:themeColor="text1"/>
          <w:kern w:val="0"/>
          <w:sz w:val="24"/>
          <w:highlight w:val="none"/>
          <w:lang w:val="zh-CN"/>
          <w14:textFill>
            <w14:solidFill>
              <w14:schemeClr w14:val="tx1"/>
            </w14:solidFill>
          </w14:textFill>
        </w:rPr>
        <w:t>。</w:t>
      </w:r>
    </w:p>
    <w:p>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w:t>
      </w:r>
      <w:bookmarkStart w:id="410" w:name="_Hlk101133598"/>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bookmarkEnd w:id="410"/>
      <w:r>
        <w:rPr>
          <w:rFonts w:hint="eastAsia" w:ascii="仿宋" w:hAnsi="仿宋" w:eastAsia="仿宋"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bookmarkStart w:id="411" w:name="_Hlk101133173"/>
      <w:r>
        <w:rPr>
          <w:rFonts w:hint="eastAsia" w:ascii="仿宋" w:hAnsi="仿宋" w:eastAsia="仿宋" w:cs="宋体"/>
          <w:color w:val="000000" w:themeColor="text1"/>
          <w:sz w:val="24"/>
          <w:highlight w:val="none"/>
          <w14:textFill>
            <w14:solidFill>
              <w14:schemeClr w14:val="tx1"/>
            </w14:solidFill>
          </w14:textFill>
        </w:rPr>
        <w:t>中小企业合同金额达到    %，小微企业合同金额达到    %</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bookmarkEnd w:id="411"/>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五、如果中标，</w:t>
      </w:r>
      <w:r>
        <w:rPr>
          <w:rFonts w:hint="eastAsia" w:ascii="仿宋" w:hAnsi="仿宋" w:eastAsia="仿宋"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right="960"/>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pPr>
        <w:snapToGrid w:val="0"/>
        <w:spacing w:line="360" w:lineRule="auto"/>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  年  月   日</w:t>
      </w:r>
    </w:p>
    <w:p>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p>
    <w:p>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6</w:t>
      </w:r>
      <w:r>
        <w:rPr>
          <w:rFonts w:hint="eastAsia" w:ascii="仿宋" w:hAnsi="仿宋" w:eastAsia="仿宋" w:cs="宋体"/>
          <w:b/>
          <w:color w:val="000000" w:themeColor="text1"/>
          <w:spacing w:val="6"/>
          <w:sz w:val="32"/>
          <w:szCs w:val="32"/>
          <w:highlight w:val="none"/>
          <w14:textFill>
            <w14:solidFill>
              <w14:schemeClr w14:val="tx1"/>
            </w14:solidFill>
          </w14:textFill>
        </w:rPr>
        <w:t>：</w:t>
      </w:r>
    </w:p>
    <w:p>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若成为</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14:textFill>
            <w14:solidFill>
              <w14:schemeClr w14:val="tx1"/>
            </w14:solidFill>
          </w14:textFill>
        </w:rPr>
        <w:t>与</w:t>
      </w:r>
      <w:r>
        <w:rPr>
          <w:rFonts w:hint="eastAsia" w:ascii="仿宋" w:hAnsi="仿宋" w:eastAsia="仿宋" w:cs="宋体"/>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宋体"/>
          <w:color w:val="000000" w:themeColor="text1"/>
          <w:kern w:val="0"/>
          <w:sz w:val="24"/>
          <w:highlight w:val="none"/>
          <w14:textFill>
            <w14:solidFill>
              <w14:schemeClr w14:val="tx1"/>
            </w14:solidFill>
          </w14:textFill>
        </w:rPr>
        <w:t>达成分包意向协议</w:t>
      </w: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将</w:t>
      </w:r>
      <w:r>
        <w:rPr>
          <w:rFonts w:ascii="仿宋" w:hAnsi="仿宋" w:eastAsia="仿宋" w:cs="宋体"/>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宋体"/>
          <w:color w:val="000000" w:themeColor="text1"/>
          <w:sz w:val="24"/>
          <w:highlight w:val="none"/>
          <w14:textFill>
            <w14:solidFill>
              <w14:schemeClr w14:val="tx1"/>
            </w14:solidFill>
          </w14:textFill>
        </w:rPr>
        <w:t>分包给</w:t>
      </w:r>
      <w:r>
        <w:rPr>
          <w:rFonts w:hint="eastAsia" w:ascii="仿宋" w:hAnsi="仿宋" w:eastAsia="仿宋" w:cs="宋体"/>
          <w:color w:val="000000" w:themeColor="text1"/>
          <w:kern w:val="0"/>
          <w:sz w:val="24"/>
          <w:highlight w:val="none"/>
          <w:u w:val="single"/>
          <w14:textFill>
            <w14:solidFill>
              <w14:schemeClr w14:val="tx1"/>
            </w14:solidFill>
          </w14:textFill>
        </w:rPr>
        <w:t>（分包供应商1名称）</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（分包供应商2名称），</w:t>
      </w:r>
      <w:r>
        <w:rPr>
          <w:rFonts w:hint="eastAsia" w:ascii="仿宋" w:hAnsi="仿宋" w:eastAsia="仿宋" w:cs="宋体"/>
          <w:color w:val="000000" w:themeColor="text1"/>
          <w:kern w:val="0"/>
          <w:sz w:val="24"/>
          <w:highlight w:val="none"/>
          <w:lang w:val="zh-CN"/>
          <w14:textFill>
            <w14:solidFill>
              <w14:schemeClr w14:val="tx1"/>
            </w14:solidFill>
          </w14:textFill>
        </w:rPr>
        <w:t>具备承</w:t>
      </w:r>
      <w:r>
        <w:rPr>
          <w:rFonts w:hint="eastAsia" w:ascii="仿宋" w:hAnsi="仿宋" w:eastAsia="仿宋" w:cs="宋体"/>
          <w:color w:val="000000" w:themeColor="text1"/>
          <w:kern w:val="0"/>
          <w:sz w:val="24"/>
          <w:highlight w:val="none"/>
          <w14:textFill>
            <w14:solidFill>
              <w14:schemeClr w14:val="tx1"/>
            </w14:solidFill>
          </w14:textFill>
        </w:rPr>
        <w:t>担</w:t>
      </w:r>
      <w:r>
        <w:rPr>
          <w:rFonts w:hint="eastAsia" w:ascii="仿宋" w:hAnsi="仿宋" w:eastAsia="仿宋" w:cs="宋体"/>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宋体"/>
          <w:color w:val="000000" w:themeColor="text1"/>
          <w:kern w:val="0"/>
          <w:sz w:val="24"/>
          <w:highlight w:val="none"/>
          <w:lang w:val="zh-CN"/>
          <w14:textFill>
            <w14:solidFill>
              <w14:schemeClr w14:val="tx1"/>
            </w14:solidFill>
          </w14:textFill>
        </w:rPr>
        <w:t>相应资质条件且不得再次分包；</w:t>
      </w:r>
      <w:r>
        <w:rPr>
          <w:rFonts w:ascii="仿宋" w:hAnsi="仿宋" w:eastAsia="仿宋"/>
          <w:b/>
          <w:color w:val="000000" w:themeColor="text1"/>
          <w:sz w:val="32"/>
          <w:szCs w:val="32"/>
          <w:highlight w:val="none"/>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二、分包供应商中小企业合同份额</w:t>
      </w:r>
    </w:p>
    <w:p>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（分包供应商X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提供的服务全部由小微企业承接，其合同份额占到合同总金额   %以上</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2、中小企业合同金额达到    %，小微企业合同金额达到    %</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highlight w:val="none"/>
          <w:lang w:val="zh-CN"/>
          <w14:textFill>
            <w14:solidFill>
              <w14:schemeClr w14:val="tx1"/>
            </w14:solidFill>
          </w14:textFill>
        </w:rPr>
        <w:t>分包意向协议</w:t>
      </w:r>
      <w:r>
        <w:rPr>
          <w:rFonts w:hint="eastAsia" w:ascii="仿宋" w:hAnsi="仿宋" w:eastAsia="仿宋" w:cs="宋体"/>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三、分包工作履行期限、地点、方式</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四、质量</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五、价款或者报酬</w:t>
      </w:r>
    </w:p>
    <w:p>
      <w:pPr>
        <w:snapToGrid w:val="0"/>
        <w:spacing w:line="360" w:lineRule="auto"/>
        <w:ind w:left="573" w:leftChars="273"/>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六、违约责任</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七、争议解决的办法</w:t>
      </w:r>
    </w:p>
    <w:p>
      <w:pPr>
        <w:snapToGrid w:val="0"/>
        <w:spacing w:line="360" w:lineRule="auto"/>
        <w:ind w:right="480" w:firstLine="57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八、其他：</w:t>
      </w:r>
    </w:p>
    <w:p>
      <w:pPr>
        <w:snapToGrid w:val="0"/>
        <w:spacing w:line="360" w:lineRule="auto"/>
        <w:ind w:right="480"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jc w:val="right"/>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分包供应商名称(电子签名/公章)：</w:t>
      </w:r>
    </w:p>
    <w:p>
      <w:pPr>
        <w:snapToGrid w:val="0"/>
        <w:spacing w:line="360" w:lineRule="auto"/>
        <w:ind w:left="5758" w:leftChars="342" w:hanging="5040" w:hanging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pPr>
        <w:pStyle w:val="84"/>
        <w:rPr>
          <w:color w:val="000000" w:themeColor="text1"/>
          <w:highlight w:val="none"/>
          <w14:textFill>
            <w14:solidFill>
              <w14:schemeClr w14:val="tx1"/>
            </w14:solidFill>
          </w14:textFill>
        </w:rPr>
      </w:pPr>
    </w:p>
    <w:p>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附件</w:t>
      </w:r>
      <w:r>
        <w:rPr>
          <w:rFonts w:ascii="仿宋" w:hAnsi="仿宋" w:eastAsia="仿宋" w:cs="宋体"/>
          <w:b/>
          <w:color w:val="000000" w:themeColor="text1"/>
          <w:sz w:val="36"/>
          <w:szCs w:val="20"/>
          <w:highlight w:val="none"/>
          <w14:textFill>
            <w14:solidFill>
              <w14:schemeClr w14:val="tx1"/>
            </w14:solidFill>
          </w14:textFill>
        </w:rPr>
        <w:t>7</w:t>
      </w:r>
      <w:r>
        <w:rPr>
          <w:rFonts w:hint="eastAsia" w:ascii="仿宋" w:hAnsi="仿宋" w:eastAsia="仿宋" w:cs="宋体"/>
          <w:b/>
          <w:color w:val="000000" w:themeColor="text1"/>
          <w:sz w:val="36"/>
          <w:szCs w:val="20"/>
          <w:highlight w:val="none"/>
          <w14:textFill>
            <w14:solidFill>
              <w14:schemeClr w14:val="tx1"/>
            </w14:solidFill>
          </w14:textFill>
        </w:rPr>
        <w:t>：</w:t>
      </w:r>
    </w:p>
    <w:p>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中小企业声明函</w:t>
      </w:r>
    </w:p>
    <w:p>
      <w:pPr>
        <w:spacing w:line="360" w:lineRule="auto"/>
        <w:jc w:val="center"/>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中小企业声明函（服务）</w:t>
      </w:r>
    </w:p>
    <w:p>
      <w:pPr>
        <w:spacing w:line="360" w:lineRule="auto"/>
        <w:ind w:firstLine="360" w:firstLineChars="1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的</w:t>
      </w:r>
      <w:r>
        <w:rPr>
          <w:rFonts w:hint="eastAsia" w:ascii="仿宋" w:hAnsi="仿宋" w:eastAsia="仿宋" w:cs="宋体"/>
          <w:color w:val="000000" w:themeColor="text1"/>
          <w:sz w:val="24"/>
          <w:highlight w:val="none"/>
          <w:u w:val="single"/>
          <w14:textFill>
            <w14:solidFill>
              <w14:schemeClr w14:val="tx1"/>
            </w14:solidFill>
          </w14:textFill>
        </w:rPr>
        <w:t xml:space="preserve"> （项目名称） </w:t>
      </w:r>
      <w:r>
        <w:rPr>
          <w:rFonts w:hint="eastAsia" w:ascii="仿宋" w:hAnsi="仿宋" w:eastAsia="仿宋"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u w:val="single"/>
          <w:lang w:eastAsia="zh-CN"/>
          <w14:textFill>
            <w14:solidFill>
              <w14:schemeClr w14:val="tx1"/>
            </w14:solidFill>
          </w14:textFill>
        </w:rPr>
        <w:t>杭州市临平职业高级中学2025年宿管服务采购项目</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u w:val="single"/>
          <w:lang w:eastAsia="zh-CN"/>
          <w14:textFill>
            <w14:solidFill>
              <w14:schemeClr w14:val="tx1"/>
            </w14:solidFill>
          </w14:textFill>
        </w:rPr>
        <w:t>物业管理</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人，营业收入为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万元，资产总额为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u w:val="single"/>
          <w:lang w:eastAsia="zh-CN"/>
          <w14:textFill>
            <w14:solidFill>
              <w14:schemeClr w14:val="tx1"/>
            </w14:solidFill>
          </w14:textFill>
        </w:rPr>
        <w:t>杭州市临平职业高级中学2025年宿管服务采购项目</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u w:val="single"/>
          <w:lang w:eastAsia="zh-CN"/>
          <w14:textFill>
            <w14:solidFill>
              <w14:schemeClr w14:val="tx1"/>
            </w14:solidFill>
          </w14:textFill>
        </w:rPr>
        <w:t>物业管理</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人，营业收入为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万元，资产总额为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p>
    <w:p>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投标人（或联合体牵头人）名称（电子签名）：</w:t>
      </w:r>
    </w:p>
    <w:p>
      <w:pPr>
        <w:spacing w:line="360" w:lineRule="auto"/>
        <w:ind w:right="1120" w:firstLine="4680" w:firstLineChars="19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日 期：</w:t>
      </w:r>
    </w:p>
    <w:p>
      <w:pPr>
        <w:spacing w:line="360" w:lineRule="auto"/>
        <w:ind w:firstLine="354" w:firstLineChars="147"/>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  注：</w:t>
      </w: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ascii="仿宋" w:hAnsi="仿宋" w:eastAsia="仿宋" w:cs="宋体"/>
          <w:color w:val="000000" w:themeColor="text1"/>
          <w:highlight w:val="none"/>
          <w14:textFill>
            <w14:solidFill>
              <w14:schemeClr w14:val="tx1"/>
            </w14:solidFill>
          </w14:textFill>
        </w:rPr>
      </w:pPr>
    </w:p>
    <w:p>
      <w:pPr>
        <w:pStyle w:val="24"/>
        <w:ind w:firstLine="0"/>
        <w:rPr>
          <w:rFonts w:ascii="仿宋" w:hAnsi="仿宋" w:eastAsia="仿宋" w:cs="宋体"/>
          <w:b/>
          <w:color w:val="000000" w:themeColor="text1"/>
          <w:szCs w:val="21"/>
          <w:highlight w:val="none"/>
          <w:lang w:val="en-US"/>
          <w14:textFill>
            <w14:solidFill>
              <w14:schemeClr w14:val="tx1"/>
            </w14:solidFill>
          </w14:textFill>
        </w:rPr>
      </w:pPr>
    </w:p>
    <w:p>
      <w:pPr>
        <w:pStyle w:val="24"/>
        <w:ind w:firstLine="0"/>
        <w:rPr>
          <w:rFonts w:ascii="仿宋" w:hAnsi="仿宋" w:eastAsia="仿宋" w:cs="宋体"/>
          <w:b/>
          <w:color w:val="000000" w:themeColor="text1"/>
          <w:szCs w:val="21"/>
          <w:highlight w:val="none"/>
          <w14:textFill>
            <w14:solidFill>
              <w14:schemeClr w14:val="tx1"/>
            </w14:solidFill>
          </w14:textFill>
        </w:rPr>
      </w:pPr>
    </w:p>
    <w:p>
      <w:pPr>
        <w:pStyle w:val="24"/>
        <w:ind w:firstLine="0"/>
        <w:rPr>
          <w:rFonts w:ascii="仿宋" w:hAnsi="仿宋" w:eastAsia="仿宋" w:cs="宋体"/>
          <w:b/>
          <w:color w:val="000000" w:themeColor="text1"/>
          <w:szCs w:val="21"/>
          <w:highlight w:val="none"/>
          <w14:textFill>
            <w14:solidFill>
              <w14:schemeClr w14:val="tx1"/>
            </w14:solidFill>
          </w14:textFill>
        </w:rPr>
      </w:pPr>
    </w:p>
    <w:p>
      <w:pPr>
        <w:pStyle w:val="24"/>
        <w:ind w:firstLine="0"/>
        <w:rPr>
          <w:rFonts w:ascii="仿宋" w:hAnsi="仿宋" w:eastAsia="仿宋" w:cs="宋体"/>
          <w:b/>
          <w:color w:val="000000" w:themeColor="text1"/>
          <w:szCs w:val="21"/>
          <w:highlight w:val="none"/>
          <w14:textFill>
            <w14:solidFill>
              <w14:schemeClr w14:val="tx1"/>
            </w14:solidFill>
          </w14:textFill>
        </w:rPr>
      </w:pPr>
    </w:p>
    <w:p>
      <w:pPr>
        <w:pStyle w:val="24"/>
        <w:ind w:firstLine="0"/>
        <w:rPr>
          <w:rFonts w:ascii="仿宋" w:hAnsi="仿宋" w:eastAsia="仿宋" w:cs="宋体"/>
          <w:b/>
          <w:color w:val="000000" w:themeColor="text1"/>
          <w:szCs w:val="21"/>
          <w:highlight w:val="none"/>
          <w14:textFill>
            <w14:solidFill>
              <w14:schemeClr w14:val="tx1"/>
            </w14:solidFill>
          </w14:textFill>
        </w:rPr>
      </w:pPr>
    </w:p>
    <w:p>
      <w:pPr>
        <w:pStyle w:val="24"/>
        <w:ind w:firstLine="0"/>
        <w:rPr>
          <w:rFonts w:ascii="仿宋" w:hAnsi="仿宋" w:eastAsia="仿宋" w:cs="宋体"/>
          <w:b/>
          <w:color w:val="000000" w:themeColor="text1"/>
          <w:szCs w:val="21"/>
          <w:highlight w:val="none"/>
          <w14:textFill>
            <w14:solidFill>
              <w14:schemeClr w14:val="tx1"/>
            </w14:solidFill>
          </w14:textFill>
        </w:rPr>
      </w:pPr>
    </w:p>
    <w:p>
      <w:pPr>
        <w:pStyle w:val="24"/>
        <w:ind w:firstLine="0"/>
        <w:rPr>
          <w:rFonts w:ascii="仿宋" w:hAnsi="仿宋" w:eastAsia="仿宋" w:cs="宋体"/>
          <w:b/>
          <w:color w:val="000000" w:themeColor="text1"/>
          <w:szCs w:val="21"/>
          <w:highlight w:val="none"/>
          <w14:textFill>
            <w14:solidFill>
              <w14:schemeClr w14:val="tx1"/>
            </w14:solidFill>
          </w14:textFill>
        </w:rPr>
      </w:pPr>
    </w:p>
    <w:p>
      <w:pPr>
        <w:pStyle w:val="24"/>
        <w:ind w:firstLine="0"/>
        <w:rPr>
          <w:rFonts w:ascii="仿宋" w:hAnsi="仿宋" w:eastAsia="仿宋" w:cs="宋体"/>
          <w:b/>
          <w:color w:val="000000" w:themeColor="text1"/>
          <w:szCs w:val="21"/>
          <w:highlight w:val="none"/>
          <w14:textFill>
            <w14:solidFill>
              <w14:schemeClr w14:val="tx1"/>
            </w14:solidFill>
          </w14:textFill>
        </w:rPr>
      </w:pPr>
    </w:p>
    <w:p>
      <w:pPr>
        <w:pStyle w:val="24"/>
        <w:ind w:firstLine="0"/>
        <w:rPr>
          <w:rFonts w:ascii="仿宋" w:hAnsi="仿宋" w:eastAsia="仿宋" w:cs="宋体"/>
          <w:b/>
          <w:color w:val="000000" w:themeColor="text1"/>
          <w:szCs w:val="21"/>
          <w:highlight w:val="none"/>
          <w14:textFill>
            <w14:solidFill>
              <w14:schemeClr w14:val="tx1"/>
            </w14:solidFill>
          </w14:textFill>
        </w:rPr>
      </w:pPr>
    </w:p>
    <w:p>
      <w:pPr>
        <w:pStyle w:val="24"/>
        <w:ind w:firstLine="0"/>
        <w:rPr>
          <w:rFonts w:ascii="仿宋" w:hAnsi="仿宋" w:eastAsia="仿宋" w:cs="宋体"/>
          <w:b/>
          <w:color w:val="000000" w:themeColor="text1"/>
          <w:szCs w:val="21"/>
          <w:highlight w:val="none"/>
          <w14:textFill>
            <w14:solidFill>
              <w14:schemeClr w14:val="tx1"/>
            </w14:solidFill>
          </w14:textFill>
        </w:rPr>
      </w:pPr>
    </w:p>
    <w:p>
      <w:pPr>
        <w:pStyle w:val="24"/>
        <w:ind w:firstLine="0"/>
        <w:rPr>
          <w:rFonts w:ascii="仿宋" w:hAnsi="仿宋" w:eastAsia="仿宋" w:cs="宋体"/>
          <w:b/>
          <w:color w:val="000000" w:themeColor="text1"/>
          <w:szCs w:val="21"/>
          <w:highlight w:val="none"/>
          <w14:textFill>
            <w14:solidFill>
              <w14:schemeClr w14:val="tx1"/>
            </w14:solidFill>
          </w14:textFill>
        </w:rPr>
      </w:pPr>
    </w:p>
    <w:p>
      <w:pPr>
        <w:pStyle w:val="24"/>
        <w:ind w:firstLine="0"/>
        <w:rPr>
          <w:rFonts w:ascii="仿宋" w:hAnsi="仿宋" w:eastAsia="仿宋" w:cs="宋体"/>
          <w:b/>
          <w:color w:val="000000" w:themeColor="text1"/>
          <w:szCs w:val="21"/>
          <w:highlight w:val="none"/>
          <w14:textFill>
            <w14:solidFill>
              <w14:schemeClr w14:val="tx1"/>
            </w14:solidFill>
          </w14:textFill>
        </w:rPr>
      </w:pPr>
    </w:p>
    <w:p>
      <w:pPr>
        <w:pStyle w:val="24"/>
        <w:ind w:firstLine="0"/>
        <w:rPr>
          <w:rFonts w:ascii="仿宋" w:hAnsi="仿宋" w:eastAsia="仿宋" w:cs="宋体"/>
          <w:b/>
          <w:color w:val="000000" w:themeColor="text1"/>
          <w:szCs w:val="21"/>
          <w:highlight w:val="none"/>
          <w14:textFill>
            <w14:solidFill>
              <w14:schemeClr w14:val="tx1"/>
            </w14:solidFill>
          </w14:textFill>
        </w:rPr>
      </w:pPr>
    </w:p>
    <w:p>
      <w:pPr>
        <w:pStyle w:val="24"/>
        <w:ind w:firstLine="0"/>
        <w:rPr>
          <w:rFonts w:ascii="仿宋" w:hAnsi="仿宋" w:eastAsia="仿宋" w:cs="宋体"/>
          <w:b/>
          <w:color w:val="000000" w:themeColor="text1"/>
          <w:szCs w:val="21"/>
          <w:highlight w:val="none"/>
          <w14:textFill>
            <w14:solidFill>
              <w14:schemeClr w14:val="tx1"/>
            </w14:solidFill>
          </w14:textFill>
        </w:rPr>
      </w:pPr>
    </w:p>
    <w:p>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pPr>
        <w:pStyle w:val="24"/>
        <w:ind w:firstLine="0"/>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附件8：</w:t>
      </w:r>
    </w:p>
    <w:p>
      <w:pPr>
        <w:pStyle w:val="24"/>
        <w:ind w:firstLine="0"/>
        <w:jc w:val="center"/>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中小企业划型标准规定</w:t>
      </w:r>
    </w:p>
    <w:p>
      <w:pPr>
        <w:pStyle w:val="622"/>
        <w:spacing w:line="360" w:lineRule="auto"/>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一、根据《中华人民共和国中小企业促进法》和《</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"https://www.shui5.cn/article/47/26142.html"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国务院关于进一步促进中小企业发展的若干意见</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"https://www.shui5.cn/article/47/26142.html"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国发〔2009〕36号</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)，制定本规定。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二、中小企业划分为中型、小型、微型三种类型，具体标准根据企业从业人员、营业收入、资产总额等指标，结合行业特点制定。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22"/>
        <w:adjustRightInd w:val="0"/>
        <w:spacing w:line="360" w:lineRule="auto"/>
        <w:ind w:firstLine="444" w:firstLineChars="200"/>
        <w:jc w:val="both"/>
        <w:rPr>
          <w:rFonts w:hint="eastAsia" w:ascii="仿宋" w:hAnsi="仿宋" w:eastAsia="仿宋" w:cs="宋体"/>
          <w:color w:val="000000" w:themeColor="text1"/>
          <w:spacing w:val="6"/>
          <w:szCs w:val="21"/>
          <w:highlight w:val="none"/>
          <w:lang w:eastAsia="zh-CN"/>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四、各行业划型标准为：</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4"/>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pacing w:val="6"/>
          <w:sz w:val="21"/>
          <w:szCs w:val="2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五、企业类型的划分以统计部门的统计数据为依据。</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八、本规定由工业和信息化部、国家统计局会同有关部门根据《国民经济行业分类》修订情况和企业发展变化情况适时修订。</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九、本规定由工业和信息化部、国家统计局会同有关部门负责解释。</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十、本规定自发布之日起执行，原国家经贸委、原国家计委、财政部和国家统计局2003年颁布的《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"https://www.shui5.cn/article/df/24263.html"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中小企业标准暂行规定</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"https://www.shui5.cn/article/df/24263.html"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国经贸中小企[2003]143号</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同时废止。</w:t>
      </w:r>
    </w:p>
    <w:p>
      <w:pPr>
        <w:pStyle w:val="400"/>
        <w:ind w:firstLine="480"/>
        <w:rPr>
          <w:rFonts w:ascii="仿宋" w:hAnsi="仿宋" w:eastAsia="仿宋"/>
          <w:color w:val="000000" w:themeColor="text1"/>
          <w:highlight w:val="none"/>
          <w14:textFill>
            <w14:solidFill>
              <w14:schemeClr w14:val="tx1"/>
            </w14:solidFill>
          </w14:textFill>
        </w:rPr>
      </w:pPr>
    </w:p>
    <w:p>
      <w:pPr>
        <w:pStyle w:val="400"/>
        <w:ind w:firstLine="480"/>
        <w:rPr>
          <w:rFonts w:ascii="仿宋" w:hAnsi="仿宋" w:eastAsia="仿宋"/>
          <w:color w:val="000000" w:themeColor="text1"/>
          <w:highlight w:val="none"/>
          <w14:textFill>
            <w14:solidFill>
              <w14:schemeClr w14:val="tx1"/>
            </w14:solidFill>
          </w14:textFill>
        </w:rPr>
      </w:pPr>
    </w:p>
    <w:p>
      <w:pPr>
        <w:pStyle w:val="24"/>
        <w:ind w:firstLine="0"/>
        <w:rPr>
          <w:rFonts w:ascii="仿宋" w:hAnsi="仿宋" w:eastAsia="仿宋" w:cs="宋体"/>
          <w:b/>
          <w:color w:val="000000" w:themeColor="text1"/>
          <w:sz w:val="36"/>
          <w:highlight w:val="none"/>
          <w:lang w:val="en-US"/>
          <w14:textFill>
            <w14:solidFill>
              <w14:schemeClr w14:val="tx1"/>
            </w14:solidFill>
          </w14:textFill>
        </w:rPr>
      </w:pPr>
    </w:p>
    <w:p>
      <w:pPr>
        <w:pStyle w:val="24"/>
        <w:ind w:firstLine="0"/>
        <w:rPr>
          <w:rFonts w:ascii="仿宋" w:hAnsi="仿宋" w:eastAsia="仿宋" w:cs="宋体"/>
          <w:b/>
          <w:color w:val="000000" w:themeColor="text1"/>
          <w:sz w:val="36"/>
          <w:highlight w:val="none"/>
          <w:lang w:val="en-US"/>
          <w14:textFill>
            <w14:solidFill>
              <w14:schemeClr w14:val="tx1"/>
            </w14:solidFill>
          </w14:textFill>
        </w:rPr>
      </w:pPr>
    </w:p>
    <w:p>
      <w:pPr>
        <w:pStyle w:val="24"/>
        <w:ind w:firstLine="0"/>
        <w:rPr>
          <w:rFonts w:ascii="仿宋" w:hAnsi="仿宋" w:eastAsia="仿宋" w:cs="宋体"/>
          <w:b/>
          <w:color w:val="000000" w:themeColor="text1"/>
          <w:sz w:val="36"/>
          <w:highlight w:val="none"/>
          <w:lang w:val="en-US"/>
          <w14:textFill>
            <w14:solidFill>
              <w14:schemeClr w14:val="tx1"/>
            </w14:solidFill>
          </w14:textFill>
        </w:rPr>
      </w:pPr>
    </w:p>
    <w:p>
      <w:pPr>
        <w:pStyle w:val="24"/>
        <w:ind w:firstLine="0"/>
        <w:rPr>
          <w:rFonts w:ascii="仿宋" w:hAnsi="仿宋" w:eastAsia="仿宋" w:cs="宋体"/>
          <w:b/>
          <w:color w:val="000000" w:themeColor="text1"/>
          <w:sz w:val="36"/>
          <w:highlight w:val="none"/>
          <w:lang w:val="en-US"/>
          <w14:textFill>
            <w14:solidFill>
              <w14:schemeClr w14:val="tx1"/>
            </w14:solidFill>
          </w14:textFill>
        </w:rPr>
      </w:pPr>
    </w:p>
    <w:p>
      <w:pPr>
        <w:pStyle w:val="24"/>
        <w:ind w:firstLine="0"/>
        <w:rPr>
          <w:rFonts w:ascii="仿宋" w:hAnsi="仿宋" w:eastAsia="仿宋" w:cs="宋体"/>
          <w:b/>
          <w:color w:val="000000" w:themeColor="text1"/>
          <w:sz w:val="36"/>
          <w:highlight w:val="none"/>
          <w:lang w:val="en-US"/>
          <w14:textFill>
            <w14:solidFill>
              <w14:schemeClr w14:val="tx1"/>
            </w14:solidFill>
          </w14:textFill>
        </w:rPr>
      </w:pPr>
    </w:p>
    <w:p>
      <w:pPr>
        <w:pStyle w:val="24"/>
        <w:ind w:firstLine="0"/>
        <w:rPr>
          <w:rFonts w:ascii="仿宋" w:hAnsi="仿宋" w:eastAsia="仿宋" w:cs="宋体"/>
          <w:b/>
          <w:color w:val="000000" w:themeColor="text1"/>
          <w:sz w:val="36"/>
          <w:highlight w:val="none"/>
          <w:lang w:val="en-US"/>
          <w14:textFill>
            <w14:solidFill>
              <w14:schemeClr w14:val="tx1"/>
            </w14:solidFill>
          </w14:textFill>
        </w:rPr>
      </w:pPr>
    </w:p>
    <w:p>
      <w:pPr>
        <w:pStyle w:val="24"/>
        <w:ind w:firstLine="0"/>
        <w:rPr>
          <w:rFonts w:ascii="仿宋" w:hAnsi="仿宋" w:eastAsia="仿宋" w:cs="宋体"/>
          <w:b/>
          <w:color w:val="000000" w:themeColor="text1"/>
          <w:sz w:val="36"/>
          <w:highlight w:val="none"/>
          <w:lang w:val="en-US"/>
          <w14:textFill>
            <w14:solidFill>
              <w14:schemeClr w14:val="tx1"/>
            </w14:solidFill>
          </w14:textFill>
        </w:rPr>
        <w:sectPr>
          <w:headerReference r:id="rId23" w:type="first"/>
          <w:footerReference r:id="rId26" w:type="first"/>
          <w:headerReference r:id="rId22" w:type="default"/>
          <w:footerReference r:id="rId24" w:type="default"/>
          <w:footerReference r:id="rId25" w:type="even"/>
          <w:pgSz w:w="11905" w:h="16838"/>
          <w:pgMar w:top="680" w:right="1417" w:bottom="680" w:left="1417" w:header="851" w:footer="992" w:gutter="0"/>
          <w:cols w:space="0" w:num="1"/>
          <w:titlePg/>
          <w:rtlGutter w:val="0"/>
          <w:docGrid w:linePitch="312" w:charSpace="0"/>
        </w:sectPr>
      </w:pPr>
    </w:p>
    <w:p>
      <w:pPr>
        <w:pStyle w:val="24"/>
        <w:ind w:firstLine="0"/>
        <w:rPr>
          <w:rFonts w:ascii="仿宋" w:hAnsi="仿宋" w:eastAsia="仿宋" w:cs="宋体"/>
          <w:b/>
          <w:color w:val="000000" w:themeColor="text1"/>
          <w:sz w:val="36"/>
          <w:highlight w:val="none"/>
          <w:lang w:val="en-US"/>
          <w14:textFill>
            <w14:solidFill>
              <w14:schemeClr w14:val="tx1"/>
            </w14:solidFill>
          </w14:textFill>
        </w:rPr>
      </w:pPr>
      <w:r>
        <w:rPr>
          <w:rFonts w:ascii="仿宋" w:hAnsi="仿宋" w:eastAsia="仿宋" w:cs="宋体"/>
          <w:b/>
          <w:color w:val="000000" w:themeColor="text1"/>
          <w:sz w:val="36"/>
          <w:highlight w:val="none"/>
          <w:lang w:val="en-US"/>
          <w14:textFill>
            <w14:solidFill>
              <w14:schemeClr w14:val="tx1"/>
            </w14:solidFill>
          </w14:textFill>
        </w:rPr>
        <w:t>附件</w:t>
      </w:r>
      <w:r>
        <w:rPr>
          <w:rFonts w:hint="eastAsia" w:ascii="仿宋" w:hAnsi="仿宋" w:eastAsia="仿宋" w:cs="宋体"/>
          <w:b/>
          <w:color w:val="000000" w:themeColor="text1"/>
          <w:sz w:val="36"/>
          <w:highlight w:val="none"/>
          <w:lang w:val="en-US"/>
          <w14:textFill>
            <w14:solidFill>
              <w14:schemeClr w14:val="tx1"/>
            </w14:solidFill>
          </w14:textFill>
        </w:rPr>
        <w:t>9：</w:t>
      </w:r>
    </w:p>
    <w:p>
      <w:pPr>
        <w:pStyle w:val="3"/>
        <w:jc w:val="center"/>
        <w:rPr>
          <w:rFonts w:ascii="仿宋" w:eastAsia="仿宋"/>
          <w:color w:val="000000" w:themeColor="text1"/>
          <w:highlight w:val="none"/>
          <w:lang w:val="en-US"/>
          <w14:textFill>
            <w14:solidFill>
              <w14:schemeClr w14:val="tx1"/>
            </w14:solidFill>
          </w14:textFill>
        </w:rPr>
      </w:pPr>
      <w:r>
        <w:rPr>
          <w:rFonts w:ascii="仿宋" w:eastAsia="仿宋"/>
          <w:color w:val="000000" w:themeColor="text1"/>
          <w:highlight w:val="none"/>
          <w14:textFill>
            <w14:solidFill>
              <w14:schemeClr w14:val="tx1"/>
            </w14:solidFill>
          </w14:textFill>
        </w:rPr>
        <w:t>政府采购活动现场确认声明书</w:t>
      </w:r>
    </w:p>
    <w:p>
      <w:pPr>
        <w:spacing w:line="360" w:lineRule="auto"/>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天阳建设管理有限公司：</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olor w:val="000000" w:themeColor="text1"/>
          <w:szCs w:val="21"/>
          <w:highlight w:val="none"/>
          <w14:textFill>
            <w14:solidFill>
              <w14:schemeClr w14:val="tx1"/>
            </w14:solidFill>
          </w14:textFill>
        </w:rPr>
        <w:cr/>
      </w:r>
      <w:r>
        <w:rPr>
          <w:rFonts w:ascii="仿宋" w:hAnsi="仿宋" w:eastAsia="仿宋"/>
          <w:color w:val="000000" w:themeColor="text1"/>
          <w:szCs w:val="21"/>
          <w:highlight w:val="none"/>
          <w14:textFill>
            <w14:solidFill>
              <w14:schemeClr w14:val="tx1"/>
            </w14:solidFill>
          </w14:textFill>
        </w:rPr>
        <w:t xml:space="preserve">一、本单位与采购人之间口不存在利害关系口存在下列利害关系: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二、现己清楚知道参加本项目采购活动的其他所有供应商名称，本单位口与其他所有供应商之间均不存在利害关系 口与______________（供应商名称）之间存在下列利害关系: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A．法定代表人或负责人或实际控制人是同一人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B．法定代表人或负责人或实际控制人是夫妻关系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C．法定代表人或负责人或实际控制人是直系血亲关系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D．法定代表人或负责人或实际控制人存在三代以内旁系血亲关系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E．法定代表人或负责人或实际控制人存在近姻亲关系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F．法定代表人或负责人或实际控制人存在股份控制或实际控制关系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G．存在共同直接或间接投资设立子公司、联营企业和合营企业情况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I．其他利害关系情况 ________________________________________。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三、现己清楚知道并严格遵守政府采购法律法规和现场纪律。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p>
    <w:p>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（供应商代表签名）: </w:t>
      </w:r>
    </w:p>
    <w:p>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202年月日</w:t>
      </w:r>
    </w:p>
    <w:p>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注：在供应商完成本项目在线解密，并知道参加本项目采购活动的其他所有供应商名称后进行签署，签署完毕后将扫描件发送至采购代理机构邮箱：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"mailto:289427596@qq.com" </w:instrText>
      </w:r>
      <w:r>
        <w:rPr>
          <w:color w:val="000000" w:themeColor="text1"/>
          <w:highlight w:val="none"/>
          <w14:textFill>
            <w14:solidFill>
              <w14:schemeClr w14:val="tx1"/>
            </w14:solidFill>
          </w14:textFill>
        </w:rPr>
        <w:fldChar w:fldCharType="separate"/>
      </w:r>
      <w:r>
        <w:rPr>
          <w:rFonts w:hint="eastAsia" w:ascii="仿宋" w:hAnsi="仿宋" w:eastAsia="仿宋"/>
          <w:b/>
          <w:color w:val="000000" w:themeColor="text1"/>
          <w:sz w:val="28"/>
          <w:szCs w:val="28"/>
          <w:highlight w:val="none"/>
          <w:lang w:val="en-US" w:eastAsia="zh-CN"/>
          <w14:textFill>
            <w14:solidFill>
              <w14:schemeClr w14:val="tx1"/>
            </w14:solidFill>
          </w14:textFill>
        </w:rPr>
        <w:t>3392819628</w:t>
      </w:r>
      <w:r>
        <w:rPr>
          <w:rFonts w:hint="eastAsia" w:ascii="仿宋" w:hAnsi="仿宋" w:eastAsia="仿宋"/>
          <w:b/>
          <w:color w:val="000000" w:themeColor="text1"/>
          <w:sz w:val="28"/>
          <w:szCs w:val="28"/>
          <w:highlight w:val="none"/>
          <w14:textFill>
            <w14:solidFill>
              <w14:schemeClr w14:val="tx1"/>
            </w14:solidFill>
          </w14:textFill>
        </w:rPr>
        <w:t>@qq.com</w:t>
      </w:r>
      <w:r>
        <w:rPr>
          <w:rFonts w:hint="eastAsia" w:ascii="仿宋" w:hAnsi="仿宋" w:eastAsia="仿宋"/>
          <w:b/>
          <w:color w:val="000000" w:themeColor="text1"/>
          <w:sz w:val="28"/>
          <w:szCs w:val="28"/>
          <w:highlight w:val="none"/>
          <w14:textFill>
            <w14:solidFill>
              <w14:schemeClr w14:val="tx1"/>
            </w14:solidFill>
          </w14:textFill>
        </w:rPr>
        <w:fldChar w:fldCharType="end"/>
      </w:r>
      <w:r>
        <w:rPr>
          <w:rFonts w:hint="eastAsia" w:ascii="仿宋" w:hAnsi="仿宋" w:eastAsia="仿宋"/>
          <w:b/>
          <w:color w:val="000000" w:themeColor="text1"/>
          <w:sz w:val="28"/>
          <w:szCs w:val="28"/>
          <w:highlight w:val="none"/>
          <w14:textFill>
            <w14:solidFill>
              <w14:schemeClr w14:val="tx1"/>
            </w14:solidFill>
          </w14:textFill>
        </w:rPr>
        <w:t>。投标文件中无需提供此声明书。</w:t>
      </w:r>
    </w:p>
    <w:p>
      <w:pPr>
        <w:pStyle w:val="400"/>
        <w:ind w:firstLine="480"/>
        <w:rPr>
          <w:rFonts w:ascii="仿宋" w:hAnsi="仿宋" w:eastAsia="仿宋"/>
          <w:color w:val="000000" w:themeColor="text1"/>
          <w:highlight w:val="none"/>
          <w14:textFill>
            <w14:solidFill>
              <w14:schemeClr w14:val="tx1"/>
            </w14:solidFill>
          </w14:textFill>
        </w:rPr>
      </w:pPr>
    </w:p>
    <w:sectPr>
      <w:pgSz w:w="11905" w:h="16838"/>
      <w:pgMar w:top="680" w:right="1417" w:bottom="680"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7"/>
      </w:rPr>
    </w:pPr>
    <w:r>
      <w:fldChar w:fldCharType="begin"/>
    </w:r>
    <w:r>
      <w:rPr>
        <w:rStyle w:val="77"/>
      </w:rPr>
      <w:instrText xml:space="preserve">PAGE  </w:instrText>
    </w:r>
    <w:r>
      <w:fldChar w:fldCharType="end"/>
    </w:r>
  </w:p>
  <w:p>
    <w:pPr>
      <w:pStyle w:val="45"/>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412" w:name="_Toc131845147"/>
    <w:bookmarkStart w:id="413" w:name="_Toc91899912"/>
    <w:bookmarkStart w:id="414" w:name="_Toc36110187"/>
    <w:bookmarkStart w:id="415" w:name="_Toc164085800"/>
    <w:r>
      <w:rPr>
        <w:rFonts w:hint="eastAsia" w:ascii="仿宋_GB2312" w:eastAsia="仿宋_GB2312"/>
        <w:kern w:val="0"/>
        <w:szCs w:val="21"/>
      </w:rPr>
      <w:t xml:space="preserve"> 页</w:t>
    </w:r>
    <w:bookmarkEnd w:id="412"/>
    <w:bookmarkEnd w:id="413"/>
    <w:bookmarkEnd w:id="414"/>
    <w:bookmarkEnd w:id="4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7"/>
      </w:rPr>
    </w:pPr>
    <w:r>
      <w:fldChar w:fldCharType="begin"/>
    </w:r>
    <w:r>
      <w:rPr>
        <w:rStyle w:val="77"/>
      </w:rPr>
      <w:instrText xml:space="preserve">PAGE  </w:instrText>
    </w:r>
    <w:r>
      <w:fldChar w:fldCharType="end"/>
    </w:r>
  </w:p>
  <w:p>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t>39</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single" w:color="auto" w:sz="6" w:space="4"/>
      </w:pBdr>
      <w:jc w:val="right"/>
    </w:pPr>
    <w:r>
      <w:t>杭州市政府采购公开招标文件</w:t>
    </w:r>
  </w:p>
  <w:p>
    <w:pPr>
      <w:pStyle w:val="64"/>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single" w:color="auto" w:sz="6" w:space="4"/>
      </w:pBdr>
      <w:jc w:val="right"/>
    </w:pPr>
    <w:r>
      <w:t></w:t>
    </w:r>
    <w:r>
      <w:rPr>
        <w:rFonts w:hint="eastAsia"/>
      </w:rPr>
      <w:t xml:space="preserve">             </w:t>
    </w:r>
    <w:r>
      <w:t>杭州市政府采购公开招标文件</w:t>
    </w:r>
  </w:p>
  <w:p>
    <w:pPr>
      <w:pStyle w:val="64"/>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Fonts w:ascii="仿宋_GB2312" w:eastAsia="仿宋_GB2312"/>
        <w:b/>
        <w:i/>
        <w:u w:val="single"/>
      </w:rPr>
    </w:pP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w:t>
    </w:r>
  </w:p>
  <w:p>
    <w:pPr>
      <w:pStyle w:val="47"/>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Fonts w:ascii="仿宋_GB2312" w:eastAsia="仿宋_GB2312"/>
        <w:b/>
        <w:i/>
        <w:u w:val="single"/>
      </w:rPr>
    </w:pP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5950D"/>
    <w:multiLevelType w:val="singleLevel"/>
    <w:tmpl w:val="B375950D"/>
    <w:lvl w:ilvl="0" w:tentative="0">
      <w:start w:val="3"/>
      <w:numFmt w:val="chineseCounting"/>
      <w:suff w:val="nothing"/>
      <w:lvlText w:val="%1、"/>
      <w:lvlJc w:val="left"/>
      <w:rPr>
        <w:rFonts w:hint="eastAsia"/>
      </w:rPr>
    </w:lvl>
  </w:abstractNum>
  <w:abstractNum w:abstractNumId="1">
    <w:nsid w:val="E380DD6F"/>
    <w:multiLevelType w:val="singleLevel"/>
    <w:tmpl w:val="E380DD6F"/>
    <w:lvl w:ilvl="0" w:tentative="0">
      <w:start w:val="4"/>
      <w:numFmt w:val="decimal"/>
      <w:lvlText w:val="%1."/>
      <w:lvlJc w:val="left"/>
      <w:pPr>
        <w:tabs>
          <w:tab w:val="left" w:pos="312"/>
        </w:tabs>
      </w:pPr>
    </w:lvl>
  </w:abstractNum>
  <w:abstractNum w:abstractNumId="2">
    <w:nsid w:val="37E7D791"/>
    <w:multiLevelType w:val="singleLevel"/>
    <w:tmpl w:val="37E7D791"/>
    <w:lvl w:ilvl="0" w:tentative="0">
      <w:start w:val="1"/>
      <w:numFmt w:val="decimal"/>
      <w:suff w:val="nothing"/>
      <w:lvlText w:val="（%1）"/>
      <w:lvlJc w:val="left"/>
    </w:lvl>
  </w:abstractNum>
  <w:abstractNum w:abstractNumId="3">
    <w:nsid w:val="4A782818"/>
    <w:multiLevelType w:val="multilevel"/>
    <w:tmpl w:val="4A782818"/>
    <w:lvl w:ilvl="0" w:tentative="0">
      <w:start w:val="1"/>
      <w:numFmt w:val="decimal"/>
      <w:pStyle w:val="968"/>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1557C26"/>
    <w:multiLevelType w:val="multilevel"/>
    <w:tmpl w:val="51557C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7B626A"/>
    <w:multiLevelType w:val="singleLevel"/>
    <w:tmpl w:val="597B626A"/>
    <w:lvl w:ilvl="0" w:tentative="0">
      <w:start w:val="5"/>
      <w:numFmt w:val="decimal"/>
      <w:suff w:val="nothing"/>
      <w:lvlText w:val="%1、"/>
      <w:lvlJc w:val="left"/>
    </w:lvl>
  </w:abstractNum>
  <w:abstractNum w:abstractNumId="6">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NDdjMmJmZmQ2MzM1MTYyODgzMzE4NDcwYzYxOTcifQ=="/>
    <w:docVar w:name="KSO_WPS_MARK_KEY" w:val="7d062787-e1cd-445f-ac23-da9f26fac6ae"/>
  </w:docVars>
  <w:rsids>
    <w:rsidRoot w:val="00000000"/>
    <w:rsid w:val="03A0180E"/>
    <w:rsid w:val="03F62DA4"/>
    <w:rsid w:val="07017849"/>
    <w:rsid w:val="0A66686C"/>
    <w:rsid w:val="0C605C22"/>
    <w:rsid w:val="0D167ABF"/>
    <w:rsid w:val="109127D2"/>
    <w:rsid w:val="12401209"/>
    <w:rsid w:val="12956F9D"/>
    <w:rsid w:val="12D877D9"/>
    <w:rsid w:val="138E5887"/>
    <w:rsid w:val="144F233D"/>
    <w:rsid w:val="150E2185"/>
    <w:rsid w:val="15577718"/>
    <w:rsid w:val="167B387A"/>
    <w:rsid w:val="16C635F7"/>
    <w:rsid w:val="1DBA28BE"/>
    <w:rsid w:val="204D2CF8"/>
    <w:rsid w:val="24FC661E"/>
    <w:rsid w:val="26420927"/>
    <w:rsid w:val="270E2AEA"/>
    <w:rsid w:val="28B673D6"/>
    <w:rsid w:val="29B26860"/>
    <w:rsid w:val="2F9B3EE4"/>
    <w:rsid w:val="31717E30"/>
    <w:rsid w:val="326902B9"/>
    <w:rsid w:val="37CA50B9"/>
    <w:rsid w:val="3BC32B4B"/>
    <w:rsid w:val="408204F5"/>
    <w:rsid w:val="44400DDD"/>
    <w:rsid w:val="4598279C"/>
    <w:rsid w:val="48EA2E54"/>
    <w:rsid w:val="4D5A6798"/>
    <w:rsid w:val="4D8460B9"/>
    <w:rsid w:val="4D9354E2"/>
    <w:rsid w:val="4E6D7571"/>
    <w:rsid w:val="4EFE07E8"/>
    <w:rsid w:val="5017233C"/>
    <w:rsid w:val="52C0037C"/>
    <w:rsid w:val="54141A1F"/>
    <w:rsid w:val="55985036"/>
    <w:rsid w:val="56153315"/>
    <w:rsid w:val="57BC6C22"/>
    <w:rsid w:val="5832792B"/>
    <w:rsid w:val="58F71E10"/>
    <w:rsid w:val="5EAF5C82"/>
    <w:rsid w:val="608B52CB"/>
    <w:rsid w:val="638A4D17"/>
    <w:rsid w:val="63C13032"/>
    <w:rsid w:val="63C42F10"/>
    <w:rsid w:val="63E72D17"/>
    <w:rsid w:val="65903F67"/>
    <w:rsid w:val="697215F3"/>
    <w:rsid w:val="6AAC20D3"/>
    <w:rsid w:val="6B752606"/>
    <w:rsid w:val="6C5B4034"/>
    <w:rsid w:val="6E285043"/>
    <w:rsid w:val="6E502713"/>
    <w:rsid w:val="728778F7"/>
    <w:rsid w:val="76223DB7"/>
    <w:rsid w:val="77011A91"/>
    <w:rsid w:val="790D0D6B"/>
    <w:rsid w:val="792170A5"/>
    <w:rsid w:val="7A9909E9"/>
    <w:rsid w:val="7D213533"/>
    <w:rsid w:val="7DF01A9B"/>
    <w:rsid w:val="7E640F7B"/>
    <w:rsid w:val="7E64629F"/>
    <w:rsid w:val="7F7973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unhideWhenUsed/>
    <w:qFormat/>
    <w:uiPriority w:val="1"/>
  </w:style>
  <w:style w:type="table" w:default="1" w:styleId="67">
    <w:name w:val="Normal Table"/>
    <w:unhideWhenUsed/>
    <w:qFormat/>
    <w:uiPriority w:val="99"/>
    <w:tblPr>
      <w:tblCellMar>
        <w:top w:w="0" w:type="dxa"/>
        <w:left w:w="108" w:type="dxa"/>
        <w:bottom w:w="0" w:type="dxa"/>
        <w:right w:w="108" w:type="dxa"/>
      </w:tblCellMar>
    </w:tblPr>
  </w:style>
  <w:style w:type="paragraph" w:styleId="5">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9"/>
    <w:qFormat/>
    <w:uiPriority w:val="0"/>
    <w:pPr>
      <w:shd w:val="clear" w:color="auto" w:fill="000080"/>
    </w:pPr>
  </w:style>
  <w:style w:type="paragraph" w:styleId="19">
    <w:name w:val="annotation text"/>
    <w:basedOn w:val="1"/>
    <w:link w:val="857"/>
    <w:qFormat/>
    <w:uiPriority w:val="99"/>
    <w:pPr>
      <w:jc w:val="left"/>
    </w:pPr>
  </w:style>
  <w:style w:type="paragraph" w:styleId="20">
    <w:name w:val="Salutation"/>
    <w:basedOn w:val="1"/>
    <w:next w:val="1"/>
    <w:link w:val="817"/>
    <w:qFormat/>
    <w:uiPriority w:val="0"/>
    <w:rPr>
      <w:rFonts w:ascii="仿宋_GB2312" w:eastAsia="仿宋_GB2312"/>
      <w:sz w:val="28"/>
      <w:szCs w:val="20"/>
    </w:rPr>
  </w:style>
  <w:style w:type="paragraph" w:styleId="21">
    <w:name w:val="Body Text 3"/>
    <w:basedOn w:val="1"/>
    <w:link w:val="84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6"/>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85"/>
    <w:qFormat/>
    <w:uiPriority w:val="0"/>
    <w:pPr>
      <w:spacing w:line="480" w:lineRule="exact"/>
      <w:ind w:firstLine="480" w:firstLineChars="200"/>
    </w:pPr>
    <w:rPr>
      <w:rFonts w:ascii="宋体" w:hAnsi="宋体"/>
      <w:sz w:val="24"/>
    </w:rPr>
  </w:style>
  <w:style w:type="paragraph" w:customStyle="1" w:styleId="27">
    <w:name w:val="正文文本首行缩进 2"/>
    <w:basedOn w:val="28"/>
    <w:qFormat/>
    <w:uiPriority w:val="99"/>
    <w:pPr>
      <w:tabs>
        <w:tab w:val="right" w:leader="dot" w:pos="8268"/>
      </w:tabs>
      <w:spacing w:line="200" w:lineRule="atLeast"/>
      <w:ind w:firstLine="420"/>
    </w:pPr>
    <w:rPr>
      <w:rFonts w:ascii="宋体"/>
      <w:spacing w:val="-4"/>
      <w:sz w:val="18"/>
    </w:rPr>
  </w:style>
  <w:style w:type="paragraph" w:customStyle="1" w:styleId="28">
    <w:name w:val="正文缩进1"/>
    <w:basedOn w:val="29"/>
    <w:next w:val="27"/>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9">
    <w:name w:val="正文1"/>
    <w:basedOn w:val="30"/>
    <w:next w:val="3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1">
    <w:name w:val="标题 21"/>
    <w:basedOn w:val="29"/>
    <w:next w:val="29"/>
    <w:qFormat/>
    <w:uiPriority w:val="0"/>
    <w:pPr>
      <w:keepNext/>
      <w:keepLines/>
      <w:tabs>
        <w:tab w:val="left" w:pos="706"/>
        <w:tab w:val="clear" w:pos="8268"/>
      </w:tabs>
      <w:ind w:left="106" w:firstLine="454"/>
      <w:outlineLvl w:val="1"/>
    </w:pPr>
    <w:rPr>
      <w:rFonts w:ascii="Arial" w:hAnsi="Arial" w:eastAsia="??"/>
      <w:b/>
      <w:bCs/>
      <w:szCs w:val="32"/>
    </w:rPr>
  </w:style>
  <w:style w:type="paragraph" w:styleId="32">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Plain Text"/>
    <w:basedOn w:val="1"/>
    <w:link w:val="661"/>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711"/>
    <w:qFormat/>
    <w:uiPriority w:val="0"/>
    <w:pPr>
      <w:ind w:left="100" w:leftChars="2500"/>
    </w:pPr>
    <w:rPr>
      <w:rFonts w:ascii="宋体"/>
      <w:sz w:val="24"/>
      <w:szCs w:val="21"/>
      <w:lang w:val="zh-CN"/>
    </w:rPr>
  </w:style>
  <w:style w:type="paragraph" w:styleId="42">
    <w:name w:val="Body Text Indent 2"/>
    <w:basedOn w:val="1"/>
    <w:link w:val="825"/>
    <w:qFormat/>
    <w:uiPriority w:val="0"/>
    <w:pPr>
      <w:spacing w:line="360" w:lineRule="auto"/>
      <w:ind w:firstLine="601"/>
      <w:textAlignment w:val="baseline"/>
    </w:pPr>
    <w:rPr>
      <w:rFonts w:ascii="宋体"/>
      <w:kern w:val="0"/>
      <w:sz w:val="28"/>
      <w:szCs w:val="20"/>
    </w:rPr>
  </w:style>
  <w:style w:type="paragraph" w:styleId="43">
    <w:name w:val="endnote text"/>
    <w:basedOn w:val="1"/>
    <w:link w:val="942"/>
    <w:qFormat/>
    <w:uiPriority w:val="0"/>
    <w:rPr>
      <w:lang w:val="zh-CN"/>
    </w:rPr>
  </w:style>
  <w:style w:type="paragraph" w:styleId="44">
    <w:name w:val="Balloon Text"/>
    <w:basedOn w:val="1"/>
    <w:link w:val="718"/>
    <w:qFormat/>
    <w:uiPriority w:val="0"/>
    <w:rPr>
      <w:sz w:val="18"/>
      <w:szCs w:val="18"/>
    </w:rPr>
  </w:style>
  <w:style w:type="paragraph" w:styleId="45">
    <w:name w:val="footer"/>
    <w:basedOn w:val="1"/>
    <w:link w:val="893"/>
    <w:qFormat/>
    <w:uiPriority w:val="99"/>
    <w:pPr>
      <w:tabs>
        <w:tab w:val="center" w:pos="4153"/>
        <w:tab w:val="right" w:pos="8306"/>
      </w:tabs>
      <w:snapToGrid w:val="0"/>
      <w:jc w:val="left"/>
    </w:pPr>
    <w:rPr>
      <w:sz w:val="18"/>
      <w:szCs w:val="18"/>
    </w:rPr>
  </w:style>
  <w:style w:type="paragraph" w:styleId="46">
    <w:name w:val="envelope return"/>
    <w:basedOn w:val="1"/>
    <w:qFormat/>
    <w:uiPriority w:val="99"/>
    <w:pPr>
      <w:snapToGrid w:val="0"/>
    </w:pPr>
    <w:rPr>
      <w:rFonts w:ascii="Arial" w:hAnsi="Arial" w:cs="Arial"/>
    </w:rPr>
  </w:style>
  <w:style w:type="paragraph" w:styleId="47">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qFormat/>
    <w:uiPriority w:val="0"/>
  </w:style>
  <w:style w:type="paragraph" w:styleId="50">
    <w:name w:val="toc 4"/>
    <w:basedOn w:val="1"/>
    <w:next w:val="1"/>
    <w:qFormat/>
    <w:uiPriority w:val="0"/>
    <w:pPr>
      <w:ind w:left="1260" w:leftChars="600"/>
    </w:pPr>
  </w:style>
  <w:style w:type="paragraph" w:styleId="51">
    <w:name w:val="index heading"/>
    <w:basedOn w:val="1"/>
    <w:next w:val="52"/>
    <w:qFormat/>
    <w:uiPriority w:val="0"/>
    <w:pPr>
      <w:adjustRightInd/>
      <w:ind w:firstLine="200" w:firstLineChars="200"/>
    </w:pPr>
  </w:style>
  <w:style w:type="paragraph" w:styleId="52">
    <w:name w:val="index 1"/>
    <w:basedOn w:val="1"/>
    <w:next w:val="1"/>
    <w:qFormat/>
    <w:uiPriority w:val="0"/>
    <w:pPr>
      <w:adjustRightInd/>
      <w:spacing w:line="360" w:lineRule="auto"/>
      <w:ind w:firstLine="200" w:firstLineChars="200"/>
      <w:jc w:val="center"/>
    </w:pPr>
    <w:rPr>
      <w:sz w:val="24"/>
      <w:szCs w:val="20"/>
    </w:rPr>
  </w:style>
  <w:style w:type="paragraph" w:styleId="53">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qFormat/>
    <w:uiPriority w:val="0"/>
    <w:pPr>
      <w:tabs>
        <w:tab w:val="left" w:pos="902"/>
      </w:tabs>
      <w:adjustRightInd/>
      <w:spacing w:line="400" w:lineRule="exact"/>
      <w:ind w:left="902" w:hanging="420"/>
    </w:pPr>
    <w:rPr>
      <w:sz w:val="24"/>
      <w:szCs w:val="20"/>
    </w:rPr>
  </w:style>
  <w:style w:type="paragraph" w:styleId="55">
    <w:name w:val="List"/>
    <w:basedOn w:val="1"/>
    <w:qFormat/>
    <w:uiPriority w:val="0"/>
    <w:pPr>
      <w:ind w:left="200" w:hanging="200" w:hangingChars="200"/>
    </w:pPr>
  </w:style>
  <w:style w:type="paragraph" w:styleId="56">
    <w:name w:val="footnote text"/>
    <w:basedOn w:val="5"/>
    <w:link w:val="827"/>
    <w:qFormat/>
    <w:uiPriority w:val="0"/>
    <w:pPr>
      <w:adjustRightInd/>
      <w:snapToGrid/>
      <w:spacing w:before="60" w:after="60" w:line="300" w:lineRule="exact"/>
      <w:ind w:firstLine="0"/>
    </w:pPr>
    <w:rPr>
      <w:rFonts w:ascii="Calibri"/>
      <w:color w:val="0000FF"/>
      <w:kern w:val="0"/>
      <w:sz w:val="21"/>
    </w:rPr>
  </w:style>
  <w:style w:type="paragraph" w:styleId="57">
    <w:name w:val="List 5"/>
    <w:basedOn w:val="1"/>
    <w:qFormat/>
    <w:uiPriority w:val="0"/>
    <w:pPr>
      <w:adjustRightInd/>
      <w:ind w:left="100" w:leftChars="800" w:hanging="200" w:hangingChars="200"/>
    </w:pPr>
  </w:style>
  <w:style w:type="paragraph" w:styleId="58">
    <w:name w:val="Body Text Indent 3"/>
    <w:basedOn w:val="1"/>
    <w:link w:val="886"/>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821"/>
    <w:qFormat/>
    <w:uiPriority w:val="0"/>
    <w:pPr>
      <w:spacing w:after="120" w:line="480" w:lineRule="auto"/>
    </w:pPr>
  </w:style>
  <w:style w:type="paragraph" w:styleId="62">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5">
    <w:name w:val="annotation subject"/>
    <w:basedOn w:val="19"/>
    <w:next w:val="19"/>
    <w:link w:val="634"/>
    <w:qFormat/>
    <w:uiPriority w:val="0"/>
    <w:rPr>
      <w:b/>
      <w:bCs/>
    </w:rPr>
  </w:style>
  <w:style w:type="paragraph" w:styleId="66">
    <w:name w:val="Body Text First Indent 2"/>
    <w:basedOn w:val="26"/>
    <w:next w:val="1"/>
    <w:link w:val="657"/>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6"/>
    <w:qFormat/>
    <w:uiPriority w:val="0"/>
    <w:pPr>
      <w:spacing w:before="156" w:line="360" w:lineRule="auto"/>
      <w:ind w:firstLine="510" w:firstLineChars="200"/>
    </w:pPr>
    <w:rPr>
      <w:sz w:val="24"/>
      <w:szCs w:val="20"/>
    </w:rPr>
  </w:style>
  <w:style w:type="paragraph" w:customStyle="1" w:styleId="91">
    <w:name w:val="无间隔1"/>
    <w:link w:val="674"/>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2"/>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3"/>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7"/>
    <w:qFormat/>
    <w:uiPriority w:val="0"/>
    <w:pPr>
      <w:ind w:left="0" w:right="466" w:firstLine="288"/>
    </w:pPr>
    <w:rPr>
      <w:rFonts w:hAnsi="宋体"/>
    </w:rPr>
  </w:style>
  <w:style w:type="paragraph" w:customStyle="1" w:styleId="98">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6"/>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9"/>
    <w:qFormat/>
    <w:uiPriority w:val="0"/>
    <w:pPr>
      <w:adjustRightInd/>
      <w:spacing w:line="360" w:lineRule="auto"/>
      <w:ind w:firstLine="480" w:firstLineChars="200"/>
    </w:pPr>
    <w:rPr>
      <w:kern w:val="0"/>
      <w:sz w:val="24"/>
    </w:rPr>
  </w:style>
  <w:style w:type="paragraph" w:customStyle="1" w:styleId="103">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列出段落1"/>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800"/>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2"/>
    <w:qFormat/>
    <w:uiPriority w:val="0"/>
    <w:pPr>
      <w:tabs>
        <w:tab w:val="left" w:pos="2356"/>
      </w:tabs>
    </w:pPr>
  </w:style>
  <w:style w:type="paragraph" w:customStyle="1" w:styleId="108">
    <w:name w:val="样式 标题 4h4H4Fab-4T5Ref Heading 1rh1Heading sqlsect 1.2.3...."/>
    <w:basedOn w:val="6"/>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5"/>
    <w:qFormat/>
    <w:uiPriority w:val="0"/>
    <w:pPr>
      <w:adjustRightInd/>
    </w:pPr>
    <w:rPr>
      <w:rFonts w:ascii="宋体" w:hAnsi="Courier New"/>
      <w:kern w:val="0"/>
      <w:sz w:val="20"/>
      <w:szCs w:val="20"/>
    </w:rPr>
  </w:style>
  <w:style w:type="paragraph" w:customStyle="1" w:styleId="111">
    <w:name w:val="正文说明"/>
    <w:basedOn w:val="1"/>
    <w:link w:val="847"/>
    <w:qFormat/>
    <w:uiPriority w:val="0"/>
    <w:pPr>
      <w:adjustRightInd/>
      <w:spacing w:line="360" w:lineRule="auto"/>
    </w:pPr>
    <w:rPr>
      <w:kern w:val="0"/>
      <w:sz w:val="24"/>
    </w:rPr>
  </w:style>
  <w:style w:type="paragraph" w:customStyle="1" w:styleId="112">
    <w:name w:val="Table Text"/>
    <w:basedOn w:val="1"/>
    <w:link w:val="853"/>
    <w:qFormat/>
    <w:uiPriority w:val="0"/>
    <w:pPr>
      <w:widowControl/>
      <w:spacing w:before="60" w:after="60"/>
      <w:jc w:val="left"/>
    </w:pPr>
    <w:rPr>
      <w:kern w:val="0"/>
      <w:sz w:val="24"/>
    </w:rPr>
  </w:style>
  <w:style w:type="paragraph" w:customStyle="1" w:styleId="113">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5"/>
    <w:qFormat/>
    <w:uiPriority w:val="0"/>
    <w:pPr>
      <w:widowControl/>
      <w:snapToGrid w:val="0"/>
      <w:spacing w:afterLines="50"/>
      <w:ind w:firstLine="200" w:firstLineChars="200"/>
    </w:pPr>
    <w:rPr>
      <w:kern w:val="0"/>
      <w:sz w:val="24"/>
      <w:szCs w:val="20"/>
    </w:rPr>
  </w:style>
  <w:style w:type="paragraph" w:customStyle="1" w:styleId="118">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5"/>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6"/>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outlineLvl w:val="5"/>
    </w:pPr>
  </w:style>
  <w:style w:type="paragraph" w:customStyle="1" w:styleId="162">
    <w:name w:val="5级标题"/>
    <w:basedOn w:val="163"/>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无间隔2"/>
    <w:basedOn w:val="1"/>
    <w:link w:val="943"/>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4"/>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7"/>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4"/>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6"/>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Lines="50"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qFormat/>
    <w:uiPriority w:val="0"/>
    <w:rPr>
      <w:rFonts w:ascii="宋体" w:eastAsia="宋体" w:cs="Times New Roman"/>
      <w:color w:val="auto"/>
    </w:rPr>
  </w:style>
  <w:style w:type="paragraph" w:customStyle="1" w:styleId="23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61"/>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2"/>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5"/>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spacing w:beforeLines="0" w:afterLines="0"/>
      <w:ind w:left="1680"/>
      <w:outlineLvl w:val="2"/>
    </w:pPr>
  </w:style>
  <w:style w:type="paragraph" w:customStyle="1" w:styleId="346">
    <w:name w:val="章标题"/>
    <w:next w:val="32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6"/>
    <w:qFormat/>
    <w:uiPriority w:val="0"/>
    <w:pPr>
      <w:tabs>
        <w:tab w:val="left" w:pos="2100"/>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Lines="50"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42"/>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3"/>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4"/>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4"/>
    <w:next w:val="58"/>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8"/>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3"/>
    <w:next w:val="328"/>
    <w:qFormat/>
    <w:uiPriority w:val="0"/>
    <w:pPr>
      <w:tabs>
        <w:tab w:val="left" w:pos="294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2"/>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60"/>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6"/>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qFormat/>
    <w:uiPriority w:val="0"/>
    <w:pPr>
      <w:tabs>
        <w:tab w:val="left" w:pos="1080"/>
        <w:tab w:val="clear" w:pos="1008"/>
      </w:tabs>
      <w:ind w:left="1080" w:hanging="1080"/>
    </w:pPr>
  </w:style>
  <w:style w:type="paragraph" w:customStyle="1" w:styleId="583">
    <w:name w:val="数字标题1"/>
    <w:basedOn w:val="2"/>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1"/>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50"/>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9">
    <w:name w:val="_Style 947"/>
    <w:basedOn w:val="1"/>
    <w:next w:val="105"/>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纯文本3"/>
    <w:basedOn w:val="1"/>
    <w:qFormat/>
    <w:uiPriority w:val="0"/>
    <w:pPr>
      <w:adjustRightInd/>
      <w:snapToGrid w:val="0"/>
      <w:jc w:val="left"/>
    </w:pPr>
    <w:rPr>
      <w:rFonts w:ascii="Century Gothic" w:hAnsi="楷体_GB2312" w:eastAsia="Century Gothic"/>
      <w:szCs w:val="20"/>
    </w:rPr>
  </w:style>
  <w:style w:type="character" w:customStyle="1" w:styleId="623">
    <w:name w:val="表格非标题文字 Char"/>
    <w:link w:val="85"/>
    <w:qFormat/>
    <w:uiPriority w:val="0"/>
    <w:rPr>
      <w:rFonts w:ascii="Futura Bk" w:hAnsi="Futura Bk"/>
      <w:kern w:val="2"/>
      <w:sz w:val="18"/>
      <w:szCs w:val="21"/>
      <w:lang w:val="en-US" w:eastAsia="zh-CN" w:bidi="ar-SA"/>
    </w:rPr>
  </w:style>
  <w:style w:type="character" w:customStyle="1" w:styleId="624">
    <w:name w:val="*正文 Char"/>
    <w:link w:val="86"/>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7"/>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5"/>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8"/>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9"/>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6"/>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4"/>
    <w:qFormat/>
    <w:uiPriority w:val="0"/>
    <w:rPr>
      <w:rFonts w:ascii="Arial" w:hAnsi="Arial" w:eastAsia="黑体" w:cs="Arial"/>
      <w:snapToGrid w:val="0"/>
      <w:kern w:val="0"/>
      <w:szCs w:val="21"/>
    </w:rPr>
  </w:style>
  <w:style w:type="character" w:customStyle="1" w:styleId="661">
    <w:name w:val="纯文本 Char"/>
    <w:link w:val="38"/>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90"/>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53"/>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91"/>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8"/>
    <w:qFormat/>
    <w:uiPriority w:val="0"/>
    <w:rPr>
      <w:rFonts w:ascii="Arial" w:hAnsi="Arial" w:eastAsia="黑体"/>
      <w:b/>
      <w:bCs/>
      <w:kern w:val="2"/>
      <w:sz w:val="24"/>
      <w:szCs w:val="24"/>
    </w:rPr>
  </w:style>
  <w:style w:type="character" w:customStyle="1" w:styleId="682">
    <w:name w:val="纯文本 Char_0"/>
    <w:link w:val="92"/>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4"/>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5"/>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41"/>
    <w:qFormat/>
    <w:uiPriority w:val="0"/>
    <w:rPr>
      <w:rFonts w:ascii="宋体"/>
      <w:kern w:val="2"/>
      <w:sz w:val="24"/>
      <w:szCs w:val="21"/>
      <w:lang w:val="zh-CN"/>
    </w:rPr>
  </w:style>
  <w:style w:type="character" w:customStyle="1" w:styleId="712">
    <w:name w:val="标题 9 Char"/>
    <w:link w:val="11"/>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4"/>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6"/>
    <w:qFormat/>
    <w:locked/>
    <w:uiPriority w:val="0"/>
    <w:rPr>
      <w:rFonts w:ascii="Tahoma" w:hAnsi="Tahoma"/>
      <w:sz w:val="24"/>
      <w:szCs w:val="24"/>
    </w:rPr>
  </w:style>
  <w:style w:type="character" w:customStyle="1" w:styleId="722">
    <w:name w:val="正文缩进 Char2"/>
    <w:link w:val="5"/>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7"/>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8"/>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4"/>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6"/>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9"/>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100"/>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6"/>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101"/>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2"/>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3"/>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4"/>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6"/>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6"/>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2"/>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4"/>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7"/>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0"/>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62"/>
    <w:qFormat/>
    <w:uiPriority w:val="0"/>
    <w:rPr>
      <w:rFonts w:ascii="黑体" w:hAnsi="Courier New" w:eastAsia="黑体"/>
    </w:rPr>
  </w:style>
  <w:style w:type="character" w:customStyle="1" w:styleId="821">
    <w:name w:val="正文文本 2 Char1"/>
    <w:link w:val="61"/>
    <w:qFormat/>
    <w:uiPriority w:val="0"/>
    <w:rPr>
      <w:kern w:val="2"/>
      <w:sz w:val="21"/>
      <w:szCs w:val="24"/>
    </w:rPr>
  </w:style>
  <w:style w:type="character" w:customStyle="1" w:styleId="822">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9"/>
    <w:qFormat/>
    <w:uiPriority w:val="0"/>
    <w:rPr>
      <w:b/>
      <w:bCs/>
      <w:kern w:val="2"/>
      <w:sz w:val="24"/>
      <w:szCs w:val="24"/>
    </w:rPr>
  </w:style>
  <w:style w:type="character" w:customStyle="1" w:styleId="825">
    <w:name w:val="正文文本缩进 2 Char"/>
    <w:link w:val="42"/>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6"/>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9"/>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10"/>
    <w:qFormat/>
    <w:uiPriority w:val="0"/>
    <w:rPr>
      <w:rFonts w:ascii="宋体" w:hAnsi="Courier New"/>
    </w:rPr>
  </w:style>
  <w:style w:type="character" w:customStyle="1" w:styleId="836">
    <w:name w:val="正文首行缩进 Char"/>
    <w:link w:val="24"/>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6"/>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1"/>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11"/>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2"/>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19"/>
    <w:qFormat/>
    <w:uiPriority w:val="99"/>
    <w:rPr>
      <w:kern w:val="2"/>
      <w:sz w:val="21"/>
      <w:szCs w:val="24"/>
    </w:rPr>
  </w:style>
  <w:style w:type="character" w:customStyle="1" w:styleId="858">
    <w:name w:val="签名 Char"/>
    <w:link w:val="48"/>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3"/>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4"/>
    <w:qFormat/>
    <w:uiPriority w:val="0"/>
    <w:rPr>
      <w:rFonts w:ascii="宋体"/>
    </w:rPr>
  </w:style>
  <w:style w:type="character" w:customStyle="1" w:styleId="869">
    <w:name w:val="标题 8 Char"/>
    <w:link w:val="10"/>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8"/>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5"/>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5"/>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6"/>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7"/>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7"/>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8"/>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9"/>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20"/>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4"/>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21"/>
    <w:qFormat/>
    <w:uiPriority w:val="0"/>
    <w:rPr>
      <w:rFonts w:cs="宋体"/>
      <w:kern w:val="2"/>
      <w:sz w:val="24"/>
    </w:rPr>
  </w:style>
  <w:style w:type="character" w:customStyle="1" w:styleId="9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5">
    <w:name w:val="gray6"/>
    <w:basedOn w:val="74"/>
    <w:qFormat/>
    <w:uiPriority w:val="0"/>
    <w:rPr>
      <w:rFonts w:ascii="Arial" w:hAnsi="Arial" w:eastAsia="黑体" w:cs="Arial"/>
      <w:snapToGrid w:val="0"/>
      <w:kern w:val="0"/>
      <w:szCs w:val="21"/>
    </w:rPr>
  </w:style>
  <w:style w:type="character" w:customStyle="1" w:styleId="936">
    <w:name w:val="hui"/>
    <w:basedOn w:val="74"/>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43"/>
    <w:qFormat/>
    <w:uiPriority w:val="0"/>
    <w:rPr>
      <w:kern w:val="2"/>
      <w:sz w:val="21"/>
      <w:szCs w:val="24"/>
      <w:lang w:val="zh-CN"/>
    </w:rPr>
  </w:style>
  <w:style w:type="character" w:customStyle="1" w:styleId="943">
    <w:name w:val="无间隔 Char"/>
    <w:link w:val="171"/>
    <w:qFormat/>
    <w:uiPriority w:val="99"/>
    <w:rPr>
      <w:kern w:val="2"/>
      <w:sz w:val="21"/>
      <w:szCs w:val="22"/>
    </w:rPr>
  </w:style>
  <w:style w:type="character" w:customStyle="1" w:styleId="944">
    <w:name w:val="标准文本 Char Char"/>
    <w:link w:val="608"/>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4"/>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8">
    <w:name w:val="List Paragraph"/>
    <w:basedOn w:val="1"/>
    <w:qFormat/>
    <w:uiPriority w:val="34"/>
    <w:pPr>
      <w:numPr>
        <w:ilvl w:val="0"/>
        <w:numId w:val="1"/>
      </w:numPr>
      <w:snapToGrid w:val="0"/>
      <w:spacing w:line="276" w:lineRule="auto"/>
    </w:pPr>
  </w:style>
  <w:style w:type="paragraph" w:customStyle="1" w:styleId="969">
    <w:name w:val="[Normal]"/>
    <w:qFormat/>
    <w:uiPriority w:val="0"/>
    <w:rPr>
      <w:rFonts w:ascii="宋体" w:hAnsi="宋体" w:eastAsia="宋体" w:cs="Times New Roman"/>
      <w:sz w:val="24"/>
      <w:szCs w:val="22"/>
      <w:lang w:val="zh-CN" w:eastAsia="zh-CN" w:bidi="ar-SA"/>
    </w:rPr>
  </w:style>
  <w:style w:type="paragraph" w:customStyle="1" w:styleId="970">
    <w:name w:val="列出段落6"/>
    <w:basedOn w:val="1"/>
    <w:qFormat/>
    <w:uiPriority w:val="34"/>
    <w:pPr>
      <w:adjustRightInd/>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86</Pages>
  <Words>45476</Words>
  <Characters>48270</Characters>
  <Lines>58</Lines>
  <Paragraphs>95</Paragraphs>
  <TotalTime>36</TotalTime>
  <ScaleCrop>false</ScaleCrop>
  <LinksUpToDate>false</LinksUpToDate>
  <CharactersWithSpaces>50842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2024-06-14T19:18:00Z</dcterms:created>
  <dc:creator>玥</dc:creator>
  <cp:lastModifiedBy>！nn</cp:lastModifiedBy>
  <cp:lastPrinted>2024-06-13T17:40:00Z</cp:lastPrinted>
  <dcterms:modified xsi:type="dcterms:W3CDTF">2025-01-18T03:56:10Z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813989DE0E4E465B814D99414BA8E794_13</vt:lpwstr>
  </property>
  <property fmtid="{D5CDD505-2E9C-101B-9397-08002B2CF9AE}" pid="5" name="KSOTemplateDocerSaveRecord">
    <vt:lpwstr>eyJoZGlkIjoiMGY1MmEyNmIzOWVmY2Y1Mjg1NGNjNzFjMzI3M2RmZTkiLCJ1c2VySWQiOiIyMjkwNDAyNjYifQ==</vt:lpwstr>
  </property>
</Properties>
</file>