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bookmarkStart w:id="0" w:name="OLE_LINK1"/>
      <w:r>
        <w:rPr>
          <w:rFonts w:hint="eastAsia" w:ascii="仿宋" w:hAnsi="仿宋" w:eastAsia="仿宋" w:cs="仿宋_GB2312"/>
          <w:b/>
          <w:color w:val="000000" w:themeColor="text1"/>
          <w:sz w:val="48"/>
          <w:szCs w:val="48"/>
          <w:highlight w:val="none"/>
          <w:lang w:eastAsia="zh-CN"/>
          <w14:textFill>
            <w14:solidFill>
              <w14:schemeClr w14:val="tx1"/>
            </w14:solidFill>
          </w14:textFill>
        </w:rPr>
        <w:t>浙江开放大学余杭学院2025年春季班办学辅助服务采购项目</w:t>
      </w:r>
      <w:bookmarkEnd w:id="0"/>
    </w:p>
    <w:p>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TYZFCG2025-003</w:t>
      </w:r>
      <w:r>
        <w:rPr>
          <w:rFonts w:hint="eastAsia" w:ascii="仿宋" w:hAnsi="仿宋" w:eastAsia="仿宋" w:cs="仿宋_GB2312"/>
          <w:b/>
          <w:color w:val="000000" w:themeColor="text1"/>
          <w:sz w:val="32"/>
          <w:szCs w:val="32"/>
          <w:highlight w:val="none"/>
          <w14:textFill>
            <w14:solidFill>
              <w14:schemeClr w14:val="tx1"/>
            </w14:solidFill>
          </w14:textFill>
        </w:rPr>
        <w:t>）</w:t>
      </w: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pPr>
        <w:spacing w:line="360" w:lineRule="auto"/>
        <w:jc w:val="center"/>
        <w:rPr>
          <w:rFonts w:ascii="仿宋" w:hAnsi="仿宋" w:eastAsia="仿宋" w:cs="宋体"/>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浙江开放大学余杭学院</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三十一</w:t>
      </w:r>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1" w:name="_Hlt67893495"/>
      <w:bookmarkEnd w:id="1"/>
    </w:p>
    <w:p>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pPr>
        <w:spacing w:line="360" w:lineRule="auto"/>
        <w:rPr>
          <w:rFonts w:ascii="仿宋" w:hAnsi="仿宋" w:eastAsia="仿宋" w:cs="宋体"/>
          <w:color w:val="000000" w:themeColor="text1"/>
          <w:sz w:val="32"/>
          <w:szCs w:val="32"/>
          <w:highlight w:val="none"/>
          <w14:textFill>
            <w14:solidFill>
              <w14:schemeClr w14:val="tx1"/>
            </w14:solidFill>
          </w14:textFill>
        </w:rPr>
      </w:pPr>
    </w:p>
    <w:p>
      <w:pPr>
        <w:spacing w:line="360" w:lineRule="auto"/>
        <w:rPr>
          <w:rFonts w:ascii="仿宋" w:hAnsi="仿宋" w:eastAsia="仿宋" w:cs="宋体"/>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2" w:name="_Hlt91233176"/>
      <w:bookmarkEnd w:id="2"/>
      <w:bookmarkStart w:id="3" w:name="_Toc91899869"/>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4"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3"/>
      <w:bookmarkEnd w:id="4"/>
      <w:bookmarkStart w:id="5" w:name="_Hlt74728647"/>
      <w:bookmarkEnd w:id="5"/>
      <w:bookmarkStart w:id="6" w:name="_Hlt74729822"/>
      <w:bookmarkEnd w:id="6"/>
      <w:bookmarkStart w:id="7" w:name="_Hlt74707423"/>
      <w:bookmarkEnd w:id="7"/>
      <w:bookmarkStart w:id="8" w:name="_Hlt74649545"/>
      <w:bookmarkEnd w:id="8"/>
      <w:bookmarkStart w:id="9" w:name="第二部分"/>
      <w:bookmarkStart w:id="10" w:name="_Toc91899870"/>
      <w:bookmarkStart w:id="11"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浙江开放大学余杭学院2025年春季班办学辅助服务采购项目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81"/>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81"/>
          <w:rFonts w:hint="eastAsia" w:ascii="仿宋" w:hAnsi="仿宋" w:eastAsia="仿宋" w:cs="宋体"/>
          <w:color w:val="000000" w:themeColor="text1"/>
          <w:kern w:val="2"/>
          <w:sz w:val="24"/>
          <w:szCs w:val="24"/>
          <w:highlight w:val="none"/>
          <w14:textFill>
            <w14:solidFill>
              <w14:schemeClr w14:val="tx1"/>
            </w14:solidFill>
          </w14:textFill>
        </w:rPr>
        <w:t>年</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81"/>
          <w:rFonts w:hint="eastAsia" w:ascii="仿宋" w:hAnsi="仿宋" w:eastAsia="仿宋" w:cs="宋体"/>
          <w:color w:val="000000" w:themeColor="text1"/>
          <w:kern w:val="2"/>
          <w:sz w:val="24"/>
          <w:szCs w:val="24"/>
          <w:highlight w:val="none"/>
          <w14:textFill>
            <w14:solidFill>
              <w14:schemeClr w14:val="tx1"/>
            </w14:solidFill>
          </w14:textFill>
        </w:rPr>
        <w:t>月</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21</w:t>
      </w:r>
      <w:r>
        <w:rPr>
          <w:rStyle w:val="81"/>
          <w:rFonts w:hint="eastAsia" w:ascii="仿宋" w:hAnsi="仿宋" w:eastAsia="仿宋" w:cs="宋体"/>
          <w:color w:val="000000" w:themeColor="text1"/>
          <w:kern w:val="2"/>
          <w:sz w:val="24"/>
          <w:szCs w:val="24"/>
          <w:highlight w:val="none"/>
          <w14:textFill>
            <w14:solidFill>
              <w14:schemeClr w14:val="tx1"/>
            </w14:solidFill>
          </w14:textFill>
        </w:rPr>
        <w:t>日</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81"/>
          <w:rFonts w:hint="eastAsia" w:ascii="仿宋" w:hAnsi="仿宋" w:eastAsia="仿宋" w:cs="宋体"/>
          <w:color w:val="000000" w:themeColor="text1"/>
          <w:kern w:val="2"/>
          <w:sz w:val="24"/>
          <w:szCs w:val="24"/>
          <w:highlight w:val="none"/>
          <w14:textFill>
            <w14:solidFill>
              <w14:schemeClr w14:val="tx1"/>
            </w14:solidFill>
          </w14:textFill>
        </w:rPr>
        <w:t>点</w:t>
      </w:r>
      <w:r>
        <w:rPr>
          <w:rStyle w:val="81"/>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81"/>
          <w:rFonts w:hint="eastAsia" w:ascii="仿宋" w:hAnsi="仿宋" w:eastAsia="仿宋" w:cs="宋体"/>
          <w:color w:val="000000" w:themeColor="text1"/>
          <w:kern w:val="2"/>
          <w:sz w:val="24"/>
          <w:szCs w:val="24"/>
          <w:highlight w:val="none"/>
          <w14:textFill>
            <w14:solidFill>
              <w14:schemeClr w14:val="tx1"/>
            </w14:solidFill>
          </w14:textFill>
        </w:rPr>
        <w:t>分</w:t>
      </w:r>
      <w:r>
        <w:rPr>
          <w:rStyle w:val="81"/>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81"/>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TYZFCG2025-003</w:t>
      </w:r>
    </w:p>
    <w:p>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浙江开放大学余杭学院2025年春季班办学辅助服务采购项目</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1600000</w:t>
      </w:r>
    </w:p>
    <w:p>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1600000</w:t>
      </w:r>
    </w:p>
    <w:p>
      <w:pPr>
        <w:pStyle w:val="7"/>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浙江开放大学余杭学院2025年春季班办学辅助服务采购项目</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90"/>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详见招标文件第三部分采购需求</w:t>
      </w:r>
      <w:r>
        <w:rPr>
          <w:rFonts w:hint="eastAsia" w:ascii="仿宋" w:hAnsi="仿宋" w:eastAsia="仿宋" w:cs="宋体"/>
          <w:b/>
          <w:color w:val="000000" w:themeColor="text1"/>
          <w:highlight w:val="none"/>
          <w:lang w:eastAsia="zh-CN"/>
          <w14:textFill>
            <w14:solidFill>
              <w14:schemeClr w14:val="tx1"/>
            </w14:solidFill>
          </w14:textFill>
        </w:rPr>
        <w:t>。</w:t>
      </w:r>
    </w:p>
    <w:p>
      <w:pPr>
        <w:pStyle w:val="7"/>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pPr>
        <w:pStyle w:val="2"/>
        <w:numPr>
          <w:ilvl w:val="0"/>
          <w:numId w:val="0"/>
        </w:numPr>
        <w:ind w:firstLine="480" w:firstLineChars="200"/>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bookmarkStart w:id="422" w:name="_GoBack"/>
      <w:bookmarkStart w:id="12" w:name="OLE_LINK6"/>
      <w:r>
        <w:rPr>
          <w:rFonts w:hint="eastAsia" w:ascii="仿宋" w:hAnsi="仿宋" w:eastAsia="仿宋" w:cs="宋体"/>
          <w:color w:val="000000" w:themeColor="text1"/>
          <w:sz w:val="24"/>
          <w:highlight w:val="none"/>
          <w14:textFill>
            <w14:solidFill>
              <w14:schemeClr w14:val="tx1"/>
            </w14:solidFill>
          </w14:textFill>
        </w:rPr>
        <w:t>政采云平台（https://www.zcygov.cn/）</w:t>
      </w:r>
      <w:bookmarkEnd w:id="12"/>
      <w:bookmarkEnd w:id="422"/>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r>
        <w:rPr>
          <w:rFonts w:hint="eastAsia" w:ascii="仿宋" w:hAnsi="仿宋" w:eastAsia="仿宋" w:cs="宋体"/>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21</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p>
    <w:p>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https://zfcg.czt.zj.gov.cn/site/detail?parentId=600007&amp;articleId=X81u9vKBSRmGqNQiIbcu4w%3D%3D</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浙江开放大学余杭学院</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14:textFill>
            <w14:solidFill>
              <w14:schemeClr w14:val="tx1"/>
            </w14:solidFill>
          </w14:textFill>
        </w:rPr>
        <w:t>杭州市余杭区闲林街道闲富南路12号</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bookmarkStart w:id="13" w:name="OLE_LINK2"/>
      <w:r>
        <w:rPr>
          <w:rFonts w:hint="eastAsia" w:ascii="仿宋" w:hAnsi="仿宋" w:eastAsia="仿宋" w:cs="宋体"/>
          <w:color w:val="000000" w:themeColor="text1"/>
          <w:sz w:val="24"/>
          <w:highlight w:val="none"/>
          <w14:textFill>
            <w14:solidFill>
              <w14:schemeClr w14:val="tx1"/>
            </w14:solidFill>
          </w14:textFill>
        </w:rPr>
        <w:t>姚国勇</w:t>
      </w:r>
      <w:bookmarkEnd w:id="13"/>
      <w:r>
        <w:rPr>
          <w:rFonts w:hint="eastAsia" w:ascii="华文仿宋" w:hAnsi="华文仿宋" w:eastAsia="华文仿宋"/>
          <w:color w:val="000000" w:themeColor="text1"/>
          <w:sz w:val="24"/>
          <w:highlight w:val="none"/>
          <w14:textFill>
            <w14:solidFill>
              <w14:schemeClr w14:val="tx1"/>
            </w14:solidFill>
          </w14:textFill>
        </w:rPr>
        <w:t xml:space="preserve">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0571-</w:t>
      </w:r>
      <w:r>
        <w:rPr>
          <w:rFonts w:hint="eastAsia" w:ascii="仿宋" w:hAnsi="仿宋" w:eastAsia="仿宋" w:cs="宋体"/>
          <w:color w:val="000000" w:themeColor="text1"/>
          <w:sz w:val="24"/>
          <w:highlight w:val="none"/>
          <w14:textFill>
            <w14:solidFill>
              <w14:schemeClr w14:val="tx1"/>
            </w14:solidFill>
          </w14:textFill>
        </w:rPr>
        <w:t>88680727</w:t>
      </w:r>
      <w:r>
        <w:rPr>
          <w:rFonts w:hint="eastAsia" w:ascii="华文仿宋" w:hAnsi="华文仿宋" w:eastAsia="华文仿宋"/>
          <w:color w:val="000000" w:themeColor="text1"/>
          <w:sz w:val="24"/>
          <w:highlight w:val="none"/>
          <w14:textFill>
            <w14:solidFill>
              <w14:schemeClr w14:val="tx1"/>
            </w14:solidFill>
          </w14:textFill>
        </w:rPr>
        <w:t xml:space="preserve">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质疑联系人：贾忠华 </w:t>
      </w:r>
    </w:p>
    <w:p>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质疑联系方式：</w:t>
      </w:r>
      <w:r>
        <w:rPr>
          <w:rFonts w:hint="eastAsia" w:ascii="仿宋" w:hAnsi="仿宋" w:eastAsia="仿宋" w:cs="宋体"/>
          <w:color w:val="000000" w:themeColor="text1"/>
          <w:sz w:val="24"/>
          <w:highlight w:val="none"/>
          <w:lang w:val="en-US" w:eastAsia="zh-CN"/>
          <w14:textFill>
            <w14:solidFill>
              <w14:schemeClr w14:val="tx1"/>
            </w14:solidFill>
          </w14:textFill>
        </w:rPr>
        <w:t>0571-</w:t>
      </w:r>
      <w:r>
        <w:rPr>
          <w:rFonts w:hint="eastAsia" w:ascii="仿宋" w:hAnsi="仿宋" w:eastAsia="仿宋" w:cs="宋体"/>
          <w:color w:val="000000" w:themeColor="text1"/>
          <w:sz w:val="24"/>
          <w:highlight w:val="none"/>
          <w14:textFill>
            <w14:solidFill>
              <w14:schemeClr w14:val="tx1"/>
            </w14:solidFill>
          </w14:textFill>
        </w:rPr>
        <w:t>89088155</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w:t>
      </w:r>
      <w:r>
        <w:rPr>
          <w:rFonts w:hint="eastAsia" w:ascii="仿宋" w:hAnsi="仿宋" w:eastAsia="仿宋"/>
          <w:color w:val="000000" w:themeColor="text1"/>
          <w:sz w:val="24"/>
          <w:highlight w:val="none"/>
          <w14:textFill>
            <w14:solidFill>
              <w14:schemeClr w14:val="tx1"/>
            </w14:solidFill>
          </w14:textFill>
        </w:rPr>
        <w:t>0571-86235827</w:t>
      </w:r>
    </w:p>
    <w:p>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eastAsia="zh-CN"/>
          <w14:textFill>
            <w14:solidFill>
              <w14:schemeClr w14:val="tx1"/>
            </w14:solidFill>
          </w14:textFill>
        </w:rPr>
        <w:t>丁敏</w:t>
      </w:r>
    </w:p>
    <w:p>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0571-86235827</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14:textFill>
            <w14:solidFill>
              <w14:schemeClr w14:val="tx1"/>
            </w14:solidFill>
          </w14:textFill>
        </w:rPr>
        <w:t>13588795636</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w:t>
      </w:r>
      <w:r>
        <w:rPr>
          <w:rFonts w:hint="eastAsia" w:ascii="仿宋" w:hAnsi="仿宋" w:eastAsia="仿宋" w:cs="宋体"/>
          <w:color w:val="000000" w:themeColor="text1"/>
          <w:sz w:val="24"/>
          <w:highlight w:val="none"/>
          <w:lang w:eastAsia="zh-CN"/>
          <w14:textFill>
            <w14:solidFill>
              <w14:schemeClr w14:val="tx1"/>
            </w14:solidFill>
          </w14:textFill>
        </w:rPr>
        <w:t>余杭</w:t>
      </w:r>
      <w:r>
        <w:rPr>
          <w:rFonts w:hint="eastAsia" w:ascii="仿宋" w:hAnsi="仿宋" w:eastAsia="仿宋" w:cs="宋体"/>
          <w:color w:val="000000" w:themeColor="text1"/>
          <w:sz w:val="24"/>
          <w:highlight w:val="none"/>
          <w14:textFill>
            <w14:solidFill>
              <w14:schemeClr w14:val="tx1"/>
            </w14:solidFill>
          </w14:textFill>
        </w:rPr>
        <w:t>区财政局、浙江省政府采购行政裁决服务中心（杭州）</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9"/>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10"/>
    </w:p>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1"/>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4" w:name="_Toc164416483"/>
            <w:bookmarkStart w:id="15" w:name="第三部分"/>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其他未列明行业</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pPr>
              <w:pStyle w:val="5"/>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中标人在领取中标通知书时需向招标代理机构支付人民币</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22400</w:t>
            </w:r>
            <w:r>
              <w:rPr>
                <w:rFonts w:hint="eastAsia" w:ascii="仿宋" w:hAnsi="仿宋" w:eastAsia="仿宋" w:cs="仿宋"/>
                <w:b/>
                <w:snapToGrid w:val="0"/>
                <w:color w:val="000000" w:themeColor="text1"/>
                <w:kern w:val="28"/>
                <w:sz w:val="24"/>
                <w:highlight w:val="none"/>
                <w14:textFill>
                  <w14:solidFill>
                    <w14:schemeClr w14:val="tx1"/>
                  </w14:solidFill>
                </w14:textFill>
              </w:rPr>
              <w:t>元中标服务费，费用包含在总报价中，不单独列项报价。中标服务费的交纳方式：以转帐或支票的形式支付，开户名：天阳建设管理有限公司</w:t>
            </w:r>
            <w:r>
              <w:rPr>
                <w:rFonts w:hint="eastAsia" w:ascii="仿宋" w:hAnsi="仿宋" w:eastAsia="仿宋" w:cs="仿宋"/>
                <w:b/>
                <w:snapToGrid w:val="0"/>
                <w:color w:val="000000" w:themeColor="text1"/>
                <w:kern w:val="28"/>
                <w:sz w:val="24"/>
                <w:highlight w:val="none"/>
                <w:lang w:eastAsia="zh-CN"/>
                <w14:textFill>
                  <w14:solidFill>
                    <w14:schemeClr w14:val="tx1"/>
                  </w14:solidFill>
                </w14:textFill>
              </w:rPr>
              <w:t>余杭分公司</w:t>
            </w:r>
            <w:r>
              <w:rPr>
                <w:rFonts w:hint="eastAsia" w:ascii="仿宋" w:hAnsi="仿宋" w:eastAsia="仿宋" w:cs="仿宋"/>
                <w:b/>
                <w:snapToGrid w:val="0"/>
                <w:color w:val="000000" w:themeColor="text1"/>
                <w:kern w:val="28"/>
                <w:sz w:val="24"/>
                <w:highlight w:val="none"/>
                <w14:textFill>
                  <w14:solidFill>
                    <w14:schemeClr w14:val="tx1"/>
                  </w14:solidFill>
                </w14:textFill>
              </w:rPr>
              <w:t>；开户行名称：中信银行</w:t>
            </w:r>
            <w:r>
              <w:rPr>
                <w:rFonts w:hint="eastAsia" w:ascii="仿宋" w:hAnsi="仿宋" w:eastAsia="仿宋" w:cs="仿宋"/>
                <w:b/>
                <w:snapToGrid w:val="0"/>
                <w:color w:val="000000" w:themeColor="text1"/>
                <w:kern w:val="28"/>
                <w:sz w:val="24"/>
                <w:highlight w:val="none"/>
                <w:lang w:eastAsia="zh-CN"/>
                <w14:textFill>
                  <w14:solidFill>
                    <w14:schemeClr w14:val="tx1"/>
                  </w14:solidFill>
                </w14:textFill>
              </w:rPr>
              <w:t>余杭</w:t>
            </w:r>
            <w:r>
              <w:rPr>
                <w:rFonts w:hint="eastAsia" w:ascii="仿宋" w:hAnsi="仿宋" w:eastAsia="仿宋" w:cs="仿宋"/>
                <w:b/>
                <w:snapToGrid w:val="0"/>
                <w:color w:val="000000" w:themeColor="text1"/>
                <w:kern w:val="28"/>
                <w:sz w:val="24"/>
                <w:highlight w:val="none"/>
                <w14:textFill>
                  <w14:solidFill>
                    <w14:schemeClr w14:val="tx1"/>
                  </w14:solidFill>
                </w14:textFill>
              </w:rPr>
              <w:t>支行 帐号：</w:t>
            </w:r>
            <w:r>
              <w:rPr>
                <w:rFonts w:ascii="仿宋" w:hAnsi="仿宋" w:eastAsia="仿宋"/>
                <w:b/>
                <w:snapToGrid w:val="0"/>
                <w:color w:val="000000" w:themeColor="text1"/>
                <w:kern w:val="28"/>
                <w:sz w:val="24"/>
                <w:highlight w:val="none"/>
                <w14:textFill>
                  <w14:solidFill>
                    <w14:schemeClr w14:val="tx1"/>
                  </w14:solidFill>
                </w14:textFill>
              </w:rPr>
              <w:t>8110801012202411396</w:t>
            </w:r>
            <w:r>
              <w:rPr>
                <w:rFonts w:hint="eastAsia" w:ascii="仿宋" w:hAnsi="仿宋" w:eastAsia="仿宋" w:cs="仿宋"/>
                <w:b/>
                <w:snapToGrid w:val="0"/>
                <w:color w:val="000000" w:themeColor="text1"/>
                <w:kern w:val="28"/>
                <w:sz w:val="24"/>
                <w:highlight w:val="none"/>
                <w14:textFill>
                  <w14:solidFill>
                    <w14:schemeClr w14:val="tx1"/>
                  </w14:solidFill>
                </w14:textFill>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pPr>
        <w:pStyle w:val="37"/>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7"/>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pPr>
        <w:pStyle w:val="37"/>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pPr>
        <w:pStyle w:val="37"/>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pPr>
        <w:pStyle w:val="575"/>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pPr>
        <w:pStyle w:val="37"/>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宋体"/>
          <w:color w:val="000000" w:themeColor="text1"/>
          <w:sz w:val="18"/>
          <w:szCs w:val="18"/>
          <w:highlight w:val="none"/>
          <w:lang w:val="en-US"/>
          <w14:textFill>
            <w14:solidFill>
              <w14:schemeClr w14:val="tx1"/>
            </w14:solidFill>
          </w14:textFill>
        </w:rPr>
      </w:pPr>
    </w:p>
    <w:p>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7"/>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pPr>
        <w:pStyle w:val="7"/>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pPr>
        <w:pStyle w:val="37"/>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7"/>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pPr>
        <w:pStyle w:val="245"/>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pPr>
        <w:spacing w:line="360" w:lineRule="auto"/>
        <w:rPr>
          <w:rFonts w:ascii="仿宋" w:hAnsi="仿宋" w:eastAsia="仿宋" w:cs="宋体"/>
          <w:b/>
          <w:color w:val="000000" w:themeColor="text1"/>
          <w:sz w:val="24"/>
          <w:highlight w:val="none"/>
          <w14:textFill>
            <w14:solidFill>
              <w14:schemeClr w14:val="tx1"/>
            </w14:solidFill>
          </w14:textFill>
        </w:rPr>
      </w:pPr>
      <w:bookmarkStart w:id="16"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pPr>
        <w:spacing w:line="360" w:lineRule="auto"/>
        <w:rPr>
          <w:rFonts w:ascii="仿宋" w:hAnsi="仿宋" w:eastAsia="仿宋" w:cs="宋体"/>
          <w:b/>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pPr>
        <w:pStyle w:val="5"/>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84"/>
        <w:rPr>
          <w:color w:val="000000" w:themeColor="text1"/>
          <w:highlight w:val="none"/>
          <w:lang w:val="zh-CN"/>
          <w14:textFill>
            <w14:solidFill>
              <w14:schemeClr w14:val="tx1"/>
            </w14:solidFill>
          </w14:textFill>
        </w:rPr>
      </w:pPr>
    </w:p>
    <w:p>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pPr>
        <w:pStyle w:val="84"/>
        <w:numPr>
          <w:ilvl w:val="-1"/>
          <w:numId w:val="0"/>
        </w:numPr>
        <w:ind w:firstLine="0" w:firstLineChars="0"/>
        <w:rPr>
          <w:color w:val="000000" w:themeColor="text1"/>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7" w:name="_Hlt74714665"/>
      <w:bookmarkEnd w:id="17"/>
      <w:bookmarkStart w:id="18" w:name="_Hlt74730295"/>
      <w:bookmarkEnd w:id="18"/>
      <w:bookmarkStart w:id="19" w:name="_Hlt74707468"/>
      <w:bookmarkEnd w:id="19"/>
      <w:bookmarkStart w:id="20" w:name="_Hlt68072998"/>
      <w:bookmarkEnd w:id="20"/>
      <w:bookmarkStart w:id="21" w:name="_Hlt68057669"/>
      <w:bookmarkEnd w:id="21"/>
      <w:bookmarkStart w:id="22" w:name="_Hlt75236101"/>
      <w:bookmarkEnd w:id="22"/>
      <w:bookmarkStart w:id="23" w:name="_Hlt68073093"/>
      <w:bookmarkEnd w:id="23"/>
      <w:bookmarkStart w:id="24" w:name="_Hlt75236011"/>
      <w:bookmarkEnd w:id="24"/>
      <w:bookmarkStart w:id="25" w:name="_Hlt68403820"/>
      <w:bookmarkEnd w:id="25"/>
      <w:bookmarkStart w:id="26" w:name="_Hlt75236290"/>
      <w:bookmarkEnd w:id="26"/>
      <w:bookmarkStart w:id="27" w:name="_Hlt74729768"/>
      <w:bookmarkEnd w:id="27"/>
      <w:bookmarkStart w:id="28" w:name="_Hlt68072990"/>
      <w:bookmarkEnd w:id="28"/>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9"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tbl>
      <w:tblPr>
        <w:tblStyle w:val="67"/>
        <w:tblW w:w="54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32"/>
        <w:gridCol w:w="1816"/>
        <w:gridCol w:w="2573"/>
        <w:gridCol w:w="1446"/>
        <w:gridCol w:w="1181"/>
        <w:gridCol w:w="104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0" w:hRule="atLeast"/>
        </w:trPr>
        <w:tc>
          <w:tcPr>
            <w:tcW w:w="668" w:type="dxa"/>
            <w:tcMar>
              <w:top w:w="20" w:type="dxa"/>
              <w:left w:w="20" w:type="dxa"/>
              <w:bottom w:w="20" w:type="dxa"/>
              <w:right w:w="20" w:type="dxa"/>
            </w:tcMar>
            <w:vAlign w:val="center"/>
          </w:tcPr>
          <w:p>
            <w:pPr>
              <w:wordWrap w:val="0"/>
              <w:spacing w:line="273"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658" w:type="dxa"/>
            <w:tcMar>
              <w:top w:w="20" w:type="dxa"/>
              <w:left w:w="20" w:type="dxa"/>
              <w:bottom w:w="20" w:type="dxa"/>
              <w:right w:w="20" w:type="dxa"/>
            </w:tcMar>
            <w:vAlign w:val="center"/>
          </w:tcPr>
          <w:p>
            <w:pPr>
              <w:wordWrap w:val="0"/>
              <w:spacing w:line="273"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服务内容</w:t>
            </w:r>
          </w:p>
        </w:tc>
        <w:tc>
          <w:tcPr>
            <w:tcW w:w="2350" w:type="dxa"/>
            <w:tcMar>
              <w:top w:w="20" w:type="dxa"/>
              <w:left w:w="20" w:type="dxa"/>
              <w:bottom w:w="20" w:type="dxa"/>
              <w:right w:w="20" w:type="dxa"/>
            </w:tcMar>
            <w:vAlign w:val="center"/>
          </w:tcPr>
          <w:p>
            <w:pPr>
              <w:wordWrap w:val="0"/>
              <w:spacing w:line="273"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c>
          <w:tcPr>
            <w:tcW w:w="1320" w:type="dxa"/>
            <w:tcMar>
              <w:top w:w="20" w:type="dxa"/>
              <w:left w:w="20" w:type="dxa"/>
              <w:bottom w:w="20" w:type="dxa"/>
              <w:right w:w="20" w:type="dxa"/>
            </w:tcMar>
            <w:vAlign w:val="center"/>
          </w:tcPr>
          <w:p>
            <w:pPr>
              <w:wordWrap w:val="0"/>
              <w:spacing w:line="273"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完成标准</w:t>
            </w:r>
          </w:p>
        </w:tc>
        <w:tc>
          <w:tcPr>
            <w:tcW w:w="1078" w:type="dxa"/>
            <w:vAlign w:val="center"/>
          </w:tcPr>
          <w:p>
            <w:pPr>
              <w:wordWrap w:val="0"/>
              <w:spacing w:line="273"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交付地点</w:t>
            </w:r>
          </w:p>
        </w:tc>
        <w:tc>
          <w:tcPr>
            <w:tcW w:w="952" w:type="dxa"/>
            <w:tcMar>
              <w:top w:w="20" w:type="dxa"/>
              <w:left w:w="20" w:type="dxa"/>
              <w:bottom w:w="20" w:type="dxa"/>
              <w:right w:w="20" w:type="dxa"/>
            </w:tcMar>
            <w:vAlign w:val="center"/>
          </w:tcPr>
          <w:p>
            <w:pPr>
              <w:wordWrap w:val="0"/>
              <w:spacing w:line="273"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预计人数</w:t>
            </w:r>
          </w:p>
        </w:tc>
        <w:tc>
          <w:tcPr>
            <w:tcW w:w="969" w:type="dxa"/>
            <w:shd w:val="clear" w:color="auto" w:fill="auto"/>
            <w:tcMar>
              <w:top w:w="20" w:type="dxa"/>
              <w:left w:w="20" w:type="dxa"/>
              <w:bottom w:w="20" w:type="dxa"/>
              <w:right w:w="20" w:type="dxa"/>
            </w:tcMar>
            <w:vAlign w:val="center"/>
          </w:tcPr>
          <w:p>
            <w:pPr>
              <w:snapToGrid w:val="0"/>
              <w:spacing w:line="288"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3" w:hRule="atLeast"/>
        </w:trPr>
        <w:tc>
          <w:tcPr>
            <w:tcW w:w="668" w:type="dxa"/>
            <w:tcMar>
              <w:top w:w="20" w:type="dxa"/>
              <w:left w:w="20" w:type="dxa"/>
              <w:bottom w:w="20" w:type="dxa"/>
              <w:right w:w="20" w:type="dxa"/>
            </w:tcMar>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658" w:type="dxa"/>
            <w:tcMar>
              <w:top w:w="20" w:type="dxa"/>
              <w:left w:w="20" w:type="dxa"/>
              <w:bottom w:w="20" w:type="dxa"/>
              <w:right w:w="20" w:type="dxa"/>
            </w:tcMar>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浙江开放大学余杭学院2025年春季班办学辅助服务采购项目</w:t>
            </w:r>
          </w:p>
        </w:tc>
        <w:tc>
          <w:tcPr>
            <w:tcW w:w="2350" w:type="dxa"/>
            <w:tcMar>
              <w:top w:w="20" w:type="dxa"/>
              <w:left w:w="20" w:type="dxa"/>
              <w:bottom w:w="20" w:type="dxa"/>
              <w:right w:w="20" w:type="dxa"/>
            </w:tcMar>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2025年春季批次入学学生按学籍管理细则中的最低修业年限为2.5年。</w:t>
            </w:r>
          </w:p>
        </w:tc>
        <w:tc>
          <w:tcPr>
            <w:tcW w:w="1320" w:type="dxa"/>
            <w:tcMar>
              <w:top w:w="20" w:type="dxa"/>
              <w:left w:w="20" w:type="dxa"/>
              <w:bottom w:w="20" w:type="dxa"/>
              <w:right w:w="20" w:type="dxa"/>
            </w:tcMar>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通过采购人验收及考核</w:t>
            </w:r>
          </w:p>
        </w:tc>
        <w:tc>
          <w:tcPr>
            <w:tcW w:w="1078" w:type="dxa"/>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采购人指定地点</w:t>
            </w:r>
          </w:p>
        </w:tc>
        <w:tc>
          <w:tcPr>
            <w:tcW w:w="952" w:type="dxa"/>
            <w:tcMar>
              <w:top w:w="20" w:type="dxa"/>
              <w:left w:w="20" w:type="dxa"/>
              <w:bottom w:w="20" w:type="dxa"/>
              <w:right w:w="20" w:type="dxa"/>
            </w:tcMar>
            <w:vAlign w:val="center"/>
          </w:tcPr>
          <w:p>
            <w:pPr>
              <w:wordWrap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394</w:t>
            </w:r>
            <w:r>
              <w:rPr>
                <w:rFonts w:hint="eastAsia" w:ascii="仿宋" w:hAnsi="仿宋" w:eastAsia="仿宋" w:cs="仿宋"/>
                <w:color w:val="000000" w:themeColor="text1"/>
                <w:sz w:val="24"/>
                <w:highlight w:val="none"/>
                <w14:textFill>
                  <w14:solidFill>
                    <w14:schemeClr w14:val="tx1"/>
                  </w14:solidFill>
                </w14:textFill>
              </w:rPr>
              <w:t>人</w:t>
            </w:r>
          </w:p>
        </w:tc>
        <w:tc>
          <w:tcPr>
            <w:tcW w:w="969" w:type="dxa"/>
            <w:shd w:val="clear" w:color="auto" w:fill="auto"/>
            <w:tcMar>
              <w:top w:w="20" w:type="dxa"/>
              <w:left w:w="20" w:type="dxa"/>
              <w:bottom w:w="20" w:type="dxa"/>
              <w:right w:w="20" w:type="dxa"/>
            </w:tcMar>
            <w:vAlign w:val="center"/>
          </w:tcPr>
          <w:p>
            <w:pPr>
              <w:snapToGrid w:val="0"/>
              <w:spacing w:line="288"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1.本项目服务对象：</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2025年春季浙江开放大学余杭学院录取的所有开放教育学生。</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2.投标人针对本项目提供开放教育辅助招生宣传、推广服务，达成学院招生指标，至少包含：</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（1）开放教育辅助招生宣传、推广相关工作；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（2）开放教育辅助招生宣传、推广人员的业务培训；</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（3）开放教育招生宣传、推广工作相关工作的制度建设及规范执行。</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3.投标人针对本项目提供教学管理辅助服务，至少包含：</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（1）协助开展教学资源配置工作；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（2）协助开展教学日常管理工作；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（3）协助开展教学检测与评估工作；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（4）开放教育教学工作相关的制度建设和规范执行。</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4.投标人针对本项目提供教务管理辅助服务，至少包含：</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（1）协助开展教务运行及管理工作；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（2）开放教育教务工作相关的制度建设和规范执行。</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 投标人针对本项目提供考务管理辅助服务：</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（1）协助做好考试安排、组织等相关工作；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（2）协助开展考务工作人员的业务培训工作；</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（3）开放教育考务相关制度建设和规范执行。</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6.投标人按要求每200名学生最低配备1名工作人员的标准组建项目服务团队提供服务。</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7.服务响应：</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（1）开放教育学生的标准服务期限：按学籍管理细则中的最低修业年限为2.5年；</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（2）投标人需在最长服务期限内，按照要求为学生提供项目约定的服务；</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（3）投标人在服务所需范围内具有固定办公场地和场所或者承诺中标后在服务所需范围内设立办公场地和场所，满足采购人或者学生有响应需求时1小时内能到达学校。</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8.投标报价说明：</w:t>
      </w:r>
    </w:p>
    <w:tbl>
      <w:tblPr>
        <w:tblStyle w:val="68"/>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28"/>
        <w:gridCol w:w="2000"/>
        <w:gridCol w:w="24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42" w:type="dxa"/>
            <w:vAlign w:val="center"/>
          </w:tcPr>
          <w:p>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2128" w:type="dxa"/>
            <w:vAlign w:val="center"/>
          </w:tcPr>
          <w:p>
            <w:pPr>
              <w:snapToGrid w:val="0"/>
              <w:spacing w:line="288"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类别</w:t>
            </w:r>
          </w:p>
        </w:tc>
        <w:tc>
          <w:tcPr>
            <w:tcW w:w="2000" w:type="dxa"/>
            <w:vAlign w:val="center"/>
          </w:tcPr>
          <w:p>
            <w:pPr>
              <w:snapToGrid w:val="0"/>
              <w:spacing w:line="288"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预计人数</w:t>
            </w:r>
          </w:p>
        </w:tc>
        <w:tc>
          <w:tcPr>
            <w:tcW w:w="2425" w:type="dxa"/>
            <w:vAlign w:val="center"/>
          </w:tcPr>
          <w:p>
            <w:pPr>
              <w:snapToGrid w:val="0"/>
              <w:spacing w:line="288"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预计缴费学分总数（学分）</w:t>
            </w:r>
          </w:p>
        </w:tc>
        <w:tc>
          <w:tcPr>
            <w:tcW w:w="2325" w:type="dxa"/>
            <w:vAlign w:val="center"/>
          </w:tcPr>
          <w:p>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单价最高限价</w:t>
            </w:r>
          </w:p>
          <w:p>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（元/学分）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42" w:type="dxa"/>
            <w:vAlign w:val="center"/>
          </w:tcPr>
          <w:p>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128" w:type="dxa"/>
            <w:vAlign w:val="center"/>
          </w:tcPr>
          <w:p>
            <w:pPr>
              <w:snapToGrid w:val="0"/>
              <w:spacing w:line="288"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开放教育</w:t>
            </w:r>
          </w:p>
        </w:tc>
        <w:tc>
          <w:tcPr>
            <w:tcW w:w="2000" w:type="dxa"/>
            <w:vAlign w:val="center"/>
          </w:tcPr>
          <w:p>
            <w:pPr>
              <w:snapToGrid w:val="0"/>
              <w:spacing w:line="288"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394人</w:t>
            </w:r>
          </w:p>
        </w:tc>
        <w:tc>
          <w:tcPr>
            <w:tcW w:w="2425" w:type="dxa"/>
            <w:vAlign w:val="center"/>
          </w:tcPr>
          <w:p>
            <w:pPr>
              <w:snapToGrid w:val="0"/>
              <w:spacing w:line="288"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29074</w:t>
            </w:r>
          </w:p>
        </w:tc>
        <w:tc>
          <w:tcPr>
            <w:tcW w:w="2325" w:type="dxa"/>
            <w:vAlign w:val="center"/>
          </w:tcPr>
          <w:p>
            <w:pPr>
              <w:snapToGrid w:val="0"/>
              <w:spacing w:line="288"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820" w:type="dxa"/>
            <w:gridSpan w:val="5"/>
            <w:vAlign w:val="center"/>
          </w:tcPr>
          <w:p>
            <w:pPr>
              <w:snapToGrid w:val="0"/>
              <w:spacing w:line="288"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pPr>
              <w:pStyle w:val="968"/>
              <w:numPr>
                <w:ilvl w:val="0"/>
                <w:numId w:val="4"/>
              </w:numPr>
              <w:ind w:leftChars="0"/>
              <w:rPr>
                <w:rFonts w:hint="eastAsia" w:ascii="仿宋" w:hAnsi="仿宋" w:eastAsia="仿宋" w:cs="宋体"/>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报价不得超过最高限价</w:t>
            </w:r>
            <w:r>
              <w:rPr>
                <w:rFonts w:hint="eastAsia" w:ascii="仿宋" w:hAnsi="仿宋" w:eastAsia="仿宋" w:cs="仿宋"/>
                <w:color w:val="000000" w:themeColor="text1"/>
                <w:sz w:val="24"/>
                <w:highlight w:val="none"/>
                <w:lang w:eastAsia="zh-CN"/>
                <w14:textFill>
                  <w14:solidFill>
                    <w14:schemeClr w14:val="tx1"/>
                  </w14:solidFill>
                </w14:textFill>
              </w:rPr>
              <w:t>，否则</w:t>
            </w:r>
            <w:r>
              <w:rPr>
                <w:rFonts w:hint="eastAsia" w:ascii="仿宋" w:hAnsi="仿宋" w:eastAsia="仿宋" w:cs="宋体"/>
                <w:color w:val="000000" w:themeColor="text1"/>
                <w:kern w:val="0"/>
                <w:sz w:val="24"/>
                <w:highlight w:val="none"/>
                <w14:textFill>
                  <w14:solidFill>
                    <w14:schemeClr w14:val="tx1"/>
                  </w14:solidFill>
                </w14:textFill>
              </w:rPr>
              <w:t>投标无效</w:t>
            </w:r>
            <w:r>
              <w:rPr>
                <w:rFonts w:hint="eastAsia" w:ascii="仿宋" w:hAnsi="仿宋" w:eastAsia="仿宋" w:cs="宋体"/>
                <w:color w:val="000000" w:themeColor="text1"/>
                <w:kern w:val="0"/>
                <w:sz w:val="24"/>
                <w:highlight w:val="none"/>
                <w:lang w:eastAsia="zh-CN"/>
                <w14:textFill>
                  <w14:solidFill>
                    <w14:schemeClr w14:val="tx1"/>
                  </w14:solidFill>
                </w14:textFill>
              </w:rPr>
              <w:t>。</w:t>
            </w:r>
          </w:p>
          <w:p>
            <w:pPr>
              <w:pStyle w:val="968"/>
              <w:numPr>
                <w:ilvl w:val="0"/>
                <w:numId w:val="4"/>
              </w:numPr>
              <w:ind w:leftChars="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本次</w:t>
            </w:r>
            <w:r>
              <w:rPr>
                <w:rFonts w:hint="eastAsia" w:ascii="仿宋" w:hAnsi="仿宋" w:eastAsia="仿宋" w:cs="仿宋"/>
                <w:color w:val="000000" w:themeColor="text1"/>
                <w:sz w:val="24"/>
                <w:highlight w:val="none"/>
                <w14:textFill>
                  <w14:solidFill>
                    <w14:schemeClr w14:val="tx1"/>
                  </w14:solidFill>
                </w14:textFill>
              </w:rPr>
              <w:t>预计招生人数：开放教育</w:t>
            </w:r>
            <w:r>
              <w:rPr>
                <w:rFonts w:hint="eastAsia" w:ascii="仿宋" w:hAnsi="仿宋" w:eastAsia="仿宋" w:cs="仿宋"/>
                <w:color w:val="000000" w:themeColor="text1"/>
                <w:sz w:val="24"/>
                <w:highlight w:val="none"/>
                <w:lang w:val="en-US" w:eastAsia="zh-CN"/>
                <w14:textFill>
                  <w14:solidFill>
                    <w14:schemeClr w14:val="tx1"/>
                  </w14:solidFill>
                </w14:textFill>
              </w:rPr>
              <w:t>394</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本科预计174人，专科预计220人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p>
          <w:p>
            <w:pPr>
              <w:numPr>
                <w:ilvl w:val="0"/>
                <w:numId w:val="0"/>
              </w:numPr>
              <w:snapToGrid w:val="0"/>
              <w:spacing w:line="288" w:lineRule="auto"/>
              <w:ind w:leftChars="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投标</w:t>
            </w:r>
            <w:r>
              <w:rPr>
                <w:rFonts w:hint="eastAsia" w:ascii="仿宋" w:hAnsi="仿宋" w:eastAsia="仿宋" w:cs="仿宋"/>
                <w:color w:val="000000" w:themeColor="text1"/>
                <w:sz w:val="24"/>
                <w:highlight w:val="none"/>
                <w:lang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承担项目服务过程中涉及的开放教育品牌推广服务、教学支持服务、教务管理辅助服务、考务管理辅助服务等工作相关费用。报名注册费、重修费、补修费、代管费等学费以外的其他各项费用均由招标人收取，不包含在</w:t>
            </w:r>
            <w:r>
              <w:rPr>
                <w:rFonts w:hint="eastAsia" w:ascii="仿宋" w:hAnsi="仿宋" w:eastAsia="仿宋" w:cs="仿宋"/>
                <w:color w:val="000000" w:themeColor="text1"/>
                <w:sz w:val="24"/>
                <w:highlight w:val="none"/>
                <w:lang w:eastAsia="zh-CN"/>
                <w14:textFill>
                  <w14:solidFill>
                    <w14:schemeClr w14:val="tx1"/>
                  </w14:solidFill>
                </w14:textFill>
              </w:rPr>
              <w:t>本项目</w:t>
            </w:r>
            <w:r>
              <w:rPr>
                <w:rFonts w:hint="eastAsia" w:ascii="仿宋" w:hAnsi="仿宋" w:eastAsia="仿宋" w:cs="仿宋"/>
                <w:color w:val="000000" w:themeColor="text1"/>
                <w:sz w:val="24"/>
                <w:highlight w:val="none"/>
                <w14:textFill>
                  <w14:solidFill>
                    <w14:schemeClr w14:val="tx1"/>
                  </w14:solidFill>
                </w14:textFill>
              </w:rPr>
              <w:t>服务费中。代管费根据实际使用情况结算，实行多退少补。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4、开放教育</w:t>
            </w:r>
            <w:r>
              <w:rPr>
                <w:rFonts w:hint="eastAsia" w:ascii="仿宋" w:hAnsi="仿宋" w:eastAsia="仿宋" w:cs="仿宋"/>
                <w:color w:val="000000" w:themeColor="text1"/>
                <w:sz w:val="24"/>
                <w:highlight w:val="none"/>
                <w14:textFill>
                  <w14:solidFill>
                    <w14:schemeClr w14:val="tx1"/>
                  </w14:solidFill>
                </w14:textFill>
              </w:rPr>
              <w:t>结算时单价</w:t>
            </w:r>
            <w:r>
              <w:rPr>
                <w:rFonts w:hint="eastAsia" w:ascii="仿宋" w:hAnsi="仿宋" w:eastAsia="仿宋" w:cs="仿宋"/>
                <w:color w:val="000000" w:themeColor="text1"/>
                <w:sz w:val="24"/>
                <w:highlight w:val="none"/>
                <w:lang w:eastAsia="zh-CN"/>
                <w14:textFill>
                  <w14:solidFill>
                    <w14:schemeClr w14:val="tx1"/>
                  </w14:solidFill>
                </w14:textFill>
              </w:rPr>
              <w:t>按中标单价结算，</w:t>
            </w:r>
            <w:r>
              <w:rPr>
                <w:rFonts w:hint="eastAsia" w:ascii="仿宋" w:hAnsi="仿宋" w:eastAsia="仿宋" w:cs="仿宋"/>
                <w:color w:val="000000" w:themeColor="text1"/>
                <w:sz w:val="24"/>
                <w:highlight w:val="none"/>
                <w14:textFill>
                  <w14:solidFill>
                    <w14:schemeClr w14:val="tx1"/>
                  </w14:solidFill>
                </w14:textFill>
              </w:rPr>
              <w:t>不予以调整，根据当期实际缴纳学费的学生人数进行服务费结算，据实支付费用。</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Arial" w:hAnsi="Arial" w:eastAsia="仿宋" w:cs="Arial"/>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开放教育服务费=实际注册学分</w:t>
            </w:r>
            <w:r>
              <w:rPr>
                <w:rFonts w:hint="default" w:ascii="Arial" w:hAnsi="Arial" w:eastAsia="仿宋" w:cs="Arial"/>
                <w:color w:val="000000" w:themeColor="text1"/>
                <w:sz w:val="24"/>
                <w:highlight w:val="none"/>
                <w:lang w:val="en-US" w:eastAsia="zh-CN"/>
                <w14:textFill>
                  <w14:solidFill>
                    <w14:schemeClr w14:val="tx1"/>
                  </w14:solidFill>
                </w14:textFill>
              </w:rPr>
              <w:t>×</w:t>
            </w:r>
            <w:r>
              <w:rPr>
                <w:rFonts w:hint="eastAsia" w:ascii="Arial" w:hAnsi="Arial" w:eastAsia="仿宋" w:cs="Arial"/>
                <w:color w:val="000000" w:themeColor="text1"/>
                <w:sz w:val="24"/>
                <w:highlight w:val="none"/>
                <w:lang w:val="en-US" w:eastAsia="zh-CN"/>
                <w14:textFill>
                  <w14:solidFill>
                    <w14:schemeClr w14:val="tx1"/>
                  </w14:solidFill>
                </w14:textFill>
              </w:rPr>
              <w:t>服务费单价（中标单价）</w:t>
            </w:r>
          </w:p>
          <w:p>
            <w:pPr>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学生缴纳的所有费用均由招标人统一收取。收费标准由招标人根据浙江省相关收费规定确定。</w:t>
            </w:r>
          </w:p>
          <w:p>
            <w:pP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学生报到注册后中途退学的，按照上级部门规定结算退费，由招标人先行支付应退的各项费用，在双方结算时按中标人中标</w:t>
            </w:r>
            <w:r>
              <w:rPr>
                <w:rFonts w:hint="eastAsia" w:ascii="仿宋" w:hAnsi="仿宋" w:eastAsia="仿宋" w:cs="仿宋"/>
                <w:color w:val="000000" w:themeColor="text1"/>
                <w:sz w:val="24"/>
                <w:highlight w:val="none"/>
                <w:lang w:eastAsia="zh-CN"/>
                <w14:textFill>
                  <w14:solidFill>
                    <w14:schemeClr w14:val="tx1"/>
                  </w14:solidFill>
                </w14:textFill>
              </w:rPr>
              <w:t>价</w:t>
            </w:r>
            <w:r>
              <w:rPr>
                <w:rFonts w:hint="eastAsia" w:ascii="仿宋" w:hAnsi="仿宋" w:eastAsia="仿宋" w:cs="仿宋"/>
                <w:color w:val="000000" w:themeColor="text1"/>
                <w:sz w:val="24"/>
                <w:highlight w:val="none"/>
                <w14:textFill>
                  <w14:solidFill>
                    <w14:schemeClr w14:val="tx1"/>
                  </w14:solidFill>
                </w14:textFill>
              </w:rPr>
              <w:t>进行结算。</w:t>
            </w:r>
          </w:p>
        </w:tc>
      </w:tr>
    </w:tbl>
    <w:p>
      <w:pPr>
        <w:snapToGrid w:val="0"/>
        <w:spacing w:line="360" w:lineRule="auto"/>
        <w:ind w:firstLine="240" w:firstLineChars="1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、履约保证金：</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1.合同签订后一周内，中标人向采购人提交中标总价0.5%的履约保证金，履约保证金在合同履约期间无违约情形的，项目验收结束后，于一周内退还（不计息）；</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2.提交方式：支票、汇票、本票或金融机构、担保机构出具的保函等非现金形式。</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四、付款方式：</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本项目合同签订以起7个工作日内支付合同预付款40%，剩余部分项目完成并验收合格后一个月内支付剩余款项。</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p>
    <w:p>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30" w:name="_Toc184314468"/>
      <w:bookmarkEnd w:id="30"/>
      <w:bookmarkStart w:id="31" w:name="_Toc184314417"/>
      <w:bookmarkEnd w:id="31"/>
      <w:bookmarkStart w:id="32" w:name="_Toc184313283"/>
      <w:bookmarkEnd w:id="32"/>
      <w:bookmarkStart w:id="33" w:name="_Toc184314439"/>
      <w:bookmarkEnd w:id="33"/>
      <w:bookmarkStart w:id="34" w:name="_Toc184312091"/>
      <w:bookmarkEnd w:id="34"/>
      <w:bookmarkStart w:id="35" w:name="_Toc184314458"/>
      <w:bookmarkEnd w:id="35"/>
      <w:bookmarkStart w:id="36" w:name="_Toc184308070"/>
      <w:bookmarkEnd w:id="36"/>
      <w:bookmarkStart w:id="37" w:name="_Toc184314472"/>
      <w:bookmarkEnd w:id="37"/>
      <w:bookmarkStart w:id="38" w:name="_Toc184308044"/>
      <w:bookmarkEnd w:id="38"/>
      <w:bookmarkStart w:id="39" w:name="_Toc184314476"/>
      <w:bookmarkEnd w:id="39"/>
      <w:bookmarkStart w:id="40" w:name="_Toc184313238"/>
      <w:bookmarkEnd w:id="40"/>
      <w:bookmarkStart w:id="41" w:name="_Toc184314481"/>
      <w:bookmarkEnd w:id="41"/>
      <w:bookmarkStart w:id="42" w:name="_Toc184308107"/>
      <w:bookmarkEnd w:id="42"/>
      <w:bookmarkStart w:id="43" w:name="_Toc184314415"/>
      <w:bookmarkEnd w:id="43"/>
      <w:bookmarkStart w:id="44" w:name="_Toc184310281"/>
      <w:bookmarkEnd w:id="44"/>
      <w:bookmarkStart w:id="45" w:name="_Toc184310274"/>
      <w:bookmarkEnd w:id="45"/>
      <w:bookmarkStart w:id="46" w:name="_Toc184314455"/>
      <w:bookmarkEnd w:id="46"/>
      <w:bookmarkStart w:id="47" w:name="_Toc184312129"/>
      <w:bookmarkEnd w:id="47"/>
      <w:bookmarkStart w:id="48" w:name="_Toc184308057"/>
      <w:bookmarkEnd w:id="48"/>
      <w:bookmarkStart w:id="49" w:name="_Toc184308103"/>
      <w:bookmarkEnd w:id="49"/>
      <w:bookmarkStart w:id="50" w:name="_Toc184312095"/>
      <w:bookmarkEnd w:id="50"/>
      <w:bookmarkStart w:id="51" w:name="_Toc184310298"/>
      <w:bookmarkEnd w:id="51"/>
      <w:bookmarkStart w:id="52" w:name="_Toc184308087"/>
      <w:bookmarkEnd w:id="52"/>
      <w:bookmarkStart w:id="53" w:name="_Toc184308088"/>
      <w:bookmarkEnd w:id="53"/>
      <w:bookmarkStart w:id="54" w:name="_Toc184312137"/>
      <w:bookmarkEnd w:id="54"/>
      <w:bookmarkStart w:id="55" w:name="_Toc184308082"/>
      <w:bookmarkEnd w:id="55"/>
      <w:bookmarkStart w:id="56" w:name="_Toc184312135"/>
      <w:bookmarkEnd w:id="56"/>
      <w:bookmarkStart w:id="57" w:name="_Toc184313263"/>
      <w:bookmarkEnd w:id="57"/>
      <w:bookmarkStart w:id="58" w:name="_Toc184313308"/>
      <w:bookmarkEnd w:id="58"/>
      <w:bookmarkStart w:id="59" w:name="_Toc184308090"/>
      <w:bookmarkEnd w:id="59"/>
      <w:bookmarkStart w:id="60" w:name="_Toc184314434"/>
      <w:bookmarkEnd w:id="60"/>
      <w:bookmarkStart w:id="61" w:name="_Toc184310309"/>
      <w:bookmarkEnd w:id="61"/>
      <w:bookmarkStart w:id="62" w:name="_Toc184312088"/>
      <w:bookmarkEnd w:id="62"/>
      <w:bookmarkStart w:id="63" w:name="_Toc184313260"/>
      <w:bookmarkEnd w:id="63"/>
      <w:bookmarkStart w:id="64" w:name="_Toc184310341"/>
      <w:bookmarkEnd w:id="64"/>
      <w:bookmarkStart w:id="65" w:name="_Toc184313293"/>
      <w:bookmarkEnd w:id="65"/>
      <w:bookmarkStart w:id="66" w:name="_Toc184308037"/>
      <w:bookmarkEnd w:id="66"/>
      <w:bookmarkStart w:id="67" w:name="_Toc184313282"/>
      <w:bookmarkEnd w:id="67"/>
      <w:bookmarkStart w:id="68" w:name="_Toc184314477"/>
      <w:bookmarkEnd w:id="68"/>
      <w:bookmarkStart w:id="69" w:name="_Toc184312106"/>
      <w:bookmarkEnd w:id="69"/>
      <w:bookmarkStart w:id="70" w:name="_Toc184310276"/>
      <w:bookmarkEnd w:id="70"/>
      <w:bookmarkStart w:id="71" w:name="_Toc184308061"/>
      <w:bookmarkEnd w:id="71"/>
      <w:bookmarkStart w:id="72" w:name="_Toc184308079"/>
      <w:bookmarkEnd w:id="72"/>
      <w:bookmarkStart w:id="73" w:name="_Toc184314422"/>
      <w:bookmarkEnd w:id="73"/>
      <w:bookmarkStart w:id="74" w:name="_Toc184313277"/>
      <w:bookmarkEnd w:id="74"/>
      <w:bookmarkStart w:id="75" w:name="_Toc184312119"/>
      <w:bookmarkEnd w:id="75"/>
      <w:bookmarkStart w:id="76" w:name="_Toc184310277"/>
      <w:bookmarkEnd w:id="76"/>
      <w:bookmarkStart w:id="77" w:name="_Toc184310288"/>
      <w:bookmarkEnd w:id="77"/>
      <w:bookmarkStart w:id="78" w:name="_Toc184313246"/>
      <w:bookmarkEnd w:id="78"/>
      <w:bookmarkStart w:id="79" w:name="_Toc184308108"/>
      <w:bookmarkEnd w:id="79"/>
      <w:bookmarkStart w:id="80" w:name="_Toc184310300"/>
      <w:bookmarkEnd w:id="80"/>
      <w:bookmarkStart w:id="81" w:name="_Toc184308036"/>
      <w:bookmarkEnd w:id="81"/>
      <w:bookmarkStart w:id="82" w:name="_Toc184308091"/>
      <w:bookmarkEnd w:id="82"/>
      <w:bookmarkStart w:id="83" w:name="_Toc184310321"/>
      <w:bookmarkEnd w:id="83"/>
      <w:bookmarkStart w:id="84" w:name="_Toc184312131"/>
      <w:bookmarkEnd w:id="84"/>
      <w:bookmarkStart w:id="85" w:name="_Toc184310335"/>
      <w:bookmarkEnd w:id="85"/>
      <w:bookmarkStart w:id="86" w:name="_Toc184308059"/>
      <w:bookmarkEnd w:id="86"/>
      <w:bookmarkStart w:id="87" w:name="_Toc184313306"/>
      <w:bookmarkEnd w:id="87"/>
      <w:bookmarkStart w:id="88" w:name="_Toc184308100"/>
      <w:bookmarkEnd w:id="88"/>
      <w:bookmarkStart w:id="89" w:name="_Toc184313242"/>
      <w:bookmarkEnd w:id="89"/>
      <w:bookmarkStart w:id="90" w:name="_Toc184312073"/>
      <w:bookmarkEnd w:id="90"/>
      <w:bookmarkStart w:id="91" w:name="_Toc184314437"/>
      <w:bookmarkEnd w:id="91"/>
      <w:bookmarkStart w:id="92" w:name="_Toc184310332"/>
      <w:bookmarkEnd w:id="92"/>
      <w:bookmarkStart w:id="93" w:name="_Toc184310286"/>
      <w:bookmarkEnd w:id="93"/>
      <w:bookmarkStart w:id="94" w:name="_Toc184312104"/>
      <w:bookmarkEnd w:id="94"/>
      <w:bookmarkStart w:id="95" w:name="_Toc184314424"/>
      <w:bookmarkEnd w:id="95"/>
      <w:bookmarkStart w:id="96" w:name="_Toc184312109"/>
      <w:bookmarkEnd w:id="96"/>
      <w:bookmarkStart w:id="97" w:name="_Toc184312126"/>
      <w:bookmarkEnd w:id="97"/>
      <w:bookmarkStart w:id="98" w:name="_Toc184310329"/>
      <w:bookmarkEnd w:id="98"/>
      <w:bookmarkStart w:id="99" w:name="_Toc184310328"/>
      <w:bookmarkEnd w:id="99"/>
      <w:bookmarkStart w:id="100" w:name="_Toc184312098"/>
      <w:bookmarkEnd w:id="100"/>
      <w:bookmarkStart w:id="101" w:name="_Toc184313300"/>
      <w:bookmarkEnd w:id="101"/>
      <w:bookmarkStart w:id="102" w:name="_Toc184312115"/>
      <w:bookmarkEnd w:id="102"/>
      <w:bookmarkStart w:id="103" w:name="_Toc184312077"/>
      <w:bookmarkEnd w:id="103"/>
      <w:bookmarkStart w:id="104" w:name="_Toc184308045"/>
      <w:bookmarkEnd w:id="104"/>
      <w:bookmarkStart w:id="105" w:name="_Toc184308105"/>
      <w:bookmarkEnd w:id="105"/>
      <w:bookmarkStart w:id="106" w:name="_Toc184314432"/>
      <w:bookmarkEnd w:id="106"/>
      <w:bookmarkStart w:id="107" w:name="_Toc184308075"/>
      <w:bookmarkEnd w:id="107"/>
      <w:bookmarkStart w:id="108" w:name="_Toc184313290"/>
      <w:bookmarkEnd w:id="108"/>
      <w:bookmarkStart w:id="109" w:name="_Toc184312127"/>
      <w:bookmarkEnd w:id="109"/>
      <w:bookmarkStart w:id="110" w:name="_Toc184314475"/>
      <w:bookmarkEnd w:id="110"/>
      <w:bookmarkStart w:id="111" w:name="_Toc184314444"/>
      <w:bookmarkEnd w:id="111"/>
      <w:bookmarkStart w:id="112" w:name="_Toc184310330"/>
      <w:bookmarkEnd w:id="112"/>
      <w:bookmarkStart w:id="113" w:name="_Toc184308094"/>
      <w:bookmarkEnd w:id="113"/>
      <w:bookmarkStart w:id="114" w:name="_Toc184314435"/>
      <w:bookmarkEnd w:id="114"/>
      <w:bookmarkStart w:id="115" w:name="_Toc184310280"/>
      <w:bookmarkEnd w:id="115"/>
      <w:bookmarkStart w:id="116" w:name="_Toc184314425"/>
      <w:bookmarkEnd w:id="116"/>
      <w:bookmarkStart w:id="117" w:name="_Toc184310319"/>
      <w:bookmarkEnd w:id="117"/>
      <w:bookmarkStart w:id="118" w:name="_Toc184312097"/>
      <w:bookmarkEnd w:id="118"/>
      <w:bookmarkStart w:id="119" w:name="_Toc184313281"/>
      <w:bookmarkEnd w:id="119"/>
      <w:bookmarkStart w:id="120" w:name="_Toc184310272"/>
      <w:bookmarkEnd w:id="120"/>
      <w:bookmarkStart w:id="121" w:name="_Toc184308102"/>
      <w:bookmarkEnd w:id="121"/>
      <w:bookmarkStart w:id="122" w:name="_Toc184310317"/>
      <w:bookmarkEnd w:id="122"/>
      <w:bookmarkStart w:id="123" w:name="_Toc184310294"/>
      <w:bookmarkEnd w:id="123"/>
      <w:bookmarkStart w:id="124" w:name="_Toc184310293"/>
      <w:bookmarkEnd w:id="124"/>
      <w:bookmarkStart w:id="125" w:name="_Toc184314428"/>
      <w:bookmarkEnd w:id="125"/>
      <w:bookmarkStart w:id="126" w:name="_Toc184310301"/>
      <w:bookmarkEnd w:id="126"/>
      <w:bookmarkStart w:id="127" w:name="_Toc184312124"/>
      <w:bookmarkEnd w:id="127"/>
      <w:bookmarkStart w:id="128" w:name="_Toc184308073"/>
      <w:bookmarkEnd w:id="128"/>
      <w:bookmarkStart w:id="129" w:name="_Toc184314463"/>
      <w:bookmarkEnd w:id="129"/>
      <w:bookmarkStart w:id="130" w:name="_Toc184310296"/>
      <w:bookmarkEnd w:id="130"/>
      <w:bookmarkStart w:id="131" w:name="_Toc184314412"/>
      <w:bookmarkEnd w:id="131"/>
      <w:bookmarkStart w:id="132" w:name="_Toc184312086"/>
      <w:bookmarkEnd w:id="132"/>
      <w:bookmarkStart w:id="133" w:name="_Toc184313272"/>
      <w:bookmarkEnd w:id="133"/>
      <w:bookmarkStart w:id="134" w:name="_Toc184310315"/>
      <w:bookmarkEnd w:id="134"/>
      <w:bookmarkStart w:id="135" w:name="_Toc184310339"/>
      <w:bookmarkEnd w:id="135"/>
      <w:bookmarkStart w:id="136" w:name="_Toc184310287"/>
      <w:bookmarkEnd w:id="136"/>
      <w:bookmarkStart w:id="137" w:name="_Toc184308104"/>
      <w:bookmarkEnd w:id="137"/>
      <w:bookmarkStart w:id="138" w:name="_Toc184313265"/>
      <w:bookmarkEnd w:id="138"/>
      <w:bookmarkStart w:id="139" w:name="_Toc184312096"/>
      <w:bookmarkEnd w:id="139"/>
      <w:bookmarkStart w:id="140" w:name="_Toc184313254"/>
      <w:bookmarkEnd w:id="140"/>
      <w:bookmarkStart w:id="141" w:name="_Toc184312083"/>
      <w:bookmarkEnd w:id="141"/>
      <w:bookmarkStart w:id="142" w:name="_Toc184314450"/>
      <w:bookmarkEnd w:id="142"/>
      <w:bookmarkStart w:id="143" w:name="_Toc184310337"/>
      <w:bookmarkEnd w:id="143"/>
      <w:bookmarkStart w:id="144" w:name="_Toc184308043"/>
      <w:bookmarkEnd w:id="144"/>
      <w:bookmarkStart w:id="145" w:name="_Toc184310307"/>
      <w:bookmarkEnd w:id="145"/>
      <w:bookmarkStart w:id="146" w:name="_Toc184310313"/>
      <w:bookmarkEnd w:id="146"/>
      <w:bookmarkStart w:id="147" w:name="_Toc184312080"/>
      <w:bookmarkEnd w:id="147"/>
      <w:bookmarkStart w:id="148" w:name="_Toc184310291"/>
      <w:bookmarkEnd w:id="148"/>
      <w:bookmarkStart w:id="149" w:name="_Toc184313275"/>
      <w:bookmarkEnd w:id="149"/>
      <w:bookmarkStart w:id="150" w:name="_Toc184313299"/>
      <w:bookmarkEnd w:id="150"/>
      <w:bookmarkStart w:id="151" w:name="_Toc184312120"/>
      <w:bookmarkEnd w:id="151"/>
      <w:bookmarkStart w:id="152" w:name="_Toc184308046"/>
      <w:bookmarkEnd w:id="152"/>
      <w:bookmarkStart w:id="153" w:name="_Toc184314418"/>
      <w:bookmarkEnd w:id="153"/>
      <w:bookmarkStart w:id="154" w:name="_Toc184310282"/>
      <w:bookmarkEnd w:id="154"/>
      <w:bookmarkStart w:id="155" w:name="_Toc184310308"/>
      <w:bookmarkEnd w:id="155"/>
      <w:bookmarkStart w:id="156" w:name="_Toc184308074"/>
      <w:bookmarkEnd w:id="156"/>
      <w:bookmarkStart w:id="157" w:name="_Toc184312092"/>
      <w:bookmarkEnd w:id="157"/>
      <w:bookmarkStart w:id="158" w:name="_Toc184312102"/>
      <w:bookmarkEnd w:id="158"/>
      <w:bookmarkStart w:id="159" w:name="_Toc184312122"/>
      <w:bookmarkEnd w:id="159"/>
      <w:bookmarkStart w:id="160" w:name="_Toc184314467"/>
      <w:bookmarkEnd w:id="160"/>
      <w:bookmarkStart w:id="161" w:name="_Toc184314470"/>
      <w:bookmarkEnd w:id="161"/>
      <w:bookmarkStart w:id="162" w:name="_Toc184312111"/>
      <w:bookmarkEnd w:id="162"/>
      <w:bookmarkStart w:id="163" w:name="_Toc184314460"/>
      <w:bookmarkEnd w:id="163"/>
      <w:bookmarkStart w:id="164" w:name="_Toc184308089"/>
      <w:bookmarkEnd w:id="164"/>
      <w:bookmarkStart w:id="165" w:name="_Toc184312118"/>
      <w:bookmarkEnd w:id="165"/>
      <w:bookmarkStart w:id="166" w:name="_Toc184310279"/>
      <w:bookmarkEnd w:id="166"/>
      <w:bookmarkStart w:id="167" w:name="_Toc184314440"/>
      <w:bookmarkEnd w:id="167"/>
      <w:bookmarkStart w:id="168" w:name="_Toc184314449"/>
      <w:bookmarkEnd w:id="168"/>
      <w:bookmarkStart w:id="169" w:name="_Toc184313256"/>
      <w:bookmarkEnd w:id="169"/>
      <w:bookmarkStart w:id="170" w:name="_Toc184310312"/>
      <w:bookmarkEnd w:id="170"/>
      <w:bookmarkStart w:id="171" w:name="_Toc184308099"/>
      <w:bookmarkEnd w:id="171"/>
      <w:bookmarkStart w:id="172" w:name="_Toc184310344"/>
      <w:bookmarkEnd w:id="172"/>
      <w:bookmarkStart w:id="173" w:name="_Toc184313301"/>
      <w:bookmarkEnd w:id="173"/>
      <w:bookmarkStart w:id="174" w:name="_Toc184314426"/>
      <w:bookmarkEnd w:id="174"/>
      <w:bookmarkStart w:id="175" w:name="_Toc184313268"/>
      <w:bookmarkEnd w:id="175"/>
      <w:bookmarkStart w:id="176" w:name="_Toc184308049"/>
      <w:bookmarkEnd w:id="176"/>
      <w:bookmarkStart w:id="177" w:name="_Toc184308066"/>
      <w:bookmarkEnd w:id="177"/>
      <w:bookmarkStart w:id="178" w:name="_Toc184313287"/>
      <w:bookmarkEnd w:id="178"/>
      <w:bookmarkStart w:id="179" w:name="_Toc184313280"/>
      <w:bookmarkEnd w:id="179"/>
      <w:bookmarkStart w:id="180" w:name="_Toc184313243"/>
      <w:bookmarkEnd w:id="180"/>
      <w:bookmarkStart w:id="181" w:name="_Toc184312071"/>
      <w:bookmarkEnd w:id="181"/>
      <w:bookmarkStart w:id="182" w:name="_Toc184313278"/>
      <w:bookmarkEnd w:id="182"/>
      <w:bookmarkStart w:id="183" w:name="_Toc184314421"/>
      <w:bookmarkEnd w:id="183"/>
      <w:bookmarkStart w:id="184" w:name="_Toc184312139"/>
      <w:bookmarkEnd w:id="184"/>
      <w:bookmarkStart w:id="185" w:name="_Toc184313244"/>
      <w:bookmarkEnd w:id="185"/>
      <w:bookmarkStart w:id="186" w:name="_Toc184310299"/>
      <w:bookmarkEnd w:id="186"/>
      <w:bookmarkStart w:id="187" w:name="_Toc184312132"/>
      <w:bookmarkEnd w:id="187"/>
      <w:bookmarkStart w:id="188" w:name="_Toc184313309"/>
      <w:bookmarkEnd w:id="188"/>
      <w:bookmarkStart w:id="189" w:name="_Toc184310285"/>
      <w:bookmarkEnd w:id="189"/>
      <w:bookmarkStart w:id="190" w:name="_Toc184310323"/>
      <w:bookmarkEnd w:id="190"/>
      <w:bookmarkStart w:id="191" w:name="_Toc184313294"/>
      <w:bookmarkEnd w:id="191"/>
      <w:bookmarkStart w:id="192" w:name="_Toc184308106"/>
      <w:bookmarkEnd w:id="192"/>
      <w:bookmarkStart w:id="193" w:name="_Toc184308081"/>
      <w:bookmarkEnd w:id="193"/>
      <w:bookmarkStart w:id="194" w:name="_Toc184313270"/>
      <w:bookmarkEnd w:id="194"/>
      <w:bookmarkStart w:id="195" w:name="_Toc184308077"/>
      <w:bookmarkEnd w:id="195"/>
      <w:bookmarkStart w:id="196" w:name="_Toc184313271"/>
      <w:bookmarkEnd w:id="196"/>
      <w:bookmarkStart w:id="197" w:name="_Toc184308064"/>
      <w:bookmarkEnd w:id="197"/>
      <w:bookmarkStart w:id="198" w:name="_Toc184308080"/>
      <w:bookmarkEnd w:id="198"/>
      <w:bookmarkStart w:id="199" w:name="_Toc184310311"/>
      <w:bookmarkEnd w:id="199"/>
      <w:bookmarkStart w:id="200" w:name="_Toc184308065"/>
      <w:bookmarkEnd w:id="200"/>
      <w:bookmarkStart w:id="201" w:name="_Toc184314469"/>
      <w:bookmarkEnd w:id="201"/>
      <w:bookmarkStart w:id="202" w:name="_Toc184312082"/>
      <w:bookmarkEnd w:id="202"/>
      <w:bookmarkStart w:id="203" w:name="_Toc184308054"/>
      <w:bookmarkEnd w:id="203"/>
      <w:bookmarkStart w:id="204" w:name="_Toc184308052"/>
      <w:bookmarkEnd w:id="204"/>
      <w:bookmarkStart w:id="205" w:name="_Toc184313241"/>
      <w:bookmarkEnd w:id="205"/>
      <w:bookmarkStart w:id="206" w:name="_Toc184312107"/>
      <w:bookmarkEnd w:id="206"/>
      <w:bookmarkStart w:id="207" w:name="_Toc184308098"/>
      <w:bookmarkEnd w:id="207"/>
      <w:bookmarkStart w:id="208" w:name="_Toc184308047"/>
      <w:bookmarkEnd w:id="208"/>
      <w:bookmarkStart w:id="209" w:name="_Toc184313261"/>
      <w:bookmarkEnd w:id="209"/>
      <w:bookmarkStart w:id="210" w:name="_Toc184308078"/>
      <w:bookmarkEnd w:id="210"/>
      <w:bookmarkStart w:id="211" w:name="_Toc184314480"/>
      <w:bookmarkEnd w:id="211"/>
      <w:bookmarkStart w:id="212" w:name="_Toc184312105"/>
      <w:bookmarkEnd w:id="212"/>
      <w:bookmarkStart w:id="213" w:name="_Toc184312093"/>
      <w:bookmarkEnd w:id="213"/>
      <w:bookmarkStart w:id="214" w:name="_Toc184312117"/>
      <w:bookmarkEnd w:id="214"/>
      <w:bookmarkStart w:id="215" w:name="_Toc184308072"/>
      <w:bookmarkEnd w:id="215"/>
      <w:bookmarkStart w:id="216" w:name="_Toc184310284"/>
      <w:bookmarkEnd w:id="216"/>
      <w:bookmarkStart w:id="217" w:name="_Toc184314436"/>
      <w:bookmarkEnd w:id="217"/>
      <w:bookmarkStart w:id="218" w:name="_Toc184312110"/>
      <w:bookmarkEnd w:id="218"/>
      <w:bookmarkStart w:id="219" w:name="_Toc184310292"/>
      <w:bookmarkEnd w:id="219"/>
      <w:bookmarkStart w:id="220" w:name="_Toc184310320"/>
      <w:bookmarkEnd w:id="220"/>
      <w:bookmarkStart w:id="221" w:name="_Toc184312070"/>
      <w:bookmarkEnd w:id="221"/>
      <w:bookmarkStart w:id="222" w:name="_Toc184310318"/>
      <w:bookmarkEnd w:id="222"/>
      <w:bookmarkStart w:id="223" w:name="_Toc184312075"/>
      <w:bookmarkEnd w:id="223"/>
      <w:bookmarkStart w:id="224" w:name="_Toc184310334"/>
      <w:bookmarkEnd w:id="224"/>
      <w:bookmarkStart w:id="225" w:name="_Toc184313245"/>
      <w:bookmarkEnd w:id="225"/>
      <w:bookmarkStart w:id="226" w:name="_Toc184308101"/>
      <w:bookmarkEnd w:id="226"/>
      <w:bookmarkStart w:id="227" w:name="_Toc184310322"/>
      <w:bookmarkEnd w:id="227"/>
      <w:bookmarkStart w:id="228" w:name="_Toc184310283"/>
      <w:bookmarkEnd w:id="228"/>
      <w:bookmarkStart w:id="229" w:name="_Toc184308071"/>
      <w:bookmarkEnd w:id="229"/>
      <w:bookmarkStart w:id="230" w:name="_Toc184314478"/>
      <w:bookmarkEnd w:id="230"/>
      <w:bookmarkStart w:id="231" w:name="_Toc184312133"/>
      <w:bookmarkEnd w:id="231"/>
      <w:bookmarkStart w:id="232" w:name="_Toc184313296"/>
      <w:bookmarkEnd w:id="232"/>
      <w:bookmarkStart w:id="233" w:name="_Toc184312100"/>
      <w:bookmarkEnd w:id="233"/>
      <w:bookmarkStart w:id="234" w:name="_Toc184310302"/>
      <w:bookmarkEnd w:id="234"/>
      <w:bookmarkStart w:id="235" w:name="_Toc184314459"/>
      <w:bookmarkEnd w:id="235"/>
      <w:bookmarkStart w:id="236" w:name="_Toc184313274"/>
      <w:bookmarkEnd w:id="236"/>
      <w:bookmarkStart w:id="237" w:name="_Toc184314411"/>
      <w:bookmarkEnd w:id="237"/>
      <w:bookmarkStart w:id="238" w:name="_Toc184310289"/>
      <w:bookmarkEnd w:id="238"/>
      <w:bookmarkStart w:id="239" w:name="_Toc184314443"/>
      <w:bookmarkEnd w:id="239"/>
      <w:bookmarkStart w:id="240" w:name="_Toc184310327"/>
      <w:bookmarkEnd w:id="240"/>
      <w:bookmarkStart w:id="241" w:name="_Toc184314410"/>
      <w:bookmarkEnd w:id="241"/>
      <w:bookmarkStart w:id="242" w:name="_Toc184313267"/>
      <w:bookmarkEnd w:id="242"/>
      <w:bookmarkStart w:id="243" w:name="_Toc184314438"/>
      <w:bookmarkEnd w:id="243"/>
      <w:bookmarkStart w:id="244" w:name="_Toc184308048"/>
      <w:bookmarkEnd w:id="244"/>
      <w:bookmarkStart w:id="245" w:name="_Toc184312072"/>
      <w:bookmarkEnd w:id="245"/>
      <w:bookmarkStart w:id="246" w:name="_Toc184314427"/>
      <w:bookmarkEnd w:id="246"/>
      <w:bookmarkStart w:id="247" w:name="_Toc184314420"/>
      <w:bookmarkEnd w:id="247"/>
      <w:bookmarkStart w:id="248" w:name="_Toc184312076"/>
      <w:bookmarkEnd w:id="248"/>
      <w:bookmarkStart w:id="249" w:name="_Toc184314465"/>
      <w:bookmarkEnd w:id="249"/>
      <w:bookmarkStart w:id="250" w:name="_Toc184313297"/>
      <w:bookmarkEnd w:id="250"/>
      <w:bookmarkStart w:id="251" w:name="_Toc184312121"/>
      <w:bookmarkEnd w:id="251"/>
      <w:bookmarkStart w:id="252" w:name="_Toc184314445"/>
      <w:bookmarkEnd w:id="252"/>
      <w:bookmarkStart w:id="253" w:name="_Toc184312085"/>
      <w:bookmarkEnd w:id="253"/>
      <w:bookmarkStart w:id="254" w:name="_Toc184312112"/>
      <w:bookmarkEnd w:id="254"/>
      <w:bookmarkStart w:id="255" w:name="_Toc184314441"/>
      <w:bookmarkEnd w:id="255"/>
      <w:bookmarkStart w:id="256" w:name="_Toc184308063"/>
      <w:bookmarkEnd w:id="256"/>
      <w:bookmarkStart w:id="257" w:name="_Toc184313239"/>
      <w:bookmarkEnd w:id="257"/>
      <w:bookmarkStart w:id="258" w:name="_Toc184310290"/>
      <w:bookmarkEnd w:id="258"/>
      <w:bookmarkStart w:id="259" w:name="_Toc184314454"/>
      <w:bookmarkEnd w:id="259"/>
      <w:bookmarkStart w:id="260" w:name="_Toc184308041"/>
      <w:bookmarkEnd w:id="260"/>
      <w:bookmarkStart w:id="261" w:name="_Toc184312090"/>
      <w:bookmarkEnd w:id="261"/>
      <w:bookmarkStart w:id="262" w:name="_Toc184308050"/>
      <w:bookmarkEnd w:id="262"/>
      <w:bookmarkStart w:id="263" w:name="_Toc184313273"/>
      <w:bookmarkEnd w:id="263"/>
      <w:bookmarkStart w:id="264" w:name="_Toc184313250"/>
      <w:bookmarkEnd w:id="264"/>
      <w:bookmarkStart w:id="265" w:name="_Toc184310306"/>
      <w:bookmarkEnd w:id="265"/>
      <w:bookmarkStart w:id="266" w:name="_Toc184312074"/>
      <w:bookmarkEnd w:id="266"/>
      <w:bookmarkStart w:id="267" w:name="_Toc184312101"/>
      <w:bookmarkEnd w:id="267"/>
      <w:bookmarkStart w:id="268" w:name="_Toc184310340"/>
      <w:bookmarkEnd w:id="268"/>
      <w:bookmarkStart w:id="269" w:name="_Toc184314423"/>
      <w:bookmarkEnd w:id="269"/>
      <w:bookmarkStart w:id="270" w:name="_Toc184314466"/>
      <w:bookmarkEnd w:id="270"/>
      <w:bookmarkStart w:id="271" w:name="_Toc184313279"/>
      <w:bookmarkEnd w:id="271"/>
      <w:bookmarkStart w:id="272" w:name="_Toc184313258"/>
      <w:bookmarkEnd w:id="272"/>
      <w:bookmarkStart w:id="273" w:name="_Toc184314482"/>
      <w:bookmarkEnd w:id="273"/>
      <w:bookmarkStart w:id="274" w:name="_Toc184310295"/>
      <w:bookmarkEnd w:id="274"/>
      <w:bookmarkStart w:id="275" w:name="_Toc184313304"/>
      <w:bookmarkEnd w:id="275"/>
      <w:bookmarkStart w:id="276" w:name="_Toc184314414"/>
      <w:bookmarkEnd w:id="276"/>
      <w:bookmarkStart w:id="277" w:name="_Toc184313257"/>
      <w:bookmarkEnd w:id="277"/>
      <w:bookmarkStart w:id="278" w:name="_Toc184308068"/>
      <w:bookmarkEnd w:id="278"/>
      <w:bookmarkStart w:id="279" w:name="_Toc184310326"/>
      <w:bookmarkEnd w:id="279"/>
      <w:bookmarkStart w:id="280" w:name="_Toc184308083"/>
      <w:bookmarkEnd w:id="280"/>
      <w:bookmarkStart w:id="281" w:name="_Toc184314431"/>
      <w:bookmarkEnd w:id="281"/>
      <w:bookmarkStart w:id="282" w:name="_Toc184313305"/>
      <w:bookmarkEnd w:id="282"/>
      <w:bookmarkStart w:id="283" w:name="_Toc184313288"/>
      <w:bookmarkEnd w:id="283"/>
      <w:bookmarkStart w:id="284" w:name="_Toc184308069"/>
      <w:bookmarkEnd w:id="284"/>
      <w:bookmarkStart w:id="285" w:name="_Toc184314474"/>
      <w:bookmarkEnd w:id="285"/>
      <w:bookmarkStart w:id="286" w:name="_Toc184312087"/>
      <w:bookmarkEnd w:id="286"/>
      <w:bookmarkStart w:id="287" w:name="_Toc184308067"/>
      <w:bookmarkEnd w:id="287"/>
      <w:bookmarkStart w:id="288" w:name="_Toc184308040"/>
      <w:bookmarkEnd w:id="288"/>
      <w:bookmarkStart w:id="289" w:name="_Toc184314429"/>
      <w:bookmarkEnd w:id="289"/>
      <w:bookmarkStart w:id="290" w:name="_Toc184314462"/>
      <w:bookmarkEnd w:id="290"/>
      <w:bookmarkStart w:id="291" w:name="_Toc184312138"/>
      <w:bookmarkEnd w:id="291"/>
      <w:bookmarkStart w:id="292" w:name="_Toc184310316"/>
      <w:bookmarkEnd w:id="292"/>
      <w:bookmarkStart w:id="293" w:name="_Toc184310297"/>
      <w:bookmarkEnd w:id="293"/>
      <w:bookmarkStart w:id="294" w:name="_Toc184312125"/>
      <w:bookmarkEnd w:id="294"/>
      <w:bookmarkStart w:id="295" w:name="_Toc184308051"/>
      <w:bookmarkEnd w:id="295"/>
      <w:bookmarkStart w:id="296" w:name="_Toc184314413"/>
      <w:bookmarkEnd w:id="296"/>
      <w:bookmarkStart w:id="297" w:name="_Toc184313289"/>
      <w:bookmarkEnd w:id="297"/>
      <w:bookmarkStart w:id="298" w:name="_Toc184313262"/>
      <w:bookmarkEnd w:id="298"/>
      <w:bookmarkStart w:id="299" w:name="_Toc184310333"/>
      <w:bookmarkEnd w:id="299"/>
      <w:bookmarkStart w:id="300" w:name="_Toc184314451"/>
      <w:bookmarkEnd w:id="300"/>
      <w:bookmarkStart w:id="301" w:name="_Toc184308038"/>
      <w:bookmarkEnd w:id="301"/>
      <w:bookmarkStart w:id="302" w:name="_Toc184310342"/>
      <w:bookmarkEnd w:id="302"/>
      <w:bookmarkStart w:id="303" w:name="_Toc184314464"/>
      <w:bookmarkEnd w:id="303"/>
      <w:bookmarkStart w:id="304" w:name="_Toc184312103"/>
      <w:bookmarkEnd w:id="304"/>
      <w:bookmarkStart w:id="305" w:name="_Toc184314453"/>
      <w:bookmarkEnd w:id="305"/>
      <w:bookmarkStart w:id="306" w:name="_Toc184308096"/>
      <w:bookmarkEnd w:id="306"/>
      <w:bookmarkStart w:id="307" w:name="_Toc184313276"/>
      <w:bookmarkEnd w:id="307"/>
      <w:bookmarkStart w:id="308" w:name="_Toc184310305"/>
      <w:bookmarkEnd w:id="308"/>
      <w:bookmarkStart w:id="309" w:name="_Toc184310273"/>
      <w:bookmarkEnd w:id="309"/>
      <w:bookmarkStart w:id="310" w:name="_Toc184308076"/>
      <w:bookmarkEnd w:id="310"/>
      <w:bookmarkStart w:id="311" w:name="_Toc184314446"/>
      <w:bookmarkEnd w:id="311"/>
      <w:bookmarkStart w:id="312" w:name="_Toc184313269"/>
      <w:bookmarkEnd w:id="312"/>
      <w:bookmarkStart w:id="313" w:name="_Toc184313284"/>
      <w:bookmarkEnd w:id="313"/>
      <w:bookmarkStart w:id="314" w:name="_Toc184312123"/>
      <w:bookmarkEnd w:id="314"/>
      <w:bookmarkStart w:id="315" w:name="_Toc184313247"/>
      <w:bookmarkEnd w:id="315"/>
      <w:bookmarkStart w:id="316" w:name="_Toc184312094"/>
      <w:bookmarkEnd w:id="316"/>
      <w:bookmarkStart w:id="317" w:name="_Toc184313255"/>
      <w:bookmarkEnd w:id="317"/>
      <w:bookmarkStart w:id="318" w:name="_Toc184314416"/>
      <w:bookmarkEnd w:id="318"/>
      <w:bookmarkStart w:id="319" w:name="_Toc184312134"/>
      <w:bookmarkEnd w:id="319"/>
      <w:bookmarkStart w:id="320" w:name="_Toc184313266"/>
      <w:bookmarkEnd w:id="320"/>
      <w:bookmarkStart w:id="321" w:name="_Toc184312089"/>
      <w:bookmarkEnd w:id="321"/>
      <w:bookmarkStart w:id="322" w:name="_Toc184308062"/>
      <w:bookmarkEnd w:id="322"/>
      <w:bookmarkStart w:id="323" w:name="_Toc184314479"/>
      <w:bookmarkEnd w:id="323"/>
      <w:bookmarkStart w:id="324" w:name="_Toc184314473"/>
      <w:bookmarkEnd w:id="324"/>
      <w:bookmarkStart w:id="325" w:name="_Toc184308053"/>
      <w:bookmarkEnd w:id="325"/>
      <w:bookmarkStart w:id="326" w:name="_Toc184312078"/>
      <w:bookmarkEnd w:id="326"/>
      <w:bookmarkStart w:id="327" w:name="_Toc184313251"/>
      <w:bookmarkEnd w:id="327"/>
      <w:bookmarkStart w:id="328" w:name="_Toc184308085"/>
      <w:bookmarkEnd w:id="328"/>
      <w:bookmarkStart w:id="329" w:name="_Toc184310338"/>
      <w:bookmarkEnd w:id="329"/>
      <w:bookmarkStart w:id="330" w:name="_Toc184313310"/>
      <w:bookmarkEnd w:id="330"/>
      <w:bookmarkStart w:id="331" w:name="_Toc184312079"/>
      <w:bookmarkEnd w:id="331"/>
      <w:bookmarkStart w:id="332" w:name="_Toc184308060"/>
      <w:bookmarkEnd w:id="332"/>
      <w:bookmarkStart w:id="333" w:name="_Toc184313302"/>
      <w:bookmarkEnd w:id="333"/>
      <w:bookmarkStart w:id="334" w:name="_Toc184314442"/>
      <w:bookmarkEnd w:id="334"/>
      <w:bookmarkStart w:id="335" w:name="_Toc184310336"/>
      <w:bookmarkEnd w:id="335"/>
      <w:bookmarkStart w:id="336" w:name="_Toc184313295"/>
      <w:bookmarkEnd w:id="336"/>
      <w:bookmarkStart w:id="337" w:name="_Toc184312114"/>
      <w:bookmarkEnd w:id="337"/>
      <w:bookmarkStart w:id="338" w:name="_Toc184314471"/>
      <w:bookmarkEnd w:id="338"/>
      <w:bookmarkStart w:id="339" w:name="_Toc184313285"/>
      <w:bookmarkEnd w:id="339"/>
      <w:bookmarkStart w:id="340" w:name="_Toc184313303"/>
      <w:bookmarkEnd w:id="340"/>
      <w:bookmarkStart w:id="341" w:name="_Toc184310324"/>
      <w:bookmarkEnd w:id="341"/>
      <w:bookmarkStart w:id="342" w:name="_Toc184312136"/>
      <w:bookmarkEnd w:id="342"/>
      <w:bookmarkStart w:id="343" w:name="_Toc184312113"/>
      <w:bookmarkEnd w:id="343"/>
      <w:bookmarkStart w:id="344" w:name="_Toc184314457"/>
      <w:bookmarkEnd w:id="344"/>
      <w:bookmarkStart w:id="345" w:name="_Toc184308097"/>
      <w:bookmarkEnd w:id="345"/>
      <w:bookmarkStart w:id="346" w:name="_Toc184310343"/>
      <w:bookmarkEnd w:id="346"/>
      <w:bookmarkStart w:id="347" w:name="_Toc184308093"/>
      <w:bookmarkEnd w:id="347"/>
      <w:bookmarkStart w:id="348" w:name="_Toc184313249"/>
      <w:bookmarkEnd w:id="348"/>
      <w:bookmarkStart w:id="349" w:name="_Toc184312099"/>
      <w:bookmarkEnd w:id="349"/>
      <w:bookmarkStart w:id="350" w:name="_Toc184314419"/>
      <w:bookmarkEnd w:id="350"/>
      <w:bookmarkStart w:id="351" w:name="_Toc184312108"/>
      <w:bookmarkEnd w:id="351"/>
      <w:bookmarkStart w:id="352" w:name="_Toc184313253"/>
      <w:bookmarkEnd w:id="352"/>
      <w:bookmarkStart w:id="353" w:name="_Toc184312067"/>
      <w:bookmarkEnd w:id="353"/>
      <w:bookmarkStart w:id="354" w:name="_Toc184308084"/>
      <w:bookmarkEnd w:id="354"/>
      <w:bookmarkStart w:id="355" w:name="_Toc184313248"/>
      <w:bookmarkEnd w:id="355"/>
      <w:bookmarkStart w:id="356" w:name="_Toc184312084"/>
      <w:bookmarkEnd w:id="356"/>
      <w:bookmarkStart w:id="357" w:name="_Toc184314447"/>
      <w:bookmarkEnd w:id="357"/>
      <w:bookmarkStart w:id="358" w:name="_Toc184313291"/>
      <w:bookmarkEnd w:id="358"/>
      <w:bookmarkStart w:id="359" w:name="_Toc184310325"/>
      <w:bookmarkEnd w:id="359"/>
      <w:bookmarkStart w:id="360" w:name="_Toc184308056"/>
      <w:bookmarkEnd w:id="360"/>
      <w:bookmarkStart w:id="361" w:name="_Toc184308039"/>
      <w:bookmarkEnd w:id="361"/>
      <w:bookmarkStart w:id="362" w:name="_Toc184308086"/>
      <w:bookmarkEnd w:id="362"/>
      <w:bookmarkStart w:id="363" w:name="_Toc184314430"/>
      <w:bookmarkEnd w:id="363"/>
      <w:bookmarkStart w:id="364" w:name="_Toc184312130"/>
      <w:bookmarkEnd w:id="364"/>
      <w:bookmarkStart w:id="365" w:name="_Toc184310278"/>
      <w:bookmarkEnd w:id="365"/>
      <w:bookmarkStart w:id="366" w:name="_Toc184310331"/>
      <w:bookmarkEnd w:id="366"/>
      <w:bookmarkStart w:id="367" w:name="_Toc184312081"/>
      <w:bookmarkEnd w:id="367"/>
      <w:bookmarkStart w:id="368" w:name="_Toc184313292"/>
      <w:bookmarkEnd w:id="368"/>
      <w:bookmarkStart w:id="369" w:name="_Toc184314448"/>
      <w:bookmarkEnd w:id="369"/>
      <w:bookmarkStart w:id="370" w:name="_Toc184312116"/>
      <w:bookmarkEnd w:id="370"/>
      <w:bookmarkStart w:id="371" w:name="_Toc184312069"/>
      <w:bookmarkEnd w:id="371"/>
      <w:bookmarkStart w:id="372" w:name="_Toc184313252"/>
      <w:bookmarkEnd w:id="372"/>
      <w:bookmarkStart w:id="373" w:name="_Toc184308092"/>
      <w:bookmarkEnd w:id="373"/>
      <w:bookmarkStart w:id="374" w:name="_Toc184313307"/>
      <w:bookmarkEnd w:id="374"/>
      <w:bookmarkStart w:id="375" w:name="_Toc184313240"/>
      <w:bookmarkEnd w:id="375"/>
      <w:bookmarkStart w:id="376" w:name="_Toc184314433"/>
      <w:bookmarkEnd w:id="376"/>
      <w:bookmarkStart w:id="377" w:name="_Toc184314452"/>
      <w:bookmarkEnd w:id="377"/>
      <w:bookmarkStart w:id="378" w:name="_Toc184308095"/>
      <w:bookmarkEnd w:id="378"/>
      <w:bookmarkStart w:id="379" w:name="_Toc184312128"/>
      <w:bookmarkEnd w:id="379"/>
      <w:bookmarkStart w:id="380" w:name="_Toc184314461"/>
      <w:bookmarkEnd w:id="380"/>
      <w:bookmarkStart w:id="381" w:name="_Toc184310275"/>
      <w:bookmarkEnd w:id="381"/>
      <w:bookmarkStart w:id="382" w:name="_Toc184313259"/>
      <w:bookmarkEnd w:id="382"/>
      <w:bookmarkStart w:id="383" w:name="_Toc184312068"/>
      <w:bookmarkEnd w:id="383"/>
      <w:bookmarkStart w:id="384" w:name="_Toc184310310"/>
      <w:bookmarkEnd w:id="384"/>
      <w:bookmarkStart w:id="385" w:name="_Toc184313298"/>
      <w:bookmarkEnd w:id="385"/>
      <w:bookmarkStart w:id="386" w:name="_Toc184308042"/>
      <w:bookmarkEnd w:id="386"/>
      <w:bookmarkStart w:id="387" w:name="_Toc184313264"/>
      <w:bookmarkEnd w:id="387"/>
      <w:bookmarkStart w:id="388" w:name="_Toc184310304"/>
      <w:bookmarkEnd w:id="388"/>
      <w:bookmarkStart w:id="389" w:name="_Toc184313286"/>
      <w:bookmarkEnd w:id="389"/>
      <w:bookmarkStart w:id="390" w:name="_Toc184314456"/>
      <w:bookmarkEnd w:id="390"/>
      <w:bookmarkStart w:id="391" w:name="_Toc184308058"/>
      <w:bookmarkEnd w:id="391"/>
      <w:bookmarkStart w:id="392" w:name="_Toc184310314"/>
      <w:bookmarkEnd w:id="392"/>
      <w:bookmarkStart w:id="393" w:name="_Toc184308055"/>
      <w:bookmarkEnd w:id="393"/>
      <w:bookmarkStart w:id="394" w:name="_Toc184310303"/>
      <w:bookmarkEnd w:id="394"/>
      <w:r>
        <w:rPr>
          <w:rFonts w:hint="eastAsia" w:ascii="仿宋" w:hAnsi="仿宋" w:eastAsia="仿宋"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序号</w:t>
            </w:r>
          </w:p>
        </w:tc>
        <w:tc>
          <w:tcPr>
            <w:tcW w:w="5598"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评标标准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分值/权重（分）</w:t>
            </w:r>
          </w:p>
        </w:tc>
        <w:tc>
          <w:tcPr>
            <w:tcW w:w="993" w:type="dxa"/>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投标人自2021年1月1日以来（以合同签订时间为准）同类合同业绩，提供1个得0.5分，此项最高得1分。（投标文件中须提供的合同复制件，否则不得分）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shd w:val="clear" w:color="auto" w:fill="auto"/>
            <w:vAlign w:val="top"/>
          </w:tcPr>
          <w:p>
            <w:pPr>
              <w:snapToGrid w:val="0"/>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投标人具有教学相关计算机软件著作权登记证书的，每提供一个得1分，最高得2分</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992" w:type="dxa"/>
            <w:shd w:val="clear" w:color="auto" w:fill="auto"/>
            <w:vAlign w:val="center"/>
          </w:tcPr>
          <w:p>
            <w:pPr>
              <w:snapToGrid w:val="0"/>
              <w:spacing w:line="360" w:lineRule="auto"/>
              <w:jc w:val="cente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w:t>
            </w:r>
          </w:p>
        </w:tc>
        <w:tc>
          <w:tcPr>
            <w:tcW w:w="993" w:type="dxa"/>
            <w:shd w:val="clear" w:color="auto" w:fill="auto"/>
            <w:vAlign w:val="center"/>
          </w:tcPr>
          <w:p>
            <w:pPr>
              <w:snapToGrid w:val="0"/>
              <w:spacing w:line="360" w:lineRule="auto"/>
              <w:jc w:val="center"/>
              <w:rPr>
                <w:rFonts w:hint="eastAsia" w:ascii="仿宋" w:hAnsi="仿宋" w:eastAsia="仿宋" w:cs="仿宋_GB2312"/>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_GB2312"/>
                <w:color w:val="000000" w:themeColor="text1"/>
                <w:sz w:val="24"/>
                <w:highlight w:val="none"/>
                <w:lang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14:textFill>
                  <w14:solidFill>
                    <w14:schemeClr w14:val="tx1"/>
                  </w14:solidFill>
                </w14:textFill>
              </w:rPr>
              <w:t>开放教育</w:t>
            </w:r>
            <w:r>
              <w:rPr>
                <w:rFonts w:hint="eastAsia" w:ascii="仿宋" w:hAnsi="仿宋" w:eastAsia="仿宋" w:cs="仿宋"/>
                <w:color w:val="000000" w:themeColor="text1"/>
                <w:sz w:val="24"/>
                <w:highlight w:val="none"/>
                <w:lang w:eastAsia="zh-CN"/>
                <w14:textFill>
                  <w14:solidFill>
                    <w14:schemeClr w14:val="tx1"/>
                  </w14:solidFill>
                </w14:textFill>
              </w:rPr>
              <w:t>辅助</w:t>
            </w:r>
            <w:r>
              <w:rPr>
                <w:rFonts w:hint="default" w:ascii="仿宋" w:hAnsi="仿宋" w:eastAsia="仿宋" w:cs="仿宋"/>
                <w:color w:val="000000" w:themeColor="text1"/>
                <w:sz w:val="24"/>
                <w:highlight w:val="none"/>
                <w:lang w:eastAsia="zh-CN"/>
                <w14:textFill>
                  <w14:solidFill>
                    <w14:schemeClr w14:val="tx1"/>
                  </w14:solidFill>
                </w14:textFill>
              </w:rPr>
              <w:t>①</w:t>
            </w:r>
            <w:r>
              <w:rPr>
                <w:rFonts w:hint="eastAsia" w:ascii="仿宋" w:hAnsi="仿宋" w:eastAsia="仿宋" w:cs="仿宋"/>
                <w:color w:val="000000" w:themeColor="text1"/>
                <w:sz w:val="24"/>
                <w:highlight w:val="none"/>
                <w:lang w:eastAsia="zh-CN"/>
                <w14:textFill>
                  <w14:solidFill>
                    <w14:schemeClr w14:val="tx1"/>
                  </w14:solidFill>
                </w14:textFill>
              </w:rPr>
              <w:t>招生宣传、②推广制度建设、③业务培训相关工作方案是否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sz w:val="24"/>
              </w:rPr>
              <w:t>进行评审，</w:t>
            </w:r>
            <w:r>
              <w:rPr>
                <w:rFonts w:hint="eastAsia" w:ascii="仿宋" w:hAnsi="仿宋" w:eastAsia="仿宋" w:cs="仿宋_GB2312"/>
                <w:sz w:val="24"/>
                <w:lang w:eastAsia="zh-CN"/>
              </w:rPr>
              <w:t>每小项</w:t>
            </w:r>
            <w:r>
              <w:rPr>
                <w:rFonts w:hint="eastAsia" w:ascii="仿宋" w:hAnsi="仿宋" w:eastAsia="仿宋" w:cs="仿宋_GB2312"/>
                <w:sz w:val="24"/>
              </w:rPr>
              <w:t>分值（3分、2分、1分、0分），未提供方案的不得分。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9</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14:textFill>
                  <w14:solidFill>
                    <w14:schemeClr w14:val="tx1"/>
                  </w14:solidFill>
                </w14:textFill>
              </w:rPr>
              <w:t>协助开展教学资源配置工作</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sz w:val="24"/>
              </w:rPr>
              <w:t>进行评审，分值（5分、4分、3分、2分、1分、0分），未提供方案的不得分。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14:textFill>
                  <w14:solidFill>
                    <w14:schemeClr w14:val="tx1"/>
                  </w14:solidFill>
                </w14:textFill>
              </w:rPr>
              <w:t>协助开展教学日常管理工作</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sz w:val="24"/>
              </w:rPr>
              <w:t>进行评审，分值（5分、4分、3分、2分、1分、0分），未提供方案的不得分。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14:textFill>
                  <w14:solidFill>
                    <w14:schemeClr w14:val="tx1"/>
                  </w14:solidFill>
                </w14:textFill>
              </w:rPr>
              <w:t>协助开展教学检测与评估工作</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sz w:val="24"/>
              </w:rPr>
              <w:t>进行评审，分值（5分、4分、3分、2分、1分、0分），未提供方案的不得分。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14:textFill>
                  <w14:solidFill>
                    <w14:schemeClr w14:val="tx1"/>
                  </w14:solidFill>
                </w14:textFill>
              </w:rPr>
              <w:t>教学工作相关的制度建设和规范执行</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sz w:val="24"/>
              </w:rPr>
              <w:t>进行评审，分值（5分、4分、3分、2分、1分、0分），未提供方案的不得分。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对供应商提供的</w:t>
            </w:r>
            <w:r>
              <w:rPr>
                <w:rFonts w:hint="eastAsia" w:ascii="仿宋" w:hAnsi="仿宋" w:eastAsia="仿宋" w:cs="仿宋"/>
                <w:color w:val="000000" w:themeColor="text1"/>
                <w:sz w:val="24"/>
                <w:highlight w:val="none"/>
                <w:lang w:val="en-US" w:eastAsia="zh-CN"/>
                <w14:textFill>
                  <w14:solidFill>
                    <w14:schemeClr w14:val="tx1"/>
                  </w14:solidFill>
                </w14:textFill>
              </w:rPr>
              <w:t>协助开展</w:t>
            </w:r>
            <w:r>
              <w:rPr>
                <w:rFonts w:hint="default" w:ascii="仿宋" w:hAnsi="仿宋" w:eastAsia="仿宋" w:cs="仿宋"/>
                <w:color w:val="000000" w:themeColor="text1"/>
                <w:sz w:val="24"/>
                <w:highlight w:val="none"/>
                <w:lang w:val="en-US" w:eastAsia="zh-CN"/>
                <w14:textFill>
                  <w14:solidFill>
                    <w14:schemeClr w14:val="tx1"/>
                  </w14:solidFill>
                </w14:textFill>
              </w:rPr>
              <w:t>①</w:t>
            </w:r>
            <w:r>
              <w:rPr>
                <w:rFonts w:hint="eastAsia" w:ascii="仿宋" w:hAnsi="仿宋" w:eastAsia="仿宋" w:cs="仿宋"/>
                <w:color w:val="000000" w:themeColor="text1"/>
                <w:sz w:val="24"/>
                <w:highlight w:val="none"/>
                <w:lang w:val="en-US" w:eastAsia="zh-CN"/>
                <w14:textFill>
                  <w14:solidFill>
                    <w14:schemeClr w14:val="tx1"/>
                  </w14:solidFill>
                </w14:textFill>
              </w:rPr>
              <w:t>教务运行，</w:t>
            </w:r>
            <w:r>
              <w:rPr>
                <w:rFonts w:hint="default" w:ascii="仿宋" w:hAnsi="仿宋" w:eastAsia="仿宋" w:cs="仿宋"/>
                <w:color w:val="000000" w:themeColor="text1"/>
                <w:sz w:val="24"/>
                <w:highlight w:val="none"/>
                <w:lang w:val="en-US" w:eastAsia="zh-CN"/>
                <w14:textFill>
                  <w14:solidFill>
                    <w14:schemeClr w14:val="tx1"/>
                  </w14:solidFill>
                </w14:textFill>
              </w:rPr>
              <w:t>②</w:t>
            </w:r>
            <w:r>
              <w:rPr>
                <w:rFonts w:hint="eastAsia" w:ascii="仿宋" w:hAnsi="仿宋" w:eastAsia="仿宋" w:cs="仿宋"/>
                <w:color w:val="000000" w:themeColor="text1"/>
                <w:sz w:val="24"/>
                <w:highlight w:val="none"/>
                <w:lang w:val="en-US" w:eastAsia="zh-CN"/>
                <w14:textFill>
                  <w14:solidFill>
                    <w14:schemeClr w14:val="tx1"/>
                  </w14:solidFill>
                </w14:textFill>
              </w:rPr>
              <w:t>教务管理工作方案是否切实可行进行评审，</w:t>
            </w:r>
            <w:r>
              <w:rPr>
                <w:rFonts w:hint="eastAsia" w:ascii="仿宋" w:hAnsi="仿宋" w:eastAsia="仿宋" w:cs="仿宋"/>
                <w:color w:val="000000" w:themeColor="text1"/>
                <w:sz w:val="24"/>
                <w:highlight w:val="none"/>
                <w:lang w:eastAsia="zh-CN"/>
                <w14:textFill>
                  <w14:solidFill>
                    <w14:schemeClr w14:val="tx1"/>
                  </w14:solidFill>
                </w14:textFill>
              </w:rPr>
              <w:t>每小项</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10</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w:t>
            </w:r>
            <w:r>
              <w:rPr>
                <w:rFonts w:hint="eastAsia" w:ascii="仿宋" w:hAnsi="仿宋" w:eastAsia="仿宋" w:cs="仿宋_GB2312"/>
                <w:b w:val="0"/>
                <w:bCs w:val="0"/>
                <w:color w:val="000000" w:themeColor="text1"/>
                <w:sz w:val="24"/>
                <w:highlight w:val="none"/>
                <w14:textFill>
                  <w14:solidFill>
                    <w14:schemeClr w14:val="tx1"/>
                  </w14:solidFill>
                </w14:textFill>
              </w:rPr>
              <w:t>提供</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的</w:t>
            </w:r>
            <w:r>
              <w:rPr>
                <w:rFonts w:hint="eastAsia" w:ascii="仿宋" w:hAnsi="仿宋" w:eastAsia="仿宋" w:cs="仿宋_GB2312"/>
                <w:b w:val="0"/>
                <w:bCs w:val="0"/>
                <w:color w:val="000000" w:themeColor="text1"/>
                <w:sz w:val="24"/>
                <w:highlight w:val="none"/>
                <w14:textFill>
                  <w14:solidFill>
                    <w14:schemeClr w14:val="tx1"/>
                  </w14:solidFill>
                </w14:textFill>
              </w:rPr>
              <w:t>教学管理服务平台建设方案，</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针对</w:t>
            </w:r>
            <w:r>
              <w:rPr>
                <w:rFonts w:hint="default" w:ascii="仿宋" w:hAnsi="仿宋" w:eastAsia="仿宋" w:cs="仿宋_GB2312"/>
                <w:b w:val="0"/>
                <w:bCs w:val="0"/>
                <w:color w:val="000000" w:themeColor="text1"/>
                <w:sz w:val="24"/>
                <w:highlight w:val="none"/>
                <w14:textFill>
                  <w14:solidFill>
                    <w14:schemeClr w14:val="tx1"/>
                  </w14:solidFill>
                </w14:textFill>
              </w:rPr>
              <w:t>①</w:t>
            </w:r>
            <w:r>
              <w:rPr>
                <w:rFonts w:hint="eastAsia" w:ascii="仿宋" w:hAnsi="仿宋" w:eastAsia="仿宋" w:cs="仿宋_GB2312"/>
                <w:b w:val="0"/>
                <w:bCs w:val="0"/>
                <w:color w:val="000000" w:themeColor="text1"/>
                <w:sz w:val="24"/>
                <w:highlight w:val="none"/>
                <w14:textFill>
                  <w14:solidFill>
                    <w14:schemeClr w14:val="tx1"/>
                  </w14:solidFill>
                </w14:textFill>
              </w:rPr>
              <w:t>方案的合理性、针对性、适用性</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w:t>
            </w:r>
            <w:r>
              <w:rPr>
                <w:rFonts w:hint="default" w:ascii="仿宋" w:hAnsi="仿宋" w:eastAsia="仿宋" w:cs="仿宋_GB2312"/>
                <w:b w:val="0"/>
                <w:bCs w:val="0"/>
                <w:color w:val="000000" w:themeColor="text1"/>
                <w:sz w:val="24"/>
                <w:highlight w:val="none"/>
                <w14:textFill>
                  <w14:solidFill>
                    <w14:schemeClr w14:val="tx1"/>
                  </w14:solidFill>
                </w14:textFill>
              </w:rPr>
              <w:t>②</w:t>
            </w:r>
            <w:r>
              <w:rPr>
                <w:rFonts w:hint="eastAsia" w:ascii="仿宋" w:hAnsi="仿宋" w:eastAsia="仿宋" w:cs="仿宋_GB2312"/>
                <w:b w:val="0"/>
                <w:bCs w:val="0"/>
                <w:color w:val="000000" w:themeColor="text1"/>
                <w:sz w:val="24"/>
                <w:highlight w:val="none"/>
                <w14:textFill>
                  <w14:solidFill>
                    <w14:schemeClr w14:val="tx1"/>
                  </w14:solidFill>
                </w14:textFill>
              </w:rPr>
              <w:t>技术保障措施的全面性、可操作性</w:t>
            </w:r>
            <w:r>
              <w:rPr>
                <w:rFonts w:hint="eastAsia" w:ascii="仿宋" w:hAnsi="仿宋" w:eastAsia="仿宋" w:cs="仿宋_GB2312"/>
                <w:b w:val="0"/>
                <w:bCs w:val="0"/>
                <w:color w:val="000000" w:themeColor="text1"/>
                <w:sz w:val="24"/>
                <w:highlight w:val="none"/>
                <w:lang w:val="zh-CN"/>
                <w14:textFill>
                  <w14:solidFill>
                    <w14:schemeClr w14:val="tx1"/>
                  </w14:solidFill>
                </w14:textFill>
              </w:rPr>
              <w:t>进行</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评审</w:t>
            </w:r>
            <w:r>
              <w:rPr>
                <w:rFonts w:hint="eastAsia" w:ascii="仿宋" w:hAnsi="仿宋" w:eastAsia="仿宋" w:cs="仿宋_GB2312"/>
                <w:b w:val="0"/>
                <w:bCs w:val="0"/>
                <w:color w:val="000000" w:themeColor="text1"/>
                <w:sz w:val="24"/>
                <w:highlight w:val="none"/>
                <w:lang w:val="zh-CN"/>
                <w14:textFill>
                  <w14:solidFill>
                    <w14:schemeClr w14:val="tx1"/>
                  </w14:solidFill>
                </w14:textFill>
              </w:rPr>
              <w:t>。</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每小项</w:t>
            </w:r>
            <w:r>
              <w:rPr>
                <w:rFonts w:hint="eastAsia" w:ascii="仿宋" w:hAnsi="仿宋" w:eastAsia="仿宋" w:cs="仿宋_GB2312"/>
                <w:b w:val="0"/>
                <w:bCs w:val="0"/>
                <w:color w:val="000000" w:themeColor="text1"/>
                <w:sz w:val="24"/>
                <w:highlight w:val="none"/>
                <w14:textFill>
                  <w14:solidFill>
                    <w14:schemeClr w14:val="tx1"/>
                  </w14:solidFill>
                </w14:textFill>
              </w:rPr>
              <w:t>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10</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w:t>
            </w:r>
            <w:r>
              <w:rPr>
                <w:rFonts w:hint="eastAsia" w:ascii="仿宋" w:hAnsi="仿宋" w:eastAsia="仿宋" w:cs="仿宋_GB2312"/>
                <w:b w:val="0"/>
                <w:bCs w:val="0"/>
                <w:color w:val="000000" w:themeColor="text1"/>
                <w:sz w:val="24"/>
                <w:highlight w:val="none"/>
                <w14:textFill>
                  <w14:solidFill>
                    <w14:schemeClr w14:val="tx1"/>
                  </w14:solidFill>
                </w14:textFill>
              </w:rPr>
              <w:t>提供</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协助做好考试安排、组织等相关工作</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b w:val="0"/>
                <w:bCs w:val="0"/>
                <w:color w:val="000000" w:themeColor="text1"/>
                <w:sz w:val="24"/>
                <w:highlight w:val="none"/>
                <w:lang w:val="zh-CN"/>
                <w14:textFill>
                  <w14:solidFill>
                    <w14:schemeClr w14:val="tx1"/>
                  </w14:solidFill>
                </w14:textFill>
              </w:rPr>
              <w:t>进行</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bookmarkStart w:id="395" w:name="OLE_LINK3" w:colFirst="1" w:colLast="1"/>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w:t>
            </w:r>
            <w:r>
              <w:rPr>
                <w:rFonts w:hint="eastAsia" w:ascii="仿宋" w:hAnsi="仿宋" w:eastAsia="仿宋" w:cs="仿宋_GB2312"/>
                <w:b w:val="0"/>
                <w:bCs w:val="0"/>
                <w:color w:val="000000" w:themeColor="text1"/>
                <w:sz w:val="24"/>
                <w:highlight w:val="none"/>
                <w14:textFill>
                  <w14:solidFill>
                    <w14:schemeClr w14:val="tx1"/>
                  </w14:solidFill>
                </w14:textFill>
              </w:rPr>
              <w:t>提供</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协助开展考务工作人员的业务培训工作</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b w:val="0"/>
                <w:bCs w:val="0"/>
                <w:color w:val="000000" w:themeColor="text1"/>
                <w:sz w:val="24"/>
                <w:highlight w:val="none"/>
                <w:lang w:val="zh-CN"/>
                <w14:textFill>
                  <w14:solidFill>
                    <w14:schemeClr w14:val="tx1"/>
                  </w14:solidFill>
                </w14:textFill>
              </w:rPr>
              <w:t>进行</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bookmarkEnd w:id="3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对供应商</w:t>
            </w:r>
            <w:r>
              <w:rPr>
                <w:rFonts w:hint="eastAsia" w:ascii="仿宋" w:hAnsi="仿宋" w:eastAsia="仿宋" w:cs="仿宋_GB2312"/>
                <w:b w:val="0"/>
                <w:bCs w:val="0"/>
                <w:color w:val="000000" w:themeColor="text1"/>
                <w:sz w:val="24"/>
                <w:highlight w:val="none"/>
                <w14:textFill>
                  <w14:solidFill>
                    <w14:schemeClr w14:val="tx1"/>
                  </w14:solidFill>
                </w14:textFill>
              </w:rPr>
              <w:t>提供</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考试管理工作相关制度建设和规范执行</w:t>
            </w:r>
            <w:r>
              <w:rPr>
                <w:rFonts w:hint="eastAsia" w:ascii="仿宋" w:hAnsi="仿宋" w:eastAsia="仿宋" w:cs="仿宋"/>
                <w:color w:val="000000" w:themeColor="text1"/>
                <w:sz w:val="24"/>
                <w:highlight w:val="none"/>
                <w:lang w:eastAsia="zh-CN"/>
                <w14:textFill>
                  <w14:solidFill>
                    <w14:schemeClr w14:val="tx1"/>
                  </w14:solidFill>
                </w14:textFill>
              </w:rPr>
              <w:t>方案是否</w:t>
            </w:r>
            <w:r>
              <w:rPr>
                <w:rFonts w:hint="eastAsia" w:ascii="仿宋" w:hAnsi="仿宋" w:eastAsia="仿宋" w:cs="仿宋"/>
                <w:color w:val="000000" w:themeColor="text1"/>
                <w:sz w:val="24"/>
                <w:highlight w:val="none"/>
                <w14:textFill>
                  <w14:solidFill>
                    <w14:schemeClr w14:val="tx1"/>
                  </w14:solidFill>
                </w14:textFill>
              </w:rPr>
              <w:t>合理、清晰、可行</w:t>
            </w:r>
            <w:r>
              <w:rPr>
                <w:rFonts w:hint="eastAsia" w:ascii="仿宋" w:hAnsi="仿宋" w:eastAsia="仿宋" w:cs="仿宋_GB2312"/>
                <w:b w:val="0"/>
                <w:bCs w:val="0"/>
                <w:color w:val="000000" w:themeColor="text1"/>
                <w:sz w:val="24"/>
                <w:highlight w:val="none"/>
                <w:lang w:val="zh-CN"/>
                <w14:textFill>
                  <w14:solidFill>
                    <w14:schemeClr w14:val="tx1"/>
                  </w14:solidFill>
                </w14:textFill>
              </w:rPr>
              <w:t>进行</w:t>
            </w:r>
            <w:r>
              <w:rPr>
                <w:rFonts w:hint="eastAsia" w:ascii="仿宋" w:hAnsi="仿宋" w:eastAsia="仿宋" w:cs="仿宋_GB2312"/>
                <w:b w:val="0"/>
                <w:bCs w:val="0"/>
                <w:color w:val="000000" w:themeColor="text1"/>
                <w:sz w:val="24"/>
                <w:highlight w:val="none"/>
                <w:lang w:eastAsia="zh-CN"/>
                <w14:textFill>
                  <w14:solidFill>
                    <w14:schemeClr w14:val="tx1"/>
                  </w14:solidFill>
                </w14:textFill>
              </w:rPr>
              <w:t>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对本项目提供的质量保障措施、风险分析及采取的应对措施内容合理、全面、可执行情况</w:t>
            </w:r>
            <w:r>
              <w:rPr>
                <w:rFonts w:hint="eastAsia" w:ascii="仿宋" w:hAnsi="仿宋" w:eastAsia="仿宋" w:cs="仿宋"/>
                <w:color w:val="000000" w:themeColor="text1"/>
                <w:sz w:val="24"/>
                <w:highlight w:val="none"/>
                <w:lang w:eastAsia="zh-CN"/>
                <w14:textFill>
                  <w14:solidFill>
                    <w14:schemeClr w14:val="tx1"/>
                  </w14:solidFill>
                </w14:textFill>
              </w:rPr>
              <w:t>进行评审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对本项目提供的响应程度、解决问题的能力、紧急故障处理预案内容合理、全面、可执行情况</w:t>
            </w:r>
            <w:r>
              <w:rPr>
                <w:rFonts w:hint="eastAsia" w:ascii="仿宋" w:hAnsi="仿宋" w:eastAsia="仿宋" w:cs="仿宋"/>
                <w:color w:val="000000" w:themeColor="text1"/>
                <w:sz w:val="24"/>
                <w:highlight w:val="none"/>
                <w:lang w:eastAsia="zh-CN"/>
                <w14:textFill>
                  <w14:solidFill>
                    <w14:schemeClr w14:val="tx1"/>
                  </w14:solidFill>
                </w14:textFill>
              </w:rPr>
              <w:t>进行评审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分值（5分、4分、3分、2分、1分、0分），未提供方案的不得分。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项目负责人1人：</w:t>
            </w:r>
          </w:p>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投标人针对本项目拟派项目负责人情况，包含但不限于相关技能证书、职称证明材料情况、类似的项目经验情况</w:t>
            </w:r>
            <w:r>
              <w:rPr>
                <w:rFonts w:hint="eastAsia" w:ascii="仿宋" w:hAnsi="仿宋" w:eastAsia="仿宋" w:cs="仿宋"/>
                <w:color w:val="000000" w:themeColor="text1"/>
                <w:sz w:val="24"/>
                <w:highlight w:val="none"/>
                <w:lang w:eastAsia="zh-CN"/>
                <w14:textFill>
                  <w14:solidFill>
                    <w14:schemeClr w14:val="tx1"/>
                  </w14:solidFill>
                </w14:textFill>
              </w:rPr>
              <w:t>进行评审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_GB2312"/>
                <w:sz w:val="24"/>
              </w:rPr>
              <w:t>分值（5分、4分、3分、2分、1分、0分），未提供的不得分。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bookmarkStart w:id="396" w:name="OLE_LINK4" w:colFirst="1" w:colLast="1"/>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项目人员（除项目负责人）：</w:t>
            </w:r>
          </w:p>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投标人针对本项目拟派项目人员配置合理性（包括不限于班主任、辅导教师等工作人员的配备情况）</w:t>
            </w:r>
            <w:r>
              <w:rPr>
                <w:rFonts w:hint="eastAsia" w:ascii="仿宋" w:hAnsi="仿宋" w:eastAsia="仿宋" w:cs="仿宋_GB2312"/>
                <w:sz w:val="24"/>
              </w:rPr>
              <w:t>进行评审，分值（3分、2分、1分、0分），未提供的不得分。</w:t>
            </w:r>
          </w:p>
        </w:tc>
        <w:tc>
          <w:tcPr>
            <w:tcW w:w="992" w:type="dxa"/>
            <w:vAlign w:val="center"/>
          </w:tcPr>
          <w:p>
            <w:pPr>
              <w:snapToGrid w:val="0"/>
              <w:spacing w:line="360" w:lineRule="auto"/>
              <w:jc w:val="center"/>
              <w:rPr>
                <w:rFonts w:hint="eastAsia" w:ascii="仿宋" w:hAnsi="仿宋" w:eastAsia="仿宋" w:cs="仿宋_GB2312"/>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3</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bookmarkEnd w:id="3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bookmarkStart w:id="397" w:name="OLE_LINK5" w:colFirst="1" w:colLast="1"/>
          </w:p>
        </w:tc>
        <w:tc>
          <w:tcPr>
            <w:tcW w:w="5598" w:type="dxa"/>
          </w:tcPr>
          <w:p>
            <w:pPr>
              <w:snapToGrid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可以提供的招生，教学教务方面的特色服务和举措</w:t>
            </w:r>
            <w:r>
              <w:rPr>
                <w:rFonts w:hint="eastAsia" w:ascii="仿宋" w:hAnsi="仿宋" w:eastAsia="仿宋" w:cs="仿宋_GB2312"/>
                <w:sz w:val="24"/>
              </w:rPr>
              <w:t>进行评审，分值（5分、4分、3分、2分、1分、0分），未提供的不得分。</w:t>
            </w:r>
          </w:p>
        </w:tc>
        <w:tc>
          <w:tcPr>
            <w:tcW w:w="992"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5</w:t>
            </w:r>
          </w:p>
        </w:tc>
        <w:tc>
          <w:tcPr>
            <w:tcW w:w="993" w:type="dxa"/>
            <w:vAlign w:val="center"/>
          </w:tcPr>
          <w:p>
            <w:p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主观分</w:t>
            </w:r>
          </w:p>
        </w:tc>
      </w:tr>
      <w:bookmarkEnd w:id="3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5"/>
              </w:numPr>
              <w:snapToGrid w:val="0"/>
              <w:spacing w:line="360" w:lineRule="auto"/>
              <w:jc w:val="center"/>
              <w:rPr>
                <w:rFonts w:ascii="仿宋" w:hAnsi="仿宋" w:eastAsia="仿宋" w:cs="仿宋_GB2312"/>
                <w:color w:val="000000" w:themeColor="text1"/>
                <w:sz w:val="24"/>
                <w:highlight w:val="none"/>
                <w14:textFill>
                  <w14:solidFill>
                    <w14:schemeClr w14:val="tx1"/>
                  </w14:solidFill>
                </w14:textFill>
              </w:rPr>
            </w:pPr>
          </w:p>
        </w:tc>
        <w:tc>
          <w:tcPr>
            <w:tcW w:w="5598"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vAlign w:val="center"/>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10</w:t>
            </w:r>
          </w:p>
        </w:tc>
        <w:tc>
          <w:tcPr>
            <w:tcW w:w="993" w:type="dxa"/>
            <w:vAlign w:val="center"/>
          </w:tcPr>
          <w:p>
            <w:pPr>
              <w:spacing w:line="360" w:lineRule="auto"/>
              <w:jc w:val="center"/>
              <w:outlineLvl w:val="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p>
        </w:tc>
      </w:tr>
    </w:tbl>
    <w:p>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5"/>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9"/>
    <w:p>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8" w:name="_Toc86217003"/>
      <w:bookmarkStart w:id="399" w:name="第五部分"/>
    </w:p>
    <w:p>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政府采购合同参考范本</w:t>
      </w: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（服务类）</w:t>
      </w:r>
    </w:p>
    <w:p>
      <w:pPr>
        <w:pStyle w:val="27"/>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eastAsia="仿宋" w:cs="仿宋"/>
          <w:color w:val="000000" w:themeColor="text1"/>
          <w:sz w:val="24"/>
          <w:szCs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287"/>
        <w:spacing w:before="120"/>
        <w:rPr>
          <w:rFonts w:hint="eastAsia" w:ascii="仿宋" w:hAnsi="仿宋" w:eastAsia="仿宋" w:cs="仿宋"/>
          <w:color w:val="000000" w:themeColor="text1"/>
          <w:szCs w:val="24"/>
          <w:highlight w:val="none"/>
          <w14:textFill>
            <w14:solidFill>
              <w14:schemeClr w14:val="tx1"/>
            </w14:solidFill>
          </w14:textFill>
        </w:rPr>
      </w:pPr>
    </w:p>
    <w:p>
      <w:pPr>
        <w:pStyle w:val="287"/>
        <w:spacing w:before="120"/>
        <w:rPr>
          <w:rFonts w:hint="eastAsia" w:ascii="仿宋" w:hAnsi="仿宋" w:eastAsia="仿宋" w:cs="仿宋"/>
          <w:color w:val="000000" w:themeColor="text1"/>
          <w:szCs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titlePg/>
          <w:docGrid w:linePitch="312" w:charSpace="0"/>
        </w:sect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公开招标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 合同组成部分</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标的</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详见附件一　   </w:t>
      </w:r>
      <w:r>
        <w:rPr>
          <w:rFonts w:hint="eastAsia" w:ascii="仿宋" w:hAnsi="仿宋" w:eastAsia="仿宋" w:cs="仿宋"/>
          <w:color w:val="000000" w:themeColor="text1"/>
          <w:sz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（是/否）涉及货物。若涉及货物的，则：</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1.3.1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pPr>
              <w:pStyle w:val="11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pPr>
              <w:pStyle w:val="110"/>
              <w:spacing w:line="360" w:lineRule="auto"/>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pStyle w:val="5"/>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1.3.3其他计价方式：</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b/>
          <w:color w:val="000000" w:themeColor="text1"/>
          <w:highlight w:val="none"/>
          <w14:textFill>
            <w14:solidFill>
              <w14:schemeClr w14:val="tx1"/>
            </w14:solidFill>
          </w14:textFill>
        </w:rPr>
      </w:pPr>
      <w:bookmarkStart w:id="400" w:name="_Toc22618"/>
      <w:bookmarkStart w:id="401" w:name="_Toc10340"/>
      <w:bookmarkStart w:id="402" w:name="_Toc1814"/>
      <w:r>
        <w:rPr>
          <w:rFonts w:hint="eastAsia" w:ascii="仿宋" w:hAnsi="仿宋" w:eastAsia="仿宋" w:cs="仿宋"/>
          <w:b/>
          <w:color w:val="000000" w:themeColor="text1"/>
          <w:highlight w:val="none"/>
          <w14:textFill>
            <w14:solidFill>
              <w14:schemeClr w14:val="tx1"/>
            </w14:solidFill>
          </w14:textFill>
        </w:rPr>
        <w:t>1.4履约保证金</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乙方需要支付履约保证金。若需要支付履约保证金的，则：</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5"/>
        <w:tabs>
          <w:tab w:val="left" w:pos="0"/>
        </w:tabs>
        <w:ind w:left="0" w:firstLine="480" w:firstLineChars="200"/>
        <w:rPr>
          <w:rFonts w:hint="eastAsia" w:asci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00"/>
      <w:bookmarkEnd w:id="401"/>
      <w:bookmarkEnd w:id="402"/>
      <w:r>
        <w:rPr>
          <w:rFonts w:hint="eastAsia" w:ascii="仿宋" w:hAnsi="仿宋" w:eastAsia="仿宋" w:cs="仿宋"/>
          <w:b/>
          <w:color w:val="000000" w:themeColor="text1"/>
          <w:sz w:val="24"/>
          <w:highlight w:val="none"/>
          <w14:textFill>
            <w14:solidFill>
              <w14:schemeClr w14:val="tx1"/>
            </w14:solidFill>
          </w14:textFill>
        </w:rPr>
        <w:t>预付款</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不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620"/>
        <w:spacing w:before="0" w:beforeAutospacing="0" w:after="0" w:afterAutospacing="0" w:line="360" w:lineRule="auto"/>
        <w:ind w:firstLine="48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pPr>
        <w:pStyle w:val="620"/>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pStyle w:val="5"/>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 xml:space="preserve">5 </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3" w:name="_Toc16021"/>
      <w:bookmarkStart w:id="404" w:name="_Toc28375"/>
      <w:bookmarkStart w:id="405" w:name="_Toc15583"/>
      <w:r>
        <w:rPr>
          <w:rFonts w:hint="eastAsia" w:ascii="仿宋" w:hAnsi="仿宋" w:eastAsia="仿宋" w:cs="仿宋"/>
          <w:b/>
          <w:color w:val="000000" w:themeColor="text1"/>
          <w:sz w:val="24"/>
          <w:highlight w:val="none"/>
          <w14:textFill>
            <w14:solidFill>
              <w14:schemeClr w14:val="tx1"/>
            </w14:solidFill>
          </w14:textFill>
        </w:rPr>
        <w:t>1.9合同争议的解决</w:t>
      </w:r>
      <w:bookmarkEnd w:id="403"/>
      <w:bookmarkEnd w:id="404"/>
      <w:bookmarkEnd w:id="405"/>
    </w:p>
    <w:p>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1.9.1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6" w:name="_Toc7245"/>
      <w:bookmarkStart w:id="407" w:name="_Toc15322"/>
      <w:bookmarkStart w:id="408" w:name="_Toc11173"/>
      <w:r>
        <w:rPr>
          <w:rFonts w:hint="eastAsia" w:ascii="仿宋" w:hAnsi="仿宋" w:eastAsia="仿宋" w:cs="仿宋"/>
          <w:b/>
          <w:color w:val="000000" w:themeColor="text1"/>
          <w:sz w:val="24"/>
          <w:highlight w:val="none"/>
          <w14:textFill>
            <w14:solidFill>
              <w14:schemeClr w14:val="tx1"/>
            </w14:solidFill>
          </w14:textFill>
        </w:rPr>
        <w:t>2.0 合同生效</w:t>
      </w:r>
      <w:bookmarkEnd w:id="406"/>
      <w:bookmarkEnd w:id="407"/>
      <w:bookmarkEnd w:id="408"/>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pPr>
        <w:autoSpaceDE/>
        <w:autoSpaceDN/>
        <w:spacing w:line="24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br w:type="page"/>
      </w:r>
    </w:p>
    <w:p>
      <w:pPr>
        <w:autoSpaceDE w:val="0"/>
        <w:autoSpaceDN w:val="0"/>
        <w:spacing w:line="360" w:lineRule="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此页无正文，为签署页</w:t>
      </w:r>
      <w:r>
        <w:rPr>
          <w:rFonts w:hint="eastAsia" w:ascii="仿宋" w:hAnsi="仿宋" w:eastAsia="仿宋" w:cs="仿宋"/>
          <w:b/>
          <w:color w:val="000000" w:themeColor="text1"/>
          <w:sz w:val="24"/>
          <w:highlight w:val="none"/>
          <w:lang w:val="zh-CN"/>
          <w14:textFill>
            <w14:solidFill>
              <w14:schemeClr w14:val="tx1"/>
            </w14:solidFill>
          </w14:textFill>
        </w:rPr>
        <w:t>）</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pStyle w:val="27"/>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技术规范</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2.3 知识产权</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2.5 结算方式和付款条件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2.6 技术资料和保密义务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2.7 质量保证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2.8 延迟履行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2.9 合同变更</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2.10 合同转让和分包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w:t>
      </w:r>
      <w:r>
        <w:rPr>
          <w:rFonts w:hint="eastAsia" w:ascii="仿宋" w:hAnsi="仿宋" w:eastAsia="仿宋" w:cs="仿宋"/>
          <w:color w:val="000000" w:themeColor="text1"/>
          <w:sz w:val="24"/>
          <w:highlight w:val="none"/>
          <w:lang w:val="en-US" w:eastAsia="zh-CN"/>
          <w14:textFill>
            <w14:solidFill>
              <w14:schemeClr w14:val="tx1"/>
            </w14:solidFill>
          </w14:textFill>
        </w:rPr>
        <w:t>书面</w:t>
      </w:r>
      <w:r>
        <w:rPr>
          <w:rFonts w:hint="eastAsia" w:ascii="仿宋" w:hAnsi="仿宋" w:eastAsia="仿宋" w:cs="仿宋"/>
          <w:color w:val="000000" w:themeColor="text1"/>
          <w:sz w:val="24"/>
          <w:highlight w:val="none"/>
          <w14:textFill>
            <w14:solidFill>
              <w14:schemeClr w14:val="tx1"/>
            </w14:solidFill>
          </w14:textFill>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2.11 不可抗力</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2.12 税费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2.13 乙方破产</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 合同中止、终止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 检验和验收</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2.16 通知和送达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9" w:name="_Toc4355"/>
      <w:bookmarkStart w:id="410" w:name="_Toc30599"/>
      <w:bookmarkStart w:id="411" w:name="_Toc18540"/>
      <w:r>
        <w:rPr>
          <w:rFonts w:hint="eastAsia" w:ascii="仿宋" w:hAnsi="仿宋" w:eastAsia="仿宋" w:cs="仿宋"/>
          <w:b/>
          <w:color w:val="000000" w:themeColor="text1"/>
          <w:sz w:val="24"/>
          <w:highlight w:val="none"/>
          <w14:textFill>
            <w14:solidFill>
              <w14:schemeClr w14:val="tx1"/>
            </w14:solidFill>
          </w14:textFill>
        </w:rPr>
        <w:t>2.18 计量单位</w:t>
      </w:r>
      <w:bookmarkEnd w:id="409"/>
      <w:bookmarkEnd w:id="410"/>
      <w:bookmarkEnd w:id="411"/>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24"/>
          <w:highlight w:val="none"/>
          <w14:textFill>
            <w14:solidFill>
              <w14:schemeClr w14:val="tx1"/>
            </w14:solidFill>
          </w14:textFill>
        </w:rPr>
        <w:t xml:space="preserve"> 第三部分  合同专用条款</w:t>
      </w: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条款号</w:t>
            </w:r>
          </w:p>
        </w:tc>
        <w:tc>
          <w:tcPr>
            <w:tcW w:w="7558" w:type="dxa"/>
            <w:vAlign w:val="center"/>
          </w:tcPr>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1.4.4</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1.5.1 </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1.5.2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 xml:space="preserve">1.5.3 </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1.6.7</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1.7.2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2.3.2</w:t>
            </w:r>
          </w:p>
        </w:tc>
        <w:tc>
          <w:tcPr>
            <w:tcW w:w="7558" w:type="dxa"/>
            <w:vAlign w:val="center"/>
          </w:tcPr>
          <w:p>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5</w:t>
            </w:r>
          </w:p>
        </w:tc>
        <w:tc>
          <w:tcPr>
            <w:tcW w:w="7558" w:type="dxa"/>
            <w:vAlign w:val="center"/>
          </w:tcPr>
          <w:p>
            <w:pPr>
              <w:spacing w:line="360" w:lineRule="auto"/>
              <w:ind w:left="-420" w:leftChars="-200" w:right="-420" w:rightChars="-200" w:firstLine="480" w:firstLineChars="200"/>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11.4</w:t>
            </w:r>
          </w:p>
        </w:tc>
        <w:tc>
          <w:tcPr>
            <w:tcW w:w="7558" w:type="dxa"/>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w:t>
            </w:r>
            <w:r>
              <w:rPr>
                <w:rFonts w:ascii="仿宋" w:hAnsi="仿宋" w:eastAsia="仿宋" w:cs="宋体"/>
                <w:bCs/>
                <w:color w:val="000000" w:themeColor="text1"/>
                <w:sz w:val="24"/>
                <w:highlight w:val="none"/>
                <w14:textFill>
                  <w14:solidFill>
                    <w14:schemeClr w14:val="tx1"/>
                  </w14:solidFill>
                </w14:textFill>
              </w:rPr>
              <w:t>15</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3</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.1</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2.1</w:t>
            </w:r>
            <w:r>
              <w:rPr>
                <w:rFonts w:ascii="仿宋" w:hAnsi="仿宋" w:eastAsia="仿宋" w:cs="宋体"/>
                <w:bCs/>
                <w:color w:val="000000" w:themeColor="text1"/>
                <w:sz w:val="24"/>
                <w:highlight w:val="none"/>
                <w14:textFill>
                  <w14:solidFill>
                    <w14:schemeClr w14:val="tx1"/>
                  </w14:solidFill>
                </w14:textFill>
              </w:rPr>
              <w:t>8</w:t>
            </w:r>
            <w:r>
              <w:rPr>
                <w:rFonts w:hint="eastAsia" w:ascii="仿宋" w:hAnsi="仿宋" w:eastAsia="仿宋" w:cs="宋体"/>
                <w:bCs/>
                <w:color w:val="000000" w:themeColor="text1"/>
                <w:sz w:val="24"/>
                <w:highlight w:val="none"/>
                <w14:textFill>
                  <w14:solidFill>
                    <w14:schemeClr w14:val="tx1"/>
                  </w14:solidFill>
                </w14:textFill>
              </w:rPr>
              <w:t>.</w:t>
            </w:r>
            <w:r>
              <w:rPr>
                <w:rFonts w:ascii="仿宋" w:hAnsi="仿宋" w:eastAsia="仿宋" w:cs="宋体"/>
                <w:bCs/>
                <w:color w:val="000000" w:themeColor="text1"/>
                <w:sz w:val="24"/>
                <w:highlight w:val="none"/>
                <w14:textFill>
                  <w14:solidFill>
                    <w14:schemeClr w14:val="tx1"/>
                  </w14:solidFill>
                </w14:textFill>
              </w:rPr>
              <w:t>2</w:t>
            </w:r>
          </w:p>
        </w:tc>
        <w:tc>
          <w:tcPr>
            <w:tcW w:w="7558" w:type="dxa"/>
            <w:vAlign w:val="center"/>
          </w:tcPr>
          <w:p>
            <w:pPr>
              <w:spacing w:line="360" w:lineRule="auto"/>
              <w:rPr>
                <w:rFonts w:ascii="仿宋" w:hAnsi="仿宋" w:eastAsia="仿宋" w:cs="宋体"/>
                <w:bCs/>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2.20</w:t>
            </w:r>
          </w:p>
        </w:tc>
        <w:tc>
          <w:tcPr>
            <w:tcW w:w="7558" w:type="dxa"/>
          </w:tcPr>
          <w:p>
            <w:pPr>
              <w:spacing w:line="360" w:lineRule="auto"/>
              <w:rPr>
                <w:rFonts w:ascii="仿宋" w:hAnsi="仿宋" w:eastAsia="仿宋" w:cs="宋体"/>
                <w:bCs/>
                <w:color w:val="000000" w:themeColor="text1"/>
                <w:sz w:val="24"/>
                <w:highlight w:val="none"/>
                <w14:textFill>
                  <w14:solidFill>
                    <w14:schemeClr w14:val="tx1"/>
                  </w14:solidFill>
                </w14:textFill>
              </w:rPr>
            </w:pPr>
          </w:p>
        </w:tc>
      </w:tr>
    </w:tbl>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此仅为合同书样本，中标单位需根据实际情况和采购人签订相应的合同！</w:t>
      </w: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8"/>
      <w:bookmarkEnd w:id="399"/>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rPr>
          <w:rFonts w:ascii="仿宋" w:hAnsi="仿宋" w:eastAsia="仿宋" w:cs="宋体"/>
          <w:color w:val="000000" w:themeColor="text1"/>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（根据招标公告本项目的特定资格要求提供相应的材料；未要求的，无需提供）</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12"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12"/>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pPr>
        <w:numPr>
          <w:ilvl w:val="0"/>
          <w:numId w:val="6"/>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rPr>
          <w:rFonts w:ascii="仿宋" w:hAnsi="仿宋" w:eastAsia="仿宋" w:cs="宋体"/>
          <w:color w:val="000000" w:themeColor="text1"/>
          <w:highlight w:val="none"/>
          <w14:textFill>
            <w14:solidFill>
              <w14:schemeClr w14:val="tx1"/>
            </w14:solidFill>
          </w14:textFill>
        </w:rPr>
      </w:pP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spacing w:line="360" w:lineRule="auto"/>
              <w:rPr>
                <w:rFonts w:ascii="仿宋" w:hAnsi="仿宋" w:eastAsia="仿宋" w:cs="宋体"/>
                <w:color w:val="000000" w:themeColor="text1"/>
                <w:sz w:val="24"/>
                <w:highlight w:val="non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7"/>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pPr>
        <w:spacing w:line="360" w:lineRule="auto"/>
        <w:jc w:val="left"/>
        <w:rPr>
          <w:rFonts w:hint="eastAsia" w:eastAsia="华文楷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pPr>
        <w:numPr>
          <w:ilvl w:val="0"/>
          <w:numId w:val="7"/>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pPr>
        <w:numPr>
          <w:ilvl w:val="0"/>
          <w:numId w:val="7"/>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79"/>
        <w:gridCol w:w="1444"/>
        <w:gridCol w:w="2075"/>
        <w:gridCol w:w="16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2079" w:type="dxa"/>
            <w:vAlign w:val="center"/>
          </w:tcPr>
          <w:p>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名称</w:t>
            </w:r>
          </w:p>
        </w:tc>
        <w:tc>
          <w:tcPr>
            <w:tcW w:w="1444" w:type="dxa"/>
            <w:vAlign w:val="center"/>
          </w:tcPr>
          <w:p>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总学分</w:t>
            </w:r>
          </w:p>
        </w:tc>
        <w:tc>
          <w:tcPr>
            <w:tcW w:w="2075" w:type="dxa"/>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64" w:type="dxa"/>
            <w:vAlign w:val="center"/>
          </w:tcPr>
          <w:p>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学分</w:t>
            </w:r>
            <w:r>
              <w:rPr>
                <w:rFonts w:hint="eastAsia" w:ascii="仿宋" w:hAnsi="仿宋" w:eastAsia="仿宋" w:cs="宋体"/>
                <w:b/>
                <w:color w:val="000000" w:themeColor="text1"/>
                <w:sz w:val="24"/>
                <w:highlight w:val="none"/>
                <w14:textFill>
                  <w14:solidFill>
                    <w14:schemeClr w14:val="tx1"/>
                  </w14:solidFill>
                </w14:textFill>
              </w:rPr>
              <w:t>单价</w:t>
            </w:r>
          </w:p>
        </w:tc>
        <w:tc>
          <w:tcPr>
            <w:tcW w:w="1270" w:type="dxa"/>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87" w:type="dxa"/>
            <w:vAlign w:val="center"/>
          </w:tcPr>
          <w:p>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2079" w:type="dxa"/>
            <w:vAlign w:val="center"/>
          </w:tcPr>
          <w:p>
            <w:pPr>
              <w:snapToGrid w:val="0"/>
              <w:spacing w:line="288" w:lineRule="auto"/>
              <w:jc w:val="center"/>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开放教育</w:t>
            </w:r>
          </w:p>
        </w:tc>
        <w:tc>
          <w:tcPr>
            <w:tcW w:w="1444" w:type="dxa"/>
            <w:vAlign w:val="center"/>
          </w:tcPr>
          <w:p>
            <w:pPr>
              <w:snapToGrid w:val="0"/>
              <w:spacing w:line="288"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29074学分</w:t>
            </w:r>
          </w:p>
        </w:tc>
        <w:tc>
          <w:tcPr>
            <w:tcW w:w="2075" w:type="dxa"/>
            <w:vAlign w:val="center"/>
          </w:tcPr>
          <w:p>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64" w:type="dxa"/>
            <w:vAlign w:val="center"/>
          </w:tcPr>
          <w:p>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sz w:val="24"/>
                <w:highlight w:val="none"/>
                <w:lang w:val="en-US" w:eastAsia="zh-CN"/>
                <w14:textFill>
                  <w14:solidFill>
                    <w14:schemeClr w14:val="tx1"/>
                  </w14:solidFill>
                </w14:textFill>
              </w:rPr>
              <w:t>元/学分</w:t>
            </w:r>
          </w:p>
        </w:tc>
        <w:tc>
          <w:tcPr>
            <w:tcW w:w="1270" w:type="dxa"/>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10" w:type="dxa"/>
            <w:gridSpan w:val="3"/>
            <w:vAlign w:val="center"/>
          </w:tcPr>
          <w:p>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投标报价（小写）</w:t>
            </w:r>
          </w:p>
        </w:tc>
        <w:tc>
          <w:tcPr>
            <w:tcW w:w="5009" w:type="dxa"/>
            <w:gridSpan w:val="3"/>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010" w:type="dxa"/>
            <w:gridSpan w:val="3"/>
            <w:vAlign w:val="center"/>
          </w:tcPr>
          <w:p>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投标报价（</w:t>
            </w:r>
            <w:r>
              <w:rPr>
                <w:rFonts w:hint="eastAsia" w:ascii="仿宋" w:hAnsi="仿宋" w:eastAsia="仿宋" w:cs="宋体"/>
                <w:b/>
                <w:color w:val="000000" w:themeColor="text1"/>
                <w:sz w:val="24"/>
                <w:highlight w:val="none"/>
                <w:lang w:eastAsia="zh-CN"/>
                <w14:textFill>
                  <w14:solidFill>
                    <w14:schemeClr w14:val="tx1"/>
                  </w14:solidFill>
                </w14:textFill>
              </w:rPr>
              <w:t>大</w:t>
            </w:r>
            <w:r>
              <w:rPr>
                <w:rFonts w:hint="eastAsia" w:ascii="仿宋" w:hAnsi="仿宋" w:eastAsia="仿宋" w:cs="宋体"/>
                <w:b/>
                <w:color w:val="000000" w:themeColor="text1"/>
                <w:sz w:val="24"/>
                <w:highlight w:val="none"/>
                <w14:textFill>
                  <w14:solidFill>
                    <w14:schemeClr w14:val="tx1"/>
                  </w14:solidFill>
                </w14:textFill>
              </w:rPr>
              <w:t>写）</w:t>
            </w:r>
          </w:p>
        </w:tc>
        <w:tc>
          <w:tcPr>
            <w:tcW w:w="5009" w:type="dxa"/>
            <w:gridSpan w:val="3"/>
          </w:tcPr>
          <w:p>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pPr>
        <w:numPr>
          <w:ilvl w:val="0"/>
          <w:numId w:val="8"/>
        </w:numPr>
        <w:spacing w:line="360" w:lineRule="auto"/>
        <w:ind w:left="-2"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（删除）部分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pPr>
        <w:pStyle w:val="4"/>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13" w:name="OLE_LINK14"/>
      <w:bookmarkStart w:id="414"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13"/>
    <w:bookmarkEnd w:id="414"/>
    <w:p>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pPr>
        <w:spacing w:line="360" w:lineRule="auto"/>
        <w:jc w:val="center"/>
        <w:rPr>
          <w:rFonts w:ascii="仿宋" w:hAnsi="仿宋" w:eastAsia="仿宋" w:cs="宋体"/>
          <w:b/>
          <w:color w:val="000000" w:themeColor="text1"/>
          <w:sz w:val="24"/>
          <w:highlight w:val="none"/>
          <w14:textFill>
            <w14:solidFill>
              <w14:schemeClr w14:val="tx1"/>
            </w14:solidFill>
          </w14:textFill>
        </w:rPr>
      </w:pPr>
    </w:p>
    <w:p>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pPr>
        <w:spacing w:line="360" w:lineRule="auto"/>
        <w:rPr>
          <w:rFonts w:ascii="仿宋" w:hAnsi="仿宋" w:eastAsia="仿宋" w:cs="宋体"/>
          <w:color w:val="000000" w:themeColor="text1"/>
          <w:sz w:val="24"/>
          <w:highlight w:val="none"/>
          <w:u w:val="dotted"/>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pPr>
        <w:spacing w:line="360" w:lineRule="auto"/>
        <w:rPr>
          <w:rFonts w:ascii="仿宋" w:hAnsi="仿宋" w:eastAsia="仿宋" w:cs="宋体"/>
          <w:color w:val="000000" w:themeColor="text1"/>
          <w:sz w:val="24"/>
          <w:highlight w:val="none"/>
          <w:u w:val="singl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000000" w:themeColor="text1"/>
          <w:sz w:val="24"/>
          <w:highlight w:val="none"/>
          <w14:textFill>
            <w14:solidFill>
              <w14:schemeClr w14:val="tx1"/>
            </w14:solidFill>
          </w14:textFill>
        </w:rPr>
      </w:pPr>
    </w:p>
    <w:p>
      <w:pPr>
        <w:pStyle w:val="84"/>
        <w:rPr>
          <w:color w:val="000000" w:themeColor="text1"/>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s="宋体"/>
          <w:color w:val="000000" w:themeColor="text1"/>
          <w:sz w:val="24"/>
          <w:highlight w:val="none"/>
          <w:u w:val="single"/>
          <w14:textFill>
            <w14:solidFill>
              <w14:schemeClr w14:val="tx1"/>
            </w14:solidFill>
          </w14:textFill>
        </w:rPr>
      </w:pP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15"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15"/>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6"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6"/>
      <w:r>
        <w:rPr>
          <w:rFonts w:hint="eastAsia" w:ascii="仿宋" w:hAnsi="仿宋" w:eastAsia="仿宋"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7"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7"/>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pPr>
        <w:pStyle w:val="84"/>
        <w:rPr>
          <w:color w:val="000000" w:themeColor="text1"/>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浙江开放大学余杭学院2025年春季班办学辅助服务采购项目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浙江开放大学余杭学院2025年春季班办学辅助服务采购项目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其他未列明行业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000000" w:themeColor="text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lang w:val="en-US"/>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pStyle w:val="2"/>
        <w:ind w:firstLine="0"/>
        <w:rPr>
          <w:rFonts w:ascii="仿宋" w:hAnsi="仿宋" w:eastAsia="仿宋" w:cs="宋体"/>
          <w:b/>
          <w:color w:val="000000" w:themeColor="text1"/>
          <w:szCs w:val="21"/>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pPr>
        <w:pStyle w:val="2"/>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pPr>
        <w:pStyle w:val="622"/>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2"/>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pPr>
        <w:pStyle w:val="400"/>
        <w:ind w:firstLine="480"/>
        <w:rPr>
          <w:rFonts w:ascii="仿宋" w:hAnsi="仿宋" w:eastAsia="仿宋"/>
          <w:color w:val="000000" w:themeColor="text1"/>
          <w:highlight w:val="none"/>
          <w14:textFill>
            <w14:solidFill>
              <w14:schemeClr w14:val="tx1"/>
            </w14:solidFill>
          </w14:textFill>
        </w:rPr>
      </w:pPr>
    </w:p>
    <w:p>
      <w:pPr>
        <w:pStyle w:val="400"/>
        <w:ind w:firstLine="480"/>
        <w:rPr>
          <w:rFonts w:ascii="仿宋" w:hAnsi="仿宋" w:eastAsia="仿宋"/>
          <w:color w:val="000000" w:themeColor="text1"/>
          <w:highlight w:val="none"/>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p>
    <w:p>
      <w:pPr>
        <w:pStyle w:val="2"/>
        <w:ind w:firstLine="0"/>
        <w:rPr>
          <w:rFonts w:ascii="仿宋" w:hAnsi="仿宋" w:eastAsia="仿宋" w:cs="宋体"/>
          <w:b/>
          <w:color w:val="000000" w:themeColor="text1"/>
          <w:sz w:val="36"/>
          <w:highlight w:val="none"/>
          <w:lang w:val="en-US"/>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pPr>
    </w:p>
    <w:p>
      <w:pPr>
        <w:pStyle w:val="2"/>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pPr>
        <w:pStyle w:val="5"/>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3392819628</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pPr>
        <w:pStyle w:val="400"/>
        <w:ind w:firstLine="480"/>
        <w:rPr>
          <w:rFonts w:ascii="仿宋" w:hAnsi="仿宋" w:eastAsia="仿宋"/>
          <w:color w:val="000000" w:themeColor="text1"/>
          <w:highlight w:val="none"/>
          <w14:textFill>
            <w14:solidFill>
              <w14:schemeClr w14:val="tx1"/>
            </w14:solidFill>
          </w14:textFill>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8" w:name="_Toc91899912"/>
    <w:bookmarkStart w:id="419" w:name="_Toc131845147"/>
    <w:bookmarkStart w:id="420" w:name="_Toc36110187"/>
    <w:bookmarkStart w:id="421" w:name="_Toc164085800"/>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center"/>
    </w:pP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FD03D1AF"/>
    <w:multiLevelType w:val="singleLevel"/>
    <w:tmpl w:val="FD03D1AF"/>
    <w:lvl w:ilvl="0" w:tentative="0">
      <w:start w:val="1"/>
      <w:numFmt w:val="decimal"/>
      <w:suff w:val="nothing"/>
      <w:lvlText w:val="%1、"/>
      <w:lvlJc w:val="left"/>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BDECB0"/>
    <w:multiLevelType w:val="singleLevel"/>
    <w:tmpl w:val="51BDECB0"/>
    <w:lvl w:ilvl="0" w:tentative="0">
      <w:start w:val="1"/>
      <w:numFmt w:val="decimal"/>
      <w:suff w:val="nothing"/>
      <w:lvlText w:val="%1、"/>
      <w:lvlJc w:val="left"/>
    </w:lvl>
  </w:abstractNum>
  <w:abstractNum w:abstractNumId="6">
    <w:nsid w:val="597B626A"/>
    <w:multiLevelType w:val="singleLevel"/>
    <w:tmpl w:val="597B626A"/>
    <w:lvl w:ilvl="0" w:tentative="0">
      <w:start w:val="5"/>
      <w:numFmt w:val="decimal"/>
      <w:suff w:val="nothing"/>
      <w:lvlText w:val="%1、"/>
      <w:lvlJc w:val="left"/>
    </w:lvl>
  </w:abstractNum>
  <w:abstractNum w:abstractNumId="7">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3A0180E"/>
    <w:rsid w:val="03F62DA4"/>
    <w:rsid w:val="05331277"/>
    <w:rsid w:val="07017849"/>
    <w:rsid w:val="0A66686C"/>
    <w:rsid w:val="0AF049C2"/>
    <w:rsid w:val="0C605C22"/>
    <w:rsid w:val="0D167ABF"/>
    <w:rsid w:val="109127D2"/>
    <w:rsid w:val="10D56447"/>
    <w:rsid w:val="12401209"/>
    <w:rsid w:val="12956F9D"/>
    <w:rsid w:val="12D877D9"/>
    <w:rsid w:val="138E5887"/>
    <w:rsid w:val="144F233D"/>
    <w:rsid w:val="150E2185"/>
    <w:rsid w:val="15577718"/>
    <w:rsid w:val="167B387A"/>
    <w:rsid w:val="16C635F7"/>
    <w:rsid w:val="197762DD"/>
    <w:rsid w:val="1DBA28BE"/>
    <w:rsid w:val="204D2CF8"/>
    <w:rsid w:val="24DF2E79"/>
    <w:rsid w:val="24FC661E"/>
    <w:rsid w:val="26275493"/>
    <w:rsid w:val="26420927"/>
    <w:rsid w:val="270E2AEA"/>
    <w:rsid w:val="28B673D6"/>
    <w:rsid w:val="29B26860"/>
    <w:rsid w:val="2F9B3EE4"/>
    <w:rsid w:val="31717E30"/>
    <w:rsid w:val="326902B9"/>
    <w:rsid w:val="37CA50B9"/>
    <w:rsid w:val="3B5E199D"/>
    <w:rsid w:val="3BC32B4B"/>
    <w:rsid w:val="3F0669EF"/>
    <w:rsid w:val="408204F5"/>
    <w:rsid w:val="43AE190B"/>
    <w:rsid w:val="44400DDD"/>
    <w:rsid w:val="4598279C"/>
    <w:rsid w:val="476B212C"/>
    <w:rsid w:val="48EA2E54"/>
    <w:rsid w:val="4D5A6798"/>
    <w:rsid w:val="4D8460B9"/>
    <w:rsid w:val="4D9354E2"/>
    <w:rsid w:val="4E6D7571"/>
    <w:rsid w:val="4EFE07E8"/>
    <w:rsid w:val="5017233C"/>
    <w:rsid w:val="52C0037C"/>
    <w:rsid w:val="54141A1F"/>
    <w:rsid w:val="55985036"/>
    <w:rsid w:val="56153315"/>
    <w:rsid w:val="57BC6C22"/>
    <w:rsid w:val="5832792B"/>
    <w:rsid w:val="58F71E10"/>
    <w:rsid w:val="5B312502"/>
    <w:rsid w:val="5C2C64D8"/>
    <w:rsid w:val="5EAF5C82"/>
    <w:rsid w:val="608B52CB"/>
    <w:rsid w:val="62331C41"/>
    <w:rsid w:val="635A4CD3"/>
    <w:rsid w:val="638A4D17"/>
    <w:rsid w:val="63C13032"/>
    <w:rsid w:val="63C42F10"/>
    <w:rsid w:val="63E72D17"/>
    <w:rsid w:val="65903F67"/>
    <w:rsid w:val="672B4FEB"/>
    <w:rsid w:val="697215F3"/>
    <w:rsid w:val="6AAC20D3"/>
    <w:rsid w:val="6B752606"/>
    <w:rsid w:val="6C5B4034"/>
    <w:rsid w:val="6E202C32"/>
    <w:rsid w:val="6E285043"/>
    <w:rsid w:val="6E502713"/>
    <w:rsid w:val="728778F7"/>
    <w:rsid w:val="73856AE3"/>
    <w:rsid w:val="76223DB7"/>
    <w:rsid w:val="77011A91"/>
    <w:rsid w:val="790D0D6B"/>
    <w:rsid w:val="792170A5"/>
    <w:rsid w:val="7A9909E9"/>
    <w:rsid w:val="7D213533"/>
    <w:rsid w:val="7DF01A9B"/>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836"/>
    <w:qFormat/>
    <w:uiPriority w:val="0"/>
    <w:pPr>
      <w:ind w:firstLine="420"/>
    </w:pPr>
    <w:rPr>
      <w:rFonts w:hAnsi="Calibri" w:cs="Times New Roman"/>
      <w:szCs w:val="20"/>
    </w:rPr>
  </w:style>
  <w:style w:type="paragraph" w:styleId="3">
    <w:name w:val="Body Text"/>
    <w:basedOn w:val="1"/>
    <w:next w:val="2"/>
    <w:link w:val="934"/>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6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1"/>
    <w:qFormat/>
    <w:uiPriority w:val="0"/>
    <w:pPr>
      <w:ind w:left="100" w:leftChars="2500"/>
    </w:pPr>
    <w:rPr>
      <w:rFonts w:ascii="宋体"/>
      <w:sz w:val="24"/>
      <w:szCs w:val="21"/>
      <w:lang w:val="zh-CN"/>
    </w:rPr>
  </w:style>
  <w:style w:type="paragraph" w:styleId="41">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2">
    <w:name w:val="endnote text"/>
    <w:basedOn w:val="1"/>
    <w:link w:val="942"/>
    <w:qFormat/>
    <w:uiPriority w:val="0"/>
    <w:rPr>
      <w:lang w:val="zh-CN"/>
    </w:rPr>
  </w:style>
  <w:style w:type="paragraph" w:styleId="43">
    <w:name w:val="Balloon Text"/>
    <w:basedOn w:val="1"/>
    <w:link w:val="718"/>
    <w:qFormat/>
    <w:uiPriority w:val="0"/>
    <w:rPr>
      <w:sz w:val="18"/>
      <w:szCs w:val="18"/>
    </w:rPr>
  </w:style>
  <w:style w:type="paragraph" w:styleId="44">
    <w:name w:val="footer"/>
    <w:basedOn w:val="1"/>
    <w:link w:val="893"/>
    <w:qFormat/>
    <w:uiPriority w:val="99"/>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cs="Arial"/>
    </w:rPr>
  </w:style>
  <w:style w:type="paragraph" w:styleId="46">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7"/>
    <w:link w:val="827"/>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6"/>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1"/>
    <w:qFormat/>
    <w:uiPriority w:val="0"/>
    <w:pPr>
      <w:spacing w:after="120" w:line="480" w:lineRule="auto"/>
    </w:pPr>
  </w:style>
  <w:style w:type="paragraph" w:styleId="62">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21"/>
    <w:next w:val="21"/>
    <w:link w:val="634"/>
    <w:qFormat/>
    <w:uiPriority w:val="0"/>
    <w:rPr>
      <w:b/>
      <w:bCs/>
    </w:rPr>
  </w:style>
  <w:style w:type="paragraph" w:styleId="66">
    <w:name w:val="Body Text First Indent 2"/>
    <w:basedOn w:val="25"/>
    <w:next w:val="1"/>
    <w:link w:val="657"/>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5"/>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7"/>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8"/>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6"/>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9"/>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6"/>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8"/>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1"/>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4"/>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8"/>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1"/>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8"/>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5"/>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4"/>
    <w:qFormat/>
    <w:uiPriority w:val="0"/>
    <w:rPr>
      <w:rFonts w:ascii="Arial" w:hAnsi="Arial" w:eastAsia="黑体" w:cs="Arial"/>
      <w:snapToGrid w:val="0"/>
      <w:kern w:val="0"/>
      <w:szCs w:val="21"/>
    </w:rPr>
  </w:style>
  <w:style w:type="character" w:customStyle="1" w:styleId="661">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2"/>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0"/>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3"/>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7"/>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4"/>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5"/>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4"/>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4"/>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62"/>
    <w:qFormat/>
    <w:uiPriority w:val="0"/>
    <w:rPr>
      <w:rFonts w:ascii="黑体" w:hAnsi="Courier New" w:eastAsia="黑体"/>
    </w:rPr>
  </w:style>
  <w:style w:type="character" w:customStyle="1" w:styleId="821">
    <w:name w:val="正文文本 2 Char1"/>
    <w:link w:val="61"/>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41"/>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5"/>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7"/>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8"/>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4"/>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6"/>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4"/>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5">
    <w:name w:val="gray6"/>
    <w:basedOn w:val="74"/>
    <w:qFormat/>
    <w:uiPriority w:val="0"/>
    <w:rPr>
      <w:rFonts w:ascii="Arial" w:hAnsi="Arial" w:eastAsia="黑体" w:cs="Arial"/>
      <w:snapToGrid w:val="0"/>
      <w:kern w:val="0"/>
      <w:szCs w:val="21"/>
    </w:rPr>
  </w:style>
  <w:style w:type="character" w:customStyle="1" w:styleId="936">
    <w:name w:val="hui"/>
    <w:basedOn w:val="74"/>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2"/>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4"/>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38944</Words>
  <Characters>41547</Characters>
  <Lines>58</Lines>
  <Paragraphs>95</Paragraphs>
  <TotalTime>321</TotalTime>
  <ScaleCrop>false</ScaleCrop>
  <LinksUpToDate>false</LinksUpToDate>
  <CharactersWithSpaces>44059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！nn</cp:lastModifiedBy>
  <cp:lastPrinted>2024-06-13T17:40:00Z</cp:lastPrinted>
  <dcterms:modified xsi:type="dcterms:W3CDTF">2025-01-31T04:07:44Z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eyJoZGlkIjoiMGY1MmEyNmIzOWVmY2Y1Mjg1NGNjNzFjMzI3M2RmZTkiLCJ1c2VySWQiOiIyMjkwNDAyNjYifQ==</vt:lpwstr>
  </property>
</Properties>
</file>