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both"/>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余杭区矛调中心服务辅助项目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HZZHCG2025-001</w:t>
      </w:r>
      <w:r>
        <w:rPr>
          <w:rFonts w:hint="eastAsia" w:ascii="宋体" w:hAnsi="宋体" w:cs="宋体"/>
          <w:color w:val="auto"/>
          <w:sz w:val="30"/>
          <w:szCs w:val="30"/>
        </w:rPr>
        <w:t>）</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bookmarkStart w:id="0" w:name="OLE_LINK4"/>
      <w:r>
        <w:rPr>
          <w:rFonts w:hint="eastAsia" w:ascii="宋体" w:hAnsi="宋体" w:cs="宋体"/>
          <w:color w:val="auto"/>
          <w:sz w:val="32"/>
          <w:szCs w:val="32"/>
          <w:lang w:eastAsia="zh-CN"/>
        </w:rPr>
        <w:t>中共杭州市余杭区委政法委员会</w:t>
      </w:r>
      <w:bookmarkEnd w:id="0"/>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杭州正鸿工程咨询有限公司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1" w:name="_Hlt67893495"/>
      <w:bookmarkEnd w:id="1"/>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2" w:name="_Hlt91233176"/>
      <w:bookmarkEnd w:id="2"/>
      <w:bookmarkStart w:id="3"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4" w:name="第一部分"/>
      <w:r>
        <w:rPr>
          <w:rFonts w:hint="eastAsia" w:ascii="宋体" w:hAnsi="宋体" w:cs="宋体"/>
          <w:b/>
          <w:color w:val="auto"/>
          <w:sz w:val="36"/>
          <w:szCs w:val="36"/>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余杭区矛调中心服务辅助项目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02月25日14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HZZHCG2025-001</w:t>
      </w:r>
      <w:r>
        <w:rPr>
          <w:rFonts w:hint="eastAsia" w:ascii="宋体" w:hAnsi="宋体" w:cs="宋体"/>
          <w:color w:val="auto"/>
          <w:sz w:val="24"/>
        </w:rPr>
        <w:t>）</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余杭区矛调中心服务辅助项目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lang w:val="en-US" w:eastAsia="zh-CN"/>
        </w:rPr>
        <w:t>1773500.00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lang w:val="en-US" w:eastAsia="zh-CN"/>
        </w:rPr>
        <w:t>1773500.00</w:t>
      </w:r>
      <w:r>
        <w:rPr>
          <w:rFonts w:hint="eastAsia" w:ascii="宋体" w:hAnsi="宋体" w:cs="宋体"/>
          <w:color w:val="auto"/>
          <w:sz w:val="24"/>
        </w:rPr>
        <w:t xml:space="preserve"> </w:t>
      </w:r>
    </w:p>
    <w:p>
      <w:pPr>
        <w:pStyle w:val="16"/>
        <w:spacing w:line="600" w:lineRule="exact"/>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余杭区矛调中心服务辅助项目</w:t>
      </w:r>
      <w:r>
        <w:rPr>
          <w:rFonts w:hint="eastAsia" w:hAnsi="宋体" w:cs="宋体"/>
          <w:color w:val="auto"/>
          <w:sz w:val="24"/>
          <w:lang w:val="en-US" w:eastAsia="zh-CN"/>
        </w:rPr>
        <w:t>。</w:t>
      </w:r>
      <w:r>
        <w:rPr>
          <w:rFonts w:hint="eastAsia" w:hAnsi="宋体" w:cs="宋体"/>
          <w:color w:val="auto"/>
          <w:kern w:val="2"/>
          <w:sz w:val="24"/>
          <w:szCs w:val="24"/>
        </w:rPr>
        <w:t>具体以招标文件第三部分采购需求为准，供应商可点击本公告下方“浏览采购文件”查看采购需求；</w:t>
      </w:r>
    </w:p>
    <w:p>
      <w:pPr>
        <w:pStyle w:val="131"/>
        <w:ind w:firstLine="482"/>
        <w:outlineLvl w:val="2"/>
        <w:rPr>
          <w:rFonts w:ascii="宋体" w:hAnsi="宋体" w:cs="宋体"/>
          <w:color w:val="auto"/>
        </w:rPr>
      </w:pPr>
      <w:r>
        <w:rPr>
          <w:rFonts w:hint="eastAsia" w:ascii="宋体" w:hAnsi="宋体" w:cs="宋体"/>
          <w:b/>
          <w:color w:val="auto"/>
        </w:rPr>
        <w:t xml:space="preserve">合同履约期限： </w:t>
      </w:r>
      <w:r>
        <w:rPr>
          <w:rFonts w:hint="eastAsia" w:ascii="宋体" w:hAnsi="宋体" w:cs="宋体"/>
          <w:color w:val="auto"/>
          <w:szCs w:val="24"/>
        </w:rPr>
        <w:t>详见第三部分采购需求。</w:t>
      </w:r>
    </w:p>
    <w:p>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lang w:val="en-US" w:eastAsia="zh-CN"/>
        </w:rPr>
        <w:t>服务</w:t>
      </w:r>
      <w:r>
        <w:rPr>
          <w:rFonts w:hint="eastAsia" w:ascii="宋体" w:hAnsi="宋体" w:cs="宋体"/>
          <w:color w:val="auto"/>
          <w:sz w:val="24"/>
        </w:rPr>
        <w:t>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服务</w:t>
      </w:r>
      <w:r>
        <w:rPr>
          <w:rFonts w:hint="eastAsia" w:ascii="宋体" w:hAnsi="宋体" w:cs="宋体"/>
          <w:color w:val="auto"/>
          <w:sz w:val="24"/>
        </w:rPr>
        <w:t>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3"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3"/>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rPr>
          <w:id w:val="1474676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 1.采购人信息</w:t>
      </w:r>
    </w:p>
    <w:p>
      <w:pPr>
        <w:spacing w:line="600" w:lineRule="exact"/>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color w:val="auto"/>
          <w:sz w:val="24"/>
          <w:lang w:eastAsia="zh-CN"/>
        </w:rPr>
        <w:t>中共杭州市余杭区委政法委员会</w:t>
      </w:r>
    </w:p>
    <w:p>
      <w:pPr>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杭州市余杭区文一西路1500号</w:t>
      </w:r>
    </w:p>
    <w:p>
      <w:pPr>
        <w:spacing w:line="600" w:lineRule="exact"/>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石文</w:t>
      </w:r>
      <w:r>
        <w:rPr>
          <w:rFonts w:hint="eastAsia" w:ascii="宋体" w:hAnsi="宋体" w:cs="宋体"/>
          <w:color w:val="auto"/>
          <w:sz w:val="24"/>
        </w:rPr>
        <w:t xml:space="preserve"> </w:t>
      </w:r>
    </w:p>
    <w:p>
      <w:pPr>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0571-89515724</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陈浙峰</w:t>
      </w:r>
      <w:r>
        <w:rPr>
          <w:rFonts w:hint="eastAsia" w:ascii="宋体" w:hAnsi="宋体" w:cs="宋体"/>
          <w:color w:val="auto"/>
          <w:sz w:val="24"/>
          <w:highlight w:val="none"/>
        </w:rPr>
        <w:t xml:space="preserve">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0571-89515720</w:t>
      </w:r>
    </w:p>
    <w:p>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pacing w:line="600" w:lineRule="exact"/>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杭州正鸿工程咨询有限公司</w:t>
      </w:r>
    </w:p>
    <w:p>
      <w:pPr>
        <w:spacing w:line="600" w:lineRule="exact"/>
        <w:ind w:firstLine="48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000000" w:themeColor="text1"/>
          <w:sz w:val="24"/>
          <w14:textFill>
            <w14:solidFill>
              <w14:schemeClr w14:val="tx1"/>
            </w14:solidFill>
          </w14:textFill>
        </w:rPr>
        <w:t>杭州市余杭区文一西路1217号IT公园3幢13楼1314室</w:t>
      </w:r>
    </w:p>
    <w:p>
      <w:pPr>
        <w:spacing w:line="600" w:lineRule="exact"/>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600" w:lineRule="exact"/>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贺胜杰</w:t>
      </w:r>
      <w:r>
        <w:rPr>
          <w:rFonts w:hint="eastAsia" w:ascii="宋体" w:hAnsi="宋体" w:cs="宋体"/>
          <w:color w:val="auto"/>
          <w:sz w:val="24"/>
        </w:rPr>
        <w:t xml:space="preserve">       </w:t>
      </w:r>
    </w:p>
    <w:p>
      <w:pPr>
        <w:spacing w:line="60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13738009078</w:t>
      </w:r>
    </w:p>
    <w:p>
      <w:pPr>
        <w:spacing w:line="600" w:lineRule="exact"/>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俞方华</w:t>
      </w:r>
      <w:r>
        <w:rPr>
          <w:rFonts w:hint="eastAsia" w:ascii="宋体" w:hAnsi="宋体" w:cs="宋体"/>
          <w:color w:val="auto"/>
          <w:sz w:val="24"/>
        </w:rPr>
        <w:t xml:space="preserve">          </w:t>
      </w:r>
    </w:p>
    <w:p>
      <w:pPr>
        <w:spacing w:line="600" w:lineRule="exact"/>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13805738712</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政策咨询电话：X先生，0571-8958XXXX 政府采购监管部门工作人员</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4"/>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9"/>
      <w:r>
        <w:rPr>
          <w:rFonts w:hint="eastAsia" w:ascii="宋体" w:hAnsi="宋体" w:cs="宋体"/>
          <w:b/>
          <w:color w:val="auto"/>
          <w:sz w:val="36"/>
          <w:szCs w:val="20"/>
        </w:rPr>
        <w:t xml:space="preserve"> 投标人须知</w:t>
      </w:r>
      <w:bookmarkEnd w:id="10"/>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lang w:val="en-US" w:eastAsia="zh-CN"/>
              </w:rPr>
              <w:t>服务</w:t>
            </w:r>
            <w:r>
              <w:rPr>
                <w:rFonts w:hint="eastAsia" w:ascii="宋体" w:hAnsi="宋体" w:cs="宋体"/>
                <w:color w:val="auto"/>
                <w:sz w:val="24"/>
              </w:rPr>
              <w:t>类。</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（1）标的：</w:t>
            </w:r>
            <w:r>
              <w:rPr>
                <w:rFonts w:hint="eastAsia" w:ascii="宋体" w:hAnsi="宋体" w:cs="宋体"/>
                <w:color w:val="auto"/>
                <w:sz w:val="24"/>
                <w:u w:val="single"/>
                <w:lang w:eastAsia="zh-CN"/>
              </w:rPr>
              <w:t>余杭区矛调中心服务辅助项目</w:t>
            </w:r>
            <w:r>
              <w:rPr>
                <w:rFonts w:hint="eastAsia" w:ascii="宋体" w:hAnsi="宋体" w:cs="宋体"/>
                <w:color w:val="auto"/>
                <w:sz w:val="24"/>
              </w:rPr>
              <w:t>，属于</w:t>
            </w:r>
            <w:bookmarkStart w:id="14" w:name="OLE_LINK6"/>
            <w:r>
              <w:rPr>
                <w:rFonts w:hint="eastAsia" w:ascii="宋体" w:hAnsi="宋体" w:cs="宋体"/>
                <w:color w:val="000000" w:themeColor="text1"/>
                <w:kern w:val="0"/>
                <w:sz w:val="24"/>
                <w:u w:val="single"/>
                <w14:textFill>
                  <w14:solidFill>
                    <w14:schemeClr w14:val="tx1"/>
                  </w14:solidFill>
                </w14:textFill>
              </w:rPr>
              <w:t>租赁和商务服务业</w:t>
            </w:r>
            <w:bookmarkEnd w:id="14"/>
            <w:r>
              <w:rPr>
                <w:rFonts w:hint="eastAsia" w:ascii="宋体" w:hAnsi="宋体" w:cs="宋体"/>
                <w:color w:val="auto"/>
                <w:sz w:val="24"/>
              </w:rPr>
              <w:t>；</w:t>
            </w:r>
          </w:p>
          <w:p>
            <w:pPr>
              <w:pStyle w:val="965"/>
              <w:adjustRightInd w:val="0"/>
              <w:spacing w:line="360" w:lineRule="auto"/>
              <w:ind w:firstLine="480" w:firstLineChars="200"/>
              <w:jc w:val="both"/>
              <w:rPr>
                <w:rFonts w:hint="eastAsia" w:ascii="宋体" w:hAnsi="宋体" w:eastAsia="宋体" w:cs="宋体"/>
                <w:color w:val="auto"/>
                <w:spacing w:val="6"/>
                <w:szCs w:val="21"/>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w:t>
            </w:r>
            <w:bookmarkStart w:id="15" w:name="OLE_LINK5"/>
            <w:r>
              <w:rPr>
                <w:rFonts w:hint="eastAsia" w:ascii="宋体" w:hAnsi="宋体" w:eastAsia="宋体" w:cs="宋体"/>
                <w:color w:val="auto"/>
                <w:kern w:val="0"/>
                <w:sz w:val="24"/>
                <w:highlight w:val="none"/>
              </w:rPr>
              <w:t>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w:t>
            </w:r>
            <w:bookmarkEnd w:id="15"/>
            <w:r>
              <w:rPr>
                <w:rFonts w:hint="eastAsia" w:ascii="宋体" w:hAnsi="宋体" w:eastAsia="宋体" w:cs="宋体"/>
                <w:color w:val="auto"/>
                <w:kern w:val="0"/>
                <w:sz w:val="24"/>
                <w:highlight w:val="none"/>
                <w:lang w:val="en-US" w:eastAsia="zh-CN"/>
              </w:rPr>
              <w:t>规定</w:t>
            </w:r>
            <w:r>
              <w:rPr>
                <w:rFonts w:hint="eastAsia" w:ascii="宋体" w:hAnsi="宋体" w:eastAsia="宋体" w:cs="宋体"/>
                <w:color w:val="auto"/>
                <w:kern w:val="0"/>
                <w:sz w:val="24"/>
                <w:highlight w:val="none"/>
              </w:rPr>
              <w:t>：租赁和商务服务业</w:t>
            </w:r>
            <w:r>
              <w:rPr>
                <w:rFonts w:hint="eastAsia" w:ascii="宋体" w:hAnsi="宋体" w:eastAsia="宋体" w:cs="宋体"/>
                <w:color w:val="auto"/>
                <w:spacing w:val="0"/>
                <w:kern w:val="0"/>
                <w:sz w:val="24"/>
                <w:szCs w:val="20"/>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
              <w:ind w:left="0" w:leftChars="0" w:firstLine="0" w:firstLineChars="0"/>
              <w:rPr>
                <w:rFonts w:ascii="宋体" w:hAnsi="宋体" w:eastAsia="宋体" w:cs="宋体"/>
                <w:color w:val="auto"/>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cs="宋体"/>
                <w:color w:val="auto"/>
                <w:sz w:val="24"/>
                <w:lang w:eastAsia="zh-CN"/>
              </w:rPr>
              <w:t>。</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华文楷体" w:hAnsi="华文楷体" w:eastAsia="华文楷体" w:cs="华文楷体"/>
                <w:color w:val="auto"/>
                <w:kern w:val="0"/>
                <w:sz w:val="22"/>
                <w:szCs w:val="21"/>
              </w:rPr>
            </w:pPr>
            <w:r>
              <w:rPr>
                <w:rFonts w:hint="eastAsia" w:ascii="Wingdings" w:hAnsi="Wingdings" w:eastAsia="宋体" w:cs="Times New Roman"/>
                <w:color w:val="auto"/>
                <w:kern w:val="2"/>
                <w:sz w:val="21"/>
                <w:szCs w:val="24"/>
                <w:lang w:val="en-US" w:eastAsia="zh-CN" w:bidi="ar-SA"/>
              </w:rPr>
              <w:t>þ</w:t>
            </w:r>
            <w:r>
              <w:rPr>
                <w:rFonts w:hint="eastAsia" w:ascii="华文楷体" w:hAnsi="华文楷体" w:eastAsia="华文楷体" w:cs="华文楷体"/>
                <w:color w:val="auto"/>
                <w:kern w:val="0"/>
                <w:sz w:val="22"/>
                <w:szCs w:val="21"/>
              </w:rPr>
              <w:t>A不组织。</w:t>
            </w:r>
          </w:p>
          <w:p>
            <w:pPr>
              <w:spacing w:line="360" w:lineRule="auto"/>
              <w:rPr>
                <w:rFonts w:hint="eastAsia"/>
                <w:color w:val="auto"/>
              </w:rPr>
            </w:pPr>
            <w:r>
              <w:rPr>
                <w:rFonts w:hint="eastAsia" w:ascii="华文楷体" w:hAnsi="华文楷体" w:eastAsia="华文楷体" w:cs="华文楷体"/>
                <w:color w:val="auto"/>
                <w:kern w:val="0"/>
                <w:sz w:val="22"/>
                <w:szCs w:val="21"/>
              </w:rPr>
              <w:t>☐B组织，时间：      ,地点：      ，联系人：      ，联系方式：      。</w:t>
            </w:r>
          </w:p>
          <w:p>
            <w:pPr>
              <w:spacing w:line="360" w:lineRule="auto"/>
              <w:rPr>
                <w:color w:val="auto"/>
              </w:rPr>
            </w:pPr>
            <w:sdt>
              <w:sdtPr>
                <w:rPr>
                  <w:rFonts w:hint="eastAsia"/>
                  <w:color w:val="auto"/>
                </w:rPr>
                <w:id w:val="147479346"/>
                <w14:checkbox>
                  <w14:checked w14:val="0"/>
                  <w14:checkedState w14:val="00FE" w14:font="Wingdings"/>
                  <w14:uncheckedState w14:val="2610" w14:font="MS Gothic"/>
                </w14:checkbox>
              </w:sdtPr>
              <w:sdtEndPr>
                <w:rPr>
                  <w:rFonts w:hint="eastAsia"/>
                  <w:color w:val="auto"/>
                </w:rPr>
              </w:sdtEndPr>
              <w:sdtContent>
                <w:r>
                  <w:rPr>
                    <w:rFonts w:hint="eastAsia" w:ascii="MS Gothic" w:hAnsi="MS Gothic" w:eastAsia="宋体" w:cs="Times New Roman"/>
                    <w:color w:val="auto"/>
                    <w:kern w:val="2"/>
                    <w:sz w:val="21"/>
                    <w:szCs w:val="24"/>
                    <w:lang w:val="en-US" w:eastAsia="zh-CN" w:bidi="ar-SA"/>
                  </w:rPr>
                  <w:t>☐</w:t>
                </w:r>
              </w:sdtContent>
            </w:sdt>
            <w:r>
              <w:rPr>
                <w:rFonts w:hint="eastAsia"/>
                <w:color w:val="auto"/>
              </w:rPr>
              <w:t>C不统一组织，供应商在获取采购文件后，自行至项目现场考察。</w:t>
            </w:r>
          </w:p>
          <w:p>
            <w:pPr>
              <w:pStyle w:val="79"/>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474549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4748109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pStyle w:val="3"/>
              <w:rPr>
                <w:color w:val="auto"/>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pPr>
              <w:pStyle w:val="79"/>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pPr>
              <w:pStyle w:val="79"/>
              <w:rPr>
                <w:rFonts w:hint="eastAsia" w:ascii="宋体" w:hAnsi="宋体" w:cs="宋体"/>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lang w:eastAsia="zh-CN"/>
              </w:rPr>
              <w:t>杭州市临平区星桥街道远展街1号联融大厦22幢505室</w:t>
            </w:r>
            <w:r>
              <w:rPr>
                <w:rFonts w:hint="eastAsia" w:ascii="宋体" w:hAnsi="宋体" w:cs="宋体"/>
                <w:color w:val="auto"/>
                <w:sz w:val="24"/>
              </w:rPr>
              <w:t>；备份投标文件签收人员联系电话：</w:t>
            </w:r>
            <w:r>
              <w:rPr>
                <w:rFonts w:hint="eastAsia" w:hAnsi="宋体" w:cs="宋体"/>
                <w:color w:val="auto"/>
                <w:sz w:val="24"/>
                <w:lang w:val="en-US" w:eastAsia="zh-CN"/>
              </w:rPr>
              <w:t>贺胜杰13738009078</w:t>
            </w:r>
            <w:r>
              <w:rPr>
                <w:rFonts w:hint="eastAsia" w:ascii="宋体" w:hAnsi="宋体" w:cs="宋体"/>
                <w:color w:val="auto"/>
                <w:sz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bookmarkStart w:id="16" w:name="_Toc164416483"/>
            <w:bookmarkStart w:id="17" w:name="第三部分"/>
            <w:r>
              <w:rPr>
                <w:rFonts w:hint="eastAsia" w:ascii="仿宋_GB2312" w:hAnsi="仿宋" w:eastAsia="仿宋_GB2312" w:cs="仿宋_GB2312"/>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仿宋_GB2312"/>
                <w:b/>
                <w:color w:val="auto"/>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rPr>
              <w:t>中标人在领取中标通知书时需向招标代理机构支付人民币</w:t>
            </w:r>
            <w:r>
              <w:rPr>
                <w:rFonts w:hint="eastAsia" w:ascii="宋体" w:hAnsi="宋体" w:eastAsia="宋体" w:cs="宋体"/>
                <w:snapToGrid w:val="0"/>
                <w:color w:val="auto"/>
                <w:kern w:val="28"/>
                <w:sz w:val="24"/>
                <w:lang w:val="en-US" w:eastAsia="zh-CN"/>
              </w:rPr>
              <w:t xml:space="preserve"> </w:t>
            </w:r>
            <w:r>
              <w:rPr>
                <w:rFonts w:hint="eastAsia" w:ascii="宋体" w:hAnsi="宋体" w:cs="宋体"/>
                <w:snapToGrid w:val="0"/>
                <w:color w:val="auto"/>
                <w:kern w:val="28"/>
                <w:sz w:val="24"/>
                <w:lang w:val="en-US" w:eastAsia="zh-CN"/>
              </w:rPr>
              <w:t>19550</w:t>
            </w:r>
            <w:r>
              <w:rPr>
                <w:rFonts w:hint="eastAsia" w:ascii="宋体" w:hAnsi="宋体" w:eastAsia="宋体" w:cs="宋体"/>
                <w:snapToGrid w:val="0"/>
                <w:color w:val="auto"/>
                <w:kern w:val="28"/>
                <w:sz w:val="24"/>
              </w:rPr>
              <w:t>元招标代理服务费</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rPr>
              <w:t>费用包含在总报价中，不单独列项报价</w:t>
            </w:r>
            <w:r>
              <w:rPr>
                <w:rFonts w:hint="eastAsia" w:ascii="宋体" w:hAnsi="宋体" w:cs="宋体"/>
                <w:snapToGrid w:val="0"/>
                <w:color w:val="auto"/>
                <w:kern w:val="28"/>
                <w:sz w:val="24"/>
                <w:lang w:eastAsia="zh-CN"/>
              </w:rPr>
              <w:t>，</w:t>
            </w:r>
            <w:r>
              <w:rPr>
                <w:rFonts w:hint="eastAsia" w:ascii="宋体" w:hAnsi="宋体" w:eastAsia="宋体" w:cs="宋体"/>
                <w:snapToGrid w:val="0"/>
                <w:color w:val="auto"/>
                <w:kern w:val="28"/>
                <w:sz w:val="24"/>
                <w:highlight w:val="none"/>
                <w:lang w:eastAsia="zh-CN"/>
              </w:rPr>
              <w:t>投标人在报价时应综合考虑该笔费用。</w:t>
            </w:r>
          </w:p>
          <w:p>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杭州正鸿工程咨询有限公司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杭州联合农村商业银行股份有限公司康桥支行</w:t>
            </w:r>
            <w:r>
              <w:rPr>
                <w:rFonts w:hint="eastAsia" w:ascii="宋体" w:hAnsi="宋体" w:eastAsia="宋体" w:cs="宋体"/>
                <w:snapToGrid w:val="0"/>
                <w:color w:val="auto"/>
                <w:kern w:val="28"/>
                <w:sz w:val="24"/>
                <w:highlight w:val="none"/>
              </w:rPr>
              <w:t xml:space="preserve"> 帐号：</w:t>
            </w:r>
            <w:r>
              <w:rPr>
                <w:rFonts w:hint="eastAsia" w:ascii="宋体" w:hAnsi="宋体" w:eastAsia="宋体" w:cs="宋体"/>
                <w:snapToGrid w:val="0"/>
                <w:color w:val="auto"/>
                <w:kern w:val="28"/>
                <w:sz w:val="24"/>
                <w:highlight w:val="none"/>
                <w:lang w:val="en-US" w:eastAsia="zh-CN"/>
              </w:rPr>
              <w:t>201000279863923</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仿宋_GB2312" w:hAnsi="仿宋" w:eastAsia="仿宋_GB2312" w:cs="仿宋_GB2312"/>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仿宋_GB2312"/>
                <w:b/>
                <w:color w:val="auto"/>
                <w:sz w:val="24"/>
                <w:highlight w:val="none"/>
                <w:lang w:val="en-US" w:eastAsia="zh-CN"/>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color w:val="auto"/>
                <w:kern w:val="28"/>
                <w:sz w:val="24"/>
                <w:highlight w:val="none"/>
                <w:lang w:val="en-US" w:eastAsia="zh-CN"/>
              </w:rPr>
              <w:t xml:space="preserve">中标单位需在领取中标通知书时，提供本项目纸质投标文件（资格文件”、“报价文件”和“商务技术文件”） </w:t>
            </w:r>
            <w:r>
              <w:rPr>
                <w:rFonts w:hint="eastAsia" w:ascii="宋体" w:hAnsi="宋体" w:cs="宋体"/>
                <w:snapToGrid w:val="0"/>
                <w:color w:val="auto"/>
                <w:kern w:val="28"/>
                <w:sz w:val="24"/>
                <w:highlight w:val="none"/>
                <w:lang w:val="en-US" w:eastAsia="zh-CN"/>
              </w:rPr>
              <w:t>三</w:t>
            </w:r>
            <w:r>
              <w:rPr>
                <w:rFonts w:hint="eastAsia" w:ascii="宋体" w:hAnsi="宋体" w:eastAsia="宋体" w:cs="宋体"/>
                <w:snapToGrid w:val="0"/>
                <w:color w:val="auto"/>
                <w:kern w:val="28"/>
                <w:sz w:val="24"/>
                <w:highlight w:val="none"/>
                <w:lang w:val="en-US" w:eastAsia="zh-CN"/>
              </w:rPr>
              <w:t>份（正本一份，副本</w:t>
            </w:r>
            <w:r>
              <w:rPr>
                <w:rFonts w:hint="eastAsia" w:ascii="宋体" w:hAnsi="宋体" w:cs="宋体"/>
                <w:snapToGrid w:val="0"/>
                <w:color w:val="auto"/>
                <w:kern w:val="28"/>
                <w:sz w:val="24"/>
                <w:highlight w:val="none"/>
                <w:lang w:val="en-US" w:eastAsia="zh-CN"/>
              </w:rPr>
              <w:t>二</w:t>
            </w:r>
            <w:r>
              <w:rPr>
                <w:rFonts w:hint="eastAsia" w:ascii="宋体" w:hAnsi="宋体" w:eastAsia="宋体" w:cs="宋体"/>
                <w:snapToGrid w:val="0"/>
                <w:color w:val="auto"/>
                <w:kern w:val="28"/>
                <w:sz w:val="24"/>
                <w:highlight w:val="none"/>
                <w:lang w:val="en-US" w:eastAsia="zh-CN"/>
              </w:rPr>
              <w:t>份）并提供电子投标文件与纸质投标文件内容一致承诺书三份（详见采购文件格式）。</w:t>
            </w:r>
          </w:p>
        </w:tc>
      </w:tr>
      <w:bookmarkEnd w:id="11"/>
    </w:tbl>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color w:val="auto"/>
          <w:sz w:val="24"/>
        </w:rPr>
        <w:t>联合协议或者分包意向协议约定小微企业的合同份额占到合同总金额30%以上的</w:t>
      </w:r>
      <w:bookmarkEnd w:id="19"/>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1"/>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20" w:name="_Hlk101259339"/>
      <w:r>
        <w:rPr>
          <w:rFonts w:hint="eastAsia" w:ascii="宋体" w:hAnsi="宋体" w:cs="宋体"/>
          <w:snapToGrid w:val="0"/>
          <w:color w:val="auto"/>
          <w:kern w:val="28"/>
          <w:sz w:val="24"/>
          <w:szCs w:val="20"/>
        </w:rPr>
        <w:t>联合协议</w:t>
      </w:r>
      <w:bookmarkEnd w:id="20"/>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pPr>
        <w:pStyle w:val="80"/>
        <w:rPr>
          <w:color w:val="auto"/>
        </w:rPr>
      </w:pPr>
    </w:p>
    <w:p>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rPr>
      </w:pPr>
    </w:p>
    <w:p>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1"/>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21"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1"/>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80"/>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1"/>
      <w:bookmarkStart w:id="22" w:name="_Hlt74729768"/>
      <w:bookmarkEnd w:id="22"/>
      <w:bookmarkStart w:id="23" w:name="_Hlt74707468"/>
      <w:bookmarkEnd w:id="23"/>
      <w:bookmarkStart w:id="24" w:name="_Hlt68403820"/>
      <w:bookmarkEnd w:id="24"/>
      <w:bookmarkStart w:id="25" w:name="_Hlt68072990"/>
      <w:bookmarkEnd w:id="25"/>
      <w:bookmarkStart w:id="26" w:name="_Hlt75236101"/>
      <w:bookmarkEnd w:id="26"/>
      <w:bookmarkStart w:id="27" w:name="_Hlt74714665"/>
      <w:bookmarkEnd w:id="27"/>
      <w:bookmarkStart w:id="28" w:name="_Hlt75236011"/>
      <w:bookmarkEnd w:id="28"/>
      <w:bookmarkStart w:id="29" w:name="_Hlt68073093"/>
      <w:bookmarkEnd w:id="29"/>
      <w:bookmarkStart w:id="30" w:name="_Hlt74730295"/>
      <w:bookmarkEnd w:id="30"/>
      <w:bookmarkStart w:id="31" w:name="_Hlt68057669"/>
      <w:bookmarkEnd w:id="31"/>
      <w:bookmarkStart w:id="32" w:name="_Hlt75236290"/>
      <w:bookmarkEnd w:id="32"/>
      <w:bookmarkStart w:id="33" w:name="_Hlt68072998"/>
      <w:bookmarkEnd w:id="33"/>
    </w:p>
    <w:p>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80"/>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6"/>
    <w:bookmarkEnd w:id="17"/>
    <w:p>
      <w:pPr>
        <w:spacing w:line="360" w:lineRule="auto"/>
        <w:jc w:val="center"/>
        <w:outlineLvl w:val="0"/>
        <w:rPr>
          <w:rFonts w:ascii="宋体" w:hAnsi="宋体" w:cs="宋体"/>
          <w:b/>
          <w:color w:val="auto"/>
          <w:sz w:val="36"/>
          <w:szCs w:val="36"/>
        </w:rPr>
      </w:pPr>
      <w:bookmarkStart w:id="34" w:name="第四部分"/>
      <w:r>
        <w:rPr>
          <w:rFonts w:hint="eastAsia" w:ascii="宋体" w:hAnsi="宋体" w:cs="宋体"/>
          <w:b/>
          <w:color w:val="auto"/>
          <w:sz w:val="36"/>
          <w:szCs w:val="36"/>
        </w:rPr>
        <w:t>第三部分   采购需求</w:t>
      </w:r>
    </w:p>
    <w:p>
      <w:pPr>
        <w:spacing w:line="360" w:lineRule="auto"/>
        <w:ind w:firstLine="181" w:firstLineChars="50"/>
        <w:rPr>
          <w:rFonts w:ascii="宋体" w:hAnsi="宋体" w:cs="宋体"/>
          <w:b/>
          <w:color w:val="auto"/>
          <w:sz w:val="36"/>
          <w:szCs w:val="36"/>
        </w:rPr>
      </w:pPr>
    </w:p>
    <w:p>
      <w:pPr>
        <w:pStyle w:val="5"/>
        <w:rPr>
          <w:rFonts w:hint="eastAsia" w:ascii="宋体" w:hAnsi="宋体" w:cs="宋体"/>
          <w:color w:val="auto"/>
          <w:sz w:val="24"/>
          <w:szCs w:val="24"/>
        </w:rPr>
      </w:pPr>
      <w:r>
        <w:rPr>
          <w:rFonts w:hint="eastAsia" w:ascii="宋体" w:hAnsi="宋体" w:cs="宋体"/>
          <w:color w:val="auto"/>
          <w:sz w:val="24"/>
          <w:szCs w:val="24"/>
        </w:rPr>
        <w:t>一、项目概述</w:t>
      </w:r>
    </w:p>
    <w:p>
      <w:pPr>
        <w:widowControl/>
        <w:snapToGrid/>
        <w:spacing w:line="360" w:lineRule="auto"/>
        <w:ind w:firstLine="0" w:firstLineChars="0"/>
        <w:jc w:val="left"/>
        <w:textAlignment w:val="center"/>
        <w:rPr>
          <w:rFonts w:hint="eastAsia" w:asciiTheme="minorEastAsia" w:hAnsiTheme="minorEastAsia" w:eastAsiaTheme="minorEastAsia" w:cstheme="minorEastAsia"/>
          <w:color w:val="auto"/>
          <w:kern w:val="0"/>
          <w:sz w:val="24"/>
          <w:szCs w:val="24"/>
          <w:u w:val="none"/>
          <w:lang w:bidi="ar"/>
        </w:rPr>
      </w:pPr>
      <w:r>
        <w:rPr>
          <w:rFonts w:hint="eastAsia" w:asciiTheme="minorEastAsia" w:hAnsiTheme="minorEastAsia" w:eastAsiaTheme="minorEastAsia" w:cstheme="minorEastAsia"/>
          <w:color w:val="auto"/>
          <w:kern w:val="0"/>
          <w:sz w:val="24"/>
          <w:u w:val="none"/>
          <w:lang w:val="en-US" w:eastAsia="zh-CN" w:bidi="ar"/>
        </w:rPr>
        <w:t>本项目为余杭区矛调中心服务辅助项目，预算金额1773500元。</w:t>
      </w:r>
    </w:p>
    <w:p>
      <w:pPr>
        <w:pStyle w:val="5"/>
        <w:numPr>
          <w:ilvl w:val="0"/>
          <w:numId w:val="1"/>
        </w:numPr>
        <w:rPr>
          <w:rFonts w:hint="eastAsia" w:ascii="宋体" w:hAnsi="宋体" w:cs="宋体"/>
          <w:color w:val="auto"/>
          <w:sz w:val="24"/>
          <w:szCs w:val="24"/>
        </w:rPr>
      </w:pPr>
      <w:r>
        <w:rPr>
          <w:rFonts w:hint="eastAsia" w:ascii="宋体" w:hAnsi="宋体" w:cs="宋体"/>
          <w:color w:val="auto"/>
          <w:sz w:val="24"/>
          <w:szCs w:val="24"/>
          <w:lang w:val="en-US" w:eastAsia="zh-CN"/>
        </w:rPr>
        <w:t>服务要求</w:t>
      </w:r>
    </w:p>
    <w:p>
      <w:pPr>
        <w:widowControl/>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1.区矛调中心综合受理窗口工作人员2名：负责线下办事人员系统登记、有序引导、精准分流工作，线上系统案件分流交办工作，同时承担日常安抚群众、诉求处理、群众疑问解答等相关工作。</w:t>
      </w:r>
    </w:p>
    <w:p>
      <w:pPr>
        <w:widowControl/>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2.区矛调中心讲解员1名：日常调研考察参观接待讲解工作，包括前期接待工作对接、参观路线规划、讲解稿内容数据实施更新、演示等工作。</w:t>
      </w:r>
    </w:p>
    <w:p>
      <w:pPr>
        <w:widowControl/>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3.区矛盾纠纷闭环督查工作需工作人员9人：对全区每年4万余起非警务警情、矛调纠纷事件处置闭环情况每日开展电话回访，线上平台反馈内容质检等工作。 </w:t>
      </w:r>
    </w:p>
    <w:p>
      <w:pPr>
        <w:widowControl/>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4.中心调解受理窗口工作人员2名：负责线下窗口案件的审核、受理、分配及调解相关咨询解答；线上“浙里调解”案件分流统计；接听窗口调解咨询电话。</w:t>
      </w:r>
    </w:p>
    <w:p>
      <w:pPr>
        <w:snapToGrid w:val="0"/>
        <w:rPr>
          <w:rFonts w:hint="eastAsia" w:ascii="宋体" w:hAnsi="宋体" w:eastAsia="宋体" w:cs="宋体"/>
          <w:bCs/>
          <w:snapToGrid w:val="0"/>
          <w:color w:val="000000"/>
          <w:kern w:val="28"/>
          <w:sz w:val="24"/>
          <w:highlight w:val="none"/>
          <w:lang w:val="en-US" w:eastAsia="zh-CN"/>
        </w:rPr>
      </w:pPr>
      <w:r>
        <w:rPr>
          <w:rFonts w:hint="eastAsia" w:ascii="宋体" w:hAnsi="宋体"/>
          <w:b/>
          <w:bCs/>
          <w:color w:val="000000"/>
          <w:sz w:val="24"/>
        </w:rPr>
        <w:t>三、服务期要求：</w:t>
      </w:r>
      <w:r>
        <w:rPr>
          <w:rFonts w:hint="eastAsia" w:ascii="宋体" w:hAnsi="宋体" w:cs="宋体"/>
          <w:bCs/>
          <w:snapToGrid w:val="0"/>
          <w:color w:val="000000"/>
          <w:kern w:val="28"/>
          <w:sz w:val="24"/>
          <w:highlight w:val="none"/>
          <w:lang w:val="en-US" w:eastAsia="zh-CN"/>
        </w:rPr>
        <w:t>自合同签订之日起一年</w:t>
      </w:r>
      <w:r>
        <w:rPr>
          <w:rFonts w:hint="eastAsia" w:ascii="宋体" w:hAnsi="宋体" w:eastAsia="宋体" w:cs="宋体"/>
          <w:bCs/>
          <w:snapToGrid w:val="0"/>
          <w:color w:val="000000"/>
          <w:kern w:val="28"/>
          <w:sz w:val="24"/>
          <w:highlight w:val="none"/>
          <w:lang w:val="en-US" w:eastAsia="zh-CN"/>
        </w:rPr>
        <w:t>。</w:t>
      </w:r>
    </w:p>
    <w:p>
      <w:pPr>
        <w:pStyle w:val="4"/>
        <w:rPr>
          <w:rFonts w:hint="default"/>
          <w:lang w:val="en-US" w:eastAsia="zh-CN"/>
        </w:rPr>
      </w:pP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四、履约保证金：</w:t>
      </w:r>
    </w:p>
    <w:p>
      <w:pPr>
        <w:snapToGrid w:val="0"/>
        <w:spacing w:line="360" w:lineRule="auto"/>
        <w:ind w:firstLine="480" w:firstLineChars="200"/>
        <w:jc w:val="left"/>
        <w:outlineLvl w:val="1"/>
        <w:rPr>
          <w:rFonts w:hint="eastAsia" w:ascii="宋体" w:hAnsi="宋体"/>
          <w:bCs/>
          <w:color w:val="000000"/>
          <w:sz w:val="24"/>
        </w:rPr>
      </w:pPr>
      <w:r>
        <w:rPr>
          <w:rFonts w:hint="eastAsia" w:ascii="宋体" w:hAnsi="宋体"/>
          <w:bCs/>
          <w:color w:val="000000"/>
          <w:sz w:val="24"/>
        </w:rPr>
        <w:t>在合同签订以前供应商向采购人缴纳成交总额</w:t>
      </w:r>
      <w:r>
        <w:rPr>
          <w:rFonts w:hint="eastAsia" w:ascii="宋体" w:hAnsi="宋体"/>
          <w:bCs/>
          <w:color w:val="000000"/>
          <w:sz w:val="24"/>
          <w:lang w:val="en-US" w:eastAsia="zh-CN"/>
        </w:rPr>
        <w:t>1</w:t>
      </w:r>
      <w:r>
        <w:rPr>
          <w:rFonts w:hint="eastAsia" w:ascii="宋体" w:hAnsi="宋体"/>
          <w:bCs/>
          <w:color w:val="000000"/>
          <w:sz w:val="24"/>
        </w:rPr>
        <w:t>%的履约保证金。</w:t>
      </w:r>
    </w:p>
    <w:p>
      <w:pPr>
        <w:pStyle w:val="4"/>
        <w:snapToGrid w:val="0"/>
        <w:spacing w:line="360" w:lineRule="auto"/>
        <w:jc w:val="left"/>
        <w:outlineLvl w:val="1"/>
        <w:rPr>
          <w:rFonts w:hint="eastAsia"/>
        </w:rPr>
      </w:pPr>
    </w:p>
    <w:p>
      <w:pPr>
        <w:spacing w:line="360" w:lineRule="auto"/>
        <w:ind w:firstLine="482" w:firstLineChars="200"/>
        <w:rPr>
          <w:rFonts w:hint="eastAsia" w:ascii="宋体" w:hAnsi="宋体" w:cs="宋体"/>
          <w:bCs/>
          <w:color w:val="auto"/>
          <w:sz w:val="24"/>
          <w:szCs w:val="32"/>
        </w:rPr>
      </w:pPr>
      <w:r>
        <w:rPr>
          <w:rFonts w:hint="eastAsia"/>
          <w:b/>
          <w:bCs/>
          <w:color w:val="000000"/>
          <w:sz w:val="24"/>
          <w:highlight w:val="none"/>
          <w:lang w:val="en-US" w:eastAsia="zh-CN"/>
        </w:rPr>
        <w:t>五</w:t>
      </w:r>
      <w:r>
        <w:rPr>
          <w:rFonts w:hint="eastAsia" w:ascii="宋体" w:hAnsi="宋体"/>
          <w:b/>
          <w:bCs/>
          <w:color w:val="000000"/>
          <w:sz w:val="24"/>
          <w:highlight w:val="none"/>
        </w:rPr>
        <w:t>、费用支付：</w:t>
      </w:r>
      <w:r>
        <w:rPr>
          <w:rFonts w:hint="eastAsia" w:ascii="宋体" w:hAnsi="宋体" w:eastAsia="宋体" w:cs="宋体"/>
          <w:snapToGrid/>
          <w:color w:val="auto"/>
          <w:kern w:val="2"/>
          <w:sz w:val="24"/>
          <w:szCs w:val="24"/>
          <w:highlight w:val="none"/>
          <w:lang w:val="en-US" w:eastAsia="zh-CN" w:bidi="ar-SA"/>
        </w:rPr>
        <w:t>采购人应在合同签订后15个工作日内向中标</w:t>
      </w:r>
      <w:r>
        <w:rPr>
          <w:rFonts w:hint="eastAsia" w:ascii="宋体" w:hAnsi="宋体" w:cs="宋体"/>
          <w:snapToGrid/>
          <w:color w:val="auto"/>
          <w:kern w:val="2"/>
          <w:sz w:val="24"/>
          <w:szCs w:val="24"/>
          <w:highlight w:val="none"/>
          <w:lang w:val="en-US" w:eastAsia="zh-CN" w:bidi="ar-SA"/>
        </w:rPr>
        <w:t>单位</w:t>
      </w:r>
      <w:r>
        <w:rPr>
          <w:rFonts w:hint="eastAsia" w:ascii="宋体" w:hAnsi="宋体" w:eastAsia="宋体" w:cs="宋体"/>
          <w:snapToGrid/>
          <w:color w:val="auto"/>
          <w:kern w:val="2"/>
          <w:sz w:val="24"/>
          <w:szCs w:val="24"/>
          <w:highlight w:val="none"/>
          <w:lang w:val="en-US" w:eastAsia="zh-CN" w:bidi="ar-SA"/>
        </w:rPr>
        <w:t>支付合同总价</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0%的预付款</w:t>
      </w:r>
      <w:r>
        <w:rPr>
          <w:rFonts w:hint="eastAsia" w:cs="宋体"/>
          <w:snapToGrid/>
          <w:color w:val="auto"/>
          <w:kern w:val="2"/>
          <w:sz w:val="24"/>
          <w:szCs w:val="24"/>
          <w:highlight w:val="none"/>
          <w:lang w:val="en-US" w:eastAsia="zh-CN" w:bidi="ar-SA"/>
        </w:rPr>
        <w:t>，剩余按季度支付款项。</w:t>
      </w:r>
    </w:p>
    <w:p>
      <w:pPr>
        <w:spacing w:line="360" w:lineRule="auto"/>
        <w:rPr>
          <w:rFonts w:ascii="宋体" w:hAnsi="宋体" w:cs="宋体"/>
          <w:color w:val="auto"/>
          <w:sz w:val="24"/>
        </w:rPr>
      </w:pP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5" w:name="_Toc184313264"/>
      <w:bookmarkEnd w:id="35"/>
      <w:bookmarkStart w:id="36" w:name="_Toc184314440"/>
      <w:bookmarkEnd w:id="36"/>
      <w:bookmarkStart w:id="37" w:name="_Toc184313246"/>
      <w:bookmarkEnd w:id="37"/>
      <w:bookmarkStart w:id="38" w:name="_Toc184314446"/>
      <w:bookmarkEnd w:id="38"/>
      <w:bookmarkStart w:id="39" w:name="_Toc184310273"/>
      <w:bookmarkEnd w:id="39"/>
      <w:bookmarkStart w:id="40" w:name="_Toc184308105"/>
      <w:bookmarkEnd w:id="40"/>
      <w:bookmarkStart w:id="41" w:name="_Toc184313305"/>
      <w:bookmarkEnd w:id="41"/>
      <w:bookmarkStart w:id="42" w:name="_Toc184314465"/>
      <w:bookmarkEnd w:id="42"/>
      <w:bookmarkStart w:id="43" w:name="_Toc184310314"/>
      <w:bookmarkEnd w:id="43"/>
      <w:bookmarkStart w:id="44" w:name="_Toc184314473"/>
      <w:bookmarkEnd w:id="44"/>
      <w:bookmarkStart w:id="45" w:name="_Toc184310284"/>
      <w:bookmarkEnd w:id="45"/>
      <w:bookmarkStart w:id="46" w:name="_Toc184310299"/>
      <w:bookmarkEnd w:id="46"/>
      <w:bookmarkStart w:id="47" w:name="_Toc184308045"/>
      <w:bookmarkEnd w:id="47"/>
      <w:bookmarkStart w:id="48" w:name="_Toc184308083"/>
      <w:bookmarkEnd w:id="48"/>
      <w:bookmarkStart w:id="49" w:name="_Toc184312116"/>
      <w:bookmarkEnd w:id="49"/>
      <w:bookmarkStart w:id="50" w:name="_Toc184313238"/>
      <w:bookmarkEnd w:id="50"/>
      <w:bookmarkStart w:id="51" w:name="_Toc184308063"/>
      <w:bookmarkEnd w:id="51"/>
      <w:bookmarkStart w:id="52" w:name="_Toc184308074"/>
      <w:bookmarkEnd w:id="52"/>
      <w:bookmarkStart w:id="53" w:name="_Toc184312119"/>
      <w:bookmarkEnd w:id="53"/>
      <w:bookmarkStart w:id="54" w:name="_Toc184313279"/>
      <w:bookmarkEnd w:id="54"/>
      <w:bookmarkStart w:id="55" w:name="_Toc184314412"/>
      <w:bookmarkEnd w:id="55"/>
      <w:bookmarkStart w:id="56" w:name="_Toc184314472"/>
      <w:bookmarkEnd w:id="56"/>
      <w:bookmarkStart w:id="57" w:name="_Toc184313290"/>
      <w:bookmarkEnd w:id="57"/>
      <w:bookmarkStart w:id="58" w:name="_Toc184308038"/>
      <w:bookmarkEnd w:id="58"/>
      <w:bookmarkStart w:id="59" w:name="_Toc184312097"/>
      <w:bookmarkEnd w:id="59"/>
      <w:bookmarkStart w:id="60" w:name="_Toc184313260"/>
      <w:bookmarkEnd w:id="60"/>
      <w:bookmarkStart w:id="61" w:name="_Toc184308091"/>
      <w:bookmarkEnd w:id="61"/>
      <w:bookmarkStart w:id="62" w:name="_Toc184312100"/>
      <w:bookmarkEnd w:id="62"/>
      <w:bookmarkStart w:id="63" w:name="_Toc184310325"/>
      <w:bookmarkEnd w:id="63"/>
      <w:bookmarkStart w:id="64" w:name="_Toc184312091"/>
      <w:bookmarkEnd w:id="64"/>
      <w:bookmarkStart w:id="65" w:name="_Toc184314478"/>
      <w:bookmarkEnd w:id="65"/>
      <w:bookmarkStart w:id="66" w:name="_Toc184313302"/>
      <w:bookmarkEnd w:id="66"/>
      <w:bookmarkStart w:id="67" w:name="_Toc184312095"/>
      <w:bookmarkEnd w:id="67"/>
      <w:bookmarkStart w:id="68" w:name="_Toc184308081"/>
      <w:bookmarkEnd w:id="68"/>
      <w:bookmarkStart w:id="69" w:name="_Toc184308052"/>
      <w:bookmarkEnd w:id="69"/>
      <w:bookmarkStart w:id="70" w:name="_Toc184310279"/>
      <w:bookmarkEnd w:id="70"/>
      <w:bookmarkStart w:id="71" w:name="_Toc184308094"/>
      <w:bookmarkEnd w:id="71"/>
      <w:bookmarkStart w:id="72" w:name="_Toc184314433"/>
      <w:bookmarkEnd w:id="72"/>
      <w:bookmarkStart w:id="73" w:name="_Toc184313244"/>
      <w:bookmarkEnd w:id="73"/>
      <w:bookmarkStart w:id="74" w:name="_Toc184308080"/>
      <w:bookmarkEnd w:id="74"/>
      <w:bookmarkStart w:id="75" w:name="_Toc184313273"/>
      <w:bookmarkEnd w:id="75"/>
      <w:bookmarkStart w:id="76" w:name="_Toc184312099"/>
      <w:bookmarkEnd w:id="76"/>
      <w:bookmarkStart w:id="77" w:name="_Toc184313291"/>
      <w:bookmarkEnd w:id="77"/>
      <w:bookmarkStart w:id="78" w:name="_Toc184312084"/>
      <w:bookmarkEnd w:id="78"/>
      <w:bookmarkStart w:id="79" w:name="_Toc184314415"/>
      <w:bookmarkEnd w:id="79"/>
      <w:bookmarkStart w:id="80" w:name="_Toc184313300"/>
      <w:bookmarkEnd w:id="80"/>
      <w:bookmarkStart w:id="81" w:name="_Toc184310343"/>
      <w:bookmarkEnd w:id="81"/>
      <w:bookmarkStart w:id="82" w:name="_Toc184310308"/>
      <w:bookmarkEnd w:id="82"/>
      <w:bookmarkStart w:id="83" w:name="_Toc184308067"/>
      <w:bookmarkEnd w:id="83"/>
      <w:bookmarkStart w:id="84" w:name="_Toc184310302"/>
      <w:bookmarkEnd w:id="84"/>
      <w:bookmarkStart w:id="85" w:name="_Toc184312074"/>
      <w:bookmarkEnd w:id="85"/>
      <w:bookmarkStart w:id="86" w:name="_Toc184310340"/>
      <w:bookmarkEnd w:id="86"/>
      <w:bookmarkStart w:id="87" w:name="_Toc184312124"/>
      <w:bookmarkEnd w:id="87"/>
      <w:bookmarkStart w:id="88" w:name="_Toc184308093"/>
      <w:bookmarkEnd w:id="88"/>
      <w:bookmarkStart w:id="89" w:name="_Toc184308057"/>
      <w:bookmarkEnd w:id="89"/>
      <w:bookmarkStart w:id="90" w:name="_Toc184310300"/>
      <w:bookmarkEnd w:id="90"/>
      <w:bookmarkStart w:id="91" w:name="_Toc184310317"/>
      <w:bookmarkEnd w:id="91"/>
      <w:bookmarkStart w:id="92" w:name="_Toc184312110"/>
      <w:bookmarkEnd w:id="92"/>
      <w:bookmarkStart w:id="93" w:name="_Toc184310315"/>
      <w:bookmarkEnd w:id="93"/>
      <w:bookmarkStart w:id="94" w:name="_Toc184313283"/>
      <w:bookmarkEnd w:id="94"/>
      <w:bookmarkStart w:id="95" w:name="_Toc184310320"/>
      <w:bookmarkEnd w:id="95"/>
      <w:bookmarkStart w:id="96" w:name="_Toc184312101"/>
      <w:bookmarkEnd w:id="96"/>
      <w:bookmarkStart w:id="97" w:name="_Toc184313298"/>
      <w:bookmarkEnd w:id="97"/>
      <w:bookmarkStart w:id="98" w:name="_Toc184310276"/>
      <w:bookmarkEnd w:id="98"/>
      <w:bookmarkStart w:id="99" w:name="_Toc184312102"/>
      <w:bookmarkEnd w:id="99"/>
      <w:bookmarkStart w:id="100" w:name="_Toc184314445"/>
      <w:bookmarkEnd w:id="100"/>
      <w:bookmarkStart w:id="101" w:name="_Toc184314453"/>
      <w:bookmarkEnd w:id="101"/>
      <w:bookmarkStart w:id="102" w:name="_Toc184308108"/>
      <w:bookmarkEnd w:id="102"/>
      <w:bookmarkStart w:id="103" w:name="_Toc184313282"/>
      <w:bookmarkEnd w:id="103"/>
      <w:bookmarkStart w:id="104" w:name="_Toc184310310"/>
      <w:bookmarkEnd w:id="104"/>
      <w:bookmarkStart w:id="105" w:name="_Toc184310293"/>
      <w:bookmarkEnd w:id="105"/>
      <w:bookmarkStart w:id="106" w:name="_Toc184310328"/>
      <w:bookmarkEnd w:id="106"/>
      <w:bookmarkStart w:id="107" w:name="_Toc184312073"/>
      <w:bookmarkEnd w:id="107"/>
      <w:bookmarkStart w:id="108" w:name="_Toc184308061"/>
      <w:bookmarkEnd w:id="108"/>
      <w:bookmarkStart w:id="109" w:name="_Toc184310319"/>
      <w:bookmarkEnd w:id="109"/>
      <w:bookmarkStart w:id="110" w:name="_Toc184314462"/>
      <w:bookmarkEnd w:id="110"/>
      <w:bookmarkStart w:id="111" w:name="_Toc184308058"/>
      <w:bookmarkEnd w:id="111"/>
      <w:bookmarkStart w:id="112" w:name="_Toc184308078"/>
      <w:bookmarkEnd w:id="112"/>
      <w:bookmarkStart w:id="113" w:name="_Toc184314414"/>
      <w:bookmarkEnd w:id="113"/>
      <w:bookmarkStart w:id="114" w:name="_Toc184310341"/>
      <w:bookmarkEnd w:id="114"/>
      <w:bookmarkStart w:id="115" w:name="_Toc184314474"/>
      <w:bookmarkEnd w:id="115"/>
      <w:bookmarkStart w:id="116" w:name="_Toc184312075"/>
      <w:bookmarkEnd w:id="116"/>
      <w:bookmarkStart w:id="117" w:name="_Toc184313262"/>
      <w:bookmarkEnd w:id="117"/>
      <w:bookmarkStart w:id="118" w:name="_Toc184313306"/>
      <w:bookmarkEnd w:id="118"/>
      <w:bookmarkStart w:id="119" w:name="_Toc184313287"/>
      <w:bookmarkEnd w:id="119"/>
      <w:bookmarkStart w:id="120" w:name="_Toc184312098"/>
      <w:bookmarkEnd w:id="120"/>
      <w:bookmarkStart w:id="121" w:name="_Toc184310344"/>
      <w:bookmarkEnd w:id="121"/>
      <w:bookmarkStart w:id="122" w:name="_Toc184308049"/>
      <w:bookmarkEnd w:id="122"/>
      <w:bookmarkStart w:id="123" w:name="_Toc184313294"/>
      <w:bookmarkEnd w:id="123"/>
      <w:bookmarkStart w:id="124" w:name="_Toc184314416"/>
      <w:bookmarkEnd w:id="124"/>
      <w:bookmarkStart w:id="125" w:name="_Toc184308044"/>
      <w:bookmarkEnd w:id="125"/>
      <w:bookmarkStart w:id="126" w:name="_Toc184312071"/>
      <w:bookmarkEnd w:id="126"/>
      <w:bookmarkStart w:id="127" w:name="_Toc184310330"/>
      <w:bookmarkEnd w:id="127"/>
      <w:bookmarkStart w:id="128" w:name="_Toc184308066"/>
      <w:bookmarkEnd w:id="128"/>
      <w:bookmarkStart w:id="129" w:name="_Toc184312126"/>
      <w:bookmarkEnd w:id="129"/>
      <w:bookmarkStart w:id="130" w:name="_Toc184310282"/>
      <w:bookmarkEnd w:id="130"/>
      <w:bookmarkStart w:id="131" w:name="_Toc184314452"/>
      <w:bookmarkEnd w:id="131"/>
      <w:bookmarkStart w:id="132" w:name="_Toc184314469"/>
      <w:bookmarkEnd w:id="132"/>
      <w:bookmarkStart w:id="133" w:name="_Toc184314423"/>
      <w:bookmarkEnd w:id="133"/>
      <w:bookmarkStart w:id="134" w:name="_Toc184313297"/>
      <w:bookmarkEnd w:id="134"/>
      <w:bookmarkStart w:id="135" w:name="_Toc184313241"/>
      <w:bookmarkEnd w:id="135"/>
      <w:bookmarkStart w:id="136" w:name="_Toc184313293"/>
      <w:bookmarkEnd w:id="136"/>
      <w:bookmarkStart w:id="137" w:name="_Toc184310297"/>
      <w:bookmarkEnd w:id="137"/>
      <w:bookmarkStart w:id="138" w:name="_Toc184308073"/>
      <w:bookmarkEnd w:id="138"/>
      <w:bookmarkStart w:id="139" w:name="_Toc184312123"/>
      <w:bookmarkEnd w:id="139"/>
      <w:bookmarkStart w:id="140" w:name="_Toc184312093"/>
      <w:bookmarkEnd w:id="140"/>
      <w:bookmarkStart w:id="141" w:name="_Toc184312125"/>
      <w:bookmarkEnd w:id="141"/>
      <w:bookmarkStart w:id="142" w:name="_Toc184310272"/>
      <w:bookmarkEnd w:id="142"/>
      <w:bookmarkStart w:id="143" w:name="_Toc184314466"/>
      <w:bookmarkEnd w:id="143"/>
      <w:bookmarkStart w:id="144" w:name="_Toc184314460"/>
      <w:bookmarkEnd w:id="144"/>
      <w:bookmarkStart w:id="145" w:name="_Toc184310296"/>
      <w:bookmarkEnd w:id="145"/>
      <w:bookmarkStart w:id="146" w:name="_Toc184314471"/>
      <w:bookmarkEnd w:id="146"/>
      <w:bookmarkStart w:id="147" w:name="_Toc184313255"/>
      <w:bookmarkEnd w:id="147"/>
      <w:bookmarkStart w:id="148" w:name="_Toc184313272"/>
      <w:bookmarkEnd w:id="148"/>
      <w:bookmarkStart w:id="149" w:name="_Toc184310285"/>
      <w:bookmarkEnd w:id="149"/>
      <w:bookmarkStart w:id="150" w:name="_Toc184313276"/>
      <w:bookmarkEnd w:id="150"/>
      <w:bookmarkStart w:id="151" w:name="_Toc184312077"/>
      <w:bookmarkEnd w:id="151"/>
      <w:bookmarkStart w:id="152" w:name="_Toc184308098"/>
      <w:bookmarkEnd w:id="152"/>
      <w:bookmarkStart w:id="153" w:name="_Toc184313266"/>
      <w:bookmarkEnd w:id="153"/>
      <w:bookmarkStart w:id="154" w:name="_Toc184310281"/>
      <w:bookmarkEnd w:id="154"/>
      <w:bookmarkStart w:id="155" w:name="_Toc184312136"/>
      <w:bookmarkEnd w:id="155"/>
      <w:bookmarkStart w:id="156" w:name="_Toc184312104"/>
      <w:bookmarkEnd w:id="156"/>
      <w:bookmarkStart w:id="157" w:name="_Toc184313243"/>
      <w:bookmarkEnd w:id="157"/>
      <w:bookmarkStart w:id="158" w:name="_Toc184313278"/>
      <w:bookmarkEnd w:id="158"/>
      <w:bookmarkStart w:id="159" w:name="_Toc184308072"/>
      <w:bookmarkEnd w:id="159"/>
      <w:bookmarkStart w:id="160" w:name="_Toc184312079"/>
      <w:bookmarkEnd w:id="160"/>
      <w:bookmarkStart w:id="161" w:name="_Toc184314422"/>
      <w:bookmarkEnd w:id="161"/>
      <w:bookmarkStart w:id="162" w:name="_Toc184312130"/>
      <w:bookmarkEnd w:id="162"/>
      <w:bookmarkStart w:id="163" w:name="_Toc184308037"/>
      <w:bookmarkEnd w:id="163"/>
      <w:bookmarkStart w:id="164" w:name="_Toc184308086"/>
      <w:bookmarkEnd w:id="164"/>
      <w:bookmarkStart w:id="165" w:name="_Toc184310323"/>
      <w:bookmarkEnd w:id="165"/>
      <w:bookmarkStart w:id="166" w:name="_Toc184308079"/>
      <w:bookmarkEnd w:id="166"/>
      <w:bookmarkStart w:id="167" w:name="_Toc184308068"/>
      <w:bookmarkEnd w:id="167"/>
      <w:bookmarkStart w:id="168" w:name="_Toc184313301"/>
      <w:bookmarkEnd w:id="168"/>
      <w:bookmarkStart w:id="169" w:name="_Toc184312139"/>
      <w:bookmarkEnd w:id="169"/>
      <w:bookmarkStart w:id="170" w:name="_Toc184314458"/>
      <w:bookmarkEnd w:id="170"/>
      <w:bookmarkStart w:id="171" w:name="_Toc184314447"/>
      <w:bookmarkEnd w:id="171"/>
      <w:bookmarkStart w:id="172" w:name="_Toc184313288"/>
      <w:bookmarkEnd w:id="172"/>
      <w:bookmarkStart w:id="173" w:name="_Toc184312082"/>
      <w:bookmarkEnd w:id="173"/>
      <w:bookmarkStart w:id="174" w:name="_Toc184313254"/>
      <w:bookmarkEnd w:id="174"/>
      <w:bookmarkStart w:id="175" w:name="_Toc184308065"/>
      <w:bookmarkEnd w:id="175"/>
      <w:bookmarkStart w:id="176" w:name="_Toc184308048"/>
      <w:bookmarkEnd w:id="176"/>
      <w:bookmarkStart w:id="177" w:name="_Toc184308062"/>
      <w:bookmarkEnd w:id="177"/>
      <w:bookmarkStart w:id="178" w:name="_Toc184310274"/>
      <w:bookmarkEnd w:id="178"/>
      <w:bookmarkStart w:id="179" w:name="_Toc184313242"/>
      <w:bookmarkEnd w:id="179"/>
      <w:bookmarkStart w:id="180" w:name="_Toc184312111"/>
      <w:bookmarkEnd w:id="180"/>
      <w:bookmarkStart w:id="181" w:name="_Toc184312108"/>
      <w:bookmarkEnd w:id="181"/>
      <w:bookmarkStart w:id="182" w:name="_Toc184313271"/>
      <w:bookmarkEnd w:id="182"/>
      <w:bookmarkStart w:id="183" w:name="_Toc184313259"/>
      <w:bookmarkEnd w:id="183"/>
      <w:bookmarkStart w:id="184" w:name="_Toc184312067"/>
      <w:bookmarkEnd w:id="184"/>
      <w:bookmarkStart w:id="185" w:name="_Toc184313275"/>
      <w:bookmarkEnd w:id="185"/>
      <w:bookmarkStart w:id="186" w:name="_Toc184312094"/>
      <w:bookmarkEnd w:id="186"/>
      <w:bookmarkStart w:id="187" w:name="_Toc184313289"/>
      <w:bookmarkEnd w:id="187"/>
      <w:bookmarkStart w:id="188" w:name="_Toc184313269"/>
      <w:bookmarkEnd w:id="188"/>
      <w:bookmarkStart w:id="189" w:name="_Toc184308036"/>
      <w:bookmarkEnd w:id="189"/>
      <w:bookmarkStart w:id="190" w:name="_Toc184310283"/>
      <w:bookmarkEnd w:id="190"/>
      <w:bookmarkStart w:id="191" w:name="_Toc184308082"/>
      <w:bookmarkEnd w:id="191"/>
      <w:bookmarkStart w:id="192" w:name="_Toc184312103"/>
      <w:bookmarkEnd w:id="192"/>
      <w:bookmarkStart w:id="193" w:name="_Toc184314442"/>
      <w:bookmarkEnd w:id="193"/>
      <w:bookmarkStart w:id="194" w:name="_Toc184312096"/>
      <w:bookmarkEnd w:id="194"/>
      <w:bookmarkStart w:id="195" w:name="_Toc184310294"/>
      <w:bookmarkEnd w:id="195"/>
      <w:bookmarkStart w:id="196" w:name="_Toc184313277"/>
      <w:bookmarkEnd w:id="196"/>
      <w:bookmarkStart w:id="197" w:name="_Toc184312070"/>
      <w:bookmarkEnd w:id="197"/>
      <w:bookmarkStart w:id="198" w:name="_Toc184310311"/>
      <w:bookmarkEnd w:id="198"/>
      <w:bookmarkStart w:id="199" w:name="_Toc184308092"/>
      <w:bookmarkEnd w:id="199"/>
      <w:bookmarkStart w:id="200" w:name="_Toc184312107"/>
      <w:bookmarkEnd w:id="200"/>
      <w:bookmarkStart w:id="201" w:name="_Toc184313251"/>
      <w:bookmarkEnd w:id="201"/>
      <w:bookmarkStart w:id="202" w:name="_Toc184308042"/>
      <w:bookmarkEnd w:id="202"/>
      <w:bookmarkStart w:id="203" w:name="_Toc184310280"/>
      <w:bookmarkEnd w:id="203"/>
      <w:bookmarkStart w:id="204" w:name="_Toc184308096"/>
      <w:bookmarkEnd w:id="204"/>
      <w:bookmarkStart w:id="205" w:name="_Toc184308099"/>
      <w:bookmarkEnd w:id="205"/>
      <w:bookmarkStart w:id="206" w:name="_Toc184310298"/>
      <w:bookmarkEnd w:id="206"/>
      <w:bookmarkStart w:id="207" w:name="_Toc184313261"/>
      <w:bookmarkEnd w:id="207"/>
      <w:bookmarkStart w:id="208" w:name="_Toc184308077"/>
      <w:bookmarkEnd w:id="208"/>
      <w:bookmarkStart w:id="209" w:name="_Toc184310289"/>
      <w:bookmarkEnd w:id="209"/>
      <w:bookmarkStart w:id="210" w:name="_Toc184314428"/>
      <w:bookmarkEnd w:id="210"/>
      <w:bookmarkStart w:id="211" w:name="_Toc184314457"/>
      <w:bookmarkEnd w:id="211"/>
      <w:bookmarkStart w:id="212" w:name="_Toc184313253"/>
      <w:bookmarkEnd w:id="212"/>
      <w:bookmarkStart w:id="213" w:name="_Toc184312118"/>
      <w:bookmarkEnd w:id="213"/>
      <w:bookmarkStart w:id="214" w:name="_Toc184308106"/>
      <w:bookmarkEnd w:id="214"/>
      <w:bookmarkStart w:id="215" w:name="_Toc184310309"/>
      <w:bookmarkEnd w:id="215"/>
      <w:bookmarkStart w:id="216" w:name="_Toc184314429"/>
      <w:bookmarkEnd w:id="216"/>
      <w:bookmarkStart w:id="217" w:name="_Toc184312137"/>
      <w:bookmarkEnd w:id="217"/>
      <w:bookmarkStart w:id="218" w:name="_Toc184313240"/>
      <w:bookmarkEnd w:id="218"/>
      <w:bookmarkStart w:id="219" w:name="_Toc184313263"/>
      <w:bookmarkEnd w:id="219"/>
      <w:bookmarkStart w:id="220" w:name="_Toc184310332"/>
      <w:bookmarkEnd w:id="220"/>
      <w:bookmarkStart w:id="221" w:name="_Toc184314418"/>
      <w:bookmarkEnd w:id="221"/>
      <w:bookmarkStart w:id="222" w:name="_Toc184308054"/>
      <w:bookmarkEnd w:id="222"/>
      <w:bookmarkStart w:id="223" w:name="_Toc184308100"/>
      <w:bookmarkEnd w:id="223"/>
      <w:bookmarkStart w:id="224" w:name="_Toc184314431"/>
      <w:bookmarkEnd w:id="224"/>
      <w:bookmarkStart w:id="225" w:name="_Toc184312080"/>
      <w:bookmarkEnd w:id="225"/>
      <w:bookmarkStart w:id="226" w:name="_Toc184313249"/>
      <w:bookmarkEnd w:id="226"/>
      <w:bookmarkStart w:id="227" w:name="_Toc184310275"/>
      <w:bookmarkEnd w:id="227"/>
      <w:bookmarkStart w:id="228" w:name="_Toc184308041"/>
      <w:bookmarkEnd w:id="228"/>
      <w:bookmarkStart w:id="229" w:name="_Toc184308095"/>
      <w:bookmarkEnd w:id="229"/>
      <w:bookmarkStart w:id="230" w:name="_Toc184312127"/>
      <w:bookmarkEnd w:id="230"/>
      <w:bookmarkStart w:id="231" w:name="_Toc184314455"/>
      <w:bookmarkEnd w:id="231"/>
      <w:bookmarkStart w:id="232" w:name="_Toc184313308"/>
      <w:bookmarkEnd w:id="232"/>
      <w:bookmarkStart w:id="233" w:name="_Toc184312128"/>
      <w:bookmarkEnd w:id="233"/>
      <w:bookmarkStart w:id="234" w:name="_Toc184312105"/>
      <w:bookmarkEnd w:id="234"/>
      <w:bookmarkStart w:id="235" w:name="_Toc184312131"/>
      <w:bookmarkEnd w:id="235"/>
      <w:bookmarkStart w:id="236" w:name="_Toc184314461"/>
      <w:bookmarkEnd w:id="236"/>
      <w:bookmarkStart w:id="237" w:name="_Toc184308076"/>
      <w:bookmarkEnd w:id="237"/>
      <w:bookmarkStart w:id="238" w:name="_Toc184312138"/>
      <w:bookmarkEnd w:id="238"/>
      <w:bookmarkStart w:id="239" w:name="_Toc184312092"/>
      <w:bookmarkEnd w:id="239"/>
      <w:bookmarkStart w:id="240" w:name="_Toc184314477"/>
      <w:bookmarkEnd w:id="240"/>
      <w:bookmarkStart w:id="241" w:name="_Toc184308103"/>
      <w:bookmarkEnd w:id="241"/>
      <w:bookmarkStart w:id="242" w:name="_Toc184312129"/>
      <w:bookmarkEnd w:id="242"/>
      <w:bookmarkStart w:id="243" w:name="_Toc184308084"/>
      <w:bookmarkEnd w:id="243"/>
      <w:bookmarkStart w:id="244" w:name="_Toc184313258"/>
      <w:bookmarkEnd w:id="244"/>
      <w:bookmarkStart w:id="245" w:name="_Toc184308050"/>
      <w:bookmarkEnd w:id="245"/>
      <w:bookmarkStart w:id="246" w:name="_Toc184310295"/>
      <w:bookmarkEnd w:id="246"/>
      <w:bookmarkStart w:id="247" w:name="_Toc184310306"/>
      <w:bookmarkEnd w:id="247"/>
      <w:bookmarkStart w:id="248" w:name="_Toc184308047"/>
      <w:bookmarkEnd w:id="248"/>
      <w:bookmarkStart w:id="249" w:name="_Toc184308087"/>
      <w:bookmarkEnd w:id="249"/>
      <w:bookmarkStart w:id="250" w:name="_Toc184310304"/>
      <w:bookmarkEnd w:id="250"/>
      <w:bookmarkStart w:id="251" w:name="_Toc184314411"/>
      <w:bookmarkEnd w:id="251"/>
      <w:bookmarkStart w:id="252" w:name="_Toc184310288"/>
      <w:bookmarkEnd w:id="252"/>
      <w:bookmarkStart w:id="253" w:name="_Toc184314425"/>
      <w:bookmarkEnd w:id="253"/>
      <w:bookmarkStart w:id="254" w:name="_Toc184310292"/>
      <w:bookmarkEnd w:id="254"/>
      <w:bookmarkStart w:id="255" w:name="_Toc184312122"/>
      <w:bookmarkEnd w:id="255"/>
      <w:bookmarkStart w:id="256" w:name="_Toc184310305"/>
      <w:bookmarkEnd w:id="256"/>
      <w:bookmarkStart w:id="257" w:name="_Toc184314436"/>
      <w:bookmarkEnd w:id="257"/>
      <w:bookmarkStart w:id="258" w:name="_Toc184313296"/>
      <w:bookmarkEnd w:id="258"/>
      <w:bookmarkStart w:id="259" w:name="_Toc184310336"/>
      <w:bookmarkEnd w:id="259"/>
      <w:bookmarkStart w:id="260" w:name="_Toc184308070"/>
      <w:bookmarkEnd w:id="260"/>
      <w:bookmarkStart w:id="261" w:name="_Toc184313265"/>
      <w:bookmarkEnd w:id="261"/>
      <w:bookmarkStart w:id="262" w:name="_Toc184314439"/>
      <w:bookmarkEnd w:id="262"/>
      <w:bookmarkStart w:id="263" w:name="_Toc184308053"/>
      <w:bookmarkEnd w:id="263"/>
      <w:bookmarkStart w:id="264" w:name="_Toc184310277"/>
      <w:bookmarkEnd w:id="264"/>
      <w:bookmarkStart w:id="265" w:name="_Toc184314443"/>
      <w:bookmarkEnd w:id="265"/>
      <w:bookmarkStart w:id="266" w:name="_Toc184314468"/>
      <w:bookmarkEnd w:id="266"/>
      <w:bookmarkStart w:id="267" w:name="_Toc184313248"/>
      <w:bookmarkEnd w:id="267"/>
      <w:bookmarkStart w:id="268" w:name="_Toc184314470"/>
      <w:bookmarkEnd w:id="268"/>
      <w:bookmarkStart w:id="269" w:name="_Toc184312132"/>
      <w:bookmarkEnd w:id="269"/>
      <w:bookmarkStart w:id="270" w:name="_Toc184312083"/>
      <w:bookmarkEnd w:id="270"/>
      <w:bookmarkStart w:id="271" w:name="_Toc184313239"/>
      <w:bookmarkEnd w:id="271"/>
      <w:bookmarkStart w:id="272" w:name="_Toc184310324"/>
      <w:bookmarkEnd w:id="272"/>
      <w:bookmarkStart w:id="273" w:name="_Toc184312081"/>
      <w:bookmarkEnd w:id="273"/>
      <w:bookmarkStart w:id="274" w:name="_Toc184313292"/>
      <w:bookmarkEnd w:id="274"/>
      <w:bookmarkStart w:id="275" w:name="_Toc184313281"/>
      <w:bookmarkEnd w:id="275"/>
      <w:bookmarkStart w:id="276" w:name="_Toc184312115"/>
      <w:bookmarkEnd w:id="276"/>
      <w:bookmarkStart w:id="277" w:name="_Toc184312120"/>
      <w:bookmarkEnd w:id="277"/>
      <w:bookmarkStart w:id="278" w:name="_Toc184308064"/>
      <w:bookmarkEnd w:id="278"/>
      <w:bookmarkStart w:id="279" w:name="_Toc184312085"/>
      <w:bookmarkEnd w:id="279"/>
      <w:bookmarkStart w:id="280" w:name="_Toc184314482"/>
      <w:bookmarkEnd w:id="280"/>
      <w:bookmarkStart w:id="281" w:name="_Toc184313256"/>
      <w:bookmarkEnd w:id="281"/>
      <w:bookmarkStart w:id="282" w:name="_Toc184310331"/>
      <w:bookmarkEnd w:id="282"/>
      <w:bookmarkStart w:id="283" w:name="_Toc184312114"/>
      <w:bookmarkEnd w:id="283"/>
      <w:bookmarkStart w:id="284" w:name="_Toc184310322"/>
      <w:bookmarkEnd w:id="284"/>
      <w:bookmarkStart w:id="285" w:name="_Toc184312121"/>
      <w:bookmarkEnd w:id="285"/>
      <w:bookmarkStart w:id="286" w:name="_Toc184313252"/>
      <w:bookmarkEnd w:id="286"/>
      <w:bookmarkStart w:id="287" w:name="_Toc184312113"/>
      <w:bookmarkEnd w:id="287"/>
      <w:bookmarkStart w:id="288" w:name="_Toc184310291"/>
      <w:bookmarkEnd w:id="288"/>
      <w:bookmarkStart w:id="289" w:name="_Toc184314438"/>
      <w:bookmarkEnd w:id="289"/>
      <w:bookmarkStart w:id="290" w:name="_Toc184312089"/>
      <w:bookmarkEnd w:id="290"/>
      <w:bookmarkStart w:id="291" w:name="_Toc184313268"/>
      <w:bookmarkEnd w:id="291"/>
      <w:bookmarkStart w:id="292" w:name="_Toc184314448"/>
      <w:bookmarkEnd w:id="292"/>
      <w:bookmarkStart w:id="293" w:name="_Toc184310334"/>
      <w:bookmarkEnd w:id="293"/>
      <w:bookmarkStart w:id="294" w:name="_Toc184308043"/>
      <w:bookmarkEnd w:id="294"/>
      <w:bookmarkStart w:id="295" w:name="_Toc184308101"/>
      <w:bookmarkEnd w:id="295"/>
      <w:bookmarkStart w:id="296" w:name="_Toc184310318"/>
      <w:bookmarkEnd w:id="296"/>
      <w:bookmarkStart w:id="297" w:name="_Toc184308069"/>
      <w:bookmarkEnd w:id="297"/>
      <w:bookmarkStart w:id="298" w:name="_Toc184314476"/>
      <w:bookmarkEnd w:id="298"/>
      <w:bookmarkStart w:id="299" w:name="_Toc184313304"/>
      <w:bookmarkEnd w:id="299"/>
      <w:bookmarkStart w:id="300" w:name="_Toc184314419"/>
      <w:bookmarkEnd w:id="300"/>
      <w:bookmarkStart w:id="301" w:name="_Toc184310316"/>
      <w:bookmarkEnd w:id="301"/>
      <w:bookmarkStart w:id="302" w:name="_Toc184308104"/>
      <w:bookmarkEnd w:id="302"/>
      <w:bookmarkStart w:id="303" w:name="_Toc184310290"/>
      <w:bookmarkEnd w:id="303"/>
      <w:bookmarkStart w:id="304" w:name="_Toc184314435"/>
      <w:bookmarkEnd w:id="304"/>
      <w:bookmarkStart w:id="305" w:name="_Toc184313295"/>
      <w:bookmarkEnd w:id="305"/>
      <w:bookmarkStart w:id="306" w:name="_Toc184313285"/>
      <w:bookmarkEnd w:id="306"/>
      <w:bookmarkStart w:id="307" w:name="_Toc184314434"/>
      <w:bookmarkEnd w:id="307"/>
      <w:bookmarkStart w:id="308" w:name="_Toc184313247"/>
      <w:bookmarkEnd w:id="308"/>
      <w:bookmarkStart w:id="309" w:name="_Toc184313309"/>
      <w:bookmarkEnd w:id="309"/>
      <w:bookmarkStart w:id="310" w:name="_Toc184310312"/>
      <w:bookmarkEnd w:id="310"/>
      <w:bookmarkStart w:id="311" w:name="_Toc184308102"/>
      <w:bookmarkEnd w:id="311"/>
      <w:bookmarkStart w:id="312" w:name="_Toc184308059"/>
      <w:bookmarkEnd w:id="312"/>
      <w:bookmarkStart w:id="313" w:name="_Toc184310329"/>
      <w:bookmarkEnd w:id="313"/>
      <w:bookmarkStart w:id="314" w:name="_Toc184308040"/>
      <w:bookmarkEnd w:id="314"/>
      <w:bookmarkStart w:id="315" w:name="_Toc184314450"/>
      <w:bookmarkEnd w:id="315"/>
      <w:bookmarkStart w:id="316" w:name="_Toc184314481"/>
      <w:bookmarkEnd w:id="316"/>
      <w:bookmarkStart w:id="317" w:name="_Toc184312076"/>
      <w:bookmarkEnd w:id="317"/>
      <w:bookmarkStart w:id="318" w:name="_Toc184310342"/>
      <w:bookmarkEnd w:id="318"/>
      <w:bookmarkStart w:id="319" w:name="_Toc184312109"/>
      <w:bookmarkEnd w:id="319"/>
      <w:bookmarkStart w:id="320" w:name="_Toc184308060"/>
      <w:bookmarkEnd w:id="320"/>
      <w:bookmarkStart w:id="321" w:name="_Toc184308085"/>
      <w:bookmarkEnd w:id="321"/>
      <w:bookmarkStart w:id="322" w:name="_Toc184314456"/>
      <w:bookmarkEnd w:id="322"/>
      <w:bookmarkStart w:id="323" w:name="_Toc184312072"/>
      <w:bookmarkEnd w:id="323"/>
      <w:bookmarkStart w:id="324" w:name="_Toc184313280"/>
      <w:bookmarkEnd w:id="324"/>
      <w:bookmarkStart w:id="325" w:name="_Toc184308046"/>
      <w:bookmarkEnd w:id="325"/>
      <w:bookmarkStart w:id="326" w:name="_Toc184310278"/>
      <w:bookmarkEnd w:id="326"/>
      <w:bookmarkStart w:id="327" w:name="_Toc184314459"/>
      <w:bookmarkEnd w:id="327"/>
      <w:bookmarkStart w:id="328" w:name="_Toc184312090"/>
      <w:bookmarkEnd w:id="328"/>
      <w:bookmarkStart w:id="329" w:name="_Toc184313250"/>
      <w:bookmarkEnd w:id="329"/>
      <w:bookmarkStart w:id="330" w:name="_Toc184310313"/>
      <w:bookmarkEnd w:id="330"/>
      <w:bookmarkStart w:id="331" w:name="_Toc184313284"/>
      <w:bookmarkEnd w:id="331"/>
      <w:bookmarkStart w:id="332" w:name="_Toc184312068"/>
      <w:bookmarkEnd w:id="332"/>
      <w:bookmarkStart w:id="333" w:name="_Toc184313274"/>
      <w:bookmarkEnd w:id="333"/>
      <w:bookmarkStart w:id="334" w:name="_Toc184312134"/>
      <w:bookmarkEnd w:id="334"/>
      <w:bookmarkStart w:id="335" w:name="_Toc184308097"/>
      <w:bookmarkEnd w:id="335"/>
      <w:bookmarkStart w:id="336" w:name="_Toc184308055"/>
      <w:bookmarkEnd w:id="336"/>
      <w:bookmarkStart w:id="337" w:name="_Toc184308039"/>
      <w:bookmarkEnd w:id="337"/>
      <w:bookmarkStart w:id="338" w:name="_Toc184314479"/>
      <w:bookmarkEnd w:id="338"/>
      <w:bookmarkStart w:id="339" w:name="_Toc184313299"/>
      <w:bookmarkEnd w:id="339"/>
      <w:bookmarkStart w:id="340" w:name="_Toc184310335"/>
      <w:bookmarkEnd w:id="340"/>
      <w:bookmarkStart w:id="341" w:name="_Toc184308071"/>
      <w:bookmarkEnd w:id="341"/>
      <w:bookmarkStart w:id="342" w:name="_Toc184312069"/>
      <w:bookmarkEnd w:id="342"/>
      <w:bookmarkStart w:id="343" w:name="_Toc184310337"/>
      <w:bookmarkEnd w:id="343"/>
      <w:bookmarkStart w:id="344" w:name="_Toc184314413"/>
      <w:bookmarkEnd w:id="344"/>
      <w:bookmarkStart w:id="345" w:name="_Toc184314410"/>
      <w:bookmarkEnd w:id="345"/>
      <w:bookmarkStart w:id="346" w:name="_Toc184310287"/>
      <w:bookmarkEnd w:id="346"/>
      <w:bookmarkStart w:id="347" w:name="_Toc184314421"/>
      <w:bookmarkEnd w:id="347"/>
      <w:bookmarkStart w:id="348" w:name="_Toc184314441"/>
      <w:bookmarkEnd w:id="348"/>
      <w:bookmarkStart w:id="349" w:name="_Toc184314463"/>
      <w:bookmarkEnd w:id="349"/>
      <w:bookmarkStart w:id="350" w:name="_Toc184313286"/>
      <w:bookmarkEnd w:id="350"/>
      <w:bookmarkStart w:id="351" w:name="_Toc184310307"/>
      <w:bookmarkEnd w:id="351"/>
      <w:bookmarkStart w:id="352" w:name="_Toc184314464"/>
      <w:bookmarkEnd w:id="352"/>
      <w:bookmarkStart w:id="353" w:name="_Toc184310321"/>
      <w:bookmarkEnd w:id="353"/>
      <w:bookmarkStart w:id="354" w:name="_Toc184312133"/>
      <w:bookmarkEnd w:id="354"/>
      <w:bookmarkStart w:id="355" w:name="_Toc184312088"/>
      <w:bookmarkEnd w:id="355"/>
      <w:bookmarkStart w:id="356" w:name="_Toc184308056"/>
      <w:bookmarkEnd w:id="356"/>
      <w:bookmarkStart w:id="357" w:name="_Toc184310339"/>
      <w:bookmarkEnd w:id="357"/>
      <w:bookmarkStart w:id="358" w:name="_Toc184308107"/>
      <w:bookmarkEnd w:id="358"/>
      <w:bookmarkStart w:id="359" w:name="_Toc184312106"/>
      <w:bookmarkEnd w:id="359"/>
      <w:bookmarkStart w:id="360" w:name="_Toc184313310"/>
      <w:bookmarkEnd w:id="360"/>
      <w:bookmarkStart w:id="361" w:name="_Toc184314467"/>
      <w:bookmarkEnd w:id="361"/>
      <w:bookmarkStart w:id="362" w:name="_Toc184310301"/>
      <w:bookmarkEnd w:id="362"/>
      <w:bookmarkStart w:id="363" w:name="_Toc184308075"/>
      <w:bookmarkEnd w:id="363"/>
      <w:bookmarkStart w:id="364" w:name="_Toc184314424"/>
      <w:bookmarkEnd w:id="364"/>
      <w:bookmarkStart w:id="365" w:name="_Toc184308088"/>
      <w:bookmarkEnd w:id="365"/>
      <w:bookmarkStart w:id="366" w:name="_Toc184314480"/>
      <w:bookmarkEnd w:id="366"/>
      <w:bookmarkStart w:id="367" w:name="_Toc184314420"/>
      <w:bookmarkEnd w:id="367"/>
      <w:bookmarkStart w:id="368" w:name="_Toc184310286"/>
      <w:bookmarkEnd w:id="368"/>
      <w:bookmarkStart w:id="369" w:name="_Toc184314449"/>
      <w:bookmarkEnd w:id="369"/>
      <w:bookmarkStart w:id="370" w:name="_Toc184312135"/>
      <w:bookmarkEnd w:id="370"/>
      <w:bookmarkStart w:id="371" w:name="_Toc184312078"/>
      <w:bookmarkEnd w:id="371"/>
      <w:bookmarkStart w:id="372" w:name="_Toc184310326"/>
      <w:bookmarkEnd w:id="372"/>
      <w:bookmarkStart w:id="373" w:name="_Toc184313257"/>
      <w:bookmarkEnd w:id="373"/>
      <w:bookmarkStart w:id="374" w:name="_Toc184308089"/>
      <w:bookmarkEnd w:id="374"/>
      <w:bookmarkStart w:id="375" w:name="_Toc184313267"/>
      <w:bookmarkEnd w:id="375"/>
      <w:bookmarkStart w:id="376" w:name="_Toc184313303"/>
      <w:bookmarkEnd w:id="376"/>
      <w:bookmarkStart w:id="377" w:name="_Toc184314427"/>
      <w:bookmarkEnd w:id="377"/>
      <w:bookmarkStart w:id="378" w:name="_Toc184313307"/>
      <w:bookmarkEnd w:id="378"/>
      <w:bookmarkStart w:id="379" w:name="_Toc184312087"/>
      <w:bookmarkEnd w:id="379"/>
      <w:bookmarkStart w:id="380" w:name="_Toc184313245"/>
      <w:bookmarkEnd w:id="380"/>
      <w:bookmarkStart w:id="381" w:name="_Toc184310333"/>
      <w:bookmarkEnd w:id="381"/>
      <w:bookmarkStart w:id="382" w:name="_Toc184314432"/>
      <w:bookmarkEnd w:id="382"/>
      <w:bookmarkStart w:id="383" w:name="_Toc184310303"/>
      <w:bookmarkEnd w:id="383"/>
      <w:bookmarkStart w:id="384" w:name="_Toc184310338"/>
      <w:bookmarkEnd w:id="384"/>
      <w:bookmarkStart w:id="385" w:name="_Toc184312112"/>
      <w:bookmarkEnd w:id="385"/>
      <w:bookmarkStart w:id="386" w:name="_Toc184314417"/>
      <w:bookmarkEnd w:id="386"/>
      <w:bookmarkStart w:id="387" w:name="_Toc184314437"/>
      <w:bookmarkEnd w:id="387"/>
      <w:bookmarkStart w:id="388" w:name="_Toc184312086"/>
      <w:bookmarkEnd w:id="388"/>
      <w:bookmarkStart w:id="389" w:name="_Toc184312117"/>
      <w:bookmarkEnd w:id="389"/>
      <w:bookmarkStart w:id="390" w:name="_Toc184308051"/>
      <w:bookmarkEnd w:id="390"/>
      <w:bookmarkStart w:id="391" w:name="_Toc184314444"/>
      <w:bookmarkEnd w:id="391"/>
      <w:bookmarkStart w:id="392" w:name="_Toc184314475"/>
      <w:bookmarkEnd w:id="392"/>
      <w:bookmarkStart w:id="393" w:name="_Toc184314451"/>
      <w:bookmarkEnd w:id="393"/>
      <w:bookmarkStart w:id="394" w:name="_Toc184314430"/>
      <w:bookmarkEnd w:id="394"/>
      <w:bookmarkStart w:id="395" w:name="_Toc184310327"/>
      <w:bookmarkEnd w:id="395"/>
      <w:bookmarkStart w:id="396" w:name="_Toc184313270"/>
      <w:bookmarkEnd w:id="396"/>
      <w:bookmarkStart w:id="397" w:name="_Toc184314426"/>
      <w:bookmarkEnd w:id="397"/>
      <w:bookmarkStart w:id="398" w:name="_Toc184314454"/>
      <w:bookmarkEnd w:id="398"/>
      <w:bookmarkStart w:id="399" w:name="_Toc184308090"/>
      <w:bookmarkEnd w:id="399"/>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96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212"/>
        <w:gridCol w:w="788"/>
        <w:gridCol w:w="99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bookmarkStart w:id="400" w:name="OLE_LINK3"/>
            <w:r>
              <w:rPr>
                <w:rFonts w:hint="eastAsia" w:asciiTheme="minorEastAsia" w:hAnsiTheme="minorEastAsia" w:eastAsiaTheme="minorEastAsia" w:cstheme="minorEastAsia"/>
                <w:color w:val="auto"/>
                <w:sz w:val="24"/>
              </w:rPr>
              <w:t>序号</w:t>
            </w:r>
          </w:p>
        </w:tc>
        <w:tc>
          <w:tcPr>
            <w:tcW w:w="5212"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评标标准</w:t>
            </w:r>
          </w:p>
        </w:tc>
        <w:tc>
          <w:tcPr>
            <w:tcW w:w="788"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权重</w:t>
            </w:r>
          </w:p>
        </w:tc>
        <w:tc>
          <w:tcPr>
            <w:tcW w:w="993" w:type="dxa"/>
            <w:vAlign w:val="center"/>
          </w:tcPr>
          <w:p>
            <w:pPr>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主观分/客观分属性</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212" w:type="dxa"/>
            <w:vAlign w:val="center"/>
          </w:tcPr>
          <w:p>
            <w:pPr>
              <w:shd w:val="clear" w:color="auto" w:fill="FFFFFF"/>
              <w:snapToGrid w:val="0"/>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对本项目</w:t>
            </w:r>
            <w:bookmarkStart w:id="401" w:name="OLE_LINK8"/>
            <w:r>
              <w:rPr>
                <w:rFonts w:hint="eastAsia" w:asciiTheme="minorEastAsia" w:hAnsiTheme="minorEastAsia" w:eastAsiaTheme="minorEastAsia" w:cstheme="minorEastAsia"/>
                <w:color w:val="auto"/>
                <w:sz w:val="24"/>
                <w:lang w:val="en-US" w:eastAsia="zh-CN"/>
              </w:rPr>
              <w:t>服务辅助</w:t>
            </w:r>
            <w:bookmarkEnd w:id="401"/>
            <w:r>
              <w:rPr>
                <w:rFonts w:hint="eastAsia" w:asciiTheme="minorEastAsia" w:hAnsiTheme="minorEastAsia" w:eastAsiaTheme="minorEastAsia" w:cstheme="minorEastAsia"/>
                <w:color w:val="auto"/>
                <w:sz w:val="24"/>
                <w:lang w:val="en-US" w:eastAsia="zh-CN"/>
              </w:rPr>
              <w:t>的</w:t>
            </w:r>
            <w:r>
              <w:rPr>
                <w:rFonts w:hint="eastAsia" w:asciiTheme="minorEastAsia" w:hAnsiTheme="minorEastAsia" w:eastAsiaTheme="minorEastAsia" w:cstheme="minorEastAsia"/>
                <w:color w:val="auto"/>
                <w:sz w:val="24"/>
              </w:rPr>
              <w:t>采购需求的理解（完全符合得</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分，基本符合得</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分，部分符合得</w:t>
            </w:r>
            <w:r>
              <w:rPr>
                <w:rFonts w:hint="eastAsia" w:asciiTheme="minorEastAsia" w:hAnsiTheme="minorEastAsia" w:eastAsiaTheme="minorEastAsia" w:cstheme="minorEastAsia"/>
                <w:color w:val="auto"/>
                <w:sz w:val="24"/>
                <w:lang w:eastAsia="zh-CN"/>
              </w:rPr>
              <w:t>1</w:t>
            </w:r>
            <w:r>
              <w:rPr>
                <w:rFonts w:hint="eastAsia" w:asciiTheme="minorEastAsia" w:hAnsiTheme="minorEastAsia" w:eastAsiaTheme="minorEastAsia" w:cstheme="minorEastAsia"/>
                <w:color w:val="auto"/>
                <w:sz w:val="24"/>
              </w:rPr>
              <w:t>分，不符合不得分）；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212" w:type="dxa"/>
            <w:vAlign w:val="center"/>
          </w:tcPr>
          <w:p>
            <w:pPr>
              <w:pStyle w:val="85"/>
              <w:ind w:firstLine="0" w:firstLineChars="0"/>
              <w:rPr>
                <w:rFonts w:hint="eastAsia" w:ascii="宋体" w:hAnsi="宋体" w:eastAsia="宋体" w:cs="宋体"/>
                <w:color w:val="auto"/>
                <w:sz w:val="24"/>
              </w:rPr>
            </w:pPr>
            <w:r>
              <w:rPr>
                <w:rFonts w:hint="eastAsia" w:cs="宋体"/>
                <w:color w:val="auto"/>
                <w:sz w:val="24"/>
                <w:lang w:val="en-US" w:eastAsia="zh-CN"/>
              </w:rPr>
              <w:t>对</w:t>
            </w:r>
            <w:r>
              <w:rPr>
                <w:rFonts w:hint="eastAsia" w:ascii="宋体" w:hAnsi="宋体" w:eastAsia="宋体" w:cs="宋体"/>
                <w:color w:val="auto"/>
                <w:sz w:val="24"/>
              </w:rPr>
              <w:t>本项目</w:t>
            </w:r>
            <w:bookmarkStart w:id="402" w:name="OLE_LINK9"/>
            <w:r>
              <w:rPr>
                <w:rFonts w:hint="eastAsia" w:asciiTheme="minorEastAsia" w:hAnsiTheme="minorEastAsia" w:eastAsiaTheme="minorEastAsia" w:cstheme="minorEastAsia"/>
                <w:color w:val="auto"/>
                <w:sz w:val="24"/>
                <w:lang w:val="en-US" w:eastAsia="zh-CN"/>
              </w:rPr>
              <w:t>服务辅助</w:t>
            </w:r>
            <w:bookmarkEnd w:id="402"/>
            <w:r>
              <w:rPr>
                <w:rFonts w:hint="eastAsia" w:ascii="宋体" w:hAnsi="宋体" w:eastAsia="宋体" w:cs="宋体"/>
                <w:color w:val="auto"/>
                <w:sz w:val="24"/>
              </w:rPr>
              <w:t>的特点提出合理的服务理念（完全符合得</w:t>
            </w:r>
            <w:r>
              <w:rPr>
                <w:rFonts w:hint="eastAsia" w:cs="宋体"/>
                <w:color w:val="auto"/>
                <w:sz w:val="24"/>
                <w:lang w:eastAsia="zh-CN"/>
              </w:rPr>
              <w:t>6</w:t>
            </w:r>
            <w:r>
              <w:rPr>
                <w:rFonts w:hint="eastAsia" w:ascii="宋体" w:hAnsi="宋体" w:eastAsia="宋体" w:cs="宋体"/>
                <w:color w:val="auto"/>
                <w:sz w:val="24"/>
              </w:rPr>
              <w:t>分，基本符合得</w:t>
            </w:r>
            <w:r>
              <w:rPr>
                <w:rFonts w:hint="eastAsia" w:cs="宋体"/>
                <w:color w:val="auto"/>
                <w:sz w:val="24"/>
                <w:lang w:eastAsia="zh-CN"/>
              </w:rPr>
              <w:t>3</w:t>
            </w:r>
            <w:r>
              <w:rPr>
                <w:rFonts w:hint="eastAsia" w:ascii="宋体" w:hAnsi="宋体" w:eastAsia="宋体" w:cs="宋体"/>
                <w:color w:val="auto"/>
                <w:sz w:val="24"/>
              </w:rPr>
              <w:t>分，部分符合得</w:t>
            </w:r>
            <w:r>
              <w:rPr>
                <w:rFonts w:hint="eastAsia" w:cs="宋体"/>
                <w:color w:val="auto"/>
                <w:sz w:val="24"/>
                <w:lang w:eastAsia="zh-CN"/>
              </w:rPr>
              <w:t>1</w:t>
            </w:r>
            <w:r>
              <w:rPr>
                <w:rFonts w:hint="eastAsia" w:ascii="宋体" w:hAnsi="宋体" w:eastAsia="宋体" w:cs="宋体"/>
                <w:color w:val="auto"/>
                <w:sz w:val="24"/>
              </w:rPr>
              <w:t>分，不符合不得分）；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p>
        </w:tc>
        <w:tc>
          <w:tcPr>
            <w:tcW w:w="5212" w:type="dxa"/>
            <w:vAlign w:val="center"/>
          </w:tcPr>
          <w:p>
            <w:pPr>
              <w:pStyle w:val="85"/>
              <w:ind w:firstLine="0" w:firstLineChars="0"/>
              <w:rPr>
                <w:rFonts w:hint="eastAsia" w:ascii="宋体" w:hAnsi="宋体" w:eastAsia="宋体" w:cs="宋体"/>
                <w:color w:val="auto"/>
                <w:sz w:val="24"/>
              </w:rPr>
            </w:pPr>
            <w:r>
              <w:rPr>
                <w:rFonts w:hint="eastAsia" w:cs="宋体"/>
                <w:color w:val="auto"/>
                <w:sz w:val="24"/>
                <w:lang w:val="en-US" w:eastAsia="zh-CN"/>
              </w:rPr>
              <w:t>对</w:t>
            </w:r>
            <w:r>
              <w:rPr>
                <w:rFonts w:hint="eastAsia" w:ascii="宋体" w:hAnsi="宋体" w:eastAsia="宋体" w:cs="宋体"/>
                <w:color w:val="auto"/>
                <w:sz w:val="24"/>
              </w:rPr>
              <w:t>本项目</w:t>
            </w:r>
            <w:r>
              <w:rPr>
                <w:rFonts w:hint="eastAsia" w:asciiTheme="minorEastAsia" w:hAnsiTheme="minorEastAsia" w:eastAsiaTheme="minorEastAsia" w:cstheme="minorEastAsia"/>
                <w:color w:val="auto"/>
                <w:sz w:val="24"/>
                <w:lang w:val="en-US" w:eastAsia="zh-CN"/>
              </w:rPr>
              <w:t>服务辅助的</w:t>
            </w:r>
            <w:r>
              <w:rPr>
                <w:rFonts w:hint="eastAsia" w:ascii="宋体" w:hAnsi="宋体" w:eastAsia="宋体" w:cs="宋体"/>
                <w:color w:val="auto"/>
                <w:sz w:val="24"/>
              </w:rPr>
              <w:t>服务特点提出服务定位、目标（完全符合得</w:t>
            </w:r>
            <w:r>
              <w:rPr>
                <w:rFonts w:hint="eastAsia" w:cs="宋体"/>
                <w:color w:val="auto"/>
                <w:sz w:val="24"/>
                <w:lang w:eastAsia="zh-CN"/>
              </w:rPr>
              <w:t>6</w:t>
            </w:r>
            <w:r>
              <w:rPr>
                <w:rFonts w:hint="eastAsia" w:ascii="宋体" w:hAnsi="宋体" w:eastAsia="宋体" w:cs="宋体"/>
                <w:color w:val="auto"/>
                <w:sz w:val="24"/>
              </w:rPr>
              <w:t>分，基本符合得</w:t>
            </w:r>
            <w:r>
              <w:rPr>
                <w:rFonts w:hint="eastAsia" w:cs="宋体"/>
                <w:color w:val="auto"/>
                <w:sz w:val="24"/>
                <w:lang w:eastAsia="zh-CN"/>
              </w:rPr>
              <w:t>3</w:t>
            </w:r>
            <w:r>
              <w:rPr>
                <w:rFonts w:hint="eastAsia" w:ascii="宋体" w:hAnsi="宋体" w:eastAsia="宋体" w:cs="宋体"/>
                <w:color w:val="auto"/>
                <w:sz w:val="24"/>
              </w:rPr>
              <w:t>分，部分符合得</w:t>
            </w:r>
            <w:r>
              <w:rPr>
                <w:rFonts w:hint="eastAsia" w:cs="宋体"/>
                <w:color w:val="auto"/>
                <w:sz w:val="24"/>
                <w:lang w:eastAsia="zh-CN"/>
              </w:rPr>
              <w:t>1</w:t>
            </w:r>
            <w:r>
              <w:rPr>
                <w:rFonts w:hint="eastAsia" w:ascii="宋体" w:hAnsi="宋体" w:eastAsia="宋体" w:cs="宋体"/>
                <w:color w:val="auto"/>
                <w:sz w:val="24"/>
              </w:rPr>
              <w:t>分，不符合不得分）；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p>
        </w:tc>
        <w:tc>
          <w:tcPr>
            <w:tcW w:w="5212" w:type="dxa"/>
            <w:vAlign w:val="center"/>
          </w:tcPr>
          <w:p>
            <w:pPr>
              <w:pStyle w:val="85"/>
              <w:ind w:firstLine="0" w:firstLineChars="0"/>
              <w:rPr>
                <w:rFonts w:hint="eastAsia" w:ascii="宋体" w:hAnsi="宋体" w:eastAsia="宋体" w:cs="宋体"/>
                <w:color w:val="auto"/>
                <w:sz w:val="24"/>
              </w:rPr>
            </w:pPr>
            <w:r>
              <w:rPr>
                <w:rFonts w:hint="eastAsia" w:ascii="宋体" w:hAnsi="宋体" w:cs="宋体"/>
                <w:color w:val="auto"/>
                <w:szCs w:val="24"/>
                <w:highlight w:val="none"/>
              </w:rPr>
              <w:t>对本项目</w:t>
            </w:r>
            <w:r>
              <w:rPr>
                <w:rFonts w:hint="eastAsia" w:ascii="宋体" w:hAnsi="宋体" w:cs="宋体"/>
                <w:color w:val="auto"/>
                <w:szCs w:val="24"/>
                <w:highlight w:val="none"/>
                <w:lang w:val="en-US" w:eastAsia="zh-CN"/>
              </w:rPr>
              <w:t>服务辅助</w:t>
            </w:r>
            <w:r>
              <w:rPr>
                <w:rFonts w:hint="eastAsia" w:ascii="宋体" w:hAnsi="宋体" w:cs="宋体"/>
                <w:color w:val="auto"/>
                <w:szCs w:val="24"/>
                <w:highlight w:val="none"/>
              </w:rPr>
              <w:t>如遇重大突发事件或政府重点工作的特色服务响应方案进行打分（完全符合得</w:t>
            </w:r>
            <w:r>
              <w:rPr>
                <w:rFonts w:hint="eastAsia" w:cs="宋体"/>
                <w:color w:val="auto"/>
                <w:szCs w:val="24"/>
                <w:highlight w:val="none"/>
                <w:lang w:eastAsia="zh-CN"/>
              </w:rPr>
              <w:t>6</w:t>
            </w:r>
            <w:r>
              <w:rPr>
                <w:rFonts w:hint="eastAsia" w:ascii="宋体" w:hAnsi="宋体" w:cs="宋体"/>
                <w:color w:val="auto"/>
                <w:szCs w:val="24"/>
                <w:highlight w:val="none"/>
              </w:rPr>
              <w:t>分，基本符合得</w:t>
            </w:r>
            <w:r>
              <w:rPr>
                <w:rFonts w:hint="eastAsia" w:cs="宋体"/>
                <w:color w:val="auto"/>
                <w:szCs w:val="24"/>
                <w:highlight w:val="none"/>
                <w:lang w:eastAsia="zh-CN"/>
              </w:rPr>
              <w:t>3</w:t>
            </w:r>
            <w:r>
              <w:rPr>
                <w:rFonts w:hint="eastAsia" w:ascii="宋体" w:hAnsi="宋体" w:cs="宋体"/>
                <w:color w:val="auto"/>
                <w:szCs w:val="24"/>
                <w:highlight w:val="none"/>
              </w:rPr>
              <w:t>分，部分符合得</w:t>
            </w:r>
            <w:r>
              <w:rPr>
                <w:rFonts w:hint="eastAsia" w:cs="宋体"/>
                <w:color w:val="auto"/>
                <w:szCs w:val="24"/>
                <w:highlight w:val="none"/>
                <w:lang w:eastAsia="zh-CN"/>
              </w:rPr>
              <w:t>1</w:t>
            </w:r>
            <w:r>
              <w:rPr>
                <w:rFonts w:hint="eastAsia" w:ascii="宋体" w:hAnsi="宋体" w:cs="宋体"/>
                <w:color w:val="auto"/>
                <w:szCs w:val="24"/>
                <w:highlight w:val="none"/>
              </w:rPr>
              <w:t>分，不符合不得分）；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p>
        </w:tc>
        <w:tc>
          <w:tcPr>
            <w:tcW w:w="5212" w:type="dxa"/>
            <w:vAlign w:val="center"/>
          </w:tcPr>
          <w:p>
            <w:pPr>
              <w:pStyle w:val="85"/>
              <w:ind w:firstLine="0" w:firstLineChars="0"/>
              <w:rPr>
                <w:rFonts w:hint="eastAsia" w:asciiTheme="minorEastAsia" w:hAnsiTheme="minorEastAsia" w:eastAsiaTheme="minorEastAsia" w:cstheme="minorEastAsia"/>
                <w:color w:val="auto"/>
                <w:sz w:val="24"/>
              </w:rPr>
            </w:pPr>
            <w:r>
              <w:rPr>
                <w:rFonts w:hint="eastAsia" w:ascii="宋体" w:hAnsi="宋体" w:cs="宋体"/>
                <w:color w:val="auto"/>
                <w:szCs w:val="24"/>
                <w:highlight w:val="none"/>
              </w:rPr>
              <w:t>投标人提出的合理化建议：管理制度的优化及考核（完全符合得</w:t>
            </w:r>
            <w:r>
              <w:rPr>
                <w:rFonts w:hint="eastAsia" w:cs="宋体"/>
                <w:color w:val="auto"/>
                <w:szCs w:val="24"/>
                <w:highlight w:val="none"/>
                <w:lang w:eastAsia="zh-CN"/>
              </w:rPr>
              <w:t>6</w:t>
            </w:r>
            <w:r>
              <w:rPr>
                <w:rFonts w:hint="eastAsia" w:ascii="宋体" w:hAnsi="宋体" w:cs="宋体"/>
                <w:color w:val="auto"/>
                <w:szCs w:val="24"/>
                <w:highlight w:val="none"/>
              </w:rPr>
              <w:t>分，基本符合得</w:t>
            </w:r>
            <w:r>
              <w:rPr>
                <w:rFonts w:hint="eastAsia" w:cs="宋体"/>
                <w:color w:val="auto"/>
                <w:szCs w:val="24"/>
                <w:highlight w:val="none"/>
                <w:lang w:eastAsia="zh-CN"/>
              </w:rPr>
              <w:t>3</w:t>
            </w:r>
            <w:r>
              <w:rPr>
                <w:rFonts w:hint="eastAsia" w:ascii="宋体" w:hAnsi="宋体" w:cs="宋体"/>
                <w:color w:val="auto"/>
                <w:szCs w:val="24"/>
                <w:highlight w:val="none"/>
              </w:rPr>
              <w:t>分，部分符合得</w:t>
            </w:r>
            <w:r>
              <w:rPr>
                <w:rFonts w:hint="eastAsia" w:cs="宋体"/>
                <w:color w:val="auto"/>
                <w:szCs w:val="24"/>
                <w:highlight w:val="none"/>
                <w:lang w:eastAsia="zh-CN"/>
              </w:rPr>
              <w:t>1</w:t>
            </w:r>
            <w:r>
              <w:rPr>
                <w:rFonts w:hint="eastAsia" w:ascii="宋体" w:hAnsi="宋体" w:cs="宋体"/>
                <w:color w:val="auto"/>
                <w:szCs w:val="24"/>
                <w:highlight w:val="none"/>
              </w:rPr>
              <w:t>分，不符合不得分）；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6</w:t>
            </w:r>
          </w:p>
        </w:tc>
        <w:tc>
          <w:tcPr>
            <w:tcW w:w="5212" w:type="dxa"/>
            <w:vAlign w:val="center"/>
          </w:tcPr>
          <w:p>
            <w:pPr>
              <w:pStyle w:val="85"/>
              <w:ind w:firstLine="0" w:firstLineChars="0"/>
              <w:rPr>
                <w:rFonts w:hint="eastAsia" w:asciiTheme="minorEastAsia" w:hAnsiTheme="minorEastAsia" w:eastAsiaTheme="minorEastAsia" w:cstheme="minorEastAsia"/>
                <w:color w:val="auto"/>
                <w:sz w:val="24"/>
              </w:rPr>
            </w:pPr>
            <w:r>
              <w:rPr>
                <w:rFonts w:hint="eastAsia" w:cs="宋体"/>
              </w:rPr>
              <w:t>投标人实施工作计划科学合理且可操作性强的得</w:t>
            </w:r>
            <w:r>
              <w:rPr>
                <w:rFonts w:hint="eastAsia" w:cs="宋体"/>
                <w:lang w:eastAsia="zh-CN"/>
              </w:rPr>
              <w:t>6</w:t>
            </w:r>
            <w:r>
              <w:rPr>
                <w:rFonts w:hint="eastAsia" w:cs="宋体"/>
              </w:rPr>
              <w:t>分，科学合理且可操作性一般的得</w:t>
            </w:r>
            <w:r>
              <w:rPr>
                <w:rFonts w:hint="eastAsia" w:cs="宋体"/>
                <w:lang w:eastAsia="zh-CN"/>
              </w:rPr>
              <w:t>3</w:t>
            </w:r>
            <w:r>
              <w:rPr>
                <w:rFonts w:hint="eastAsia" w:cs="宋体"/>
              </w:rPr>
              <w:t>分，科学合理且可操作性较差的得</w:t>
            </w:r>
            <w:r>
              <w:rPr>
                <w:rFonts w:hint="eastAsia" w:cs="宋体"/>
                <w:lang w:eastAsia="zh-CN"/>
              </w:rPr>
              <w:t>1</w:t>
            </w:r>
            <w:r>
              <w:rPr>
                <w:rFonts w:hint="eastAsia" w:cs="宋体"/>
              </w:rPr>
              <w:t>分，不具有可操作性的不得分。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w:t>
            </w:r>
          </w:p>
        </w:tc>
        <w:tc>
          <w:tcPr>
            <w:tcW w:w="5212" w:type="dxa"/>
            <w:vAlign w:val="center"/>
          </w:tcPr>
          <w:p>
            <w:pPr>
              <w:snapToGrid w:val="0"/>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投标人培训方案、计划的科学合理且可操作性强的得</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分，科学合理且可操作性一般的得</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分，科学合理且可操作性较差的得</w:t>
            </w:r>
            <w:r>
              <w:rPr>
                <w:rFonts w:hint="eastAsia" w:asciiTheme="minorEastAsia" w:hAnsiTheme="minorEastAsia" w:eastAsiaTheme="minorEastAsia" w:cstheme="minorEastAsia"/>
                <w:color w:val="auto"/>
                <w:sz w:val="24"/>
                <w:lang w:eastAsia="zh-CN"/>
              </w:rPr>
              <w:t>1</w:t>
            </w:r>
            <w:r>
              <w:rPr>
                <w:rFonts w:hint="eastAsia" w:asciiTheme="minorEastAsia" w:hAnsiTheme="minorEastAsia" w:eastAsiaTheme="minorEastAsia" w:cstheme="minorEastAsia"/>
                <w:color w:val="auto"/>
                <w:sz w:val="24"/>
              </w:rPr>
              <w:t>分，不具有可操作性的不得分。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bookmarkStart w:id="403" w:name="OLE_LINK10"/>
            <w:r>
              <w:rPr>
                <w:rFonts w:hint="eastAsia" w:asciiTheme="minorEastAsia" w:hAnsiTheme="minorEastAsia" w:eastAsiaTheme="minorEastAsia" w:cstheme="minorEastAsia"/>
                <w:color w:val="auto"/>
                <w:sz w:val="24"/>
                <w:lang w:val="en-US" w:eastAsia="zh-CN"/>
              </w:rPr>
              <w:t>主观分</w:t>
            </w:r>
            <w:bookmarkEnd w:id="403"/>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w:t>
            </w:r>
          </w:p>
        </w:tc>
        <w:tc>
          <w:tcPr>
            <w:tcW w:w="5212" w:type="dxa"/>
            <w:vAlign w:val="center"/>
          </w:tcPr>
          <w:p>
            <w:pPr>
              <w:snapToGrid w:val="0"/>
              <w:spacing w:line="360"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项目团队组织结构：根据项目团队组织结构情况综合评分（完全符合本项目团队管理要求的得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分，基本符合本项目团队管理要求的得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分，部分符合本项目团队管理要求的得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分，不符合不得分）</w:t>
            </w:r>
            <w:r>
              <w:rPr>
                <w:rFonts w:hint="eastAsia" w:ascii="宋体" w:hAnsi="宋体" w:cs="宋体"/>
                <w:color w:val="000000"/>
                <w:kern w:val="0"/>
                <w:sz w:val="24"/>
                <w:szCs w:val="24"/>
                <w:lang w:eastAsia="zh-CN"/>
              </w:rPr>
              <w:t>。</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5212" w:type="dxa"/>
            <w:vAlign w:val="center"/>
          </w:tcPr>
          <w:p>
            <w:pPr>
              <w:snapToGrid w:val="0"/>
              <w:spacing w:line="360" w:lineRule="auto"/>
              <w:jc w:val="left"/>
              <w:rPr>
                <w:rFonts w:hint="eastAsia" w:eastAsia="宋体" w:asciiTheme="minorEastAsia" w:hAnsiTheme="minorEastAsia" w:cstheme="minorEastAsia"/>
                <w:color w:val="auto"/>
                <w:kern w:val="2"/>
                <w:sz w:val="24"/>
                <w:szCs w:val="24"/>
                <w:lang w:eastAsia="zh-CN"/>
              </w:rPr>
            </w:pPr>
            <w:bookmarkStart w:id="404" w:name="OLE_LINK1"/>
            <w:r>
              <w:rPr>
                <w:rFonts w:hint="eastAsia" w:ascii="宋体" w:hAnsi="宋体" w:eastAsia="宋体" w:cs="宋体"/>
                <w:color w:val="000000"/>
                <w:kern w:val="0"/>
                <w:sz w:val="24"/>
                <w:szCs w:val="24"/>
              </w:rPr>
              <w:t>针对本项目主要工作内容介绍，投标人提出本项目重点、难点问题，根据投标人提供的内容是否切实可行，内容详尽充实，科学合理，具有针对性及可操作性进行打分，合理的得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分，基本合理的得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分，部分合理的得</w:t>
            </w:r>
            <w:r>
              <w:rPr>
                <w:rFonts w:hint="eastAsia" w:ascii="宋体" w:hAnsi="宋体" w:cs="宋体"/>
                <w:color w:val="000000"/>
                <w:kern w:val="0"/>
                <w:sz w:val="24"/>
                <w:szCs w:val="24"/>
                <w:lang w:eastAsia="zh-CN"/>
              </w:rPr>
              <w:t>1</w:t>
            </w:r>
            <w:r>
              <w:rPr>
                <w:rFonts w:hint="eastAsia" w:ascii="宋体" w:hAnsi="宋体" w:eastAsia="宋体" w:cs="宋体"/>
                <w:color w:val="000000"/>
                <w:kern w:val="0"/>
                <w:sz w:val="24"/>
                <w:szCs w:val="24"/>
              </w:rPr>
              <w:t>分，不合理</w:t>
            </w:r>
            <w:r>
              <w:rPr>
                <w:rFonts w:hint="eastAsia" w:ascii="宋体" w:hAnsi="宋体" w:eastAsia="宋体" w:cs="宋体"/>
                <w:color w:val="000000"/>
                <w:kern w:val="0"/>
                <w:sz w:val="24"/>
                <w:szCs w:val="24"/>
                <w:lang w:val="en-US" w:eastAsia="zh-CN"/>
              </w:rPr>
              <w:t>不得</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bookmarkEnd w:id="404"/>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5212" w:type="dxa"/>
            <w:vAlign w:val="center"/>
          </w:tcPr>
          <w:p>
            <w:pPr>
              <w:widowControl/>
              <w:snapToGrid w:val="0"/>
              <w:spacing w:line="360" w:lineRule="auto"/>
              <w:jc w:val="left"/>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守密措施：包括但不限于网络、通信方面的守密保障措施等（完全符合得6分，基本符合得3分，部分符合得1分，不符合不得分）。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主观分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11</w:t>
            </w:r>
          </w:p>
        </w:tc>
        <w:tc>
          <w:tcPr>
            <w:tcW w:w="5212" w:type="dxa"/>
            <w:vAlign w:val="center"/>
          </w:tcPr>
          <w:p>
            <w:pPr>
              <w:widowControl/>
              <w:snapToGrid w:val="0"/>
              <w:spacing w:line="360" w:lineRule="auto"/>
              <w:jc w:val="left"/>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服务承诺：为保证业务平稳运行，承诺运营服务人员14人在合同签订后2日内到位的得</w:t>
            </w:r>
            <w:r>
              <w:rPr>
                <w:rFonts w:hint="eastAsia" w:asciiTheme="minorEastAsia" w:hAnsiTheme="minorEastAsia" w:eastAsiaTheme="minorEastAsia" w:cstheme="minorEastAsia"/>
                <w:color w:val="auto"/>
                <w:kern w:val="2"/>
                <w:sz w:val="24"/>
                <w:szCs w:val="24"/>
                <w:lang w:val="en-US" w:eastAsia="zh-CN"/>
              </w:rPr>
              <w:t>5</w:t>
            </w:r>
            <w:r>
              <w:rPr>
                <w:rFonts w:hint="eastAsia" w:asciiTheme="minorEastAsia" w:hAnsiTheme="minorEastAsia" w:eastAsiaTheme="minorEastAsia" w:cstheme="minorEastAsia"/>
                <w:color w:val="auto"/>
                <w:kern w:val="2"/>
                <w:sz w:val="24"/>
                <w:szCs w:val="24"/>
                <w:lang w:eastAsia="zh-CN"/>
              </w:rPr>
              <w:t>分，6日内到位的得3分，10日内到位的得1分，超过10日不得分；投标文件中提供承诺函，格式自拟，后期承诺若无法按时履行，采购人有权解除合同并要求投标人承担空窗期间造成的损失。</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客观分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12</w:t>
            </w:r>
          </w:p>
        </w:tc>
        <w:tc>
          <w:tcPr>
            <w:tcW w:w="5212" w:type="dxa"/>
            <w:vAlign w:val="center"/>
          </w:tcPr>
          <w:p>
            <w:pPr>
              <w:widowControl/>
              <w:snapToGrid w:val="0"/>
              <w:spacing w:line="360" w:lineRule="auto"/>
              <w:jc w:val="left"/>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项目交接承诺书：承诺中标通知书发出后15（含）天之内项目交接的得</w:t>
            </w:r>
            <w:r>
              <w:rPr>
                <w:rFonts w:hint="eastAsia" w:asciiTheme="minorEastAsia" w:hAnsiTheme="minorEastAsia" w:eastAsiaTheme="minorEastAsia" w:cstheme="minorEastAsia"/>
                <w:color w:val="auto"/>
                <w:kern w:val="2"/>
                <w:sz w:val="24"/>
                <w:szCs w:val="24"/>
                <w:lang w:val="en-US" w:eastAsia="zh-CN"/>
              </w:rPr>
              <w:t>5</w:t>
            </w:r>
            <w:r>
              <w:rPr>
                <w:rFonts w:hint="eastAsia" w:asciiTheme="minorEastAsia" w:hAnsiTheme="minorEastAsia" w:eastAsiaTheme="minorEastAsia" w:cstheme="minorEastAsia"/>
                <w:color w:val="auto"/>
                <w:kern w:val="2"/>
                <w:sz w:val="24"/>
                <w:szCs w:val="24"/>
                <w:lang w:eastAsia="zh-CN"/>
              </w:rPr>
              <w:t>分，25（含）天之内项目交接的得3分，25（含）天以上的不得分；投标文件中提供承诺函，格式自拟。</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客观分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13</w:t>
            </w:r>
          </w:p>
        </w:tc>
        <w:tc>
          <w:tcPr>
            <w:tcW w:w="5212" w:type="dxa"/>
            <w:vAlign w:val="center"/>
          </w:tcPr>
          <w:p>
            <w:pPr>
              <w:widowControl/>
              <w:snapToGrid w:val="0"/>
              <w:spacing w:line="360" w:lineRule="auto"/>
              <w:jc w:val="left"/>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工作人员情况：拟派工作人员具有相关客服工作经历（2年及以上）至少5人的得4分，每增加1人，得2分，最高得10分；投标文件中需提供相关证明材料或承诺函，不提供不得分。</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客观分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14</w:t>
            </w:r>
          </w:p>
        </w:tc>
        <w:tc>
          <w:tcPr>
            <w:tcW w:w="5212" w:type="dxa"/>
            <w:vAlign w:val="center"/>
          </w:tcPr>
          <w:p>
            <w:pPr>
              <w:widowControl/>
              <w:snapToGrid w:val="0"/>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2"/>
                <w:sz w:val="24"/>
                <w:szCs w:val="24"/>
                <w:lang w:eastAsia="zh-CN"/>
              </w:rPr>
              <w:t>投标人具有有效的质量管理体系认证证书、信息安全管理体系认证、职业安全管理体系认证证书的，每具有一个得</w:t>
            </w:r>
            <w:r>
              <w:rPr>
                <w:rFonts w:hint="eastAsia" w:asciiTheme="minorEastAsia" w:hAnsiTheme="minorEastAsia" w:eastAsiaTheme="minorEastAsia" w:cstheme="minorEastAsia"/>
                <w:color w:val="auto"/>
                <w:kern w:val="2"/>
                <w:sz w:val="24"/>
                <w:szCs w:val="24"/>
                <w:lang w:val="en-US" w:eastAsia="zh-CN"/>
              </w:rPr>
              <w:t>3</w:t>
            </w:r>
            <w:r>
              <w:rPr>
                <w:rFonts w:hint="eastAsia" w:asciiTheme="minorEastAsia" w:hAnsiTheme="minorEastAsia" w:eastAsiaTheme="minorEastAsia" w:cstheme="minorEastAsia"/>
                <w:color w:val="auto"/>
                <w:kern w:val="2"/>
                <w:sz w:val="24"/>
                <w:szCs w:val="24"/>
                <w:lang w:eastAsia="zh-CN"/>
              </w:rPr>
              <w:t>分，最高得</w:t>
            </w:r>
            <w:r>
              <w:rPr>
                <w:rFonts w:hint="eastAsia" w:asciiTheme="minorEastAsia" w:hAnsiTheme="minorEastAsia" w:eastAsiaTheme="minorEastAsia" w:cstheme="minorEastAsia"/>
                <w:color w:val="auto"/>
                <w:kern w:val="2"/>
                <w:sz w:val="24"/>
                <w:szCs w:val="24"/>
                <w:lang w:val="en-US" w:eastAsia="zh-CN"/>
              </w:rPr>
              <w:t>9</w:t>
            </w:r>
            <w:r>
              <w:rPr>
                <w:rFonts w:hint="eastAsia" w:asciiTheme="minorEastAsia" w:hAnsiTheme="minorEastAsia" w:eastAsiaTheme="minorEastAsia" w:cstheme="minorEastAsia"/>
                <w:color w:val="auto"/>
                <w:kern w:val="2"/>
                <w:sz w:val="24"/>
                <w:szCs w:val="24"/>
                <w:lang w:eastAsia="zh-CN"/>
              </w:rPr>
              <w:t>分；投标文件中提供有效期内的证书复印件并加盖公章。</w:t>
            </w:r>
          </w:p>
        </w:tc>
        <w:tc>
          <w:tcPr>
            <w:tcW w:w="788"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993" w:type="dxa"/>
            <w:vAlign w:val="center"/>
          </w:tcPr>
          <w:p>
            <w:pPr>
              <w:snapToGrid w:val="0"/>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客观分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15</w:t>
            </w:r>
          </w:p>
        </w:tc>
        <w:tc>
          <w:tcPr>
            <w:tcW w:w="5212" w:type="dxa"/>
            <w:vAlign w:val="center"/>
          </w:tcPr>
          <w:p>
            <w:pPr>
              <w:snapToGrid w:val="0"/>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类似业绩：投标人自20</w:t>
            </w:r>
            <w:r>
              <w:rPr>
                <w:rFonts w:hint="eastAsia" w:asciiTheme="minorEastAsia" w:hAnsiTheme="minorEastAsia" w:eastAsiaTheme="minorEastAsia" w:cstheme="minorEastAsia"/>
                <w:color w:val="auto"/>
                <w:sz w:val="24"/>
                <w:lang w:val="en-US" w:eastAsia="zh-CN"/>
              </w:rPr>
              <w:t>22</w:t>
            </w:r>
            <w:r>
              <w:rPr>
                <w:rFonts w:hint="eastAsia" w:asciiTheme="minorEastAsia" w:hAnsiTheme="minorEastAsia" w:eastAsiaTheme="minorEastAsia" w:cstheme="minorEastAsia"/>
                <w:color w:val="auto"/>
                <w:sz w:val="24"/>
              </w:rPr>
              <w:t>年1月1日（时间以合同或协议签订时间为准）以来承接过的类似业绩</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每提供一个得0.</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分，本项最高得1分；投标文件中提供合同或证明材料复印件加盖公章；</w:t>
            </w:r>
          </w:p>
        </w:tc>
        <w:tc>
          <w:tcPr>
            <w:tcW w:w="788"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p>
        </w:tc>
        <w:tc>
          <w:tcPr>
            <w:tcW w:w="993" w:type="dxa"/>
            <w:vAlign w:val="center"/>
          </w:tcPr>
          <w:p>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客观分</w:t>
            </w:r>
          </w:p>
        </w:tc>
        <w:tc>
          <w:tcPr>
            <w:tcW w:w="1257" w:type="dxa"/>
          </w:tcPr>
          <w:p>
            <w:pPr>
              <w:snapToGrid w:val="0"/>
              <w:spacing w:line="360" w:lineRule="auto"/>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napToGrid w:val="0"/>
              <w:spacing w:line="360" w:lineRule="auto"/>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16</w:t>
            </w:r>
          </w:p>
        </w:tc>
        <w:tc>
          <w:tcPr>
            <w:tcW w:w="5212" w:type="dxa"/>
          </w:tcPr>
          <w:p>
            <w:pPr>
              <w:widowControl/>
              <w:shd w:val="clear" w:color="auto" w:fill="FFFFFF"/>
              <w:adjustRightInd/>
              <w:spacing w:after="225" w:line="315" w:lineRule="atLeast"/>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］的计算公式计算。</w:t>
            </w:r>
          </w:p>
          <w:p>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评标过程中，不得去掉报价中的最高报价和最低报价。</w:t>
            </w:r>
          </w:p>
        </w:tc>
        <w:tc>
          <w:tcPr>
            <w:tcW w:w="788" w:type="dxa"/>
            <w:vAlign w:val="center"/>
          </w:tcPr>
          <w:p>
            <w:pPr>
              <w:spacing w:line="360" w:lineRule="auto"/>
              <w:jc w:val="center"/>
              <w:outlineLvl w:val="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993" w:type="dxa"/>
            <w:vAlign w:val="center"/>
          </w:tcPr>
          <w:p>
            <w:pPr>
              <w:spacing w:line="360" w:lineRule="auto"/>
              <w:jc w:val="center"/>
              <w:outlineLvl w:val="0"/>
              <w:rPr>
                <w:rFonts w:hint="eastAsia" w:asciiTheme="minorEastAsia" w:hAnsiTheme="minorEastAsia" w:eastAsiaTheme="minorEastAsia" w:cstheme="minorEastAsia"/>
                <w:color w:val="auto"/>
                <w:sz w:val="24"/>
              </w:rPr>
            </w:pPr>
          </w:p>
        </w:tc>
        <w:tc>
          <w:tcPr>
            <w:tcW w:w="1257" w:type="dxa"/>
            <w:vAlign w:val="center"/>
          </w:tcPr>
          <w:p>
            <w:pPr>
              <w:spacing w:line="360" w:lineRule="auto"/>
              <w:jc w:val="center"/>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bookmarkEnd w:id="400"/>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ind w:firstLine="240" w:firstLineChars="100"/>
        <w:rPr>
          <w:rFonts w:hint="eastAsia" w:ascii="宋体" w:hAnsi="宋体" w:cs="宋体"/>
          <w:color w:val="auto"/>
          <w:kern w:val="0"/>
          <w:sz w:val="24"/>
        </w:rPr>
      </w:pPr>
    </w:p>
    <w:p>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pStyle w:val="79"/>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pStyle w:val="79"/>
        <w:rPr>
          <w:rFonts w:hint="eastAsia" w:eastAsia="华文楷体"/>
          <w:color w:val="auto"/>
          <w:lang w:val="en-US" w:eastAsia="zh-CN"/>
        </w:rPr>
      </w:pP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auto"/>
        </w:rPr>
      </w:pPr>
    </w:p>
    <w:bookmarkEnd w:id="34"/>
    <w:p>
      <w:pPr>
        <w:spacing w:line="360" w:lineRule="auto"/>
        <w:ind w:left="720" w:leftChars="343" w:firstLine="1084" w:firstLineChars="300"/>
        <w:outlineLvl w:val="0"/>
        <w:rPr>
          <w:rFonts w:ascii="宋体" w:hAnsi="宋体" w:cs="宋体"/>
          <w:b/>
          <w:color w:val="auto"/>
          <w:sz w:val="36"/>
          <w:szCs w:val="36"/>
        </w:rPr>
      </w:pPr>
      <w:bookmarkStart w:id="405" w:name="第五部分"/>
      <w:bookmarkStart w:id="406"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0" w:leftChars="0" w:firstLine="0" w:firstLineChars="0"/>
        <w:outlineLvl w:val="0"/>
        <w:rPr>
          <w:rFonts w:hint="eastAsia"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spacing w:line="480" w:lineRule="auto"/>
        <w:jc w:val="center"/>
        <w:rPr>
          <w:rFonts w:ascii="宋体" w:hAnsi="宋体" w:cs="宋体"/>
          <w:b/>
          <w:color w:val="auto"/>
          <w:sz w:val="28"/>
          <w:szCs w:val="28"/>
        </w:rPr>
      </w:pPr>
    </w:p>
    <w:p>
      <w:pPr>
        <w:pStyle w:val="24"/>
        <w:spacing w:after="0"/>
        <w:jc w:val="both"/>
        <w:rPr>
          <w:rFonts w:ascii="宋体" w:hAnsi="宋体" w:cs="宋体"/>
          <w:b/>
          <w:bCs/>
          <w:color w:val="auto"/>
          <w:spacing w:val="-20"/>
          <w:kern w:val="44"/>
          <w:sz w:val="48"/>
          <w:szCs w:val="48"/>
        </w:rPr>
      </w:pPr>
      <w:bookmarkStart w:id="407" w:name="_Toc3995"/>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4"/>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9"/>
        <w:spacing w:before="120" w:line="22" w:lineRule="atLeast"/>
        <w:rPr>
          <w:rFonts w:ascii="宋体" w:hAnsi="宋体" w:eastAsia="宋体" w:cs="宋体"/>
          <w:color w:val="auto"/>
          <w:szCs w:val="24"/>
        </w:rPr>
      </w:pPr>
    </w:p>
    <w:p>
      <w:pPr>
        <w:pStyle w:val="599"/>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杭州市临平区人民政府星桥街道办事处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星桥街道区域性微型消防站运营采购项目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杭州市临平区人民政府星桥街道办事处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408" w:name="_Toc20421"/>
      <w:bookmarkStart w:id="409" w:name="_Toc28855"/>
      <w:bookmarkStart w:id="410" w:name="_Toc22967"/>
      <w:bookmarkStart w:id="411" w:name="_Toc15367"/>
      <w:bookmarkStart w:id="412" w:name="_Toc19273"/>
      <w:r>
        <w:rPr>
          <w:rFonts w:ascii="宋体" w:hAnsi="宋体"/>
          <w:b/>
          <w:color w:val="auto"/>
          <w:sz w:val="24"/>
        </w:rPr>
        <w:t xml:space="preserve">1.1 </w:t>
      </w:r>
      <w:r>
        <w:rPr>
          <w:rFonts w:hint="eastAsia" w:ascii="宋体" w:hAnsi="宋体"/>
          <w:b/>
          <w:color w:val="auto"/>
          <w:sz w:val="24"/>
        </w:rPr>
        <w:t>合同组成部分</w:t>
      </w:r>
      <w:bookmarkEnd w:id="408"/>
      <w:bookmarkEnd w:id="409"/>
      <w:bookmarkEnd w:id="410"/>
      <w:bookmarkEnd w:id="411"/>
      <w:bookmarkEnd w:id="412"/>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13" w:name="_Toc2918"/>
      <w:bookmarkStart w:id="414" w:name="_Toc6773"/>
      <w:bookmarkStart w:id="415" w:name="_Toc18585"/>
      <w:bookmarkStart w:id="416" w:name="_Toc22185"/>
      <w:bookmarkStart w:id="417" w:name="_Toc6311"/>
      <w:r>
        <w:rPr>
          <w:rFonts w:ascii="宋体" w:hAnsi="宋体"/>
          <w:b/>
          <w:color w:val="auto"/>
          <w:sz w:val="24"/>
        </w:rPr>
        <w:t xml:space="preserve">1.2 </w:t>
      </w:r>
      <w:r>
        <w:rPr>
          <w:rFonts w:hint="eastAsia" w:ascii="宋体" w:hAnsi="宋体"/>
          <w:b/>
          <w:color w:val="auto"/>
          <w:sz w:val="24"/>
        </w:rPr>
        <w:t>标的</w:t>
      </w:r>
      <w:bookmarkEnd w:id="413"/>
      <w:bookmarkEnd w:id="414"/>
      <w:bookmarkEnd w:id="415"/>
      <w:bookmarkEnd w:id="416"/>
      <w:bookmarkEnd w:id="417"/>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18" w:name="_Toc21124"/>
      <w:bookmarkStart w:id="419" w:name="_Toc4929"/>
      <w:bookmarkStart w:id="420" w:name="_Toc5635"/>
      <w:bookmarkStart w:id="421" w:name="_Toc13918"/>
      <w:bookmarkStart w:id="422"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8"/>
      <w:bookmarkEnd w:id="419"/>
      <w:bookmarkEnd w:id="420"/>
      <w:bookmarkEnd w:id="421"/>
      <w:bookmarkEnd w:id="422"/>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20"/>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20"/>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23" w:name="_Toc30158"/>
      <w:bookmarkStart w:id="424" w:name="_Toc30506"/>
      <w:bookmarkStart w:id="425" w:name="_Toc3654"/>
      <w:bookmarkStart w:id="426" w:name="_Toc26916"/>
      <w:bookmarkStart w:id="427"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23"/>
    <w:bookmarkEnd w:id="424"/>
    <w:bookmarkEnd w:id="425"/>
    <w:bookmarkEnd w:id="426"/>
    <w:bookmarkEnd w:id="427"/>
    <w:p>
      <w:pPr>
        <w:pStyle w:val="960"/>
        <w:spacing w:before="0" w:beforeAutospacing="0" w:after="0" w:afterAutospacing="0" w:line="360" w:lineRule="auto"/>
        <w:ind w:firstLine="480"/>
        <w:rPr>
          <w:b/>
          <w:color w:val="auto"/>
        </w:rPr>
      </w:pPr>
      <w:bookmarkStart w:id="428" w:name="_Toc1814"/>
      <w:bookmarkStart w:id="429" w:name="_Toc22618"/>
      <w:bookmarkStart w:id="430" w:name="_Toc10340"/>
      <w:bookmarkStart w:id="431" w:name="_Toc11108"/>
      <w:bookmarkStart w:id="432" w:name="_Toc31421"/>
      <w:bookmarkStart w:id="433" w:name="_Toc4760"/>
      <w:bookmarkStart w:id="434" w:name="_Toc8772"/>
      <w:bookmarkStart w:id="435" w:name="_Toc3625"/>
      <w:r>
        <w:rPr>
          <w:rFonts w:hint="eastAsia"/>
          <w:b/>
          <w:color w:val="auto"/>
        </w:rPr>
        <w:t>1.4履约保证金</w:t>
      </w:r>
    </w:p>
    <w:p>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28"/>
      <w:bookmarkEnd w:id="429"/>
      <w:bookmarkEnd w:id="430"/>
      <w:r>
        <w:rPr>
          <w:rFonts w:hint="eastAsia" w:ascii="宋体" w:hAnsi="宋体" w:cs="宋体"/>
          <w:b/>
          <w:color w:val="auto"/>
          <w:sz w:val="24"/>
        </w:rPr>
        <w:t>预付款</w:t>
      </w:r>
    </w:p>
    <w:p>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31"/>
      <w:bookmarkEnd w:id="432"/>
      <w:bookmarkEnd w:id="433"/>
      <w:bookmarkEnd w:id="434"/>
      <w:bookmarkEnd w:id="435"/>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36" w:name="_Toc24662"/>
      <w:bookmarkStart w:id="437" w:name="_Toc3079"/>
      <w:bookmarkStart w:id="438" w:name="_Toc2375"/>
      <w:bookmarkStart w:id="439" w:name="_Toc5698"/>
      <w:bookmarkStart w:id="440" w:name="_Toc8586"/>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6"/>
      <w:bookmarkEnd w:id="437"/>
      <w:bookmarkEnd w:id="438"/>
      <w:bookmarkEnd w:id="439"/>
      <w:bookmarkEnd w:id="440"/>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41" w:name="_Toc9497"/>
      <w:bookmarkStart w:id="442" w:name="_Toc30329"/>
      <w:bookmarkStart w:id="443" w:name="_Toc32454"/>
      <w:bookmarkStart w:id="444" w:name="_Toc18683"/>
      <w:bookmarkStart w:id="445"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41"/>
    <w:bookmarkEnd w:id="442"/>
    <w:bookmarkEnd w:id="443"/>
    <w:bookmarkEnd w:id="444"/>
    <w:bookmarkEnd w:id="445"/>
    <w:p>
      <w:pPr>
        <w:spacing w:line="560" w:lineRule="exact"/>
        <w:ind w:firstLine="482" w:firstLineChars="200"/>
        <w:outlineLvl w:val="0"/>
        <w:rPr>
          <w:rFonts w:ascii="宋体" w:hAnsi="宋体" w:cs="宋体"/>
          <w:b/>
          <w:color w:val="auto"/>
          <w:sz w:val="24"/>
        </w:rPr>
      </w:pPr>
      <w:bookmarkStart w:id="446" w:name="_Toc16021"/>
      <w:bookmarkStart w:id="447" w:name="_Toc15583"/>
      <w:bookmarkStart w:id="448" w:name="_Toc28375"/>
      <w:r>
        <w:rPr>
          <w:rFonts w:hint="eastAsia" w:ascii="宋体" w:hAnsi="宋体" w:cs="宋体"/>
          <w:b/>
          <w:color w:val="auto"/>
          <w:sz w:val="24"/>
        </w:rPr>
        <w:t>1.9合同争议的解决</w:t>
      </w:r>
      <w:bookmarkEnd w:id="446"/>
      <w:bookmarkEnd w:id="447"/>
      <w:bookmarkEnd w:id="448"/>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49" w:name="_Toc7245"/>
      <w:bookmarkStart w:id="450" w:name="_Toc15322"/>
      <w:bookmarkStart w:id="451" w:name="_Toc11173"/>
      <w:r>
        <w:rPr>
          <w:rFonts w:hint="eastAsia" w:ascii="宋体" w:hAnsi="宋体" w:cs="宋体"/>
          <w:b/>
          <w:color w:val="auto"/>
          <w:sz w:val="24"/>
        </w:rPr>
        <w:t>2.0 合同生效</w:t>
      </w:r>
      <w:bookmarkEnd w:id="449"/>
      <w:bookmarkEnd w:id="450"/>
      <w:bookmarkEnd w:id="451"/>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bookmarkEnd w:id="407"/>
    <w:p>
      <w:pPr>
        <w:pStyle w:val="4"/>
        <w:adjustRightInd w:val="0"/>
        <w:snapToGrid w:val="0"/>
        <w:spacing w:before="15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br w:type="page"/>
      </w:r>
      <w:bookmarkStart w:id="452" w:name="_Toc27624"/>
      <w:r>
        <w:rPr>
          <w:rFonts w:hint="eastAsia" w:ascii="宋体" w:hAnsi="宋体" w:eastAsia="宋体" w:cs="宋体"/>
          <w:b w:val="0"/>
          <w:bCs w:val="0"/>
          <w:color w:val="auto"/>
          <w:sz w:val="24"/>
          <w:szCs w:val="24"/>
        </w:rPr>
        <w:t>第二节 政府采购合同通用条款</w:t>
      </w:r>
      <w:bookmarkEnd w:id="452"/>
    </w:p>
    <w:p>
      <w:pPr>
        <w:tabs>
          <w:tab w:val="left" w:pos="8820"/>
          <w:tab w:val="left" w:pos="9345"/>
          <w:tab w:val="left" w:pos="9765"/>
        </w:tabs>
        <w:adjustRightInd w:val="0"/>
        <w:snapToGrid w:val="0"/>
        <w:spacing w:before="0" w:line="400" w:lineRule="exact"/>
        <w:jc w:val="left"/>
        <w:rPr>
          <w:rFonts w:hint="eastAsia" w:ascii="宋体" w:hAnsi="宋体" w:cs="宋体"/>
          <w:b/>
          <w:bCs/>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 xml:space="preserve"> </w:t>
      </w:r>
      <w:r>
        <w:rPr>
          <w:rFonts w:hint="eastAsia" w:ascii="宋体" w:hAnsi="宋体" w:cs="宋体"/>
          <w:b/>
          <w:bCs/>
          <w:color w:val="auto"/>
          <w:sz w:val="24"/>
        </w:rPr>
        <w:t>定义</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1.1合同当事人</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（1）采购人（以下称甲方）是指使用财政性资金，通过政府采购方式向供应商购买货物</w:t>
      </w:r>
      <w:r>
        <w:rPr>
          <w:rFonts w:hint="eastAsia" w:ascii="宋体" w:hAnsi="宋体" w:cs="宋体"/>
          <w:color w:val="auto"/>
          <w:sz w:val="24"/>
          <w:szCs w:val="24"/>
          <w:highlight w:val="none"/>
          <w:lang w:val="en-US" w:eastAsia="zh-CN"/>
        </w:rPr>
        <w:t>及其相关服务的</w:t>
      </w:r>
      <w:r>
        <w:rPr>
          <w:rFonts w:hint="eastAsia" w:ascii="宋体" w:hAnsi="宋体" w:cs="宋体"/>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（2）供应商（以下称</w:t>
      </w:r>
      <w:r>
        <w:rPr>
          <w:rFonts w:hint="eastAsia" w:ascii="宋体" w:hAnsi="宋体" w:cs="宋体"/>
          <w:color w:val="auto"/>
          <w:sz w:val="24"/>
          <w:szCs w:val="24"/>
          <w:highlight w:val="none"/>
          <w:lang w:eastAsia="zh-CN"/>
        </w:rPr>
        <w:t>乙</w:t>
      </w:r>
      <w:r>
        <w:rPr>
          <w:rFonts w:hint="eastAsia" w:ascii="宋体" w:hAnsi="宋体" w:cs="宋体"/>
          <w:color w:val="auto"/>
          <w:sz w:val="24"/>
          <w:szCs w:val="24"/>
          <w:highlight w:val="none"/>
        </w:rPr>
        <w:t>方）是指参加政府采购活动并且中标（成交），向采购人提供</w:t>
      </w:r>
      <w:r>
        <w:rPr>
          <w:rFonts w:hint="eastAsia" w:ascii="宋体" w:hAnsi="宋体" w:cs="宋体"/>
          <w:color w:val="auto"/>
          <w:sz w:val="24"/>
          <w:szCs w:val="24"/>
          <w:highlight w:val="none"/>
          <w:lang w:val="en-US" w:eastAsia="zh-CN"/>
        </w:rPr>
        <w:t>合同约定的货物及其相关服务的法人、非法人组织或者自然人</w:t>
      </w:r>
      <w:r>
        <w:rPr>
          <w:rFonts w:hint="eastAsia" w:ascii="宋体" w:hAnsi="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（3）其他合同主体是指除采购人和供应商以外，</w:t>
      </w:r>
      <w:r>
        <w:rPr>
          <w:rFonts w:hint="eastAsia" w:ascii="宋体" w:hAnsi="宋体" w:eastAsia="宋体" w:cs="宋体"/>
          <w:bCs/>
          <w:color w:val="auto"/>
          <w:sz w:val="24"/>
          <w:szCs w:val="24"/>
        </w:rPr>
        <w:t>依法参与合同缔结或履行，享有权利、承担义务的合同当事人</w:t>
      </w:r>
      <w:r>
        <w:rPr>
          <w:rFonts w:hint="eastAsia" w:ascii="宋体" w:hAnsi="宋体" w:cs="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（1）“合同”系指</w:t>
      </w:r>
      <w:r>
        <w:rPr>
          <w:rFonts w:hint="eastAsia" w:ascii="宋体" w:hAnsi="宋体" w:eastAsia="宋体" w:cs="宋体"/>
          <w:bCs/>
          <w:color w:val="auto"/>
          <w:sz w:val="24"/>
          <w:szCs w:val="24"/>
        </w:rPr>
        <w:t>合同当事人意思表示达成一致的任何协议，包括签署的</w:t>
      </w:r>
      <w:r>
        <w:rPr>
          <w:rFonts w:hint="eastAsia" w:ascii="宋体" w:hAnsi="宋体" w:cs="宋体"/>
          <w:color w:val="auto"/>
          <w:sz w:val="24"/>
          <w:szCs w:val="24"/>
          <w:lang w:eastAsia="zh-CN"/>
        </w:rPr>
        <w:t>政府采购</w:t>
      </w:r>
      <w:r>
        <w:rPr>
          <w:rFonts w:hint="eastAsia" w:ascii="宋体" w:hAnsi="宋体" w:cs="宋体"/>
          <w:color w:val="auto"/>
          <w:sz w:val="24"/>
          <w:szCs w:val="24"/>
        </w:rPr>
        <w:t>合同协议书及其变更、补充</w:t>
      </w:r>
      <w:r>
        <w:rPr>
          <w:rFonts w:hint="eastAsia" w:ascii="宋体" w:hAnsi="宋体" w:cs="宋体"/>
          <w:color w:val="auto"/>
          <w:sz w:val="24"/>
          <w:szCs w:val="24"/>
          <w:lang w:eastAsia="zh-CN"/>
        </w:rPr>
        <w:t>协议，</w:t>
      </w:r>
      <w:r>
        <w:rPr>
          <w:rFonts w:hint="eastAsia" w:ascii="宋体" w:hAnsi="宋体" w:cs="宋体"/>
          <w:color w:val="auto"/>
          <w:sz w:val="24"/>
          <w:szCs w:val="24"/>
        </w:rPr>
        <w:t>政府采购合同专用条款</w:t>
      </w:r>
      <w:r>
        <w:rPr>
          <w:rFonts w:hint="eastAsia" w:ascii="宋体" w:hAnsi="宋体" w:cs="宋体"/>
          <w:color w:val="auto"/>
          <w:sz w:val="24"/>
          <w:szCs w:val="24"/>
          <w:lang w:eastAsia="zh-CN"/>
        </w:rPr>
        <w:t>，</w:t>
      </w:r>
      <w:r>
        <w:rPr>
          <w:rFonts w:hint="eastAsia" w:ascii="宋体" w:hAnsi="宋体" w:cs="宋体"/>
          <w:color w:val="auto"/>
          <w:sz w:val="24"/>
          <w:szCs w:val="24"/>
        </w:rPr>
        <w:t>政府采购合同通用条款</w:t>
      </w:r>
      <w:r>
        <w:rPr>
          <w:rFonts w:hint="eastAsia" w:ascii="宋体" w:hAnsi="宋体" w:cs="宋体"/>
          <w:color w:val="auto"/>
          <w:sz w:val="24"/>
          <w:szCs w:val="24"/>
          <w:lang w:eastAsia="zh-CN"/>
        </w:rPr>
        <w:t>，</w:t>
      </w:r>
      <w:r>
        <w:rPr>
          <w:rFonts w:hint="eastAsia" w:ascii="宋体" w:hAnsi="宋体" w:cs="宋体"/>
          <w:color w:val="auto"/>
          <w:sz w:val="24"/>
          <w:szCs w:val="24"/>
        </w:rPr>
        <w:t>中标</w:t>
      </w:r>
      <w:r>
        <w:rPr>
          <w:rFonts w:hint="eastAsia" w:ascii="宋体" w:hAnsi="宋体" w:cs="宋体"/>
          <w:color w:val="auto"/>
          <w:sz w:val="24"/>
          <w:szCs w:val="24"/>
          <w:lang w:eastAsia="zh-CN"/>
        </w:rPr>
        <w:t>（成交）</w:t>
      </w:r>
      <w:r>
        <w:rPr>
          <w:rFonts w:hint="eastAsia" w:ascii="宋体" w:hAnsi="宋体" w:cs="宋体"/>
          <w:color w:val="auto"/>
          <w:sz w:val="24"/>
          <w:szCs w:val="24"/>
        </w:rPr>
        <w:t>通知书</w:t>
      </w:r>
      <w:r>
        <w:rPr>
          <w:rFonts w:hint="eastAsia" w:ascii="宋体" w:hAnsi="宋体" w:cs="宋体"/>
          <w:color w:val="auto"/>
          <w:sz w:val="24"/>
          <w:szCs w:val="24"/>
          <w:lang w:eastAsia="zh-CN"/>
        </w:rPr>
        <w:t>，</w:t>
      </w:r>
      <w:r>
        <w:rPr>
          <w:rFonts w:hint="eastAsia" w:ascii="宋体" w:hAnsi="宋体" w:cs="宋体"/>
          <w:color w:val="auto"/>
          <w:sz w:val="24"/>
          <w:szCs w:val="24"/>
        </w:rPr>
        <w:t>投标（响应）文件</w:t>
      </w:r>
      <w:r>
        <w:rPr>
          <w:rFonts w:hint="eastAsia" w:ascii="宋体" w:hAnsi="宋体" w:cs="宋体"/>
          <w:color w:val="auto"/>
          <w:sz w:val="24"/>
          <w:szCs w:val="24"/>
          <w:lang w:eastAsia="zh-CN"/>
        </w:rPr>
        <w:t>，</w:t>
      </w:r>
      <w:r>
        <w:rPr>
          <w:rFonts w:hint="eastAsia" w:ascii="宋体" w:hAnsi="宋体" w:cs="宋体"/>
          <w:color w:val="auto"/>
          <w:sz w:val="24"/>
          <w:szCs w:val="24"/>
        </w:rPr>
        <w:t>采购文件</w:t>
      </w:r>
      <w:r>
        <w:rPr>
          <w:rFonts w:hint="eastAsia" w:ascii="宋体" w:hAnsi="宋体" w:cs="宋体"/>
          <w:color w:val="auto"/>
          <w:sz w:val="24"/>
          <w:szCs w:val="24"/>
          <w:lang w:eastAsia="zh-CN"/>
        </w:rPr>
        <w:t>，</w:t>
      </w:r>
      <w:r>
        <w:rPr>
          <w:rFonts w:hint="eastAsia" w:ascii="宋体" w:hAnsi="宋体" w:cs="宋体"/>
          <w:color w:val="auto"/>
          <w:sz w:val="24"/>
          <w:szCs w:val="24"/>
        </w:rPr>
        <w:t>有关技术文件</w:t>
      </w:r>
      <w:r>
        <w:rPr>
          <w:rFonts w:hint="eastAsia" w:ascii="宋体" w:hAnsi="宋体" w:cs="宋体"/>
          <w:color w:val="auto"/>
          <w:sz w:val="24"/>
          <w:szCs w:val="24"/>
          <w:lang w:eastAsia="zh-CN"/>
        </w:rPr>
        <w:t>和</w:t>
      </w:r>
      <w:r>
        <w:rPr>
          <w:rFonts w:hint="eastAsia" w:ascii="宋体" w:hAnsi="宋体" w:cs="宋体"/>
          <w:color w:val="auto"/>
          <w:sz w:val="24"/>
          <w:szCs w:val="24"/>
        </w:rPr>
        <w:t>图纸</w:t>
      </w:r>
      <w:r>
        <w:rPr>
          <w:rFonts w:hint="eastAsia" w:ascii="宋体" w:hAnsi="宋体" w:cs="宋体"/>
          <w:color w:val="auto"/>
          <w:sz w:val="24"/>
          <w:szCs w:val="24"/>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cs="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）“合同价</w:t>
      </w:r>
      <w:r>
        <w:rPr>
          <w:rFonts w:hint="eastAsia" w:ascii="宋体" w:hAnsi="宋体" w:cs="宋体"/>
          <w:color w:val="auto"/>
          <w:sz w:val="24"/>
          <w:szCs w:val="24"/>
          <w:highlight w:val="none"/>
          <w:lang w:val="en-US" w:eastAsia="zh-CN"/>
        </w:rPr>
        <w:t>款</w:t>
      </w:r>
      <w:r>
        <w:rPr>
          <w:rFonts w:hint="eastAsia" w:ascii="宋体" w:hAnsi="宋体" w:cs="宋体"/>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cs="宋体"/>
          <w:color w:val="auto"/>
          <w:sz w:val="24"/>
          <w:szCs w:val="24"/>
          <w:highlight w:val="none"/>
          <w:lang w:val="en"/>
        </w:rPr>
        <w:t>其他</w:t>
      </w:r>
      <w:r>
        <w:rPr>
          <w:rFonts w:hint="eastAsia" w:ascii="宋体" w:hAnsi="宋体" w:cs="宋体"/>
          <w:color w:val="auto"/>
          <w:sz w:val="24"/>
          <w:szCs w:val="24"/>
          <w:highlight w:val="none"/>
        </w:rPr>
        <w:t>技术资料和材料</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rPr>
        <w:t>。</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服务”系指根据合同规定，乙方应提供的</w:t>
      </w:r>
      <w:r>
        <w:rPr>
          <w:rFonts w:hint="eastAsia" w:ascii="宋体" w:hAnsi="宋体" w:cs="宋体"/>
          <w:color w:val="auto"/>
          <w:sz w:val="24"/>
          <w:szCs w:val="24"/>
          <w:highlight w:val="none"/>
          <w:lang w:val="en-US" w:eastAsia="zh-CN"/>
        </w:rPr>
        <w:t>与货物有关的</w:t>
      </w:r>
      <w:r>
        <w:rPr>
          <w:rFonts w:hint="eastAsia" w:ascii="宋体" w:hAnsi="宋体" w:cs="宋体"/>
          <w:color w:val="auto"/>
          <w:sz w:val="24"/>
          <w:szCs w:val="24"/>
          <w:highlight w:val="none"/>
        </w:rPr>
        <w:t>技术、管理和</w:t>
      </w:r>
      <w:r>
        <w:rPr>
          <w:rFonts w:hint="eastAsia" w:ascii="宋体" w:hAnsi="宋体" w:cs="宋体"/>
          <w:color w:val="auto"/>
          <w:sz w:val="24"/>
          <w:szCs w:val="24"/>
          <w:highlight w:val="none"/>
          <w:lang w:val="en"/>
        </w:rPr>
        <w:t>其他</w:t>
      </w:r>
      <w:r>
        <w:rPr>
          <w:rFonts w:hint="eastAsia" w:ascii="宋体" w:hAnsi="宋体" w:cs="宋体"/>
          <w:color w:val="auto"/>
          <w:sz w:val="24"/>
          <w:szCs w:val="24"/>
          <w:highlight w:val="none"/>
        </w:rPr>
        <w:t>服务，包括但不限于：管理和质量保证、运输、保险、检验、现场准备、安装、集成、调试、培训、维修、</w:t>
      </w:r>
      <w:r>
        <w:rPr>
          <w:rFonts w:hint="eastAsia" w:ascii="宋体" w:hAnsi="宋体" w:cs="宋体"/>
          <w:color w:val="auto"/>
          <w:sz w:val="24"/>
          <w:szCs w:val="24"/>
          <w:highlight w:val="none"/>
          <w:lang w:eastAsia="zh-CN"/>
        </w:rPr>
        <w:t>废弃处置、</w:t>
      </w:r>
      <w:r>
        <w:rPr>
          <w:rFonts w:hint="eastAsia" w:ascii="宋体" w:hAnsi="宋体" w:cs="宋体"/>
          <w:color w:val="auto"/>
          <w:sz w:val="24"/>
          <w:szCs w:val="24"/>
          <w:highlight w:val="none"/>
        </w:rPr>
        <w:t>技术支持等以及合同中规定乙方应承担的</w:t>
      </w:r>
      <w:r>
        <w:rPr>
          <w:rFonts w:hint="eastAsia" w:ascii="宋体" w:hAnsi="宋体" w:cs="宋体"/>
          <w:color w:val="auto"/>
          <w:sz w:val="24"/>
          <w:szCs w:val="24"/>
          <w:highlight w:val="none"/>
          <w:lang w:val="en"/>
        </w:rPr>
        <w:t>其他</w:t>
      </w:r>
      <w:r>
        <w:rPr>
          <w:rFonts w:hint="eastAsia" w:ascii="宋体" w:hAnsi="宋体" w:cs="宋体"/>
          <w:color w:val="auto"/>
          <w:sz w:val="24"/>
          <w:szCs w:val="24"/>
          <w:highlight w:val="none"/>
        </w:rPr>
        <w:t>义务。</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）“分包”系指中标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成交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供应商按采购文件、投标（响应）文件的规定，根据分包意向协议，将中标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成交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rPr>
        <w:t>“联合体”系指</w:t>
      </w:r>
      <w:r>
        <w:rPr>
          <w:rFonts w:hint="eastAsia" w:ascii="宋体" w:hAnsi="宋体" w:cs="宋体"/>
          <w:color w:val="auto"/>
          <w:sz w:val="24"/>
          <w:szCs w:val="24"/>
          <w:lang w:eastAsia="zh-CN"/>
        </w:rPr>
        <w:t>由</w:t>
      </w:r>
      <w:r>
        <w:rPr>
          <w:rFonts w:hint="eastAsia" w:ascii="宋体" w:hAnsi="宋体" w:cs="宋体"/>
          <w:color w:val="auto"/>
          <w:sz w:val="24"/>
          <w:szCs w:val="24"/>
        </w:rPr>
        <w:t>两个以上的自然人、法人或者</w:t>
      </w:r>
      <w:r>
        <w:rPr>
          <w:rFonts w:hint="eastAsia" w:ascii="宋体" w:hAnsi="宋体" w:cs="宋体"/>
          <w:color w:val="auto"/>
          <w:sz w:val="24"/>
          <w:szCs w:val="24"/>
          <w:lang w:val="en-US" w:eastAsia="zh-CN"/>
        </w:rPr>
        <w:t>非法人</w:t>
      </w:r>
      <w:r>
        <w:rPr>
          <w:rFonts w:hint="eastAsia" w:ascii="宋体" w:hAnsi="宋体" w:cs="宋体"/>
          <w:color w:val="auto"/>
          <w:sz w:val="24"/>
          <w:szCs w:val="24"/>
        </w:rPr>
        <w:t>组织组成，</w:t>
      </w:r>
      <w:r>
        <w:rPr>
          <w:rFonts w:hint="eastAsia" w:ascii="宋体" w:hAnsi="宋体" w:cs="宋体"/>
          <w:color w:val="auto"/>
          <w:sz w:val="24"/>
          <w:szCs w:val="24"/>
          <w:lang w:eastAsia="zh-CN"/>
        </w:rPr>
        <w:t>以一个供应商的身份共同参加政府采购的主体</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承担连带责任。联合体具体要求见【</w:t>
      </w:r>
      <w:r>
        <w:rPr>
          <w:rFonts w:hint="eastAsia" w:ascii="宋体" w:hAnsi="宋体" w:cs="宋体"/>
          <w:b/>
          <w:bCs/>
          <w:color w:val="auto"/>
          <w:sz w:val="24"/>
          <w:szCs w:val="24"/>
          <w:highlight w:val="none"/>
        </w:rPr>
        <w:t>政府采购合同专用条款</w:t>
      </w:r>
      <w:r>
        <w:rPr>
          <w:rFonts w:hint="eastAsia" w:ascii="宋体" w:hAnsi="宋体" w:cs="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）其他术语解释，见【</w:t>
      </w:r>
      <w:r>
        <w:rPr>
          <w:rFonts w:hint="eastAsia" w:ascii="宋体" w:hAnsi="宋体" w:cs="宋体"/>
          <w:b/>
          <w:bCs/>
          <w:color w:val="auto"/>
          <w:sz w:val="24"/>
          <w:szCs w:val="24"/>
          <w:highlight w:val="none"/>
        </w:rPr>
        <w:t>政府采购合同专用条款</w:t>
      </w:r>
      <w:r>
        <w:rPr>
          <w:rFonts w:hint="eastAsia" w:ascii="宋体" w:hAnsi="宋体" w:cs="宋体"/>
          <w:color w:val="auto"/>
          <w:sz w:val="24"/>
          <w:szCs w:val="24"/>
          <w:highlight w:val="none"/>
        </w:rPr>
        <w:t>】。</w:t>
      </w:r>
    </w:p>
    <w:p>
      <w:pPr>
        <w:numPr>
          <w:ilvl w:val="0"/>
          <w:numId w:val="2"/>
        </w:num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合同标的及金额</w:t>
      </w:r>
    </w:p>
    <w:p>
      <w:pPr>
        <w:autoSpaceDE w:val="0"/>
        <w:autoSpaceDN w:val="0"/>
        <w:adjustRightInd w:val="0"/>
        <w:snapToGrid w:val="0"/>
        <w:spacing w:before="0" w:line="400" w:lineRule="exact"/>
        <w:ind w:firstLine="480" w:firstLineChars="200"/>
        <w:jc w:val="left"/>
        <w:rPr>
          <w:rFonts w:hint="eastAsia" w:ascii="宋体" w:hAnsi="宋体" w:cs="宋体"/>
          <w:b/>
          <w:bCs/>
          <w:i/>
          <w:iCs/>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.1 合同标的及金额应与中标（成交）结果一致。乙方为履行本合同而发生的所有费用均应包含在合同</w:t>
      </w:r>
      <w:r>
        <w:rPr>
          <w:rFonts w:hint="eastAsia" w:ascii="宋体" w:hAnsi="宋体" w:cs="宋体"/>
          <w:color w:val="auto"/>
          <w:sz w:val="24"/>
          <w:szCs w:val="24"/>
          <w:highlight w:val="none"/>
          <w:lang w:eastAsia="zh-CN"/>
        </w:rPr>
        <w:t>价款</w:t>
      </w:r>
      <w:r>
        <w:rPr>
          <w:rFonts w:hint="eastAsia" w:ascii="宋体" w:hAnsi="宋体" w:cs="宋体"/>
          <w:color w:val="auto"/>
          <w:sz w:val="24"/>
          <w:szCs w:val="24"/>
          <w:highlight w:val="none"/>
        </w:rPr>
        <w:t>中，甲方不再另行支付</w:t>
      </w:r>
      <w:r>
        <w:rPr>
          <w:rFonts w:hint="eastAsia" w:ascii="宋体" w:hAnsi="宋体" w:cs="宋体"/>
          <w:color w:val="auto"/>
          <w:sz w:val="24"/>
          <w:szCs w:val="24"/>
          <w:highlight w:val="none"/>
          <w:lang w:val="en"/>
        </w:rPr>
        <w:t>其他</w:t>
      </w:r>
      <w:r>
        <w:rPr>
          <w:rFonts w:hint="eastAsia" w:ascii="宋体" w:hAnsi="宋体" w:cs="宋体"/>
          <w:color w:val="auto"/>
          <w:sz w:val="24"/>
          <w:szCs w:val="24"/>
          <w:highlight w:val="none"/>
        </w:rPr>
        <w:t>任何费用。</w:t>
      </w:r>
    </w:p>
    <w:p>
      <w:pPr>
        <w:adjustRightInd w:val="0"/>
        <w:snapToGrid w:val="0"/>
        <w:spacing w:before="0" w:line="400" w:lineRule="exact"/>
        <w:jc w:val="left"/>
        <w:rPr>
          <w:rFonts w:hint="eastAsia" w:ascii="宋体" w:hAnsi="宋体" w:cs="宋体"/>
          <w:b/>
          <w:color w:val="auto"/>
          <w:sz w:val="24"/>
          <w:highlight w:val="none"/>
        </w:rPr>
      </w:pPr>
      <w:r>
        <w:rPr>
          <w:rFonts w:hint="eastAsia" w:ascii="宋体" w:hAnsi="宋体" w:cs="宋体"/>
          <w:b/>
          <w:color w:val="auto"/>
          <w:sz w:val="24"/>
          <w:highlight w:val="none"/>
          <w:lang w:eastAsia="zh-CN"/>
        </w:rPr>
        <w:t>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履行合同的时间、地点和方式</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 xml:space="preserve">.1 </w:t>
      </w:r>
      <w:r>
        <w:rPr>
          <w:rFonts w:hint="eastAsia" w:ascii="宋体" w:hAnsi="宋体" w:eastAsia="宋体" w:cs="宋体"/>
          <w:color w:val="auto"/>
          <w:sz w:val="24"/>
          <w:szCs w:val="24"/>
        </w:rPr>
        <w:t>乙方应当在约定的时间、地点</w:t>
      </w:r>
      <w:r>
        <w:rPr>
          <w:rFonts w:hint="eastAsia" w:ascii="宋体" w:hAnsi="宋体" w:cs="宋体"/>
          <w:color w:val="auto"/>
          <w:sz w:val="24"/>
          <w:szCs w:val="24"/>
          <w:lang w:eastAsia="zh-CN"/>
        </w:rPr>
        <w:t>，按照约定</w:t>
      </w:r>
      <w:r>
        <w:rPr>
          <w:rFonts w:hint="eastAsia" w:ascii="宋体" w:hAnsi="宋体" w:eastAsia="宋体" w:cs="宋体"/>
          <w:color w:val="auto"/>
          <w:sz w:val="24"/>
          <w:szCs w:val="24"/>
        </w:rPr>
        <w:t>方式履行合同。</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4</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甲方的权利和义务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.1 签署合同后，甲方</w:t>
      </w:r>
      <w:r>
        <w:rPr>
          <w:rFonts w:hint="eastAsia" w:ascii="宋体" w:hAnsi="宋体" w:cs="宋体"/>
          <w:color w:val="auto"/>
          <w:sz w:val="24"/>
          <w:szCs w:val="24"/>
          <w:highlight w:val="none"/>
          <w:lang w:eastAsia="zh-CN"/>
        </w:rPr>
        <w:t>应</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val="en-US" w:eastAsia="zh-CN"/>
        </w:rPr>
        <w:t>项目负责人（或项目联系人）</w:t>
      </w:r>
      <w:r>
        <w:rPr>
          <w:rFonts w:hint="eastAsia" w:ascii="宋体" w:hAnsi="宋体" w:cs="宋体"/>
          <w:color w:val="auto"/>
          <w:sz w:val="24"/>
          <w:szCs w:val="24"/>
          <w:highlight w:val="none"/>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.3 甲方有权要求乙方对缺陷部分予以修复，并按合同约定享有货物保修及其他合同约定的权利。</w:t>
      </w:r>
    </w:p>
    <w:p>
      <w:pPr>
        <w:snapToGrid w:val="0"/>
        <w:spacing w:line="40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szCs w:val="24"/>
          <w:highlight w:val="none"/>
          <w:lang w:val="en-US" w:eastAsia="zh-CN"/>
        </w:rPr>
        <w:t>4.4 甲方应当按照合同约定及时对交付的货物进行验收，</w:t>
      </w:r>
      <w:r>
        <w:rPr>
          <w:rFonts w:hint="eastAsia" w:ascii="宋体" w:hAnsi="宋体" w:cs="宋体"/>
          <w:b w:val="0"/>
          <w:bCs w:val="0"/>
          <w:color w:val="auto"/>
          <w:sz w:val="24"/>
          <w:szCs w:val="24"/>
          <w:highlight w:val="none"/>
          <w:lang w:eastAsia="zh-CN"/>
        </w:rPr>
        <w:t>未</w:t>
      </w:r>
      <w:r>
        <w:rPr>
          <w:rFonts w:hint="eastAsia" w:ascii="宋体" w:hAnsi="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约定的期限内对乙方履约提出任何异议或者向乙方作出任何说明的，</w:t>
      </w:r>
      <w:r>
        <w:rPr>
          <w:rFonts w:hint="eastAsia" w:ascii="宋体" w:hAnsi="宋体" w:cs="宋体"/>
          <w:color w:val="auto"/>
          <w:sz w:val="24"/>
          <w:szCs w:val="24"/>
          <w:highlight w:val="none"/>
          <w:lang w:val="en-US" w:eastAsia="zh-CN"/>
        </w:rPr>
        <w:t>视为验收通过。</w:t>
      </w:r>
    </w:p>
    <w:p>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甲方应当根据合同约定</w:t>
      </w:r>
      <w:r>
        <w:rPr>
          <w:rFonts w:hint="eastAsia" w:ascii="宋体" w:hAnsi="宋体" w:cs="宋体"/>
          <w:color w:val="auto"/>
          <w:sz w:val="24"/>
          <w:szCs w:val="24"/>
          <w:highlight w:val="none"/>
          <w:lang w:eastAsia="zh-CN"/>
        </w:rPr>
        <w:t>及</w:t>
      </w:r>
      <w:r>
        <w:rPr>
          <w:rFonts w:hint="eastAsia" w:ascii="宋体" w:hAnsi="宋体" w:cs="宋体"/>
          <w:color w:val="auto"/>
          <w:sz w:val="24"/>
          <w:szCs w:val="24"/>
          <w:highlight w:val="none"/>
        </w:rPr>
        <w:t>时向乙方支付</w:t>
      </w:r>
      <w:r>
        <w:rPr>
          <w:rFonts w:hint="eastAsia" w:ascii="宋体" w:hAnsi="宋体" w:cs="宋体"/>
          <w:color w:val="auto"/>
          <w:sz w:val="24"/>
          <w:szCs w:val="24"/>
          <w:highlight w:val="none"/>
          <w:lang w:eastAsia="zh-CN"/>
        </w:rPr>
        <w:t>合同价款，不得以内部人员变更、履行内部付款流程等为由，拒绝或迟延支付。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国家法律法规规定</w:t>
      </w:r>
      <w:r>
        <w:rPr>
          <w:rFonts w:hint="eastAsia" w:ascii="宋体" w:hAnsi="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s="宋体"/>
          <w:color w:val="auto"/>
          <w:sz w:val="24"/>
          <w:szCs w:val="24"/>
          <w:highlight w:val="none"/>
          <w:lang w:eastAsia="zh-CN"/>
        </w:rPr>
        <w:t>约定应</w:t>
      </w:r>
      <w:r>
        <w:rPr>
          <w:rFonts w:hint="eastAsia" w:ascii="宋体" w:hAnsi="宋体" w:cs="宋体"/>
          <w:color w:val="auto"/>
          <w:sz w:val="24"/>
          <w:szCs w:val="24"/>
          <w:highlight w:val="none"/>
        </w:rPr>
        <w:t>由甲方承担的其他义务和责任。</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5</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乙方的权利和义务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.1 签署合同后，乙方</w:t>
      </w:r>
      <w:r>
        <w:rPr>
          <w:rFonts w:hint="eastAsia" w:ascii="宋体" w:hAnsi="宋体" w:cs="宋体"/>
          <w:color w:val="auto"/>
          <w:sz w:val="24"/>
          <w:szCs w:val="24"/>
          <w:highlight w:val="none"/>
          <w:lang w:eastAsia="zh-CN"/>
        </w:rPr>
        <w:t>应</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val="en-US" w:eastAsia="zh-CN"/>
        </w:rPr>
        <w:t>项目负责人（或项目联系人）</w:t>
      </w:r>
      <w:r>
        <w:rPr>
          <w:rFonts w:hint="eastAsia" w:ascii="宋体" w:hAnsi="宋体" w:cs="宋体"/>
          <w:color w:val="auto"/>
          <w:sz w:val="24"/>
          <w:szCs w:val="24"/>
          <w:highlight w:val="none"/>
        </w:rPr>
        <w:t>，负责与本合同有关的事务。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.2 乙方应按照合同要求履约，充分合理安排，确保提供的货物</w:t>
      </w:r>
      <w:r>
        <w:rPr>
          <w:rFonts w:hint="eastAsia" w:ascii="宋体" w:hAnsi="宋体" w:cs="宋体"/>
          <w:color w:val="auto"/>
          <w:sz w:val="24"/>
          <w:szCs w:val="24"/>
          <w:highlight w:val="none"/>
          <w:lang w:eastAsia="zh-CN"/>
        </w:rPr>
        <w:t>及相关</w:t>
      </w:r>
      <w:r>
        <w:rPr>
          <w:rFonts w:hint="eastAsia" w:ascii="宋体" w:hAnsi="宋体" w:cs="宋体"/>
          <w:color w:val="auto"/>
          <w:sz w:val="24"/>
          <w:szCs w:val="24"/>
          <w:highlight w:val="none"/>
        </w:rPr>
        <w:t>服务符合合同</w:t>
      </w:r>
      <w:r>
        <w:rPr>
          <w:rFonts w:hint="eastAsia" w:ascii="宋体" w:hAnsi="宋体" w:cs="宋体"/>
          <w:color w:val="auto"/>
          <w:sz w:val="24"/>
          <w:szCs w:val="24"/>
          <w:highlight w:val="none"/>
          <w:lang w:eastAsia="zh-CN"/>
        </w:rPr>
        <w:t>有关</w:t>
      </w:r>
      <w:r>
        <w:rPr>
          <w:rFonts w:hint="eastAsia" w:ascii="宋体" w:hAnsi="宋体" w:cs="宋体"/>
          <w:color w:val="auto"/>
          <w:sz w:val="24"/>
          <w:szCs w:val="24"/>
          <w:highlight w:val="none"/>
        </w:rPr>
        <w:t>要求。接受项目行业管理部门及政府有关部门的指导，配合甲方的履约检查</w:t>
      </w:r>
      <w:r>
        <w:rPr>
          <w:rFonts w:hint="eastAsia" w:ascii="宋体" w:hAnsi="宋体" w:cs="宋体"/>
          <w:color w:val="auto"/>
          <w:sz w:val="24"/>
          <w:szCs w:val="24"/>
          <w:highlight w:val="none"/>
          <w:lang w:eastAsia="zh-CN"/>
        </w:rPr>
        <w:t>及验收</w:t>
      </w:r>
      <w:r>
        <w:rPr>
          <w:rFonts w:hint="eastAsia" w:ascii="宋体" w:hAnsi="宋体" w:cs="宋体"/>
          <w:color w:val="auto"/>
          <w:sz w:val="24"/>
          <w:szCs w:val="24"/>
          <w:highlight w:val="none"/>
        </w:rPr>
        <w:t>，并负责项目实施过程中的所有协调工作。</w:t>
      </w:r>
    </w:p>
    <w:p>
      <w:pPr>
        <w:pStyle w:val="24"/>
        <w:spacing w:after="0" w:line="400" w:lineRule="exact"/>
        <w:ind w:firstLine="422" w:firstLineChars="176"/>
        <w:rPr>
          <w:rFonts w:hint="eastAsia" w:ascii="宋体" w:hAnsi="宋体" w:cs="宋体"/>
          <w:color w:val="auto"/>
          <w:szCs w:val="24"/>
          <w:highlight w:val="none"/>
        </w:rPr>
      </w:pPr>
      <w:r>
        <w:rPr>
          <w:rFonts w:hint="eastAsia" w:ascii="宋体" w:hAnsi="宋体" w:cs="宋体"/>
          <w:color w:val="auto"/>
          <w:szCs w:val="24"/>
          <w:highlight w:val="none"/>
          <w:lang w:eastAsia="zh-CN"/>
        </w:rPr>
        <w:t>5</w:t>
      </w:r>
      <w:r>
        <w:rPr>
          <w:rFonts w:hint="eastAsia" w:ascii="宋体" w:hAnsi="宋体" w:cs="宋体"/>
          <w:color w:val="auto"/>
          <w:szCs w:val="24"/>
          <w:highlight w:val="none"/>
        </w:rPr>
        <w:t>.3乙方有权根据合同约定向甲方收取</w:t>
      </w:r>
      <w:r>
        <w:rPr>
          <w:rFonts w:hint="eastAsia" w:ascii="宋体" w:hAnsi="宋体" w:cs="宋体"/>
          <w:color w:val="auto"/>
          <w:szCs w:val="24"/>
          <w:highlight w:val="none"/>
          <w:lang w:eastAsia="zh-CN"/>
        </w:rPr>
        <w:t>合同价款</w:t>
      </w:r>
      <w:r>
        <w:rPr>
          <w:rFonts w:hint="eastAsia" w:ascii="宋体" w:hAnsi="宋体" w:cs="宋体"/>
          <w:color w:val="auto"/>
          <w:szCs w:val="24"/>
          <w:highlight w:val="none"/>
        </w:rPr>
        <w:t>。</w:t>
      </w:r>
    </w:p>
    <w:p>
      <w:pPr>
        <w:pStyle w:val="24"/>
        <w:spacing w:after="0" w:line="400" w:lineRule="exact"/>
        <w:ind w:firstLine="422" w:firstLineChars="176"/>
        <w:rPr>
          <w:rFonts w:hint="eastAsia" w:ascii="宋体" w:hAnsi="宋体" w:cs="宋体"/>
          <w:color w:val="auto"/>
          <w:szCs w:val="24"/>
          <w:highlight w:val="none"/>
        </w:rPr>
      </w:pPr>
      <w:r>
        <w:rPr>
          <w:rFonts w:hint="eastAsia" w:ascii="宋体" w:hAnsi="宋体" w:cs="宋体"/>
          <w:color w:val="auto"/>
          <w:szCs w:val="24"/>
          <w:highlight w:val="none"/>
          <w:lang w:eastAsia="zh-CN"/>
        </w:rPr>
        <w:t>5</w:t>
      </w:r>
      <w:r>
        <w:rPr>
          <w:rFonts w:hint="eastAsia" w:ascii="宋体" w:hAnsi="宋体" w:cs="宋体"/>
          <w:color w:val="auto"/>
          <w:szCs w:val="24"/>
          <w:highlight w:val="none"/>
        </w:rPr>
        <w:t>.4国家法律法规规定</w:t>
      </w:r>
      <w:r>
        <w:rPr>
          <w:rFonts w:hint="eastAsia" w:ascii="宋体" w:hAnsi="宋体" w:cs="宋体"/>
          <w:color w:val="auto"/>
          <w:szCs w:val="24"/>
          <w:highlight w:val="none"/>
          <w:lang w:eastAsia="zh-CN"/>
        </w:rPr>
        <w:t>及</w:t>
      </w:r>
      <w:r>
        <w:rPr>
          <w:rFonts w:hint="eastAsia" w:ascii="宋体" w:hAnsi="宋体" w:eastAsia="宋体" w:cs="宋体"/>
          <w:b/>
          <w:bCs/>
          <w:color w:val="auto"/>
          <w:szCs w:val="24"/>
          <w:highlight w:val="none"/>
        </w:rPr>
        <w:t>【政府采购合同专用条款】</w:t>
      </w:r>
      <w:r>
        <w:rPr>
          <w:rFonts w:hint="eastAsia" w:ascii="宋体" w:hAnsi="宋体" w:cs="宋体"/>
          <w:b w:val="0"/>
          <w:bCs w:val="0"/>
          <w:color w:val="auto"/>
          <w:szCs w:val="24"/>
          <w:highlight w:val="none"/>
          <w:lang w:eastAsia="zh-CN"/>
        </w:rPr>
        <w:t>约定应</w:t>
      </w:r>
      <w:r>
        <w:rPr>
          <w:rFonts w:hint="eastAsia" w:ascii="宋体" w:hAnsi="宋体" w:cs="宋体"/>
          <w:color w:val="auto"/>
          <w:szCs w:val="24"/>
          <w:highlight w:val="none"/>
        </w:rPr>
        <w:t>由乙方承担的其他义务和责任。</w:t>
      </w:r>
    </w:p>
    <w:p>
      <w:pPr>
        <w:numPr>
          <w:ilvl w:val="0"/>
          <w:numId w:val="3"/>
        </w:num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合同履</w:t>
      </w:r>
      <w:r>
        <w:rPr>
          <w:rFonts w:hint="eastAsia" w:ascii="宋体" w:hAnsi="宋体" w:cs="宋体"/>
          <w:b/>
          <w:bCs/>
          <w:color w:val="auto"/>
          <w:sz w:val="24"/>
          <w:highlight w:val="none"/>
          <w:lang w:val="en-US" w:eastAsia="zh-CN"/>
        </w:rPr>
        <w:t>行</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cs="宋体"/>
          <w:color w:val="auto"/>
          <w:sz w:val="24"/>
          <w:szCs w:val="24"/>
          <w:highlight w:val="none"/>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hint="eastAsia" w:ascii="宋体" w:hAnsi="宋体" w:cs="宋体"/>
          <w:color w:val="auto"/>
          <w:sz w:val="24"/>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7</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货物包装、运输</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保险</w:t>
      </w:r>
      <w:r>
        <w:rPr>
          <w:rFonts w:hint="eastAsia" w:ascii="宋体" w:hAnsi="宋体" w:cs="宋体"/>
          <w:b/>
          <w:bCs/>
          <w:color w:val="auto"/>
          <w:sz w:val="24"/>
          <w:highlight w:val="none"/>
          <w:lang w:eastAsia="zh-CN"/>
        </w:rPr>
        <w:t>和交付</w:t>
      </w:r>
      <w:r>
        <w:rPr>
          <w:rFonts w:hint="eastAsia" w:ascii="宋体" w:hAnsi="宋体" w:cs="宋体"/>
          <w:b/>
          <w:bCs/>
          <w:color w:val="auto"/>
          <w:sz w:val="24"/>
          <w:highlight w:val="none"/>
        </w:rPr>
        <w:t>要求</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.1 本合同</w:t>
      </w:r>
      <w:r>
        <w:rPr>
          <w:rFonts w:hint="eastAsia" w:ascii="宋体" w:hAnsi="宋体" w:cs="宋体"/>
          <w:bCs/>
          <w:color w:val="auto"/>
          <w:sz w:val="24"/>
          <w:szCs w:val="24"/>
          <w:highlight w:val="none"/>
        </w:rPr>
        <w:t>涉及商品包装</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快递包装的，</w:t>
      </w:r>
      <w:r>
        <w:rPr>
          <w:rFonts w:hint="eastAsia" w:ascii="宋体" w:hAnsi="宋体" w:cs="宋体"/>
          <w:color w:val="auto"/>
          <w:sz w:val="24"/>
          <w:szCs w:val="24"/>
          <w:highlight w:val="none"/>
        </w:rPr>
        <w:t>除</w:t>
      </w:r>
      <w:r>
        <w:rPr>
          <w:rFonts w:hint="eastAsia" w:ascii="宋体" w:hAnsi="宋体" w:cs="宋体"/>
          <w:b/>
          <w:color w:val="auto"/>
          <w:sz w:val="24"/>
          <w:szCs w:val="24"/>
          <w:highlight w:val="none"/>
        </w:rPr>
        <w:t>【政府采购合同专用条款】</w:t>
      </w:r>
      <w:r>
        <w:rPr>
          <w:rFonts w:hint="eastAsia" w:ascii="宋体" w:hAnsi="宋体" w:cs="宋体"/>
          <w:bCs/>
          <w:color w:val="auto"/>
          <w:sz w:val="24"/>
          <w:szCs w:val="24"/>
          <w:highlight w:val="none"/>
        </w:rPr>
        <w:t>另有</w:t>
      </w:r>
      <w:r>
        <w:rPr>
          <w:rFonts w:hint="eastAsia" w:ascii="宋体" w:hAnsi="宋体" w:cs="宋体"/>
          <w:bCs/>
          <w:color w:val="auto"/>
          <w:sz w:val="24"/>
          <w:szCs w:val="24"/>
          <w:highlight w:val="none"/>
          <w:lang w:eastAsia="zh-CN"/>
        </w:rPr>
        <w:t>约</w:t>
      </w:r>
      <w:r>
        <w:rPr>
          <w:rFonts w:hint="eastAsia" w:ascii="宋体" w:hAnsi="宋体" w:cs="宋体"/>
          <w:bCs/>
          <w:color w:val="auto"/>
          <w:sz w:val="24"/>
          <w:szCs w:val="24"/>
          <w:highlight w:val="none"/>
        </w:rPr>
        <w:t>定</w:t>
      </w:r>
      <w:r>
        <w:rPr>
          <w:rFonts w:hint="eastAsia" w:ascii="宋体" w:hAnsi="宋体" w:cs="宋体"/>
          <w:bCs/>
          <w:color w:val="auto"/>
          <w:sz w:val="24"/>
          <w:szCs w:val="24"/>
          <w:highlight w:val="none"/>
          <w:lang w:eastAsia="zh-CN"/>
        </w:rPr>
        <w:t>外</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包装应适应远距离运输、防潮、防震、防锈和防野蛮装卸等要求，确保货物安全无损地运抵</w:t>
      </w:r>
      <w:r>
        <w:rPr>
          <w:rFonts w:hint="eastAsia" w:ascii="宋体" w:hAnsi="宋体" w:cs="宋体"/>
          <w:b/>
          <w:color w:val="auto"/>
          <w:sz w:val="24"/>
          <w:szCs w:val="24"/>
          <w:highlight w:val="none"/>
        </w:rPr>
        <w:t>【政府采购合同专用条款】</w:t>
      </w:r>
      <w:r>
        <w:rPr>
          <w:rFonts w:hint="eastAsia" w:ascii="宋体" w:hAnsi="宋体" w:cs="宋体"/>
          <w:b w:val="0"/>
          <w:bCs/>
          <w:color w:val="auto"/>
          <w:sz w:val="24"/>
          <w:szCs w:val="24"/>
          <w:highlight w:val="none"/>
          <w:lang w:eastAsia="zh-CN"/>
        </w:rPr>
        <w:t>约定的</w:t>
      </w:r>
      <w:r>
        <w:rPr>
          <w:rFonts w:hint="eastAsia" w:ascii="宋体" w:hAnsi="宋体" w:cs="宋体"/>
          <w:color w:val="auto"/>
          <w:sz w:val="24"/>
          <w:szCs w:val="24"/>
          <w:highlight w:val="none"/>
        </w:rPr>
        <w:t>指定现场。</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.2 除</w:t>
      </w:r>
      <w:r>
        <w:rPr>
          <w:rFonts w:hint="eastAsia" w:ascii="宋体" w:hAnsi="宋体" w:cs="宋体"/>
          <w:b/>
          <w:color w:val="auto"/>
          <w:sz w:val="24"/>
          <w:szCs w:val="24"/>
          <w:highlight w:val="none"/>
        </w:rPr>
        <w:t>【政府采购合同专用条款】</w:t>
      </w:r>
      <w:r>
        <w:rPr>
          <w:rFonts w:hint="eastAsia" w:ascii="宋体" w:hAnsi="宋体" w:cs="宋体"/>
          <w:bCs/>
          <w:color w:val="auto"/>
          <w:sz w:val="24"/>
          <w:szCs w:val="24"/>
          <w:highlight w:val="none"/>
        </w:rPr>
        <w:t>另有</w:t>
      </w:r>
      <w:r>
        <w:rPr>
          <w:rFonts w:hint="eastAsia" w:ascii="宋体" w:hAnsi="宋体" w:cs="宋体"/>
          <w:bCs/>
          <w:color w:val="auto"/>
          <w:sz w:val="24"/>
          <w:szCs w:val="24"/>
          <w:highlight w:val="none"/>
          <w:lang w:eastAsia="zh-CN"/>
        </w:rPr>
        <w:t>约</w:t>
      </w:r>
      <w:r>
        <w:rPr>
          <w:rFonts w:hint="eastAsia" w:ascii="宋体" w:hAnsi="宋体" w:cs="宋体"/>
          <w:bCs/>
          <w:color w:val="auto"/>
          <w:sz w:val="24"/>
          <w:szCs w:val="24"/>
          <w:highlight w:val="none"/>
        </w:rPr>
        <w:t>定</w:t>
      </w:r>
      <w:r>
        <w:rPr>
          <w:rFonts w:hint="eastAsia" w:ascii="宋体" w:hAnsi="宋体" w:cs="宋体"/>
          <w:bCs/>
          <w:color w:val="auto"/>
          <w:sz w:val="24"/>
          <w:szCs w:val="24"/>
          <w:highlight w:val="none"/>
          <w:lang w:eastAsia="zh-CN"/>
        </w:rPr>
        <w:t>外</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乙方负责办理将货物运抵本合同规定的交货地点</w:t>
      </w:r>
      <w:r>
        <w:rPr>
          <w:rFonts w:hint="eastAsia" w:ascii="宋体" w:hAnsi="宋体" w:cs="宋体"/>
          <w:color w:val="auto"/>
          <w:sz w:val="24"/>
          <w:szCs w:val="24"/>
          <w:highlight w:val="none"/>
          <w:lang w:eastAsia="zh-CN"/>
        </w:rPr>
        <w:t>，并装卸、交付至甲方</w:t>
      </w:r>
      <w:r>
        <w:rPr>
          <w:rFonts w:hint="eastAsia" w:ascii="宋体" w:hAnsi="宋体" w:cs="宋体"/>
          <w:color w:val="auto"/>
          <w:sz w:val="24"/>
          <w:szCs w:val="24"/>
          <w:highlight w:val="none"/>
        </w:rPr>
        <w:t>的一切运输事项，相关费用应</w:t>
      </w:r>
      <w:r>
        <w:rPr>
          <w:rFonts w:hint="eastAsia" w:ascii="宋体" w:hAnsi="宋体" w:cs="宋体"/>
          <w:color w:val="auto"/>
          <w:sz w:val="24"/>
          <w:szCs w:val="24"/>
          <w:highlight w:val="none"/>
          <w:lang w:eastAsia="zh-CN"/>
        </w:rPr>
        <w:t>包含</w:t>
      </w:r>
      <w:r>
        <w:rPr>
          <w:rFonts w:hint="eastAsia" w:ascii="宋体" w:hAnsi="宋体" w:cs="宋体"/>
          <w:color w:val="auto"/>
          <w:sz w:val="24"/>
          <w:szCs w:val="24"/>
          <w:highlight w:val="none"/>
        </w:rPr>
        <w:t>在合同</w:t>
      </w:r>
      <w:r>
        <w:rPr>
          <w:rFonts w:hint="eastAsia" w:ascii="宋体" w:hAnsi="宋体" w:cs="宋体"/>
          <w:color w:val="auto"/>
          <w:sz w:val="24"/>
          <w:szCs w:val="24"/>
          <w:highlight w:val="none"/>
          <w:lang w:eastAsia="zh-CN"/>
        </w:rPr>
        <w:t>价款</w:t>
      </w:r>
      <w:r>
        <w:rPr>
          <w:rFonts w:hint="eastAsia" w:ascii="宋体" w:hAnsi="宋体" w:cs="宋体"/>
          <w:color w:val="auto"/>
          <w:sz w:val="24"/>
          <w:szCs w:val="24"/>
          <w:highlight w:val="none"/>
        </w:rPr>
        <w:t>中。</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.3 货物保险要求按</w:t>
      </w:r>
      <w:r>
        <w:rPr>
          <w:rFonts w:hint="eastAsia" w:ascii="宋体" w:hAnsi="宋体" w:cs="宋体"/>
          <w:b/>
          <w:color w:val="auto"/>
          <w:sz w:val="24"/>
          <w:szCs w:val="24"/>
          <w:highlight w:val="none"/>
        </w:rPr>
        <w:t>【政府采购合同专用条款】</w:t>
      </w:r>
      <w:r>
        <w:rPr>
          <w:rFonts w:hint="eastAsia" w:ascii="宋体" w:hAnsi="宋体" w:cs="宋体"/>
          <w:bCs/>
          <w:color w:val="auto"/>
          <w:sz w:val="24"/>
          <w:szCs w:val="24"/>
          <w:highlight w:val="none"/>
        </w:rPr>
        <w:t>规定执行</w:t>
      </w:r>
      <w:r>
        <w:rPr>
          <w:rFonts w:hint="eastAsia" w:ascii="宋体" w:hAnsi="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en-US" w:eastAsia="zh-CN"/>
        </w:rPr>
        <w:t>除采购活动</w:t>
      </w:r>
      <w:r>
        <w:rPr>
          <w:rFonts w:hint="eastAsia" w:ascii="宋体" w:hAnsi="宋体" w:cs="宋体"/>
          <w:color w:val="auto"/>
          <w:sz w:val="24"/>
          <w:szCs w:val="24"/>
          <w:highlight w:val="none"/>
        </w:rPr>
        <w:t>对商品包装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快递包装</w:t>
      </w:r>
      <w:r>
        <w:rPr>
          <w:rFonts w:hint="eastAsia" w:ascii="宋体" w:hAnsi="宋体" w:cs="宋体"/>
          <w:color w:val="auto"/>
          <w:sz w:val="24"/>
          <w:szCs w:val="24"/>
          <w:highlight w:val="none"/>
          <w:lang w:val="en-US" w:eastAsia="zh-CN"/>
        </w:rPr>
        <w:t>达成具体约定外</w:t>
      </w:r>
      <w:r>
        <w:rPr>
          <w:rFonts w:hint="eastAsia" w:ascii="宋体" w:hAnsi="宋体" w:cs="宋体"/>
          <w:color w:val="auto"/>
          <w:sz w:val="24"/>
          <w:szCs w:val="24"/>
          <w:highlight w:val="none"/>
        </w:rPr>
        <w:t>，乙方提供产品及相关快递服务</w:t>
      </w:r>
      <w:r>
        <w:rPr>
          <w:rFonts w:hint="eastAsia" w:ascii="宋体" w:hAnsi="宋体" w:cs="宋体"/>
          <w:color w:val="auto"/>
          <w:sz w:val="24"/>
          <w:szCs w:val="24"/>
          <w:highlight w:val="none"/>
          <w:lang w:val="en-US" w:eastAsia="zh-CN"/>
        </w:rPr>
        <w:t>涉及到</w:t>
      </w:r>
      <w:r>
        <w:rPr>
          <w:rFonts w:hint="eastAsia" w:ascii="宋体" w:hAnsi="宋体" w:cs="宋体"/>
          <w:color w:val="auto"/>
          <w:sz w:val="24"/>
          <w:szCs w:val="24"/>
          <w:highlight w:val="none"/>
        </w:rPr>
        <w:t>具体包装要求</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应</w:t>
      </w:r>
      <w:r>
        <w:rPr>
          <w:rFonts w:hint="eastAsia" w:ascii="宋体" w:hAnsi="宋体" w:cs="宋体"/>
          <w:color w:val="auto"/>
          <w:sz w:val="24"/>
          <w:szCs w:val="24"/>
          <w:highlight w:val="none"/>
          <w:lang w:val="en-US" w:eastAsia="zh-CN"/>
        </w:rPr>
        <w:t>不低于</w:t>
      </w:r>
      <w:r>
        <w:rPr>
          <w:rFonts w:hint="eastAsia" w:ascii="宋体" w:hAnsi="宋体" w:cs="宋体"/>
          <w:color w:val="auto"/>
          <w:sz w:val="24"/>
          <w:szCs w:val="24"/>
          <w:highlight w:val="none"/>
        </w:rPr>
        <w:t>《商品包装政府采购需求标准（试行）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快递包装政府采购需求标准（试行）》</w:t>
      </w:r>
      <w:r>
        <w:rPr>
          <w:rFonts w:hint="eastAsia" w:ascii="宋体" w:hAnsi="宋体" w:cs="宋体"/>
          <w:color w:val="auto"/>
          <w:sz w:val="24"/>
          <w:szCs w:val="24"/>
          <w:highlight w:val="none"/>
          <w:lang w:val="en-US" w:eastAsia="zh-CN"/>
        </w:rPr>
        <w:t>标准</w:t>
      </w:r>
      <w:r>
        <w:rPr>
          <w:rFonts w:hint="eastAsia" w:ascii="宋体" w:hAnsi="宋体" w:cs="宋体"/>
          <w:color w:val="auto"/>
          <w:sz w:val="24"/>
          <w:szCs w:val="24"/>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7.5 </w:t>
      </w:r>
      <w:r>
        <w:rPr>
          <w:rFonts w:hint="eastAsia" w:ascii="宋体" w:hAnsi="宋体" w:eastAsia="宋体" w:cs="宋体"/>
          <w:color w:val="auto"/>
          <w:sz w:val="24"/>
          <w:szCs w:val="24"/>
        </w:rPr>
        <w:t>乙方在运输到达之前</w:t>
      </w:r>
      <w:r>
        <w:rPr>
          <w:rFonts w:hint="eastAsia" w:ascii="宋体" w:hAnsi="宋体" w:cs="宋体"/>
          <w:color w:val="auto"/>
          <w:sz w:val="24"/>
          <w:szCs w:val="24"/>
          <w:lang w:eastAsia="zh-CN"/>
        </w:rPr>
        <w:t>应</w:t>
      </w:r>
      <w:r>
        <w:rPr>
          <w:rFonts w:hint="eastAsia" w:ascii="宋体" w:hAnsi="宋体" w:eastAsia="宋体" w:cs="宋体"/>
          <w:color w:val="auto"/>
          <w:sz w:val="24"/>
          <w:szCs w:val="24"/>
        </w:rPr>
        <w:t>提前通知</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，并提示货物运输装卸的注意事项</w:t>
      </w:r>
      <w:r>
        <w:rPr>
          <w:rFonts w:hint="eastAsia" w:ascii="宋体" w:hAnsi="宋体" w:cs="宋体"/>
          <w:color w:val="auto"/>
          <w:sz w:val="24"/>
          <w:szCs w:val="24"/>
          <w:lang w:eastAsia="zh-CN"/>
        </w:rPr>
        <w:t>，甲方配合乙方做好货物的接收工作。</w:t>
      </w:r>
    </w:p>
    <w:p>
      <w:pPr>
        <w:pStyle w:val="7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pPr>
        <w:adjustRightInd w:val="0"/>
        <w:snapToGrid w:val="0"/>
        <w:spacing w:before="0" w:line="400" w:lineRule="exact"/>
        <w:jc w:val="left"/>
        <w:rPr>
          <w:rFonts w:hint="eastAsia" w:ascii="宋体" w:hAnsi="宋体" w:cs="宋体"/>
          <w:b/>
          <w:color w:val="auto"/>
          <w:sz w:val="24"/>
          <w:highlight w:val="none"/>
        </w:rPr>
      </w:pPr>
      <w:r>
        <w:rPr>
          <w:rFonts w:hint="eastAsia" w:ascii="宋体" w:hAnsi="宋体" w:cs="宋体"/>
          <w:b/>
          <w:color w:val="auto"/>
          <w:sz w:val="24"/>
          <w:highlight w:val="none"/>
          <w:lang w:eastAsia="zh-CN"/>
        </w:rPr>
        <w:t>8</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质量标准和保证</w:t>
      </w:r>
    </w:p>
    <w:p>
      <w:pPr>
        <w:pStyle w:val="32"/>
        <w:adjustRightInd w:val="0"/>
        <w:snapToGrid w:val="0"/>
        <w:spacing w:before="0" w:line="400" w:lineRule="exact"/>
        <w:ind w:firstLine="480" w:firstLineChars="200"/>
        <w:jc w:val="left"/>
        <w:rPr>
          <w:rFonts w:hint="eastAsia" w:hAnsi="宋体" w:cs="宋体"/>
          <w:b/>
          <w:color w:val="auto"/>
          <w:sz w:val="24"/>
          <w:szCs w:val="24"/>
          <w:highlight w:val="none"/>
        </w:rPr>
      </w:pPr>
      <w:r>
        <w:rPr>
          <w:rFonts w:hint="eastAsia" w:hAnsi="宋体" w:cs="宋体"/>
          <w:color w:val="auto"/>
          <w:sz w:val="24"/>
          <w:szCs w:val="24"/>
          <w:highlight w:val="none"/>
          <w:lang w:eastAsia="zh-CN"/>
        </w:rPr>
        <w:t>8</w:t>
      </w:r>
      <w:r>
        <w:rPr>
          <w:rFonts w:hint="eastAsia" w:hAnsi="宋体" w:cs="宋体"/>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（1）本合同下</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rPr>
        <w:t>的货物应符合</w:t>
      </w:r>
      <w:r>
        <w:rPr>
          <w:rFonts w:hint="eastAsia" w:ascii="宋体" w:hAnsi="宋体" w:cs="宋体"/>
          <w:color w:val="auto"/>
          <w:sz w:val="24"/>
          <w:szCs w:val="24"/>
          <w:highlight w:val="none"/>
          <w:lang w:eastAsia="zh-CN"/>
        </w:rPr>
        <w:t>合同</w:t>
      </w:r>
      <w:r>
        <w:rPr>
          <w:rFonts w:hint="eastAsia" w:ascii="宋体" w:hAnsi="宋体" w:cs="宋体"/>
          <w:color w:val="auto"/>
          <w:sz w:val="24"/>
          <w:szCs w:val="24"/>
          <w:lang w:eastAsia="zh-CN"/>
        </w:rPr>
        <w:t>约</w:t>
      </w:r>
      <w:r>
        <w:rPr>
          <w:rFonts w:hint="eastAsia" w:ascii="宋体" w:hAnsi="宋体" w:eastAsia="宋体" w:cs="宋体"/>
          <w:color w:val="auto"/>
          <w:sz w:val="24"/>
          <w:szCs w:val="24"/>
        </w:rPr>
        <w:t>定的品牌、规格型号、技术性能、配置、质量、数量等要求。</w:t>
      </w:r>
      <w:r>
        <w:rPr>
          <w:rFonts w:hint="eastAsia" w:ascii="宋体" w:hAnsi="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s="宋体"/>
          <w:color w:val="auto"/>
          <w:sz w:val="24"/>
          <w:szCs w:val="24"/>
          <w:highlight w:val="none"/>
          <w:lang w:eastAsia="zh-CN"/>
        </w:rPr>
        <w:t>。</w:t>
      </w:r>
    </w:p>
    <w:p>
      <w:pPr>
        <w:pStyle w:val="32"/>
        <w:adjustRightInd w:val="0"/>
        <w:snapToGrid w:val="0"/>
        <w:spacing w:before="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（3）乙方所</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rPr>
        <w:t>的货物应符合国家有关安全、环保、卫生</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规定。</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（4）乙方应向甲方提交所</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rPr>
        <w:t>货物的技术文件，包括相应的中文技术文件，如：产品目录、图纸、操作手册、使用说明、维护手册或服务指南</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上述</w:t>
      </w:r>
      <w:r>
        <w:rPr>
          <w:rFonts w:hint="eastAsia" w:ascii="宋体" w:hAnsi="宋体" w:cs="宋体"/>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8</w:t>
      </w:r>
      <w:r>
        <w:rPr>
          <w:rFonts w:hint="eastAsia" w:ascii="宋体" w:hAnsi="宋体" w:cs="宋体"/>
          <w:color w:val="auto"/>
          <w:sz w:val="24"/>
          <w:szCs w:val="24"/>
          <w:highlight w:val="none"/>
        </w:rPr>
        <w:t>.2 保证</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（1）乙方应保证</w:t>
      </w:r>
      <w:r>
        <w:rPr>
          <w:rFonts w:hint="eastAsia" w:ascii="宋体" w:hAnsi="宋体" w:cs="宋体"/>
          <w:color w:val="auto"/>
          <w:sz w:val="24"/>
          <w:szCs w:val="24"/>
          <w:highlight w:val="none"/>
          <w:lang w:eastAsia="zh-CN"/>
        </w:rPr>
        <w:t>提供的货物</w:t>
      </w:r>
      <w:r>
        <w:rPr>
          <w:rFonts w:hint="eastAsia" w:ascii="宋体" w:hAnsi="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color w:val="auto"/>
          <w:sz w:val="24"/>
          <w:szCs w:val="24"/>
        </w:rPr>
        <w:t>在其使用寿命期内具</w:t>
      </w:r>
      <w:r>
        <w:rPr>
          <w:rFonts w:hint="eastAsia" w:ascii="宋体" w:hAnsi="宋体" w:cs="宋体"/>
          <w:color w:val="auto"/>
          <w:sz w:val="24"/>
          <w:szCs w:val="24"/>
          <w:lang w:eastAsia="zh-CN"/>
        </w:rPr>
        <w:t>备合同约定</w:t>
      </w:r>
      <w:r>
        <w:rPr>
          <w:rFonts w:hint="eastAsia" w:ascii="宋体" w:hAnsi="宋体" w:eastAsia="宋体" w:cs="宋体"/>
          <w:color w:val="auto"/>
          <w:sz w:val="24"/>
          <w:szCs w:val="24"/>
        </w:rPr>
        <w:t>的性能</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存在</w:t>
      </w:r>
      <w:r>
        <w:rPr>
          <w:rFonts w:hint="eastAsia" w:ascii="宋体" w:hAnsi="宋体" w:cs="宋体"/>
          <w:color w:val="auto"/>
          <w:sz w:val="24"/>
          <w:szCs w:val="24"/>
          <w:highlight w:val="none"/>
        </w:rPr>
        <w:t>质量保证期的，货物最终交付验收</w:t>
      </w:r>
      <w:r>
        <w:rPr>
          <w:rFonts w:hint="eastAsia" w:ascii="宋体" w:hAnsi="宋体" w:cs="宋体"/>
          <w:color w:val="auto"/>
          <w:sz w:val="24"/>
          <w:szCs w:val="24"/>
          <w:highlight w:val="none"/>
          <w:lang w:eastAsia="zh-CN"/>
        </w:rPr>
        <w:t>合格</w:t>
      </w:r>
      <w:r>
        <w:rPr>
          <w:rFonts w:hint="eastAsia" w:ascii="宋体" w:hAnsi="宋体" w:cs="宋体"/>
          <w:color w:val="auto"/>
          <w:sz w:val="24"/>
          <w:szCs w:val="24"/>
          <w:highlight w:val="none"/>
        </w:rPr>
        <w:t>后</w:t>
      </w:r>
      <w:r>
        <w:rPr>
          <w:rFonts w:hint="eastAsia" w:ascii="宋体" w:hAnsi="宋体" w:cs="宋体"/>
          <w:color w:val="auto"/>
          <w:sz w:val="24"/>
          <w:szCs w:val="24"/>
          <w:highlight w:val="none"/>
          <w:lang w:eastAsia="zh-CN"/>
        </w:rPr>
        <w:t>在</w:t>
      </w:r>
      <w:r>
        <w:rPr>
          <w:rFonts w:hint="eastAsia" w:ascii="宋体" w:hAnsi="宋体" w:cs="宋体"/>
          <w:b/>
          <w:color w:val="auto"/>
          <w:sz w:val="24"/>
          <w:szCs w:val="24"/>
          <w:highlight w:val="none"/>
        </w:rPr>
        <w:t>【政府采购合同专用条款】</w:t>
      </w:r>
      <w:r>
        <w:rPr>
          <w:rFonts w:hint="eastAsia" w:ascii="宋体" w:hAnsi="宋体" w:cs="宋体"/>
          <w:color w:val="auto"/>
          <w:sz w:val="24"/>
          <w:szCs w:val="24"/>
          <w:highlight w:val="none"/>
        </w:rPr>
        <w:t>规定或乙方</w:t>
      </w:r>
      <w:r>
        <w:rPr>
          <w:rFonts w:hint="eastAsia" w:ascii="宋体" w:hAnsi="宋体" w:cs="宋体"/>
          <w:color w:val="auto"/>
          <w:sz w:val="24"/>
          <w:szCs w:val="24"/>
          <w:highlight w:val="none"/>
          <w:lang w:eastAsia="zh-CN"/>
        </w:rPr>
        <w:t>书面</w:t>
      </w:r>
      <w:r>
        <w:rPr>
          <w:rFonts w:hint="eastAsia" w:ascii="宋体" w:hAnsi="宋体" w:cs="宋体"/>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（3）乙方收到通知后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应在</w:t>
      </w:r>
      <w:r>
        <w:rPr>
          <w:rFonts w:hint="eastAsia" w:ascii="宋体" w:hAnsi="宋体" w:cs="宋体"/>
          <w:b/>
          <w:color w:val="auto"/>
          <w:sz w:val="24"/>
          <w:szCs w:val="24"/>
          <w:highlight w:val="none"/>
        </w:rPr>
        <w:t>【政府采购合同专用条款】</w:t>
      </w:r>
      <w:r>
        <w:rPr>
          <w:rFonts w:hint="eastAsia" w:ascii="宋体" w:hAnsi="宋体" w:cs="宋体"/>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.1条规定以书面形式</w:t>
      </w:r>
      <w:r>
        <w:rPr>
          <w:rFonts w:hint="eastAsia" w:ascii="宋体" w:hAnsi="宋体" w:cs="宋体"/>
          <w:color w:val="auto"/>
          <w:sz w:val="24"/>
          <w:szCs w:val="24"/>
          <w:highlight w:val="none"/>
          <w:lang w:eastAsia="zh-CN"/>
        </w:rPr>
        <w:t>追究</w:t>
      </w:r>
      <w:r>
        <w:rPr>
          <w:rFonts w:hint="eastAsia" w:ascii="宋体" w:hAnsi="宋体" w:cs="宋体"/>
          <w:color w:val="auto"/>
          <w:sz w:val="24"/>
          <w:szCs w:val="24"/>
          <w:highlight w:val="none"/>
        </w:rPr>
        <w:t>乙方</w:t>
      </w:r>
      <w:r>
        <w:rPr>
          <w:rFonts w:hint="eastAsia" w:ascii="宋体" w:hAnsi="宋体" w:cs="宋体"/>
          <w:color w:val="auto"/>
          <w:sz w:val="24"/>
          <w:szCs w:val="24"/>
          <w:highlight w:val="none"/>
          <w:lang w:eastAsia="zh-CN"/>
        </w:rPr>
        <w:t>的违约责任</w:t>
      </w:r>
      <w:r>
        <w:rPr>
          <w:rFonts w:hint="eastAsia" w:ascii="宋体" w:hAnsi="宋体" w:cs="宋体"/>
          <w:color w:val="auto"/>
          <w:sz w:val="24"/>
          <w:szCs w:val="24"/>
          <w:highlight w:val="none"/>
        </w:rPr>
        <w:t>。</w:t>
      </w:r>
    </w:p>
    <w:p>
      <w:pPr>
        <w:adjustRightInd w:val="0"/>
        <w:snapToGrid w:val="0"/>
        <w:spacing w:before="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szCs w:val="24"/>
          <w:highlight w:val="none"/>
        </w:rPr>
        <w:t>（5）乙方在约定的时间内未能弥补缺陷，甲方可采取必要的补救措施，但其风险和费用将由乙方承担，</w:t>
      </w:r>
      <w:r>
        <w:rPr>
          <w:rFonts w:hint="eastAsia" w:ascii="宋体" w:hAnsi="宋体" w:cs="宋体"/>
          <w:color w:val="auto"/>
          <w:sz w:val="24"/>
          <w:szCs w:val="24"/>
          <w:highlight w:val="none"/>
          <w:lang w:val="en-US" w:eastAsia="zh-CN"/>
        </w:rPr>
        <w:t>甲方有权解除合同</w:t>
      </w:r>
      <w:r>
        <w:rPr>
          <w:rFonts w:hint="eastAsia" w:ascii="宋体" w:hAnsi="宋体" w:cs="宋体"/>
          <w:color w:val="auto"/>
          <w:sz w:val="24"/>
          <w:szCs w:val="24"/>
          <w:highlight w:val="none"/>
        </w:rPr>
        <w:t>。</w:t>
      </w:r>
    </w:p>
    <w:p>
      <w:pPr>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权利瑕疵担保</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9</w:t>
      </w:r>
      <w:r>
        <w:rPr>
          <w:rFonts w:hint="eastAsia" w:ascii="宋体" w:hAnsi="宋体" w:cs="宋体"/>
          <w:color w:val="auto"/>
          <w:sz w:val="24"/>
          <w:szCs w:val="24"/>
          <w:highlight w:val="none"/>
        </w:rPr>
        <w:t>.1 乙方保证对其出售的货物享有合法的权利。</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9</w:t>
      </w:r>
      <w:r>
        <w:rPr>
          <w:rFonts w:hint="eastAsia" w:ascii="宋体" w:hAnsi="宋体" w:cs="宋体"/>
          <w:color w:val="auto"/>
          <w:sz w:val="24"/>
          <w:szCs w:val="24"/>
          <w:highlight w:val="none"/>
        </w:rPr>
        <w:t xml:space="preserve">.2 </w:t>
      </w:r>
      <w:r>
        <w:rPr>
          <w:rFonts w:hint="eastAsia" w:ascii="宋体" w:hAnsi="宋体" w:eastAsia="宋体" w:cs="宋体"/>
          <w:color w:val="auto"/>
          <w:sz w:val="24"/>
          <w:szCs w:val="24"/>
        </w:rPr>
        <w:t>乙方保证在交付的货物上不存在抵押权等担保物权。</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9</w:t>
      </w:r>
      <w:r>
        <w:rPr>
          <w:rFonts w:hint="eastAsia" w:ascii="宋体" w:hAnsi="宋体" w:cs="宋体"/>
          <w:color w:val="auto"/>
          <w:sz w:val="24"/>
          <w:szCs w:val="24"/>
          <w:highlight w:val="none"/>
        </w:rPr>
        <w:t>.3 如甲方使用</w:t>
      </w:r>
      <w:r>
        <w:rPr>
          <w:rFonts w:hint="eastAsia" w:ascii="宋体" w:hAnsi="宋体" w:cs="宋体"/>
          <w:color w:val="auto"/>
          <w:sz w:val="24"/>
          <w:szCs w:val="24"/>
          <w:highlight w:val="none"/>
          <w:lang w:val="en-US" w:eastAsia="zh-CN"/>
        </w:rPr>
        <w:t>上述</w:t>
      </w:r>
      <w:r>
        <w:rPr>
          <w:rFonts w:hint="eastAsia" w:ascii="宋体" w:hAnsi="宋体" w:cs="宋体"/>
          <w:color w:val="auto"/>
          <w:sz w:val="24"/>
          <w:szCs w:val="24"/>
          <w:highlight w:val="none"/>
        </w:rPr>
        <w:t>货物构成</w:t>
      </w:r>
      <w:r>
        <w:rPr>
          <w:rFonts w:hint="eastAsia" w:ascii="宋体" w:hAnsi="宋体" w:cs="宋体"/>
          <w:color w:val="auto"/>
          <w:sz w:val="24"/>
          <w:szCs w:val="24"/>
          <w:highlight w:val="none"/>
          <w:lang w:val="en-US" w:eastAsia="zh-CN"/>
        </w:rPr>
        <w:t>对第三人</w:t>
      </w:r>
      <w:r>
        <w:rPr>
          <w:rFonts w:hint="eastAsia" w:ascii="宋体" w:hAnsi="宋体" w:cs="宋体"/>
          <w:color w:val="auto"/>
          <w:sz w:val="24"/>
          <w:szCs w:val="24"/>
          <w:highlight w:val="none"/>
        </w:rPr>
        <w:t>侵权的，则由乙方承担全部责任。</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0</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知识产权保护</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rPr>
        <w:t>.1 乙方对其所销售的货物应当享有知识产权或经权利人合法授权，保证没有侵犯任何第三人的知识产权等权利。</w:t>
      </w:r>
      <w:bookmarkStart w:id="453" w:name="_Hlk163047038"/>
      <w:r>
        <w:rPr>
          <w:rFonts w:hint="eastAsia" w:ascii="宋体" w:hAnsi="宋体" w:eastAsia="宋体" w:cs="宋体"/>
          <w:color w:val="auto"/>
          <w:sz w:val="24"/>
          <w:szCs w:val="24"/>
        </w:rPr>
        <w:t>因违反前述约定对第三人构成侵权的，应当由乙方向第三人承担法律责任；甲方依法向第三人赔偿后，有权向乙方追偿。甲方有其他损失的，乙方应当赔偿</w:t>
      </w:r>
      <w:bookmarkEnd w:id="453"/>
      <w:r>
        <w:rPr>
          <w:rFonts w:hint="eastAsia" w:ascii="宋体" w:hAnsi="宋体" w:cs="宋体"/>
          <w:color w:val="auto"/>
          <w:sz w:val="24"/>
          <w:szCs w:val="24"/>
          <w:highlight w:val="none"/>
        </w:rPr>
        <w:t>。</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保密义务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甲、乙双方</w:t>
      </w:r>
      <w:r>
        <w:rPr>
          <w:rFonts w:hint="eastAsia" w:ascii="宋体" w:hAnsi="宋体" w:cs="宋体"/>
          <w:color w:val="auto"/>
          <w:sz w:val="24"/>
          <w:szCs w:val="24"/>
          <w:lang w:eastAsia="zh-CN"/>
        </w:rPr>
        <w:t>对</w:t>
      </w:r>
      <w:r>
        <w:rPr>
          <w:rFonts w:hint="eastAsia" w:ascii="宋体" w:hAnsi="宋体" w:eastAsia="宋体" w:cs="宋体"/>
          <w:color w:val="auto"/>
          <w:sz w:val="24"/>
          <w:szCs w:val="24"/>
        </w:rPr>
        <w:t>采购和合同履行过程中所获悉的</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商业秘密或者其他应当保密的信息，均有保密义务</w:t>
      </w:r>
      <w:r>
        <w:rPr>
          <w:rFonts w:hint="eastAsia" w:ascii="宋体" w:hAnsi="宋体" w:cs="宋体"/>
          <w:color w:val="auto"/>
          <w:sz w:val="24"/>
          <w:szCs w:val="24"/>
          <w:lang w:eastAsia="zh-CN"/>
        </w:rPr>
        <w:t>且不受合同有效期所限，直至该信息成为公开信息</w:t>
      </w:r>
      <w:r>
        <w:rPr>
          <w:rFonts w:hint="eastAsia" w:ascii="宋体" w:hAnsi="宋体" w:eastAsia="宋体" w:cs="宋体"/>
          <w:color w:val="auto"/>
          <w:sz w:val="24"/>
          <w:szCs w:val="24"/>
        </w:rPr>
        <w:t>。泄露、不正当地使用</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w:t>
      </w:r>
      <w:r>
        <w:rPr>
          <w:rFonts w:hint="eastAsia" w:ascii="宋体" w:hAnsi="宋体" w:cs="宋体"/>
          <w:color w:val="auto"/>
          <w:sz w:val="24"/>
          <w:szCs w:val="24"/>
          <w:lang w:eastAsia="zh-CN"/>
        </w:rPr>
        <w:t>其他应当保密的</w:t>
      </w:r>
      <w:r>
        <w:rPr>
          <w:rFonts w:hint="eastAsia" w:ascii="宋体" w:hAnsi="宋体" w:eastAsia="宋体" w:cs="宋体"/>
          <w:color w:val="auto"/>
          <w:sz w:val="24"/>
          <w:szCs w:val="24"/>
        </w:rPr>
        <w:t>信息，应当承担</w:t>
      </w:r>
      <w:r>
        <w:rPr>
          <w:rFonts w:hint="eastAsia" w:ascii="宋体" w:hAnsi="宋体" w:cs="宋体"/>
          <w:color w:val="auto"/>
          <w:sz w:val="24"/>
          <w:szCs w:val="24"/>
          <w:lang w:eastAsia="zh-CN"/>
        </w:rPr>
        <w:t>相应</w:t>
      </w:r>
      <w:r>
        <w:rPr>
          <w:rFonts w:hint="eastAsia" w:ascii="宋体" w:hAnsi="宋体" w:eastAsia="宋体" w:cs="宋体"/>
          <w:color w:val="auto"/>
          <w:sz w:val="24"/>
          <w:szCs w:val="24"/>
        </w:rPr>
        <w:t>责任。其他应当保密的信息由双方在</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中约定。</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2</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合同价款支付</w:t>
      </w:r>
    </w:p>
    <w:p>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lang w:eastAsia="zh-CN"/>
        </w:rPr>
        <w:t>合同价款支付</w:t>
      </w:r>
      <w:r>
        <w:rPr>
          <w:rFonts w:hint="eastAsia" w:ascii="宋体" w:hAnsi="宋体" w:cs="宋体"/>
          <w:color w:val="auto"/>
          <w:sz w:val="24"/>
          <w:szCs w:val="24"/>
          <w:highlight w:val="none"/>
        </w:rPr>
        <w:t>按照国库集中支付</w:t>
      </w:r>
      <w:r>
        <w:rPr>
          <w:rFonts w:hint="eastAsia" w:ascii="宋体" w:hAnsi="宋体" w:cs="宋体"/>
          <w:color w:val="auto"/>
          <w:sz w:val="24"/>
          <w:szCs w:val="24"/>
          <w:highlight w:val="none"/>
          <w:lang w:eastAsia="zh-CN"/>
        </w:rPr>
        <w:t>制度及财政管理相关</w:t>
      </w:r>
      <w:r>
        <w:rPr>
          <w:rFonts w:hint="eastAsia" w:ascii="宋体" w:hAnsi="宋体" w:cs="宋体"/>
          <w:color w:val="auto"/>
          <w:sz w:val="24"/>
          <w:szCs w:val="24"/>
          <w:highlight w:val="none"/>
        </w:rPr>
        <w:t>规定执行。</w:t>
      </w:r>
    </w:p>
    <w:p>
      <w:pPr>
        <w:pStyle w:val="4"/>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pPr>
        <w:pStyle w:val="24"/>
        <w:spacing w:after="0"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3</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履约保证金</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 xml:space="preserve">.1 </w:t>
      </w:r>
      <w:r>
        <w:rPr>
          <w:rFonts w:hint="eastAsia" w:ascii="宋体" w:hAnsi="宋体" w:eastAsia="宋体" w:cs="宋体"/>
          <w:color w:val="auto"/>
          <w:sz w:val="24"/>
          <w:szCs w:val="24"/>
        </w:rPr>
        <w:t>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.2 如果乙方</w:t>
      </w:r>
      <w:r>
        <w:rPr>
          <w:rFonts w:hint="eastAsia" w:ascii="宋体" w:hAnsi="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w:t>
      </w:r>
      <w:r>
        <w:rPr>
          <w:rFonts w:hint="eastAsia" w:ascii="宋体" w:hAnsi="宋体" w:cs="宋体"/>
          <w:b w:val="0"/>
          <w:bCs w:val="0"/>
          <w:color w:val="auto"/>
          <w:sz w:val="24"/>
          <w:szCs w:val="24"/>
          <w:lang w:eastAsia="zh-CN"/>
        </w:rPr>
        <w:t>情形的</w:t>
      </w:r>
      <w:r>
        <w:rPr>
          <w:rFonts w:hint="eastAsia" w:ascii="宋体" w:hAnsi="宋体" w:cs="宋体"/>
          <w:color w:val="auto"/>
          <w:sz w:val="24"/>
          <w:szCs w:val="24"/>
          <w:highlight w:val="none"/>
        </w:rPr>
        <w:t>，履约保证金不予退还；如果乙方未能按合同约定全面履行义务，甲方有权从履约保证金中取得补偿或赔偿，</w:t>
      </w:r>
      <w:r>
        <w:rPr>
          <w:rFonts w:hint="eastAsia" w:ascii="宋体" w:hAnsi="宋体" w:cs="宋体"/>
          <w:color w:val="auto"/>
          <w:sz w:val="24"/>
          <w:szCs w:val="24"/>
          <w:highlight w:val="none"/>
          <w:lang w:eastAsia="zh-CN"/>
        </w:rPr>
        <w:t>且</w:t>
      </w:r>
      <w:r>
        <w:rPr>
          <w:rFonts w:hint="eastAsia" w:ascii="宋体" w:hAnsi="宋体" w:cs="宋体"/>
          <w:color w:val="auto"/>
          <w:sz w:val="24"/>
          <w:szCs w:val="24"/>
          <w:highlight w:val="none"/>
        </w:rPr>
        <w:t>不影响甲方要求乙方承担合同约定的超过履约保证金的违约责任的权利。</w:t>
      </w:r>
    </w:p>
    <w:p>
      <w:pPr>
        <w:spacing w:line="400" w:lineRule="exact"/>
        <w:ind w:firstLine="42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.3 甲方在项目通过验收后按照</w:t>
      </w:r>
      <w:r>
        <w:rPr>
          <w:rFonts w:hint="eastAsia" w:ascii="宋体" w:hAnsi="宋体" w:cs="宋体"/>
          <w:b/>
          <w:color w:val="auto"/>
          <w:sz w:val="24"/>
          <w:szCs w:val="24"/>
          <w:highlight w:val="none"/>
        </w:rPr>
        <w:t>【政府采购合同专用条款】</w:t>
      </w:r>
      <w:r>
        <w:rPr>
          <w:rFonts w:hint="eastAsia" w:ascii="宋体" w:hAnsi="宋体" w:cs="宋体"/>
          <w:color w:val="auto"/>
          <w:sz w:val="24"/>
          <w:szCs w:val="24"/>
          <w:highlight w:val="none"/>
        </w:rPr>
        <w:t>规定的时间内将履约保证金退还乙方；逾期退还的，乙方可要求甲方支付违约金，违约金按照</w:t>
      </w:r>
      <w:r>
        <w:rPr>
          <w:rFonts w:hint="eastAsia" w:ascii="宋体" w:hAnsi="宋体" w:cs="宋体"/>
          <w:b/>
          <w:color w:val="auto"/>
          <w:sz w:val="24"/>
          <w:szCs w:val="24"/>
          <w:highlight w:val="none"/>
        </w:rPr>
        <w:t>【政府采购合同专用条款】</w:t>
      </w:r>
      <w:r>
        <w:rPr>
          <w:rFonts w:hint="eastAsia" w:ascii="宋体" w:hAnsi="宋体" w:cs="宋体"/>
          <w:color w:val="auto"/>
          <w:sz w:val="24"/>
          <w:szCs w:val="24"/>
          <w:highlight w:val="none"/>
        </w:rPr>
        <w:t>规定支付。</w:t>
      </w:r>
    </w:p>
    <w:p>
      <w:pPr>
        <w:autoSpaceDE w:val="0"/>
        <w:autoSpaceDN w:val="0"/>
        <w:adjustRightInd w:val="0"/>
        <w:snapToGrid w:val="0"/>
        <w:spacing w:before="0" w:line="400" w:lineRule="exact"/>
        <w:jc w:val="left"/>
        <w:rPr>
          <w:rFonts w:hint="eastAsia" w:ascii="宋体" w:hAnsi="宋体" w:cs="宋体"/>
          <w:b/>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color w:val="auto"/>
          <w:sz w:val="24"/>
          <w:highlight w:val="none"/>
        </w:rPr>
        <w:t>售后服务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cs="宋体"/>
          <w:color w:val="auto"/>
          <w:sz w:val="24"/>
          <w:szCs w:val="24"/>
          <w:highlight w:val="none"/>
          <w:lang w:eastAsia="zh-CN"/>
        </w:rPr>
        <w:t>约定</w:t>
      </w:r>
      <w:r>
        <w:rPr>
          <w:rFonts w:hint="eastAsia" w:ascii="宋体" w:hAnsi="宋体" w:cs="宋体"/>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（4）在制造商</w:t>
      </w:r>
      <w:r>
        <w:rPr>
          <w:rFonts w:hint="eastAsia" w:ascii="宋体" w:hAnsi="宋体" w:cs="宋体"/>
          <w:color w:val="auto"/>
          <w:sz w:val="24"/>
          <w:szCs w:val="24"/>
          <w:highlight w:val="none"/>
          <w:lang w:eastAsia="zh-CN"/>
        </w:rPr>
        <w:t>所在地</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eastAsia="zh-CN"/>
        </w:rPr>
        <w:t>指定</w:t>
      </w:r>
      <w:r>
        <w:rPr>
          <w:rFonts w:hint="eastAsia" w:ascii="宋体" w:hAnsi="宋体" w:cs="宋体"/>
          <w:color w:val="auto"/>
          <w:sz w:val="24"/>
          <w:szCs w:val="24"/>
          <w:highlight w:val="none"/>
        </w:rPr>
        <w:t>现场就货物的安装、启动、运营、维护</w:t>
      </w:r>
      <w:r>
        <w:rPr>
          <w:rFonts w:hint="eastAsia" w:ascii="宋体" w:hAnsi="宋体" w:cs="宋体"/>
          <w:color w:val="auto"/>
          <w:sz w:val="24"/>
          <w:szCs w:val="24"/>
          <w:highlight w:val="none"/>
          <w:lang w:eastAsia="zh-CN"/>
        </w:rPr>
        <w:t>、废弃处置等</w:t>
      </w:r>
      <w:r>
        <w:rPr>
          <w:rFonts w:hint="eastAsia" w:ascii="宋体" w:hAnsi="宋体" w:cs="宋体"/>
          <w:color w:val="auto"/>
          <w:sz w:val="24"/>
          <w:szCs w:val="24"/>
          <w:highlight w:val="none"/>
        </w:rPr>
        <w:t>对甲方操作人员进行培训</w:t>
      </w:r>
      <w:r>
        <w:rPr>
          <w:rFonts w:hint="eastAsia" w:ascii="宋体" w:hAnsi="宋体" w:cs="宋体"/>
          <w:color w:val="auto"/>
          <w:sz w:val="24"/>
          <w:szCs w:val="24"/>
          <w:lang w:eastAsia="zh-CN"/>
        </w:rPr>
        <w:t>；</w:t>
      </w:r>
    </w:p>
    <w:p>
      <w:pPr>
        <w:pStyle w:val="79"/>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【政府采购合同专用条款】</w:t>
      </w:r>
      <w:r>
        <w:rPr>
          <w:rFonts w:hint="eastAsia" w:ascii="宋体" w:hAnsi="宋体" w:cs="宋体"/>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乙方提供的</w:t>
      </w:r>
      <w:r>
        <w:rPr>
          <w:rFonts w:hint="eastAsia" w:ascii="宋体" w:hAnsi="宋体" w:cs="宋体"/>
          <w:color w:val="auto"/>
          <w:sz w:val="24"/>
          <w:szCs w:val="24"/>
          <w:highlight w:val="none"/>
          <w:lang w:eastAsia="zh-CN"/>
        </w:rPr>
        <w:t>售后</w:t>
      </w:r>
      <w:r>
        <w:rPr>
          <w:rFonts w:hint="eastAsia" w:ascii="宋体" w:hAnsi="宋体" w:cs="宋体"/>
          <w:color w:val="auto"/>
          <w:sz w:val="24"/>
          <w:szCs w:val="24"/>
          <w:highlight w:val="none"/>
        </w:rPr>
        <w:t>服务的费用</w:t>
      </w:r>
      <w:r>
        <w:rPr>
          <w:rFonts w:hint="eastAsia" w:ascii="宋体" w:hAnsi="宋体" w:cs="宋体"/>
          <w:color w:val="auto"/>
          <w:sz w:val="24"/>
          <w:szCs w:val="24"/>
          <w:highlight w:val="none"/>
          <w:lang w:val="en-US" w:eastAsia="zh-CN"/>
        </w:rPr>
        <w:t>已</w:t>
      </w:r>
      <w:r>
        <w:rPr>
          <w:rFonts w:hint="eastAsia" w:ascii="宋体" w:hAnsi="宋体" w:cs="宋体"/>
          <w:color w:val="auto"/>
          <w:sz w:val="24"/>
          <w:szCs w:val="24"/>
          <w:highlight w:val="none"/>
        </w:rPr>
        <w:t>包含在合同价款中，甲方不再另行支付。</w:t>
      </w:r>
    </w:p>
    <w:p>
      <w:pPr>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5</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违约责任</w:t>
      </w:r>
    </w:p>
    <w:p>
      <w:pPr>
        <w:adjustRightInd w:val="0"/>
        <w:snapToGrid w:val="0"/>
        <w:spacing w:before="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5</w:t>
      </w:r>
      <w:r>
        <w:rPr>
          <w:rFonts w:hint="eastAsia" w:ascii="宋体" w:hAnsi="宋体" w:cs="宋体"/>
          <w:bCs/>
          <w:color w:val="auto"/>
          <w:sz w:val="24"/>
          <w:szCs w:val="24"/>
          <w:highlight w:val="none"/>
        </w:rPr>
        <w:t>.1质量瑕疵的</w:t>
      </w:r>
      <w:r>
        <w:rPr>
          <w:rFonts w:hint="eastAsia" w:ascii="宋体" w:hAnsi="宋体" w:cs="宋体"/>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rPr>
        <w:t>的产品不符合</w:t>
      </w:r>
      <w:r>
        <w:rPr>
          <w:rFonts w:hint="eastAsia" w:ascii="宋体" w:hAnsi="宋体" w:cs="宋体"/>
          <w:color w:val="auto"/>
          <w:sz w:val="24"/>
          <w:szCs w:val="24"/>
          <w:highlight w:val="none"/>
          <w:lang w:eastAsia="zh-CN"/>
        </w:rPr>
        <w:t>合同约定的</w:t>
      </w:r>
      <w:r>
        <w:rPr>
          <w:rFonts w:hint="eastAsia" w:ascii="宋体" w:hAnsi="宋体" w:cs="宋体"/>
          <w:color w:val="auto"/>
          <w:sz w:val="24"/>
          <w:szCs w:val="24"/>
          <w:highlight w:val="none"/>
        </w:rPr>
        <w:t>质量标准或存在产品质量缺陷，</w:t>
      </w:r>
      <w:r>
        <w:rPr>
          <w:rFonts w:hint="eastAsia" w:ascii="宋体" w:hAnsi="宋体" w:cs="宋体"/>
          <w:color w:val="auto"/>
          <w:sz w:val="24"/>
          <w:szCs w:val="24"/>
          <w:highlight w:val="none"/>
          <w:lang w:eastAsia="zh-CN"/>
        </w:rPr>
        <w:t>甲方有权要求乙方根据</w:t>
      </w:r>
      <w:r>
        <w:rPr>
          <w:rFonts w:hint="eastAsia" w:ascii="宋体" w:hAnsi="宋体" w:cs="宋体"/>
          <w:b/>
          <w:color w:val="auto"/>
          <w:sz w:val="24"/>
          <w:szCs w:val="24"/>
          <w:highlight w:val="none"/>
        </w:rPr>
        <w:t>【政府采购合同专用条款】</w:t>
      </w:r>
      <w:r>
        <w:rPr>
          <w:rFonts w:hint="eastAsia" w:ascii="宋体" w:hAnsi="宋体" w:cs="宋体"/>
          <w:b w:val="0"/>
          <w:bCs/>
          <w:color w:val="auto"/>
          <w:sz w:val="24"/>
          <w:szCs w:val="24"/>
          <w:highlight w:val="none"/>
          <w:lang w:eastAsia="zh-CN"/>
        </w:rPr>
        <w:t>要求</w:t>
      </w:r>
      <w:r>
        <w:rPr>
          <w:rFonts w:hint="eastAsia" w:ascii="宋体" w:hAnsi="宋体" w:cs="宋体"/>
          <w:color w:val="auto"/>
          <w:sz w:val="24"/>
          <w:szCs w:val="24"/>
          <w:highlight w:val="none"/>
          <w:lang w:eastAsia="zh-CN"/>
        </w:rPr>
        <w:t>及时修理、重作、更换，并承担由此给甲</w:t>
      </w:r>
      <w:r>
        <w:rPr>
          <w:rFonts w:hint="eastAsia" w:ascii="宋体" w:hAnsi="宋体" w:cs="宋体"/>
          <w:color w:val="auto"/>
          <w:sz w:val="24"/>
          <w:szCs w:val="24"/>
          <w:highlight w:val="none"/>
        </w:rPr>
        <w:t>方</w:t>
      </w:r>
      <w:r>
        <w:rPr>
          <w:rFonts w:hint="eastAsia" w:ascii="宋体" w:hAnsi="宋体" w:cs="宋体"/>
          <w:color w:val="auto"/>
          <w:sz w:val="24"/>
          <w:szCs w:val="24"/>
          <w:highlight w:val="none"/>
          <w:lang w:eastAsia="zh-CN"/>
        </w:rPr>
        <w:t>造成的损失</w:t>
      </w:r>
      <w:r>
        <w:rPr>
          <w:rFonts w:hint="eastAsia" w:ascii="宋体" w:hAnsi="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5</w:t>
      </w:r>
      <w:r>
        <w:rPr>
          <w:rFonts w:hint="eastAsia" w:ascii="宋体" w:hAnsi="宋体" w:cs="宋体"/>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（1）乙方应按照本合同规定的时间、地点交货和提供</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服务。在履行合同过程中，如果乙方遇到可能</w:t>
      </w:r>
      <w:r>
        <w:rPr>
          <w:rFonts w:hint="eastAsia" w:ascii="宋体" w:hAnsi="宋体" w:cs="宋体"/>
          <w:color w:val="auto"/>
          <w:sz w:val="24"/>
          <w:szCs w:val="24"/>
          <w:highlight w:val="none"/>
          <w:lang w:eastAsia="zh-CN"/>
        </w:rPr>
        <w:t>影响</w:t>
      </w:r>
      <w:r>
        <w:rPr>
          <w:rFonts w:hint="eastAsia" w:ascii="宋体" w:hAnsi="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s="宋体"/>
          <w:color w:val="auto"/>
          <w:sz w:val="24"/>
          <w:szCs w:val="24"/>
          <w:highlight w:val="none"/>
          <w:lang w:eastAsia="zh-CN"/>
        </w:rPr>
        <w:t>长</w:t>
      </w:r>
      <w:r>
        <w:rPr>
          <w:rFonts w:hint="eastAsia" w:ascii="宋体" w:hAnsi="宋体" w:cs="宋体"/>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（2）如果乙方没有按照合同规定的时间交货和提供</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每迟延一日的，乙方应按合同价款的0.1%支付违约金</w:t>
      </w:r>
      <w:r>
        <w:rPr>
          <w:rFonts w:hint="eastAsia" w:ascii="宋体" w:hAnsi="宋体" w:cs="宋体"/>
          <w:color w:val="auto"/>
          <w:sz w:val="24"/>
          <w:szCs w:val="24"/>
          <w:highlight w:val="none"/>
        </w:rPr>
        <w:t>。如果涉及公共利益，且赔偿金额无法弥补公共利益损失，</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可要求继续履行或者</w:t>
      </w:r>
      <w:r>
        <w:rPr>
          <w:rFonts w:hint="eastAsia" w:ascii="宋体" w:hAnsi="宋体" w:cs="宋体"/>
          <w:color w:val="auto"/>
          <w:sz w:val="24"/>
          <w:szCs w:val="24"/>
          <w:highlight w:val="none"/>
          <w:lang w:eastAsia="zh-CN"/>
        </w:rPr>
        <w:t>采取其他补救措施</w:t>
      </w:r>
      <w:r>
        <w:rPr>
          <w:rFonts w:hint="eastAsia" w:ascii="宋体" w:hAnsi="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甲方存在迟延支付乙方合同款项的，应当承担</w:t>
      </w:r>
      <w:r>
        <w:rPr>
          <w:rFonts w:hint="eastAsia" w:ascii="宋体" w:hAnsi="宋体" w:cs="宋体"/>
          <w:b/>
          <w:bCs/>
          <w:color w:val="auto"/>
          <w:sz w:val="24"/>
          <w:szCs w:val="24"/>
          <w:highlight w:val="none"/>
        </w:rPr>
        <w:t>【政府采购合同专用条款】</w:t>
      </w:r>
      <w:r>
        <w:rPr>
          <w:rFonts w:hint="eastAsia" w:ascii="宋体" w:hAnsi="宋体" w:cs="宋体"/>
          <w:color w:val="auto"/>
          <w:sz w:val="24"/>
          <w:szCs w:val="24"/>
          <w:highlight w:val="none"/>
        </w:rPr>
        <w:t>规定的逾期付款利息。</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5</w:t>
      </w:r>
      <w:r>
        <w:rPr>
          <w:rFonts w:hint="eastAsia" w:ascii="宋体" w:hAnsi="宋体" w:cs="宋体"/>
          <w:bCs/>
          <w:color w:val="auto"/>
          <w:sz w:val="24"/>
          <w:szCs w:val="24"/>
          <w:highlight w:val="none"/>
        </w:rPr>
        <w:t>.4其他违约责任根据项目实际需要按</w:t>
      </w:r>
      <w:r>
        <w:rPr>
          <w:rFonts w:hint="eastAsia" w:ascii="宋体" w:hAnsi="宋体" w:cs="宋体"/>
          <w:b/>
          <w:bCs/>
          <w:color w:val="auto"/>
          <w:sz w:val="24"/>
          <w:szCs w:val="24"/>
          <w:highlight w:val="none"/>
        </w:rPr>
        <w:t>【政府采购合同专用条款】</w:t>
      </w:r>
      <w:r>
        <w:rPr>
          <w:rFonts w:hint="eastAsia" w:ascii="宋体" w:hAnsi="宋体" w:cs="宋体"/>
          <w:color w:val="auto"/>
          <w:sz w:val="24"/>
          <w:szCs w:val="24"/>
          <w:highlight w:val="none"/>
        </w:rPr>
        <w:t>规定执行。</w:t>
      </w:r>
    </w:p>
    <w:p>
      <w:pPr>
        <w:numPr>
          <w:ilvl w:val="0"/>
          <w:numId w:val="4"/>
        </w:numPr>
        <w:autoSpaceDE w:val="0"/>
        <w:autoSpaceDN w:val="0"/>
        <w:adjustRightInd w:val="0"/>
        <w:snapToGrid w:val="0"/>
        <w:spacing w:before="0"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合同变更</w:t>
      </w:r>
      <w:r>
        <w:rPr>
          <w:rFonts w:hint="eastAsia" w:ascii="宋体" w:hAnsi="宋体" w:cs="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.1合同的</w:t>
      </w:r>
      <w:r>
        <w:rPr>
          <w:rFonts w:hint="eastAsia" w:ascii="宋体" w:hAnsi="宋体" w:cs="宋体"/>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政府采购合同履行中，</w:t>
      </w:r>
      <w:r>
        <w:rPr>
          <w:rFonts w:hint="eastAsia" w:ascii="宋体" w:hAnsi="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s="宋体"/>
          <w:color w:val="auto"/>
          <w:sz w:val="24"/>
          <w:szCs w:val="24"/>
          <w:highlight w:val="none"/>
          <w:lang w:eastAsia="zh-CN"/>
        </w:rPr>
        <w:t>一致后</w:t>
      </w:r>
      <w:r>
        <w:rPr>
          <w:rFonts w:hint="eastAsia" w:ascii="宋体" w:hAnsi="宋体" w:cs="宋体"/>
          <w:color w:val="auto"/>
          <w:sz w:val="24"/>
          <w:szCs w:val="24"/>
          <w:highlight w:val="none"/>
        </w:rPr>
        <w:t>签订补充协议。</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（1）合同履行过程中因供应商就采购文件、采购过程或结果提起投诉的，甲方认为有必要的，</w:t>
      </w:r>
      <w:r>
        <w:rPr>
          <w:rFonts w:hint="eastAsia" w:ascii="宋体" w:hAnsi="宋体" w:cs="宋体"/>
          <w:color w:val="auto"/>
          <w:sz w:val="24"/>
          <w:szCs w:val="24"/>
          <w:highlight w:val="none"/>
          <w:lang w:eastAsia="zh-CN"/>
        </w:rPr>
        <w:t>可以</w:t>
      </w:r>
      <w:r>
        <w:rPr>
          <w:rFonts w:hint="eastAsia" w:ascii="宋体" w:hAnsi="宋体" w:cs="宋体"/>
          <w:color w:val="auto"/>
          <w:sz w:val="24"/>
          <w:szCs w:val="24"/>
          <w:highlight w:val="none"/>
          <w:lang w:val="en-US" w:eastAsia="zh-CN"/>
        </w:rPr>
        <w:t>终</w:t>
      </w:r>
      <w:r>
        <w:rPr>
          <w:rFonts w:hint="eastAsia" w:ascii="宋体" w:hAnsi="宋体" w:cs="宋体"/>
          <w:color w:val="auto"/>
          <w:sz w:val="24"/>
          <w:szCs w:val="24"/>
          <w:highlight w:val="none"/>
        </w:rPr>
        <w:t>止合同的履行。</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合同履行过程中，</w:t>
      </w:r>
      <w:r>
        <w:rPr>
          <w:rFonts w:hint="eastAsia" w:ascii="宋体" w:hAnsi="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s="宋体"/>
          <w:color w:val="auto"/>
          <w:sz w:val="24"/>
          <w:szCs w:val="24"/>
          <w:highlight w:val="none"/>
          <w:lang w:eastAsia="zh-CN"/>
        </w:rPr>
        <w:t>，乙方有义务及时告知甲方</w:t>
      </w: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eastAsia="zh-CN"/>
        </w:rPr>
        <w:t>有权</w:t>
      </w:r>
      <w:r>
        <w:rPr>
          <w:rFonts w:hint="eastAsia" w:ascii="宋体" w:hAnsi="宋体" w:cs="宋体"/>
          <w:color w:val="auto"/>
          <w:sz w:val="24"/>
          <w:szCs w:val="24"/>
          <w:highlight w:val="none"/>
        </w:rPr>
        <w:t>以书面形式通知乙方中止合同</w:t>
      </w:r>
      <w:r>
        <w:rPr>
          <w:rFonts w:hint="eastAsia" w:ascii="宋体" w:hAnsi="宋体" w:cs="宋体"/>
          <w:color w:val="auto"/>
          <w:sz w:val="24"/>
          <w:szCs w:val="24"/>
          <w:highlight w:val="none"/>
          <w:lang w:eastAsia="zh-CN"/>
        </w:rPr>
        <w:t>并要求乙方在合理期限内消除相关情形或者提供适当担保。</w:t>
      </w:r>
      <w:r>
        <w:rPr>
          <w:rFonts w:hint="eastAsia" w:ascii="宋体" w:hAnsi="宋体" w:cs="宋体"/>
          <w:color w:val="auto"/>
          <w:sz w:val="24"/>
          <w:szCs w:val="24"/>
          <w:highlight w:val="none"/>
        </w:rPr>
        <w:t>乙方提供适当担保的，</w:t>
      </w:r>
      <w:r>
        <w:rPr>
          <w:rFonts w:hint="eastAsia" w:ascii="宋体" w:hAnsi="宋体" w:cs="宋体"/>
          <w:color w:val="auto"/>
          <w:sz w:val="24"/>
          <w:szCs w:val="24"/>
          <w:highlight w:val="none"/>
          <w:lang w:eastAsia="zh-CN"/>
        </w:rPr>
        <w:t>合同继续</w:t>
      </w:r>
      <w:r>
        <w:rPr>
          <w:rFonts w:hint="eastAsia" w:ascii="宋体" w:hAnsi="宋体" w:cs="宋体"/>
          <w:color w:val="auto"/>
          <w:sz w:val="24"/>
          <w:szCs w:val="24"/>
          <w:highlight w:val="none"/>
        </w:rPr>
        <w:t>履行</w:t>
      </w:r>
      <w:r>
        <w:rPr>
          <w:rFonts w:hint="eastAsia" w:ascii="宋体" w:hAnsi="宋体" w:cs="宋体"/>
          <w:color w:val="auto"/>
          <w:sz w:val="24"/>
          <w:szCs w:val="24"/>
          <w:highlight w:val="none"/>
          <w:lang w:eastAsia="zh-CN"/>
        </w:rPr>
        <w:t>；乙</w:t>
      </w:r>
      <w:r>
        <w:rPr>
          <w:rFonts w:hint="eastAsia" w:ascii="宋体" w:hAnsi="宋体" w:cs="宋体"/>
          <w:color w:val="auto"/>
          <w:sz w:val="24"/>
          <w:szCs w:val="24"/>
          <w:highlight w:val="none"/>
        </w:rPr>
        <w:t>方在合理期限内未恢复履约能力且未提供适当担保的，视为拒绝</w:t>
      </w:r>
      <w:r>
        <w:rPr>
          <w:rFonts w:hint="eastAsia" w:ascii="宋体" w:hAnsi="宋体" w:cs="宋体"/>
          <w:color w:val="auto"/>
          <w:sz w:val="24"/>
          <w:szCs w:val="24"/>
          <w:highlight w:val="none"/>
          <w:lang w:eastAsia="zh-CN"/>
        </w:rPr>
        <w:t>继续</w:t>
      </w:r>
      <w:r>
        <w:rPr>
          <w:rFonts w:hint="eastAsia" w:ascii="宋体" w:hAnsi="宋体" w:cs="宋体"/>
          <w:color w:val="auto"/>
          <w:sz w:val="24"/>
          <w:szCs w:val="24"/>
          <w:highlight w:val="none"/>
        </w:rPr>
        <w:t>履约，甲方</w:t>
      </w:r>
      <w:r>
        <w:rPr>
          <w:rFonts w:hint="eastAsia" w:ascii="宋体" w:hAnsi="宋体" w:cs="宋体"/>
          <w:color w:val="auto"/>
          <w:sz w:val="24"/>
          <w:szCs w:val="24"/>
          <w:highlight w:val="none"/>
          <w:lang w:eastAsia="zh-CN"/>
        </w:rPr>
        <w:t>有权</w:t>
      </w:r>
      <w:r>
        <w:rPr>
          <w:rFonts w:hint="eastAsia" w:ascii="宋体" w:hAnsi="宋体" w:cs="宋体"/>
          <w:color w:val="auto"/>
          <w:sz w:val="24"/>
          <w:szCs w:val="24"/>
          <w:highlight w:val="none"/>
        </w:rPr>
        <w:t>解除合同并要求乙方承担</w:t>
      </w:r>
      <w:r>
        <w:rPr>
          <w:rFonts w:hint="eastAsia" w:ascii="宋体" w:hAnsi="宋体" w:cs="宋体"/>
          <w:color w:val="auto"/>
          <w:sz w:val="24"/>
          <w:szCs w:val="24"/>
          <w:highlight w:val="none"/>
          <w:lang w:eastAsia="zh-CN"/>
        </w:rPr>
        <w:t>由此给甲方造成的损失</w:t>
      </w:r>
      <w:r>
        <w:rPr>
          <w:rFonts w:hint="eastAsia" w:ascii="宋体" w:hAnsi="宋体" w:cs="宋体"/>
          <w:color w:val="auto"/>
          <w:sz w:val="24"/>
          <w:szCs w:val="24"/>
          <w:highlight w:val="none"/>
        </w:rPr>
        <w:t>。</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rPr>
        <w:t>（3）乙方分立、合并或者变更住所的，应当及时以书面形式告知甲方。乙方没有</w:t>
      </w:r>
      <w:r>
        <w:rPr>
          <w:rFonts w:hint="eastAsia" w:ascii="宋体" w:hAnsi="宋体" w:eastAsia="宋体" w:cs="宋体"/>
          <w:color w:val="auto"/>
          <w:sz w:val="24"/>
          <w:szCs w:val="24"/>
          <w:lang w:eastAsia="zh-CN"/>
        </w:rPr>
        <w:t>及时告知</w:t>
      </w:r>
      <w:r>
        <w:rPr>
          <w:rFonts w:hint="eastAsia" w:ascii="宋体" w:hAnsi="宋体" w:eastAsia="宋体" w:cs="宋体"/>
          <w:color w:val="auto"/>
          <w:sz w:val="24"/>
          <w:szCs w:val="24"/>
        </w:rPr>
        <w:t>甲方，致使</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履行发生困难的，甲方可以中止合同履行并要求乙方承担由此给甲方造成的损失。</w:t>
      </w:r>
    </w:p>
    <w:p>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（1）合同因有效期限届满而终止；</w:t>
      </w:r>
    </w:p>
    <w:p>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highlight w:val="none"/>
        </w:rPr>
        <w:t>（2）乙方未</w:t>
      </w:r>
      <w:r>
        <w:rPr>
          <w:rFonts w:hint="eastAsia" w:ascii="宋体" w:hAnsi="宋体" w:cs="宋体"/>
          <w:color w:val="auto"/>
          <w:sz w:val="24"/>
          <w:szCs w:val="24"/>
          <w:highlight w:val="none"/>
          <w:lang w:eastAsia="zh-CN"/>
        </w:rPr>
        <w:t>按</w:t>
      </w:r>
      <w:r>
        <w:rPr>
          <w:rFonts w:hint="eastAsia" w:ascii="宋体" w:hAnsi="宋体" w:cs="宋体"/>
          <w:color w:val="auto"/>
          <w:sz w:val="24"/>
          <w:szCs w:val="24"/>
          <w:highlight w:val="none"/>
        </w:rPr>
        <w:t>合同约定履行，构成根本性违约的，甲方有权终止合同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并追究乙方的违约责</w:t>
      </w:r>
      <w:r>
        <w:rPr>
          <w:rFonts w:hint="eastAsia" w:ascii="宋体" w:hAnsi="宋体" w:cs="宋体"/>
          <w:color w:val="auto"/>
          <w:sz w:val="24"/>
          <w:szCs w:val="24"/>
          <w:lang w:val="en-US" w:eastAsia="zh-CN"/>
        </w:rPr>
        <w:t>任</w:t>
      </w:r>
      <w:r>
        <w:rPr>
          <w:rFonts w:hint="eastAsia" w:ascii="宋体" w:hAnsi="宋体" w:cs="宋体"/>
          <w:color w:val="auto"/>
          <w:sz w:val="24"/>
          <w:szCs w:val="24"/>
          <w:highlight w:val="none"/>
        </w:rPr>
        <w:t>。</w:t>
      </w:r>
    </w:p>
    <w:p>
      <w:pPr>
        <w:pStyle w:val="7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rPr>
        <w:t>中止</w:t>
      </w:r>
      <w:r>
        <w:rPr>
          <w:rFonts w:hint="eastAsia" w:ascii="宋体" w:hAnsi="宋体" w:eastAsia="宋体" w:cs="宋体"/>
          <w:color w:val="auto"/>
          <w:sz w:val="24"/>
          <w:szCs w:val="24"/>
          <w:lang w:eastAsia="zh-CN"/>
        </w:rPr>
        <w:t>或者终止</w:t>
      </w:r>
      <w:r>
        <w:rPr>
          <w:rFonts w:hint="eastAsia" w:ascii="宋体" w:hAnsi="宋体" w:eastAsia="宋体" w:cs="宋体"/>
          <w:color w:val="auto"/>
          <w:sz w:val="24"/>
          <w:szCs w:val="24"/>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合同分包</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.1 乙方不得</w:t>
      </w:r>
      <w:r>
        <w:rPr>
          <w:rFonts w:hint="eastAsia" w:ascii="宋体" w:hAnsi="宋体" w:cs="宋体"/>
          <w:color w:val="auto"/>
          <w:sz w:val="24"/>
          <w:szCs w:val="24"/>
          <w:highlight w:val="none"/>
          <w:lang w:eastAsia="zh-CN"/>
        </w:rPr>
        <w:t>将合同转包给其他供应商。涉及合同分包的，乙方</w:t>
      </w:r>
      <w:r>
        <w:rPr>
          <w:rFonts w:hint="eastAsia" w:ascii="宋体" w:hAnsi="宋体" w:cs="宋体"/>
          <w:color w:val="auto"/>
          <w:sz w:val="24"/>
          <w:szCs w:val="24"/>
          <w:highlight w:val="none"/>
          <w:lang w:val="en-US" w:eastAsia="zh-CN"/>
        </w:rPr>
        <w:t>应</w:t>
      </w:r>
      <w:r>
        <w:rPr>
          <w:rFonts w:hint="eastAsia" w:ascii="宋体" w:hAnsi="宋体" w:cs="宋体"/>
          <w:color w:val="auto"/>
          <w:sz w:val="24"/>
          <w:szCs w:val="24"/>
          <w:highlight w:val="none"/>
          <w:lang w:eastAsia="zh-CN"/>
        </w:rPr>
        <w:t>根据采购文件和投标（响应）文件规定进行</w:t>
      </w:r>
      <w:r>
        <w:rPr>
          <w:rFonts w:hint="eastAsia" w:ascii="宋体" w:hAnsi="宋体" w:cs="宋体"/>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.2 乙方执行政府采购政策向中小企业依法分包的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乙方应当按采购文件</w:t>
      </w:r>
      <w:r>
        <w:rPr>
          <w:rFonts w:hint="eastAsia" w:ascii="宋体" w:hAnsi="宋体" w:cs="宋体"/>
          <w:color w:val="auto"/>
          <w:sz w:val="24"/>
          <w:szCs w:val="24"/>
          <w:highlight w:val="none"/>
          <w:lang w:eastAsia="zh-CN"/>
        </w:rPr>
        <w:t>和</w:t>
      </w:r>
      <w:r>
        <w:rPr>
          <w:rFonts w:hint="eastAsia" w:ascii="宋体" w:hAnsi="宋体" w:cs="宋体"/>
          <w:color w:val="auto"/>
          <w:sz w:val="24"/>
          <w:szCs w:val="24"/>
          <w:highlight w:val="none"/>
        </w:rPr>
        <w:t>投标（响应）文件签订分包</w:t>
      </w:r>
      <w:r>
        <w:rPr>
          <w:rFonts w:hint="eastAsia" w:ascii="宋体" w:hAnsi="宋体" w:cs="宋体"/>
          <w:color w:val="auto"/>
          <w:sz w:val="24"/>
          <w:szCs w:val="24"/>
          <w:highlight w:val="none"/>
          <w:lang w:eastAsia="zh-CN"/>
        </w:rPr>
        <w:t>意向</w:t>
      </w:r>
      <w:r>
        <w:rPr>
          <w:rFonts w:hint="eastAsia" w:ascii="宋体" w:hAnsi="宋体" w:cs="宋体"/>
          <w:color w:val="auto"/>
          <w:sz w:val="24"/>
          <w:szCs w:val="24"/>
          <w:highlight w:val="none"/>
        </w:rPr>
        <w:t>协议，分包</w:t>
      </w:r>
      <w:r>
        <w:rPr>
          <w:rFonts w:hint="eastAsia" w:ascii="宋体" w:hAnsi="宋体" w:cs="宋体"/>
          <w:color w:val="auto"/>
          <w:sz w:val="24"/>
          <w:szCs w:val="24"/>
          <w:highlight w:val="none"/>
          <w:lang w:eastAsia="zh-CN"/>
        </w:rPr>
        <w:t>意向</w:t>
      </w:r>
      <w:r>
        <w:rPr>
          <w:rFonts w:hint="eastAsia" w:ascii="宋体" w:hAnsi="宋体" w:cs="宋体"/>
          <w:color w:val="auto"/>
          <w:sz w:val="24"/>
          <w:szCs w:val="24"/>
          <w:highlight w:val="none"/>
        </w:rPr>
        <w:t>协议属于本合同组成部分。</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1</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不可抗力</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.3 遇有不可抗力的一方，应及时将事件情况以书面形式</w:t>
      </w:r>
      <w:r>
        <w:rPr>
          <w:rFonts w:hint="eastAsia" w:ascii="宋体" w:hAnsi="宋体" w:cs="宋体"/>
          <w:color w:val="auto"/>
          <w:sz w:val="24"/>
          <w:szCs w:val="24"/>
          <w:highlight w:val="none"/>
          <w:lang w:eastAsia="zh-CN"/>
        </w:rPr>
        <w:t>告</w:t>
      </w:r>
      <w:r>
        <w:rPr>
          <w:rFonts w:hint="eastAsia" w:ascii="宋体" w:hAnsi="宋体" w:cs="宋体"/>
          <w:color w:val="auto"/>
          <w:sz w:val="24"/>
          <w:szCs w:val="24"/>
          <w:highlight w:val="none"/>
        </w:rPr>
        <w:t>知另一方，并在事件发生后及时向另一方提交合同不能履行或部分不能履行或需要延期履行</w:t>
      </w:r>
      <w:r>
        <w:rPr>
          <w:rFonts w:hint="eastAsia" w:ascii="宋体" w:hAnsi="宋体" w:cs="宋体"/>
          <w:color w:val="auto"/>
          <w:sz w:val="24"/>
          <w:szCs w:val="24"/>
          <w:highlight w:val="none"/>
          <w:lang w:eastAsia="zh-CN"/>
        </w:rPr>
        <w:t>的详细</w:t>
      </w:r>
      <w:r>
        <w:rPr>
          <w:rFonts w:hint="eastAsia" w:ascii="宋体" w:hAnsi="宋体" w:cs="宋体"/>
          <w:color w:val="auto"/>
          <w:sz w:val="24"/>
          <w:szCs w:val="24"/>
          <w:highlight w:val="none"/>
        </w:rPr>
        <w:t>报告</w:t>
      </w:r>
      <w:r>
        <w:rPr>
          <w:rFonts w:hint="eastAsia" w:ascii="宋体" w:hAnsi="宋体" w:cs="宋体"/>
          <w:color w:val="auto"/>
          <w:sz w:val="24"/>
          <w:szCs w:val="24"/>
          <w:highlight w:val="none"/>
          <w:lang w:eastAsia="zh-CN"/>
        </w:rPr>
        <w:t>，以</w:t>
      </w:r>
      <w:r>
        <w:rPr>
          <w:rFonts w:hint="eastAsia" w:ascii="宋体" w:hAnsi="宋体" w:cs="宋体"/>
          <w:color w:val="auto"/>
          <w:sz w:val="24"/>
          <w:szCs w:val="24"/>
          <w:highlight w:val="none"/>
          <w:lang w:val="en-US" w:eastAsia="zh-CN"/>
        </w:rPr>
        <w:t>及证明不可抗力发生及其持续时间的证据</w:t>
      </w:r>
      <w:r>
        <w:rPr>
          <w:rFonts w:hint="eastAsia" w:ascii="宋体" w:hAnsi="宋体" w:cs="宋体"/>
          <w:color w:val="auto"/>
          <w:sz w:val="24"/>
          <w:szCs w:val="24"/>
          <w:highlight w:val="none"/>
        </w:rPr>
        <w:t>。</w:t>
      </w:r>
    </w:p>
    <w:p>
      <w:pPr>
        <w:autoSpaceDE w:val="0"/>
        <w:autoSpaceDN w:val="0"/>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解决争议的方法</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.1 因本合同及合同有关事项发生的争议，由</w:t>
      </w:r>
      <w:r>
        <w:rPr>
          <w:rFonts w:hint="eastAsia" w:ascii="宋体" w:hAnsi="宋体" w:eastAsia="宋体" w:cs="宋体"/>
          <w:color w:val="auto"/>
          <w:sz w:val="24"/>
          <w:szCs w:val="24"/>
          <w:lang w:eastAsia="zh-CN"/>
        </w:rPr>
        <w:t>甲乙双</w:t>
      </w:r>
      <w:r>
        <w:rPr>
          <w:rFonts w:hint="eastAsia" w:ascii="宋体" w:hAnsi="宋体" w:eastAsia="宋体" w:cs="宋体"/>
          <w:color w:val="auto"/>
          <w:sz w:val="24"/>
          <w:szCs w:val="24"/>
        </w:rPr>
        <w:t>方友好协商解决。协商不成时，可以</w:t>
      </w:r>
      <w:r>
        <w:rPr>
          <w:rFonts w:hint="eastAsia" w:ascii="宋体" w:hAnsi="宋体" w:eastAsia="宋体" w:cs="宋体"/>
          <w:color w:val="auto"/>
          <w:sz w:val="24"/>
          <w:szCs w:val="24"/>
          <w:lang w:eastAsia="zh-CN"/>
        </w:rPr>
        <w:t>向有关组织申请</w:t>
      </w:r>
      <w:r>
        <w:rPr>
          <w:rFonts w:hint="eastAsia" w:ascii="宋体" w:hAnsi="宋体" w:eastAsia="宋体" w:cs="宋体"/>
          <w:color w:val="auto"/>
          <w:sz w:val="24"/>
          <w:szCs w:val="24"/>
        </w:rPr>
        <w:t>调解。合同一方或</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方不愿调解或调解不成的，可以通过</w:t>
      </w:r>
      <w:r>
        <w:rPr>
          <w:rFonts w:hint="eastAsia" w:ascii="宋体" w:hAnsi="宋体" w:eastAsia="宋体" w:cs="宋体"/>
          <w:color w:val="auto"/>
          <w:sz w:val="24"/>
          <w:szCs w:val="24"/>
          <w:lang w:val="en-US" w:eastAsia="zh-CN"/>
        </w:rPr>
        <w:t>杭州仲裁委</w:t>
      </w:r>
      <w:r>
        <w:rPr>
          <w:rFonts w:hint="eastAsia" w:ascii="宋体" w:hAnsi="宋体" w:eastAsia="宋体" w:cs="宋体"/>
          <w:color w:val="auto"/>
          <w:sz w:val="24"/>
          <w:szCs w:val="24"/>
        </w:rPr>
        <w:t>解决争议。</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.3 如</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rPr>
        <w:t>有争议的事项不影响合同其他部分的履行，在争议解决期间，合同其他部分应</w:t>
      </w:r>
      <w:r>
        <w:rPr>
          <w:rFonts w:hint="eastAsia" w:ascii="宋体" w:hAnsi="宋体" w:eastAsia="宋体" w:cs="宋体"/>
          <w:color w:val="auto"/>
          <w:sz w:val="24"/>
          <w:szCs w:val="24"/>
          <w:lang w:eastAsia="zh-CN"/>
        </w:rPr>
        <w:t>当</w:t>
      </w:r>
      <w:r>
        <w:rPr>
          <w:rFonts w:hint="eastAsia" w:ascii="宋体" w:hAnsi="宋体" w:eastAsia="宋体" w:cs="宋体"/>
          <w:color w:val="auto"/>
          <w:sz w:val="24"/>
          <w:szCs w:val="24"/>
        </w:rPr>
        <w:t>继续履行。</w:t>
      </w:r>
    </w:p>
    <w:p>
      <w:pPr>
        <w:autoSpaceDE w:val="0"/>
        <w:autoSpaceDN w:val="0"/>
        <w:adjustRightInd w:val="0"/>
        <w:snapToGrid w:val="0"/>
        <w:spacing w:before="0" w:line="400" w:lineRule="exact"/>
        <w:jc w:val="left"/>
        <w:rPr>
          <w:rFonts w:hint="eastAsia" w:ascii="宋体" w:hAnsi="宋体" w:cs="宋体"/>
          <w:color w:val="auto"/>
          <w:sz w:val="24"/>
          <w:highlight w:val="none"/>
        </w:rPr>
      </w:pP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政府采购政策</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20.1 </w:t>
      </w:r>
      <w:r>
        <w:rPr>
          <w:rFonts w:hint="eastAsia" w:ascii="宋体" w:hAnsi="宋体" w:eastAsia="宋体" w:cs="宋体"/>
          <w:color w:val="auto"/>
          <w:sz w:val="24"/>
          <w:lang w:val="en-GB"/>
        </w:rPr>
        <w:t>本合同应当按照规定执行政府采购政策。</w:t>
      </w:r>
    </w:p>
    <w:p>
      <w:pPr>
        <w:autoSpaceDE w:val="0"/>
        <w:autoSpaceDN w:val="0"/>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lang w:eastAsia="zh-CN"/>
        </w:rPr>
        <w:t>甲乙双方</w:t>
      </w:r>
      <w:r>
        <w:rPr>
          <w:rFonts w:hint="eastAsia" w:ascii="宋体" w:hAnsi="宋体" w:eastAsia="宋体" w:cs="宋体"/>
          <w:color w:val="auto"/>
          <w:sz w:val="24"/>
          <w:lang w:val="en-GB"/>
        </w:rPr>
        <w:t>未按规定要求执行政府采购政策造成损失的</w:t>
      </w:r>
      <w:r>
        <w:rPr>
          <w:rFonts w:hint="eastAsia" w:ascii="宋体" w:hAnsi="宋体" w:cs="宋体"/>
          <w:color w:val="auto"/>
          <w:sz w:val="24"/>
          <w:szCs w:val="24"/>
          <w:highlight w:val="none"/>
        </w:rPr>
        <w:t>，有过错的一方应当承担赔偿责任，双方都有过错的，各自承担相应的责任。</w:t>
      </w:r>
    </w:p>
    <w:p>
      <w:pPr>
        <w:pStyle w:val="24"/>
        <w:spacing w:after="0" w:line="400" w:lineRule="exact"/>
        <w:ind w:firstLine="480" w:firstLineChars="200"/>
        <w:rPr>
          <w:rFonts w:hint="eastAsia"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 xml:space="preserve"> 对于</w:t>
      </w:r>
      <w:r>
        <w:rPr>
          <w:rFonts w:hint="eastAsia" w:ascii="宋体" w:hAnsi="宋体" w:cs="宋体"/>
          <w:color w:val="auto"/>
          <w:szCs w:val="24"/>
          <w:highlight w:val="none"/>
          <w:lang w:eastAsia="zh-CN"/>
        </w:rPr>
        <w:t>为落实中小企业支持政策，</w:t>
      </w:r>
      <w:r>
        <w:rPr>
          <w:rFonts w:hint="eastAsia" w:ascii="宋体" w:hAnsi="宋体" w:cs="宋体"/>
          <w:color w:val="auto"/>
          <w:szCs w:val="24"/>
          <w:highlight w:val="none"/>
        </w:rPr>
        <w:t>通过采购项目</w:t>
      </w:r>
      <w:r>
        <w:rPr>
          <w:rFonts w:hint="eastAsia" w:ascii="宋体" w:hAnsi="宋体" w:cs="宋体"/>
          <w:color w:val="auto"/>
          <w:szCs w:val="24"/>
          <w:highlight w:val="none"/>
          <w:lang w:eastAsia="zh-CN"/>
        </w:rPr>
        <w:t>整体</w:t>
      </w:r>
      <w:r>
        <w:rPr>
          <w:rFonts w:hint="eastAsia" w:ascii="宋体" w:hAnsi="宋体" w:cs="宋体"/>
          <w:color w:val="auto"/>
          <w:szCs w:val="24"/>
          <w:highlight w:val="none"/>
        </w:rPr>
        <w:t>预留、</w:t>
      </w:r>
      <w:r>
        <w:rPr>
          <w:rFonts w:hint="eastAsia" w:ascii="宋体" w:hAnsi="宋体" w:cs="宋体"/>
          <w:color w:val="auto"/>
          <w:szCs w:val="24"/>
          <w:highlight w:val="none"/>
          <w:lang w:eastAsia="zh-CN"/>
        </w:rPr>
        <w:t>设置</w:t>
      </w:r>
      <w:r>
        <w:rPr>
          <w:rFonts w:hint="eastAsia" w:ascii="宋体" w:hAnsi="宋体" w:cs="宋体"/>
          <w:color w:val="auto"/>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法律适用</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本合同的订立、生效、解释、履行及与本合同有关的争议解决，均适用法律、行政法规。</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 xml:space="preserve">22. </w:t>
      </w:r>
      <w:r>
        <w:rPr>
          <w:rFonts w:hint="eastAsia" w:ascii="宋体" w:hAnsi="宋体" w:cs="宋体"/>
          <w:b/>
          <w:color w:val="auto"/>
          <w:sz w:val="24"/>
          <w:highlight w:val="none"/>
        </w:rPr>
        <w:t>通知</w:t>
      </w:r>
    </w:p>
    <w:p>
      <w:pPr>
        <w:pStyle w:val="79"/>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本合同任何一方向对方发出的通知、信件、数据电文等，应当发送至本合同第一部分《政府采购合同协议书》所约定的通讯地址、联系人、联系电话或电子邮箱。</w:t>
      </w:r>
    </w:p>
    <w:p>
      <w:pPr>
        <w:pStyle w:val="79"/>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一方当事人变更名称、</w:t>
      </w:r>
      <w:r>
        <w:rPr>
          <w:rFonts w:hint="eastAsia" w:ascii="宋体" w:hAnsi="宋体" w:eastAsia="宋体" w:cs="宋体"/>
          <w:color w:val="auto"/>
          <w:sz w:val="24"/>
          <w:szCs w:val="24"/>
          <w:lang w:eastAsia="zh-CN"/>
        </w:rPr>
        <w:t>住所</w:t>
      </w:r>
      <w:r>
        <w:rPr>
          <w:rFonts w:hint="eastAsia" w:ascii="宋体" w:hAnsi="宋体" w:eastAsia="宋体" w:cs="宋体"/>
          <w:color w:val="auto"/>
          <w:sz w:val="24"/>
          <w:szCs w:val="24"/>
        </w:rPr>
        <w:t>、联系人、联系电话或电子邮箱</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本合同一方给另一方的通知均应采用书面形式，快递送到本合同中规定的对方的地址和办理签收手续。</w:t>
      </w:r>
    </w:p>
    <w:p>
      <w:pPr>
        <w:adjustRightInd w:val="0"/>
        <w:snapToGrid w:val="0"/>
        <w:spacing w:before="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通知以送达之日或通知书中规定的生效之日起生效，两者中以较迟之日为准。</w:t>
      </w:r>
    </w:p>
    <w:p>
      <w:pPr>
        <w:numPr>
          <w:ilvl w:val="0"/>
          <w:numId w:val="5"/>
        </w:numPr>
        <w:adjustRightInd w:val="0"/>
        <w:snapToGrid w:val="0"/>
        <w:spacing w:before="0"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合同未尽事项</w:t>
      </w:r>
    </w:p>
    <w:p>
      <w:pPr>
        <w:adjustRightInd w:val="0"/>
        <w:snapToGrid w:val="0"/>
        <w:spacing w:before="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.1合同未尽事项见</w:t>
      </w:r>
      <w:r>
        <w:rPr>
          <w:rFonts w:hint="eastAsia" w:ascii="宋体" w:hAnsi="宋体" w:cs="宋体"/>
          <w:b/>
          <w:color w:val="auto"/>
          <w:sz w:val="24"/>
          <w:szCs w:val="24"/>
          <w:highlight w:val="none"/>
        </w:rPr>
        <w:t>【政府采购合同专用条款】</w:t>
      </w:r>
      <w:r>
        <w:rPr>
          <w:rFonts w:hint="eastAsia" w:ascii="宋体" w:hAnsi="宋体" w:cs="宋体"/>
          <w:bCs/>
          <w:color w:val="auto"/>
          <w:sz w:val="24"/>
          <w:szCs w:val="24"/>
          <w:highlight w:val="none"/>
        </w:rPr>
        <w:t>。</w:t>
      </w:r>
    </w:p>
    <w:p>
      <w:pPr>
        <w:adjustRightInd w:val="0"/>
        <w:snapToGrid w:val="0"/>
        <w:spacing w:line="400" w:lineRule="exact"/>
        <w:ind w:firstLine="0" w:firstLineChars="0"/>
        <w:jc w:val="left"/>
        <w:rPr>
          <w:rFonts w:hint="eastAsia" w:ascii="宋体" w:hAnsi="宋体" w:eastAsia="宋体" w:cs="宋体"/>
          <w:color w:val="auto"/>
          <w:sz w:val="24"/>
          <w:szCs w:val="24"/>
        </w:rPr>
      </w:pPr>
      <w:r>
        <w:rPr>
          <w:rFonts w:hint="eastAsia" w:ascii="宋体" w:hAnsi="宋体" w:cs="宋体"/>
          <w:bCs/>
          <w:color w:val="auto"/>
          <w:sz w:val="24"/>
          <w:szCs w:val="24"/>
          <w:highlight w:val="none"/>
          <w:lang w:val="en-US" w:eastAsia="zh-CN"/>
        </w:rPr>
        <w:t xml:space="preserve">    23.2 合同附件与合同正文具有同等的法律效力。</w:t>
      </w:r>
      <w:bookmarkStart w:id="454" w:name="_Toc20313"/>
    </w:p>
    <w:p>
      <w:pPr>
        <w:adjustRightInd w:val="0"/>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pPr>
        <w:pStyle w:val="4"/>
        <w:adjustRightInd w:val="0"/>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第三节 政府采购合同专用条款</w:t>
      </w:r>
      <w:bookmarkEnd w:id="45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第1.2（</w:t>
            </w:r>
            <w:r>
              <w:rPr>
                <w:rFonts w:hint="eastAsia" w:ascii="宋体" w:hAnsi="宋体" w:cs="宋体"/>
                <w:color w:val="auto"/>
                <w:sz w:val="24"/>
                <w:szCs w:val="24"/>
                <w:lang w:val="en-US" w:eastAsia="zh-CN"/>
              </w:rPr>
              <w:t>6</w:t>
            </w:r>
            <w:r>
              <w:rPr>
                <w:rFonts w:hint="eastAsia" w:ascii="宋体" w:hAnsi="宋体" w:cs="宋体"/>
                <w:color w:val="auto"/>
                <w:sz w:val="24"/>
                <w:szCs w:val="24"/>
              </w:rPr>
              <w:t>）项</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lang w:eastAsia="zh-CN"/>
              </w:rPr>
              <w:t>联合体具体要求</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第1.2（</w:t>
            </w:r>
            <w:r>
              <w:rPr>
                <w:rFonts w:hint="eastAsia" w:ascii="宋体" w:hAnsi="宋体" w:cs="宋体"/>
                <w:color w:val="auto"/>
                <w:sz w:val="24"/>
                <w:szCs w:val="24"/>
                <w:lang w:val="en-US" w:eastAsia="zh-CN"/>
              </w:rPr>
              <w:t>7</w:t>
            </w:r>
            <w:r>
              <w:rPr>
                <w:rFonts w:hint="eastAsia" w:ascii="宋体" w:hAnsi="宋体" w:cs="宋体"/>
                <w:color w:val="auto"/>
                <w:sz w:val="24"/>
                <w:szCs w:val="24"/>
              </w:rPr>
              <w:t>）项</w:t>
            </w:r>
          </w:p>
        </w:tc>
        <w:tc>
          <w:tcPr>
            <w:tcW w:w="1742" w:type="dxa"/>
            <w:vAlign w:val="center"/>
          </w:tcPr>
          <w:p>
            <w:pPr>
              <w:adjustRightInd w:val="0"/>
              <w:snapToGrid w:val="0"/>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其他术语解释</w:t>
            </w:r>
          </w:p>
        </w:tc>
        <w:tc>
          <w:tcPr>
            <w:tcW w:w="5170" w:type="dxa"/>
            <w:vAlign w:val="center"/>
          </w:tcPr>
          <w:p>
            <w:pPr>
              <w:adjustRightInd w:val="0"/>
              <w:snapToGrid w:val="0"/>
              <w:jc w:val="left"/>
              <w:rPr>
                <w:rFonts w:hint="eastAsia" w:ascii="宋体" w:hAnsi="宋体" w:eastAsia="宋体" w:cs="宋体"/>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4.4款</w:t>
            </w:r>
          </w:p>
        </w:tc>
        <w:tc>
          <w:tcPr>
            <w:tcW w:w="1742" w:type="dxa"/>
            <w:vAlign w:val="center"/>
          </w:tcPr>
          <w:p>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4.6款</w:t>
            </w:r>
          </w:p>
        </w:tc>
        <w:tc>
          <w:tcPr>
            <w:tcW w:w="1742" w:type="dxa"/>
            <w:vAlign w:val="center"/>
          </w:tcPr>
          <w:p>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第二节</w:t>
            </w:r>
          </w:p>
          <w:p>
            <w:pPr>
              <w:snapToGrid w:val="0"/>
              <w:jc w:val="center"/>
              <w:rPr>
                <w:rFonts w:hint="eastAsia" w:ascii="宋体" w:hAnsi="宋体" w:cs="宋体"/>
                <w:color w:val="auto"/>
                <w:sz w:val="24"/>
                <w:lang w:val="en-US" w:eastAsia="zh-CN"/>
              </w:rPr>
            </w:pP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5.4款</w:t>
            </w:r>
          </w:p>
        </w:tc>
        <w:tc>
          <w:tcPr>
            <w:tcW w:w="1742" w:type="dxa"/>
            <w:vAlign w:val="center"/>
          </w:tcPr>
          <w:p>
            <w:pPr>
              <w:adjustRightInd w:val="0"/>
              <w:snapToGrid w:val="0"/>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第二节</w:t>
            </w:r>
          </w:p>
          <w:p>
            <w:pPr>
              <w:snapToGrid w:val="0"/>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6.1款</w:t>
            </w:r>
          </w:p>
        </w:tc>
        <w:tc>
          <w:tcPr>
            <w:tcW w:w="1742" w:type="dxa"/>
            <w:vAlign w:val="center"/>
          </w:tcPr>
          <w:p>
            <w:pPr>
              <w:adjustRightInd w:val="0"/>
              <w:snapToGrid w:val="0"/>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履行合同义务的顺序</w:t>
            </w:r>
          </w:p>
        </w:tc>
        <w:tc>
          <w:tcPr>
            <w:tcW w:w="5170" w:type="dxa"/>
            <w:vAlign w:val="center"/>
          </w:tcPr>
          <w:p>
            <w:pPr>
              <w:adjustRightInd w:val="0"/>
              <w:snapToGrid w:val="0"/>
              <w:jc w:val="left"/>
              <w:rPr>
                <w:rFonts w:hint="eastAsia" w:ascii="宋体" w:hAnsi="宋体" w:eastAsia="宋体" w:cs="宋体"/>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7</w:t>
            </w:r>
            <w:r>
              <w:rPr>
                <w:rFonts w:hint="eastAsia" w:ascii="宋体" w:hAnsi="宋体" w:cs="宋体"/>
                <w:color w:val="auto"/>
                <w:sz w:val="24"/>
                <w:szCs w:val="24"/>
              </w:rPr>
              <w:t>.1</w:t>
            </w:r>
            <w:r>
              <w:rPr>
                <w:rFonts w:hint="eastAsia" w:ascii="宋体" w:hAnsi="宋体" w:cs="宋体"/>
                <w:color w:val="auto"/>
                <w:sz w:val="24"/>
                <w:szCs w:val="24"/>
                <w:lang w:val="en-US" w:eastAsia="zh-CN"/>
              </w:rPr>
              <w:t>款</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包装</w:t>
            </w:r>
            <w:r>
              <w:rPr>
                <w:rFonts w:hint="eastAsia" w:ascii="宋体" w:hAnsi="宋体" w:cs="宋体"/>
                <w:color w:val="auto"/>
                <w:sz w:val="24"/>
                <w:szCs w:val="24"/>
                <w:lang w:eastAsia="zh-CN"/>
              </w:rPr>
              <w:t>特殊要求</w:t>
            </w:r>
          </w:p>
        </w:tc>
        <w:tc>
          <w:tcPr>
            <w:tcW w:w="5170" w:type="dxa"/>
            <w:vAlign w:val="center"/>
          </w:tcPr>
          <w:p>
            <w:pPr>
              <w:rPr>
                <w:rFonts w:hint="eastAsia"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cs="宋体"/>
                <w:color w:val="auto"/>
                <w:sz w:val="24"/>
                <w:szCs w:val="24"/>
              </w:rPr>
            </w:pPr>
          </w:p>
        </w:tc>
        <w:tc>
          <w:tcPr>
            <w:tcW w:w="1742" w:type="dxa"/>
            <w:vAlign w:val="center"/>
          </w:tcPr>
          <w:p>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指定现场</w:t>
            </w:r>
          </w:p>
        </w:tc>
        <w:tc>
          <w:tcPr>
            <w:tcW w:w="5170" w:type="dxa"/>
            <w:vAlign w:val="center"/>
          </w:tcPr>
          <w:p>
            <w:pPr>
              <w:rPr>
                <w:rFonts w:hint="eastAsia"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7</w:t>
            </w:r>
            <w:r>
              <w:rPr>
                <w:rFonts w:hint="eastAsia" w:ascii="宋体" w:hAnsi="宋体" w:cs="宋体"/>
                <w:color w:val="auto"/>
                <w:sz w:val="24"/>
                <w:szCs w:val="24"/>
              </w:rPr>
              <w:t>.2</w:t>
            </w:r>
            <w:r>
              <w:rPr>
                <w:rFonts w:hint="eastAsia" w:ascii="宋体" w:hAnsi="宋体" w:cs="宋体"/>
                <w:color w:val="auto"/>
                <w:sz w:val="24"/>
                <w:szCs w:val="24"/>
                <w:lang w:val="en-US" w:eastAsia="zh-CN"/>
              </w:rPr>
              <w:t>款</w:t>
            </w:r>
          </w:p>
        </w:tc>
        <w:tc>
          <w:tcPr>
            <w:tcW w:w="1742" w:type="dxa"/>
            <w:vAlign w:val="center"/>
          </w:tcPr>
          <w:p>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运输特殊要求</w:t>
            </w:r>
          </w:p>
        </w:tc>
        <w:tc>
          <w:tcPr>
            <w:tcW w:w="5170" w:type="dxa"/>
            <w:vAlign w:val="center"/>
          </w:tcPr>
          <w:p>
            <w:pPr>
              <w:rPr>
                <w:rFonts w:hint="eastAsia"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7</w:t>
            </w:r>
            <w:r>
              <w:rPr>
                <w:rFonts w:hint="eastAsia" w:ascii="宋体" w:hAnsi="宋体" w:cs="宋体"/>
                <w:color w:val="auto"/>
                <w:sz w:val="24"/>
                <w:szCs w:val="24"/>
              </w:rPr>
              <w:t>.3</w:t>
            </w:r>
            <w:r>
              <w:rPr>
                <w:rFonts w:hint="eastAsia" w:ascii="宋体" w:hAnsi="宋体" w:cs="宋体"/>
                <w:color w:val="auto"/>
                <w:sz w:val="24"/>
                <w:szCs w:val="24"/>
                <w:lang w:val="en-US" w:eastAsia="zh-CN"/>
              </w:rPr>
              <w:t>款</w:t>
            </w:r>
          </w:p>
        </w:tc>
        <w:tc>
          <w:tcPr>
            <w:tcW w:w="1742" w:type="dxa"/>
            <w:vAlign w:val="center"/>
          </w:tcPr>
          <w:p>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保险要求</w:t>
            </w:r>
          </w:p>
        </w:tc>
        <w:tc>
          <w:tcPr>
            <w:tcW w:w="5170" w:type="dxa"/>
            <w:vAlign w:val="center"/>
          </w:tcPr>
          <w:p>
            <w:pPr>
              <w:rPr>
                <w:rFonts w:hint="eastAsia"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8</w:t>
            </w:r>
            <w:r>
              <w:rPr>
                <w:rFonts w:hint="eastAsia" w:ascii="宋体" w:hAnsi="宋体" w:cs="宋体"/>
                <w:color w:val="auto"/>
                <w:sz w:val="24"/>
                <w:szCs w:val="24"/>
              </w:rPr>
              <w:t>.2（1）项</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质量保证期</w:t>
            </w:r>
          </w:p>
        </w:tc>
        <w:tc>
          <w:tcPr>
            <w:tcW w:w="5170" w:type="dxa"/>
            <w:vAlign w:val="center"/>
          </w:tcPr>
          <w:p>
            <w:pPr>
              <w:autoSpaceDE w:val="0"/>
              <w:autoSpaceDN w:val="0"/>
              <w:adjustRightInd w:val="0"/>
              <w:snapToGrid w:val="0"/>
              <w:ind w:firstLine="480" w:firstLineChars="20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8</w:t>
            </w:r>
            <w:r>
              <w:rPr>
                <w:rFonts w:hint="eastAsia" w:ascii="宋体" w:hAnsi="宋体" w:cs="宋体"/>
                <w:color w:val="auto"/>
                <w:sz w:val="24"/>
                <w:szCs w:val="24"/>
              </w:rPr>
              <w:t>.2（3）项</w:t>
            </w:r>
          </w:p>
        </w:tc>
        <w:tc>
          <w:tcPr>
            <w:tcW w:w="1742" w:type="dxa"/>
            <w:vAlign w:val="center"/>
          </w:tcPr>
          <w:p>
            <w:pPr>
              <w:adjustRightInd w:val="0"/>
              <w:snapToGrid w:val="0"/>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货物质量缺陷</w:t>
            </w:r>
          </w:p>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响应时间</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第二节</w:t>
            </w:r>
          </w:p>
          <w:p>
            <w:pPr>
              <w:pStyle w:val="79"/>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第11.1款</w:t>
            </w:r>
          </w:p>
        </w:tc>
        <w:tc>
          <w:tcPr>
            <w:tcW w:w="1742" w:type="dxa"/>
            <w:vAlign w:val="center"/>
          </w:tcPr>
          <w:p>
            <w:pPr>
              <w:adjustRightInd w:val="0"/>
              <w:snapToGrid w:val="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其他应当保密的信息</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2</w:t>
            </w:r>
            <w:r>
              <w:rPr>
                <w:rFonts w:hint="eastAsia" w:ascii="宋体" w:hAnsi="宋体" w:cs="宋体"/>
                <w:color w:val="auto"/>
                <w:sz w:val="24"/>
                <w:szCs w:val="24"/>
              </w:rPr>
              <w:t>.2款</w:t>
            </w:r>
          </w:p>
        </w:tc>
        <w:tc>
          <w:tcPr>
            <w:tcW w:w="1742" w:type="dxa"/>
            <w:vAlign w:val="center"/>
          </w:tcPr>
          <w:p>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rPr>
              <w:t>合同价款支付</w:t>
            </w:r>
            <w:r>
              <w:rPr>
                <w:rFonts w:hint="eastAsia" w:ascii="宋体" w:hAnsi="宋体" w:cs="宋体"/>
                <w:color w:val="auto"/>
                <w:sz w:val="24"/>
                <w:szCs w:val="24"/>
                <w:lang w:eastAsia="zh-CN"/>
              </w:rPr>
              <w:t>时间</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13.2</w:t>
            </w:r>
            <w:r>
              <w:rPr>
                <w:rFonts w:hint="eastAsia" w:ascii="宋体" w:hAnsi="宋体" w:cs="宋体"/>
                <w:color w:val="auto"/>
                <w:sz w:val="24"/>
                <w:szCs w:val="24"/>
              </w:rPr>
              <w:t>款</w:t>
            </w:r>
          </w:p>
        </w:tc>
        <w:tc>
          <w:tcPr>
            <w:tcW w:w="1742" w:type="dxa"/>
            <w:vAlign w:val="center"/>
          </w:tcPr>
          <w:p>
            <w:pPr>
              <w:adjustRightInd w:val="0"/>
              <w:snapToGrid w:val="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履约保证金不予退还的情形</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13.3</w:t>
            </w:r>
            <w:r>
              <w:rPr>
                <w:rFonts w:hint="eastAsia" w:ascii="宋体" w:hAnsi="宋体" w:cs="宋体"/>
                <w:color w:val="auto"/>
                <w:sz w:val="24"/>
                <w:szCs w:val="24"/>
              </w:rPr>
              <w:t>款</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履约保证金退还时间及</w:t>
            </w:r>
            <w:r>
              <w:rPr>
                <w:rFonts w:hint="eastAsia" w:ascii="宋体" w:hAnsi="宋体" w:cs="宋体"/>
                <w:color w:val="auto"/>
                <w:sz w:val="24"/>
                <w:szCs w:val="24"/>
                <w:lang w:eastAsia="zh-CN"/>
              </w:rPr>
              <w:t>逾期退还的</w:t>
            </w:r>
            <w:r>
              <w:rPr>
                <w:rFonts w:hint="eastAsia" w:ascii="宋体" w:hAnsi="宋体" w:cs="宋体"/>
                <w:color w:val="auto"/>
                <w:sz w:val="24"/>
                <w:szCs w:val="24"/>
              </w:rPr>
              <w:t>违约金</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4</w:t>
            </w: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）项</w:t>
            </w:r>
          </w:p>
        </w:tc>
        <w:tc>
          <w:tcPr>
            <w:tcW w:w="1742" w:type="dxa"/>
            <w:vAlign w:val="center"/>
          </w:tcPr>
          <w:p>
            <w:pPr>
              <w:adjustRightInd w:val="0"/>
              <w:snapToGrid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运行监督、维修期限</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4</w:t>
            </w: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）项</w:t>
            </w:r>
          </w:p>
        </w:tc>
        <w:tc>
          <w:tcPr>
            <w:tcW w:w="1742" w:type="dxa"/>
            <w:vAlign w:val="center"/>
          </w:tcPr>
          <w:p>
            <w:pPr>
              <w:adjustRightInd w:val="0"/>
              <w:snapToGrid w:val="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货物回收的约定</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4</w:t>
            </w:r>
            <w:r>
              <w:rPr>
                <w:rFonts w:hint="eastAsia" w:ascii="宋体" w:hAnsi="宋体" w:cs="宋体"/>
                <w:color w:val="auto"/>
                <w:sz w:val="24"/>
                <w:szCs w:val="24"/>
              </w:rPr>
              <w:t>.1（</w:t>
            </w:r>
            <w:r>
              <w:rPr>
                <w:rFonts w:hint="eastAsia" w:ascii="宋体" w:hAnsi="宋体" w:cs="宋体"/>
                <w:color w:val="auto"/>
                <w:sz w:val="24"/>
                <w:szCs w:val="24"/>
                <w:lang w:val="en-US" w:eastAsia="zh-CN"/>
              </w:rPr>
              <w:t>6</w:t>
            </w:r>
            <w:r>
              <w:rPr>
                <w:rFonts w:hint="eastAsia" w:ascii="宋体" w:hAnsi="宋体" w:cs="宋体"/>
                <w:color w:val="auto"/>
                <w:sz w:val="24"/>
                <w:szCs w:val="24"/>
              </w:rPr>
              <w:t>）项</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乙方提供的其他服务</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第1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1款</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highlight w:val="none"/>
                <w:lang w:eastAsia="zh-CN"/>
              </w:rPr>
              <w:t>修理、重作、更换相关具体规定</w:t>
            </w:r>
          </w:p>
        </w:tc>
        <w:tc>
          <w:tcPr>
            <w:tcW w:w="5170" w:type="dxa"/>
            <w:vAlign w:val="center"/>
          </w:tcPr>
          <w:p>
            <w:pPr>
              <w:adjustRightInd w:val="0"/>
              <w:snapToGrid w:val="0"/>
              <w:jc w:val="left"/>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5</w:t>
            </w:r>
            <w:r>
              <w:rPr>
                <w:rFonts w:hint="eastAsia" w:ascii="宋体" w:hAnsi="宋体" w:cs="宋体"/>
                <w:color w:val="auto"/>
                <w:sz w:val="24"/>
                <w:szCs w:val="24"/>
              </w:rPr>
              <w:t>.2（2）项</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迟延交货赔偿费</w:t>
            </w:r>
          </w:p>
        </w:tc>
        <w:tc>
          <w:tcPr>
            <w:tcW w:w="5170" w:type="dxa"/>
            <w:vAlign w:val="center"/>
          </w:tcPr>
          <w:p>
            <w:pPr>
              <w:adjustRightInd w:val="0"/>
              <w:snapToGrid w:val="0"/>
              <w:jc w:val="left"/>
              <w:rPr>
                <w:rFonts w:hint="eastAsia" w:ascii="宋体" w:hAnsi="宋体" w:cs="宋体"/>
                <w:color w:val="auto"/>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3款</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逾期付款利息</w:t>
            </w:r>
          </w:p>
        </w:tc>
        <w:tc>
          <w:tcPr>
            <w:tcW w:w="5170" w:type="dxa"/>
            <w:vAlign w:val="center"/>
          </w:tcPr>
          <w:p>
            <w:pPr>
              <w:adjustRightInd w:val="0"/>
              <w:snapToGrid w:val="0"/>
              <w:jc w:val="left"/>
              <w:rPr>
                <w:rFonts w:hint="eastAsia" w:ascii="宋体" w:hAnsi="宋体" w:cs="宋体"/>
                <w:color w:val="auto"/>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第1</w:t>
            </w:r>
            <w:r>
              <w:rPr>
                <w:rFonts w:hint="eastAsia" w:ascii="宋体" w:hAnsi="宋体" w:cs="宋体"/>
                <w:color w:val="auto"/>
                <w:sz w:val="24"/>
                <w:szCs w:val="24"/>
                <w:lang w:val="en-US" w:eastAsia="zh-CN"/>
              </w:rPr>
              <w:t>5</w:t>
            </w:r>
            <w:r>
              <w:rPr>
                <w:rFonts w:hint="eastAsia" w:ascii="宋体" w:hAnsi="宋体" w:cs="宋体"/>
                <w:color w:val="auto"/>
                <w:sz w:val="24"/>
                <w:szCs w:val="24"/>
              </w:rPr>
              <w:t>.4</w:t>
            </w:r>
            <w:r>
              <w:rPr>
                <w:rFonts w:hint="eastAsia" w:ascii="宋体" w:hAnsi="宋体" w:cs="宋体"/>
                <w:color w:val="auto"/>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cs="宋体"/>
                <w:color w:val="auto"/>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19</w:t>
            </w:r>
            <w:r>
              <w:rPr>
                <w:rFonts w:hint="eastAsia" w:ascii="宋体" w:hAnsi="宋体" w:cs="宋体"/>
                <w:color w:val="auto"/>
                <w:sz w:val="24"/>
                <w:szCs w:val="24"/>
              </w:rPr>
              <w:t>.2</w:t>
            </w:r>
            <w:r>
              <w:rPr>
                <w:rFonts w:hint="eastAsia" w:ascii="宋体" w:hAnsi="宋体" w:cs="宋体"/>
                <w:color w:val="auto"/>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cs="宋体"/>
                <w:color w:val="auto"/>
                <w:sz w:val="24"/>
                <w:szCs w:val="24"/>
              </w:rPr>
            </w:pPr>
            <w:r>
              <w:rPr>
                <w:rFonts w:hint="eastAsia" w:ascii="宋体" w:hAnsi="宋体" w:cs="宋体"/>
                <w:color w:val="auto"/>
                <w:sz w:val="24"/>
                <w:szCs w:val="24"/>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因本合同及合同有关事项发生的争议，按下列第</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种方式解决：</w:t>
            </w:r>
          </w:p>
          <w:p>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（1）向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仲裁委员会申请仲裁，仲裁地点为</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w:t>
            </w:r>
          </w:p>
          <w:p>
            <w:pPr>
              <w:adjustRightInd w:val="0"/>
              <w:snapToGrid w:val="0"/>
              <w:ind w:firstLine="0" w:firstLineChars="0"/>
              <w:jc w:val="left"/>
              <w:rPr>
                <w:rFonts w:hint="eastAsia" w:ascii="宋体" w:hAnsi="宋体" w:cs="宋体"/>
                <w:color w:val="auto"/>
                <w:sz w:val="24"/>
                <w:szCs w:val="24"/>
                <w:u w:val="single"/>
              </w:rPr>
            </w:pPr>
            <w:r>
              <w:rPr>
                <w:rFonts w:hint="eastAsia" w:ascii="宋体" w:hAnsi="宋体" w:eastAsia="宋体" w:cs="宋体"/>
                <w:b w:val="0"/>
                <w:bCs w:val="0"/>
                <w:iCs/>
                <w:color w:val="auto"/>
                <w:sz w:val="24"/>
                <w:szCs w:val="24"/>
              </w:rPr>
              <w:t>（2）向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第二节</w:t>
            </w:r>
          </w:p>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第2</w:t>
            </w:r>
            <w:r>
              <w:rPr>
                <w:rFonts w:hint="eastAsia" w:ascii="宋体" w:hAnsi="宋体" w:cs="宋体"/>
                <w:color w:val="auto"/>
                <w:sz w:val="24"/>
                <w:szCs w:val="24"/>
                <w:lang w:val="en-US" w:eastAsia="zh-CN"/>
              </w:rPr>
              <w:t>3.1</w:t>
            </w:r>
            <w:r>
              <w:rPr>
                <w:rFonts w:hint="eastAsia" w:ascii="宋体" w:hAnsi="宋体" w:cs="宋体"/>
                <w:color w:val="auto"/>
                <w:sz w:val="24"/>
                <w:szCs w:val="24"/>
                <w:lang w:eastAsia="zh-CN"/>
              </w:rPr>
              <w:t>款</w:t>
            </w:r>
          </w:p>
        </w:tc>
        <w:tc>
          <w:tcPr>
            <w:tcW w:w="1742" w:type="dxa"/>
            <w:vAlign w:val="center"/>
          </w:tcPr>
          <w:p>
            <w:pPr>
              <w:adjustRightInd w:val="0"/>
              <w:snapToGrid w:val="0"/>
              <w:jc w:val="left"/>
              <w:rPr>
                <w:rFonts w:hint="eastAsia" w:ascii="宋体" w:hAnsi="宋体" w:cs="宋体"/>
                <w:color w:val="auto"/>
                <w:sz w:val="24"/>
                <w:szCs w:val="24"/>
              </w:rPr>
            </w:pPr>
            <w:r>
              <w:rPr>
                <w:rFonts w:hint="eastAsia" w:ascii="宋体" w:hAnsi="宋体" w:cs="宋体"/>
                <w:bCs/>
                <w:color w:val="auto"/>
                <w:sz w:val="24"/>
                <w:szCs w:val="24"/>
                <w:highlight w:val="none"/>
                <w:lang w:eastAsia="zh-CN"/>
              </w:rPr>
              <w:t>其他专用条款</w:t>
            </w:r>
          </w:p>
        </w:tc>
        <w:tc>
          <w:tcPr>
            <w:tcW w:w="5170" w:type="dxa"/>
            <w:vAlign w:val="center"/>
          </w:tcPr>
          <w:p>
            <w:pPr>
              <w:adjustRightInd w:val="0"/>
              <w:snapToGrid w:val="0"/>
              <w:jc w:val="left"/>
              <w:rPr>
                <w:rFonts w:hint="eastAsia" w:ascii="宋体" w:hAnsi="宋体" w:eastAsia="宋体" w:cs="宋体"/>
                <w:color w:val="auto"/>
                <w:sz w:val="24"/>
                <w:szCs w:val="24"/>
                <w:lang w:val="en-US" w:eastAsia="zh-CN"/>
              </w:rPr>
            </w:pPr>
          </w:p>
        </w:tc>
      </w:tr>
    </w:tbl>
    <w:p>
      <w:pPr>
        <w:rPr>
          <w:color w:val="auto"/>
        </w:rPr>
      </w:pPr>
    </w:p>
    <w:p>
      <w:pPr>
        <w:rPr>
          <w:color w:val="auto"/>
        </w:rPr>
      </w:pPr>
    </w:p>
    <w:p>
      <w:pPr>
        <w:pStyle w:val="80"/>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360" w:lineRule="auto"/>
        <w:ind w:left="-420" w:leftChars="-200" w:right="-420" w:rightChars="-200"/>
        <w:rPr>
          <w:rFonts w:ascii="宋体" w:hAnsi="宋体" w:cs="宋体"/>
          <w:color w:val="auto"/>
          <w:sz w:val="24"/>
        </w:rPr>
      </w:pPr>
    </w:p>
    <w:p>
      <w:pPr>
        <w:pStyle w:val="4"/>
        <w:rPr>
          <w:color w:val="auto"/>
        </w:rPr>
      </w:pPr>
    </w:p>
    <w:p>
      <w:pPr>
        <w:rPr>
          <w:color w:val="auto"/>
        </w:rPr>
      </w:pPr>
    </w:p>
    <w:p>
      <w:pPr>
        <w:spacing w:line="360" w:lineRule="auto"/>
        <w:ind w:left="720" w:firstLine="723" w:firstLineChars="200"/>
        <w:outlineLvl w:val="0"/>
        <w:rPr>
          <w:rFonts w:hint="eastAsia" w:ascii="宋体" w:hAnsi="宋体" w:cs="宋体"/>
          <w:b/>
          <w:color w:val="auto"/>
          <w:sz w:val="36"/>
          <w:szCs w:val="20"/>
        </w:rPr>
      </w:pPr>
    </w:p>
    <w:p>
      <w:pPr>
        <w:spacing w:line="360" w:lineRule="auto"/>
        <w:ind w:left="720" w:firstLine="723" w:firstLineChars="200"/>
        <w:outlineLvl w:val="0"/>
        <w:rPr>
          <w:rFonts w:hint="eastAsia" w:ascii="宋体" w:hAnsi="宋体" w:cs="宋体"/>
          <w:b/>
          <w:color w:val="auto"/>
          <w:sz w:val="36"/>
          <w:szCs w:val="20"/>
        </w:rPr>
      </w:pPr>
    </w:p>
    <w:p>
      <w:pPr>
        <w:spacing w:line="360" w:lineRule="auto"/>
        <w:ind w:left="720" w:firstLine="723" w:firstLineChars="200"/>
        <w:outlineLvl w:val="0"/>
        <w:rPr>
          <w:rFonts w:hint="eastAsia" w:ascii="宋体" w:hAnsi="宋体" w:cs="宋体"/>
          <w:b/>
          <w:color w:val="auto"/>
          <w:sz w:val="36"/>
          <w:szCs w:val="20"/>
        </w:rPr>
      </w:pPr>
    </w:p>
    <w:p>
      <w:pPr>
        <w:spacing w:line="360" w:lineRule="auto"/>
        <w:ind w:left="720" w:firstLine="723" w:firstLineChars="200"/>
        <w:outlineLvl w:val="0"/>
        <w:rPr>
          <w:rFonts w:hint="eastAsia" w:ascii="宋体" w:hAnsi="宋体" w:cs="宋体"/>
          <w:b/>
          <w:color w:val="auto"/>
          <w:sz w:val="36"/>
          <w:szCs w:val="20"/>
        </w:rPr>
      </w:pPr>
    </w:p>
    <w:p>
      <w:pPr>
        <w:spacing w:line="360" w:lineRule="auto"/>
        <w:ind w:left="720" w:firstLine="723" w:firstLineChars="200"/>
        <w:outlineLvl w:val="0"/>
        <w:rPr>
          <w:rFonts w:hint="eastAsia" w:ascii="宋体" w:hAnsi="宋体" w:cs="宋体"/>
          <w:b/>
          <w:color w:val="auto"/>
          <w:sz w:val="36"/>
          <w:szCs w:val="20"/>
        </w:rPr>
      </w:pPr>
    </w:p>
    <w:p>
      <w:pPr>
        <w:spacing w:line="360" w:lineRule="auto"/>
        <w:ind w:left="720" w:firstLine="723" w:firstLineChars="200"/>
        <w:outlineLvl w:val="0"/>
        <w:rPr>
          <w:rFonts w:hint="eastAsia"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405"/>
      <w:r>
        <w:rPr>
          <w:rFonts w:hint="eastAsia" w:ascii="宋体" w:hAnsi="宋体" w:cs="宋体"/>
          <w:b/>
          <w:color w:val="auto"/>
          <w:sz w:val="36"/>
          <w:szCs w:val="20"/>
        </w:rPr>
        <w:t xml:space="preserve"> </w:t>
      </w:r>
      <w:bookmarkEnd w:id="406"/>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中共杭州市余杭区委政法委员会</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4"/>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中共杭州市余杭区委政法委员会</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pStyle w:val="79"/>
        <w:rPr>
          <w:rFonts w:hint="eastAsia" w:eastAsia="华文楷体"/>
          <w:color w:val="auto"/>
          <w:lang w:val="en-US" w:eastAsia="zh-CN"/>
        </w:rPr>
      </w:pP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中共杭州市余杭区委政法委员会</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中共杭州市余杭区委政法委员会</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455"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55"/>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4"/>
        <w:rPr>
          <w:color w:val="auto"/>
          <w:lang w:val="en-US"/>
        </w:rPr>
      </w:pPr>
    </w:p>
    <w:p>
      <w:pPr>
        <w:rPr>
          <w:color w:val="auto"/>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ascii="宋体" w:hAnsi="宋体" w:cs="宋体"/>
                <w:color w:val="auto"/>
                <w:sz w:val="24"/>
                <w:highlight w:val="none"/>
              </w:rPr>
            </w:pPr>
          </w:p>
        </w:tc>
        <w:tc>
          <w:tcPr>
            <w:tcW w:w="2551" w:type="dxa"/>
            <w:vAlign w:val="center"/>
          </w:tcPr>
          <w:p>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pPr>
        <w:pStyle w:val="79"/>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pPr>
              <w:snapToGrid w:val="0"/>
              <w:spacing w:line="360" w:lineRule="auto"/>
              <w:jc w:val="center"/>
              <w:rPr>
                <w:rFonts w:hint="eastAsia" w:ascii="宋体" w:hAnsi="宋体" w:cs="宋体"/>
                <w:b w:val="0"/>
                <w:bCs/>
                <w:color w:val="auto"/>
                <w:sz w:val="24"/>
                <w:vertAlign w:val="baseline"/>
              </w:rPr>
            </w:pPr>
          </w:p>
        </w:tc>
        <w:tc>
          <w:tcPr>
            <w:tcW w:w="3046" w:type="dxa"/>
          </w:tcPr>
          <w:p>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pPr>
        <w:pStyle w:val="79"/>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pPr>
              <w:jc w:val="center"/>
              <w:rPr>
                <w:rFonts w:hint="eastAsia" w:ascii="宋体" w:hAnsi="宋体" w:eastAsia="宋体" w:cs="宋体"/>
                <w:b/>
                <w:bCs/>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pPr>
              <w:jc w:val="center"/>
              <w:rPr>
                <w:rFonts w:ascii="宋体" w:hAnsi="宋体" w:cs="宋体"/>
                <w:b/>
                <w:color w:val="auto"/>
                <w:kern w:val="0"/>
                <w:sz w:val="32"/>
                <w:szCs w:val="32"/>
              </w:rPr>
            </w:pPr>
          </w:p>
        </w:tc>
        <w:tc>
          <w:tcPr>
            <w:tcW w:w="3062" w:type="dxa"/>
          </w:tcPr>
          <w:p>
            <w:pPr>
              <w:jc w:val="center"/>
              <w:rPr>
                <w:rFonts w:ascii="宋体" w:hAnsi="宋体" w:cs="宋体"/>
                <w:b/>
                <w:color w:val="auto"/>
                <w:kern w:val="0"/>
                <w:sz w:val="32"/>
                <w:szCs w:val="32"/>
              </w:rPr>
            </w:pPr>
          </w:p>
        </w:tc>
        <w:tc>
          <w:tcPr>
            <w:tcW w:w="1102" w:type="dxa"/>
          </w:tcPr>
          <w:p>
            <w:pPr>
              <w:jc w:val="center"/>
              <w:rPr>
                <w:rFonts w:ascii="宋体" w:hAnsi="宋体" w:cs="宋体"/>
                <w:b/>
                <w:color w:val="auto"/>
                <w:kern w:val="0"/>
                <w:sz w:val="32"/>
                <w:szCs w:val="32"/>
              </w:rPr>
            </w:pPr>
          </w:p>
        </w:tc>
        <w:tc>
          <w:tcPr>
            <w:tcW w:w="1088"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pPr>
              <w:jc w:val="center"/>
              <w:rPr>
                <w:rFonts w:ascii="宋体" w:hAnsi="宋体" w:cs="宋体"/>
                <w:b/>
                <w:color w:val="auto"/>
                <w:kern w:val="0"/>
                <w:sz w:val="32"/>
                <w:szCs w:val="32"/>
              </w:rPr>
            </w:pPr>
          </w:p>
        </w:tc>
        <w:tc>
          <w:tcPr>
            <w:tcW w:w="3062" w:type="dxa"/>
          </w:tcPr>
          <w:p>
            <w:pPr>
              <w:jc w:val="center"/>
              <w:rPr>
                <w:rFonts w:ascii="宋体" w:hAnsi="宋体" w:cs="宋体"/>
                <w:b/>
                <w:color w:val="auto"/>
                <w:kern w:val="0"/>
                <w:sz w:val="32"/>
                <w:szCs w:val="32"/>
              </w:rPr>
            </w:pPr>
          </w:p>
        </w:tc>
        <w:tc>
          <w:tcPr>
            <w:tcW w:w="1102" w:type="dxa"/>
          </w:tcPr>
          <w:p>
            <w:pPr>
              <w:jc w:val="center"/>
              <w:rPr>
                <w:rFonts w:ascii="宋体" w:hAnsi="宋体" w:cs="宋体"/>
                <w:b/>
                <w:color w:val="auto"/>
                <w:kern w:val="0"/>
                <w:sz w:val="32"/>
                <w:szCs w:val="32"/>
              </w:rPr>
            </w:pPr>
          </w:p>
        </w:tc>
        <w:tc>
          <w:tcPr>
            <w:tcW w:w="1088"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pPr>
              <w:jc w:val="center"/>
              <w:rPr>
                <w:rFonts w:ascii="宋体" w:hAnsi="宋体" w:cs="宋体"/>
                <w:b/>
                <w:color w:val="auto"/>
                <w:kern w:val="0"/>
                <w:sz w:val="32"/>
                <w:szCs w:val="32"/>
              </w:rPr>
            </w:pPr>
          </w:p>
        </w:tc>
        <w:tc>
          <w:tcPr>
            <w:tcW w:w="3062" w:type="dxa"/>
          </w:tcPr>
          <w:p>
            <w:pPr>
              <w:jc w:val="center"/>
              <w:rPr>
                <w:rFonts w:ascii="宋体" w:hAnsi="宋体" w:cs="宋体"/>
                <w:b/>
                <w:color w:val="auto"/>
                <w:kern w:val="0"/>
                <w:sz w:val="32"/>
                <w:szCs w:val="32"/>
              </w:rPr>
            </w:pPr>
          </w:p>
        </w:tc>
        <w:tc>
          <w:tcPr>
            <w:tcW w:w="1102" w:type="dxa"/>
          </w:tcPr>
          <w:p>
            <w:pPr>
              <w:jc w:val="center"/>
              <w:rPr>
                <w:rFonts w:ascii="宋体" w:hAnsi="宋体" w:cs="宋体"/>
                <w:b/>
                <w:color w:val="auto"/>
                <w:kern w:val="0"/>
                <w:sz w:val="32"/>
                <w:szCs w:val="32"/>
              </w:rPr>
            </w:pPr>
          </w:p>
        </w:tc>
        <w:tc>
          <w:tcPr>
            <w:tcW w:w="1088"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pStyle w:val="79"/>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pPr>
        <w:pStyle w:val="79"/>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pPr>
        <w:pStyle w:val="79"/>
        <w:rPr>
          <w:rFonts w:hint="eastAsia" w:eastAsia="华文楷体"/>
          <w:color w:val="auto"/>
          <w:lang w:val="en-US" w:eastAsia="zh-CN"/>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中共杭州市余杭区委政法委员会</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6"/>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中共杭州市余杭区委政法委员会</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余杭区矛调中心服务辅助项目</w:t>
      </w:r>
      <w:r>
        <w:rPr>
          <w:rFonts w:hint="eastAsia" w:ascii="宋体" w:hAnsi="宋体" w:cs="宋体"/>
          <w:color w:val="auto"/>
          <w:kern w:val="0"/>
          <w:sz w:val="24"/>
          <w:lang w:val="zh-CN"/>
        </w:rPr>
        <w:t>【招标编号：</w:t>
      </w:r>
      <w:r>
        <w:rPr>
          <w:rFonts w:hint="eastAsia" w:ascii="宋体" w:hAnsi="宋体" w:cs="宋体"/>
          <w:color w:val="auto"/>
          <w:sz w:val="24"/>
        </w:rPr>
        <w:t>（</w:t>
      </w:r>
      <w:r>
        <w:rPr>
          <w:rFonts w:hint="eastAsia" w:ascii="宋体" w:hAnsi="宋体" w:cs="宋体"/>
          <w:color w:val="auto"/>
          <w:sz w:val="24"/>
          <w:lang w:eastAsia="zh-CN"/>
        </w:rPr>
        <w:t>HZZHCG2025-001</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2350"/>
        <w:gridCol w:w="26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6047" w:type="dxa"/>
          <w:cantSplit/>
          <w:trHeight w:val="757" w:hRule="atLeast"/>
          <w:tblHeader/>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项目名称</w:t>
            </w:r>
          </w:p>
        </w:tc>
        <w:tc>
          <w:tcPr>
            <w:tcW w:w="235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服务期</w:t>
            </w:r>
          </w:p>
        </w:tc>
        <w:tc>
          <w:tcPr>
            <w:tcW w:w="2612"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投标</w:t>
            </w:r>
            <w:r>
              <w:rPr>
                <w:rFonts w:hint="eastAsia" w:ascii="宋体" w:hAnsi="宋体" w:cs="Times New Roman"/>
                <w:b/>
                <w:bCs/>
                <w:color w:val="auto"/>
                <w:kern w:val="2"/>
                <w:sz w:val="24"/>
                <w:szCs w:val="22"/>
                <w:lang w:eastAsia="zh-CN"/>
              </w:rPr>
              <w:t>总</w:t>
            </w:r>
            <w:r>
              <w:rPr>
                <w:rFonts w:hint="eastAsia" w:ascii="宋体" w:hAnsi="宋体" w:cs="Times New Roman"/>
                <w:b/>
                <w:bCs/>
                <w:color w:val="auto"/>
                <w:kern w:val="2"/>
                <w:sz w:val="24"/>
                <w:szCs w:val="22"/>
              </w:rPr>
              <w:t>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6047" w:type="dxa"/>
          <w:cantSplit/>
          <w:trHeight w:val="1213" w:hRule="atLeast"/>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 余杭区矛调中心服务辅助项目</w:t>
            </w:r>
          </w:p>
        </w:tc>
        <w:tc>
          <w:tcPr>
            <w:tcW w:w="235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color w:val="auto"/>
                <w:kern w:val="2"/>
                <w:sz w:val="24"/>
                <w:szCs w:val="22"/>
              </w:rPr>
            </w:pPr>
            <w:r>
              <w:rPr>
                <w:rFonts w:hint="eastAsia" w:ascii="宋体" w:hAnsi="宋体" w:cs="Times New Roman"/>
                <w:color w:val="auto"/>
                <w:kern w:val="2"/>
                <w:sz w:val="24"/>
                <w:szCs w:val="22"/>
              </w:rPr>
              <w:t>响应招标文件要求</w:t>
            </w:r>
          </w:p>
        </w:tc>
        <w:tc>
          <w:tcPr>
            <w:tcW w:w="2612" w:type="dxa"/>
            <w:tcBorders>
              <w:left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小写：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6047" w:type="dxa"/>
          <w:cantSplit/>
          <w:trHeight w:val="1089" w:hRule="atLeast"/>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color w:val="auto"/>
                <w:kern w:val="2"/>
                <w:sz w:val="24"/>
                <w:szCs w:val="22"/>
              </w:rPr>
            </w:pPr>
            <w:r>
              <w:rPr>
                <w:rFonts w:hint="eastAsia" w:ascii="宋体" w:hAnsi="宋体" w:cs="Times New Roman"/>
                <w:color w:val="auto"/>
                <w:kern w:val="2"/>
                <w:sz w:val="24"/>
                <w:szCs w:val="22"/>
              </w:rPr>
              <w:t>总价</w:t>
            </w:r>
          </w:p>
        </w:tc>
        <w:tc>
          <w:tcPr>
            <w:tcW w:w="4962" w:type="dxa"/>
            <w:gridSpan w:val="2"/>
            <w:tcBorders>
              <w:left w:val="single" w:color="auto" w:sz="4" w:space="0"/>
            </w:tcBorders>
            <w:vAlign w:val="center"/>
          </w:tcPr>
          <w:p>
            <w:pPr>
              <w:spacing w:before="0" w:beforeAutospacing="0" w:after="0" w:afterAutospacing="0" w:line="360" w:lineRule="auto"/>
              <w:ind w:left="0" w:right="0"/>
              <w:rPr>
                <w:rFonts w:hint="eastAsia" w:ascii="宋体" w:hAnsi="宋体" w:eastAsia="宋体" w:cs="Times New Roman"/>
                <w:color w:val="auto"/>
                <w:kern w:val="2"/>
                <w:sz w:val="24"/>
                <w:szCs w:val="22"/>
                <w:lang w:eastAsia="zh-CN"/>
              </w:rPr>
            </w:pPr>
            <w:r>
              <w:rPr>
                <w:rFonts w:hint="eastAsia" w:ascii="宋体" w:hAnsi="宋体" w:cs="Times New Roman"/>
                <w:color w:val="auto"/>
                <w:kern w:val="2"/>
                <w:sz w:val="24"/>
                <w:szCs w:val="22"/>
              </w:rPr>
              <w:t>大写：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p>
        </w:tc>
      </w:tr>
    </w:tbl>
    <w:p>
      <w:pPr>
        <w:snapToGrid w:val="0"/>
        <w:spacing w:line="360" w:lineRule="auto"/>
        <w:ind w:left="480"/>
        <w:rPr>
          <w:rFonts w:ascii="宋体" w:hAnsi="宋体" w:cs="宋体"/>
          <w:b/>
          <w:color w:val="auto"/>
          <w:kern w:val="0"/>
          <w:sz w:val="24"/>
          <w:lang w:val="zh-CN"/>
        </w:rPr>
      </w:pPr>
      <w:bookmarkStart w:id="462" w:name="_GoBack"/>
      <w:bookmarkEnd w:id="462"/>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56" w:name="_Hlk101259491"/>
      <w:r>
        <w:rPr>
          <w:rFonts w:hint="eastAsia" w:ascii="宋体" w:hAnsi="宋体" w:eastAsia="宋体" w:cs="宋体"/>
          <w:color w:val="auto"/>
          <w:sz w:val="32"/>
          <w:szCs w:val="32"/>
        </w:rPr>
        <w:t>（如果有）</w:t>
      </w:r>
      <w:bookmarkEnd w:id="456"/>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0" w:firstLineChars="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57" w:name="_Toc465665161"/>
      <w:r>
        <w:rPr>
          <w:rFonts w:hint="eastAsia" w:ascii="宋体" w:hAnsi="宋体" w:cs="宋体"/>
          <w:color w:val="auto"/>
        </w:rPr>
        <w:t>附件</w:t>
      </w:r>
      <w:bookmarkEnd w:id="457"/>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58" w:name="OLE_LINK13"/>
      <w:bookmarkStart w:id="459" w:name="OLE_LINK14"/>
      <w:r>
        <w:rPr>
          <w:rFonts w:hint="eastAsia" w:ascii="宋体" w:hAnsi="宋体" w:cs="宋体"/>
          <w:b/>
          <w:color w:val="auto"/>
          <w:spacing w:val="6"/>
          <w:sz w:val="32"/>
          <w:szCs w:val="32"/>
        </w:rPr>
        <w:t>残疾人福利性单位声明函</w:t>
      </w:r>
    </w:p>
    <w:bookmarkEnd w:id="458"/>
    <w:bookmarkEnd w:id="459"/>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中共杭州市余杭区委政法委员会</w:t>
      </w:r>
      <w:r>
        <w:rPr>
          <w:rFonts w:hint="eastAsia" w:ascii="宋体" w:hAnsi="宋体" w:cs="宋体"/>
          <w:color w:val="auto"/>
          <w:sz w:val="24"/>
        </w:rPr>
        <w:t>_单位的_</w:t>
      </w:r>
      <w:r>
        <w:rPr>
          <w:rFonts w:hint="eastAsia" w:ascii="宋体" w:hAnsi="宋体" w:cs="宋体"/>
          <w:color w:val="auto"/>
          <w:sz w:val="24"/>
          <w:u w:val="single"/>
          <w:lang w:eastAsia="zh-CN"/>
        </w:rPr>
        <w:t>余杭区矛调中心服务辅助项目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中共杭州市余杭区委政法委员会</w:t>
      </w:r>
      <w:r>
        <w:rPr>
          <w:rFonts w:hint="eastAsia" w:ascii="宋体" w:hAnsi="宋体" w:cs="宋体"/>
          <w:color w:val="auto"/>
          <w:sz w:val="24"/>
          <w:u w:val="single"/>
        </w:rPr>
        <w:t>、</w:t>
      </w:r>
      <w:r>
        <w:rPr>
          <w:rFonts w:hint="eastAsia" w:ascii="宋体" w:hAnsi="宋体" w:cs="宋体"/>
          <w:color w:val="auto"/>
          <w:sz w:val="24"/>
          <w:u w:val="single"/>
          <w:lang w:eastAsia="zh-CN"/>
        </w:rPr>
        <w:t>杭州正鸿工程咨询有限公司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46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60"/>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both"/>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余杭区矛调中心服务辅助项目</w:t>
      </w:r>
      <w:r>
        <w:rPr>
          <w:rFonts w:hint="eastAsia" w:ascii="宋体" w:hAnsi="宋体" w:cs="宋体"/>
          <w:color w:val="auto"/>
          <w:sz w:val="24"/>
        </w:rPr>
        <w:t>【招标编号：（</w:t>
      </w:r>
      <w:r>
        <w:rPr>
          <w:rFonts w:hint="eastAsia" w:ascii="宋体" w:hAnsi="宋体" w:cs="宋体"/>
          <w:color w:val="auto"/>
          <w:sz w:val="24"/>
          <w:lang w:eastAsia="zh-CN"/>
        </w:rPr>
        <w:t>HZZHCG2025-001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6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6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中共杭州市余杭区委政法委员会</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余杭区矛调中心服务辅助项目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lang w:eastAsia="zh-CN"/>
        </w:rPr>
        <w:t>②</w:t>
      </w:r>
      <w:r>
        <w:rPr>
          <w:rFonts w:hint="eastAsia" w:ascii="宋体" w:hAnsi="宋体" w:eastAsia="宋体" w:cs="宋体"/>
          <w:i w:val="0"/>
          <w:caps w:val="0"/>
          <w:color w:val="auto"/>
          <w:spacing w:val="0"/>
          <w:sz w:val="24"/>
          <w:szCs w:val="24"/>
          <w:highlight w:val="none"/>
          <w:shd w:val="clear"/>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pPr>
        <w:spacing w:line="360" w:lineRule="auto"/>
        <w:jc w:val="center"/>
        <w:rPr>
          <w:rFonts w:ascii="宋体" w:hAnsi="宋体" w:cs="宋体"/>
          <w:b/>
          <w:color w:val="auto"/>
          <w:sz w:val="32"/>
          <w:szCs w:val="32"/>
        </w:rPr>
      </w:pPr>
    </w:p>
    <w:p>
      <w:pPr>
        <w:spacing w:line="360" w:lineRule="auto"/>
        <w:jc w:val="both"/>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73BB695"/>
    <w:multiLevelType w:val="singleLevel"/>
    <w:tmpl w:val="E73BB695"/>
    <w:lvl w:ilvl="0" w:tentative="0">
      <w:start w:val="2"/>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mZjYTcxYzNmNDdjNjE4NDc2Zjc1MDViMDE2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132C5"/>
    <w:rsid w:val="0A3E7710"/>
    <w:rsid w:val="0A5B7E63"/>
    <w:rsid w:val="0A624364"/>
    <w:rsid w:val="0AA374A5"/>
    <w:rsid w:val="0AAB7649"/>
    <w:rsid w:val="0AB84FDC"/>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86567C"/>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66904"/>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7C2549F"/>
    <w:rsid w:val="28333E1D"/>
    <w:rsid w:val="28454BD6"/>
    <w:rsid w:val="28455253"/>
    <w:rsid w:val="28462B22"/>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90E9F"/>
    <w:rsid w:val="33EB55CD"/>
    <w:rsid w:val="33EC4C02"/>
    <w:rsid w:val="340D2360"/>
    <w:rsid w:val="3410665D"/>
    <w:rsid w:val="34211214"/>
    <w:rsid w:val="342E63AB"/>
    <w:rsid w:val="34950E68"/>
    <w:rsid w:val="34986E94"/>
    <w:rsid w:val="34AF62C9"/>
    <w:rsid w:val="34CB4388"/>
    <w:rsid w:val="34FA6E12"/>
    <w:rsid w:val="354D7158"/>
    <w:rsid w:val="358D5588"/>
    <w:rsid w:val="35FB1F2C"/>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0055A"/>
    <w:rsid w:val="3C471448"/>
    <w:rsid w:val="3C5F759A"/>
    <w:rsid w:val="3C6C525A"/>
    <w:rsid w:val="3CCE23CB"/>
    <w:rsid w:val="3CD17D17"/>
    <w:rsid w:val="3D160554"/>
    <w:rsid w:val="3D3C7F39"/>
    <w:rsid w:val="3D440F09"/>
    <w:rsid w:val="3D4504A0"/>
    <w:rsid w:val="3D8734BB"/>
    <w:rsid w:val="3D9A11D4"/>
    <w:rsid w:val="3DA16D89"/>
    <w:rsid w:val="3DA364BE"/>
    <w:rsid w:val="3DE041CB"/>
    <w:rsid w:val="3E02289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A18E1"/>
    <w:rsid w:val="4D905305"/>
    <w:rsid w:val="4D964A72"/>
    <w:rsid w:val="4D9C1254"/>
    <w:rsid w:val="4E793892"/>
    <w:rsid w:val="4E800872"/>
    <w:rsid w:val="4EC569ED"/>
    <w:rsid w:val="4ED50EA1"/>
    <w:rsid w:val="4EEC050C"/>
    <w:rsid w:val="4F104EC3"/>
    <w:rsid w:val="4F47354A"/>
    <w:rsid w:val="4F8D1C8E"/>
    <w:rsid w:val="4F911C54"/>
    <w:rsid w:val="4FE625E0"/>
    <w:rsid w:val="5021480F"/>
    <w:rsid w:val="503A380F"/>
    <w:rsid w:val="50962ECB"/>
    <w:rsid w:val="50A42E38"/>
    <w:rsid w:val="50A4577F"/>
    <w:rsid w:val="50B73D1F"/>
    <w:rsid w:val="50BD5BC9"/>
    <w:rsid w:val="50C11EEE"/>
    <w:rsid w:val="50E97CFC"/>
    <w:rsid w:val="50FA4028"/>
    <w:rsid w:val="510D65B7"/>
    <w:rsid w:val="511157AB"/>
    <w:rsid w:val="5142540C"/>
    <w:rsid w:val="51505A6E"/>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C1D2D"/>
    <w:rsid w:val="5445084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56C60"/>
    <w:rsid w:val="575D12B5"/>
    <w:rsid w:val="57610A87"/>
    <w:rsid w:val="577B1140"/>
    <w:rsid w:val="577B7F21"/>
    <w:rsid w:val="577F181B"/>
    <w:rsid w:val="57921984"/>
    <w:rsid w:val="579737F0"/>
    <w:rsid w:val="57AB7B30"/>
    <w:rsid w:val="57AF5251"/>
    <w:rsid w:val="57B26373"/>
    <w:rsid w:val="57B63F04"/>
    <w:rsid w:val="57B849C7"/>
    <w:rsid w:val="57CD20C2"/>
    <w:rsid w:val="57D675AB"/>
    <w:rsid w:val="57D73717"/>
    <w:rsid w:val="57D95FDD"/>
    <w:rsid w:val="583005A1"/>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AEA2AAE"/>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150044"/>
    <w:rsid w:val="6F2A7D94"/>
    <w:rsid w:val="6F381C36"/>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230A24"/>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paragraph" w:customStyle="1" w:styleId="96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967">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37694</Words>
  <Characters>39802</Characters>
  <Lines>279</Lines>
  <Paragraphs>78</Paragraphs>
  <TotalTime>0</TotalTime>
  <ScaleCrop>false</ScaleCrop>
  <LinksUpToDate>false</LinksUpToDate>
  <CharactersWithSpaces>45387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2025-02-05T02:19:32Z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D744B8EFE95744AF918B85C4550BF371_13</vt:lpwstr>
  </property>
  <property fmtid="{D5CDD505-2E9C-101B-9397-08002B2CF9AE}" pid="5" name="KSOTemplateDocerSaveRecord">
    <vt:lpwstr>eyJoZGlkIjoiMzM1YjI5MTlkNzcwNDRlNTExNGQyZDk5MWYxYjdkZmUifQ==</vt:lpwstr>
  </property>
</Properties>
</file>