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bookmarkStart w:id="0" w:name="OLE_LINK2"/>
      <w:r>
        <w:rPr>
          <w:rFonts w:hint="eastAsia" w:ascii="宋体" w:hAnsi="宋体" w:cs="宋体"/>
          <w:color w:val="auto"/>
          <w:sz w:val="48"/>
          <w:szCs w:val="48"/>
          <w:highlight w:val="none"/>
          <w:lang w:eastAsia="zh-CN"/>
        </w:rPr>
        <w:t>杭州市临平区人民政府运河街道办事处属地建设工地安全生产、文明施工监理服务</w:t>
      </w:r>
    </w:p>
    <w:bookmarkEnd w:id="0"/>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HZZHCG2024-030</w:t>
      </w:r>
      <w:bookmarkStart w:id="552" w:name="_GoBack"/>
      <w:bookmarkEnd w:id="552"/>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杭州市临平区人民政府运河街道办事处</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杭州正鸿工程咨询有限公司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321"/>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8647"/>
      <w:bookmarkEnd w:id="5"/>
      <w:bookmarkStart w:id="6" w:name="_Hlt74707423"/>
      <w:bookmarkEnd w:id="6"/>
      <w:bookmarkStart w:id="7" w:name="_Hlt74649545"/>
      <w:bookmarkEnd w:id="7"/>
      <w:bookmarkStart w:id="8" w:name="_Hlt74729822"/>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杭州市临平区人民政府运河街道办事处属地建设工地安全生产、文明施工监理服务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eastAsia="zh-CN"/>
        </w:rPr>
        <w:t>2024年</w:t>
      </w:r>
      <w:r>
        <w:rPr>
          <w:rStyle w:val="76"/>
          <w:rFonts w:hint="eastAsia" w:ascii="宋体" w:hAnsi="宋体" w:cs="宋体"/>
          <w:color w:val="auto"/>
          <w:kern w:val="2"/>
          <w:sz w:val="24"/>
          <w:szCs w:val="24"/>
          <w:highlight w:val="none"/>
          <w:lang w:val="en-US" w:eastAsia="zh-CN"/>
        </w:rPr>
        <w:t>12</w:t>
      </w:r>
      <w:r>
        <w:rPr>
          <w:rStyle w:val="76"/>
          <w:rFonts w:hint="eastAsia" w:ascii="宋体" w:hAnsi="宋体" w:cs="宋体"/>
          <w:color w:val="auto"/>
          <w:kern w:val="2"/>
          <w:sz w:val="24"/>
          <w:szCs w:val="24"/>
          <w:highlight w:val="none"/>
          <w:lang w:eastAsia="zh-CN"/>
        </w:rPr>
        <w:t>月</w:t>
      </w:r>
      <w:r>
        <w:rPr>
          <w:rStyle w:val="76"/>
          <w:rFonts w:hint="eastAsia" w:ascii="宋体" w:hAnsi="宋体" w:cs="宋体"/>
          <w:color w:val="auto"/>
          <w:kern w:val="2"/>
          <w:sz w:val="24"/>
          <w:szCs w:val="24"/>
          <w:highlight w:val="none"/>
          <w:lang w:val="en-US" w:eastAsia="zh-CN"/>
        </w:rPr>
        <w:t>04</w:t>
      </w:r>
      <w:r>
        <w:rPr>
          <w:rStyle w:val="76"/>
          <w:rFonts w:hint="eastAsia" w:ascii="宋体" w:hAnsi="宋体" w:cs="宋体"/>
          <w:color w:val="auto"/>
          <w:kern w:val="2"/>
          <w:sz w:val="24"/>
          <w:szCs w:val="24"/>
          <w:highlight w:val="none"/>
          <w:lang w:eastAsia="zh-CN"/>
        </w:rPr>
        <w:t>日</w:t>
      </w:r>
      <w:r>
        <w:rPr>
          <w:rStyle w:val="76"/>
          <w:rFonts w:hint="eastAsia" w:ascii="宋体" w:hAnsi="宋体" w:cs="宋体"/>
          <w:color w:val="auto"/>
          <w:kern w:val="2"/>
          <w:sz w:val="24"/>
          <w:szCs w:val="24"/>
          <w:highlight w:val="none"/>
          <w:lang w:val="en-US" w:eastAsia="zh-CN"/>
        </w:rPr>
        <w:t>14点00分00秒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HZZHCG2024-030</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杭州市临平区人民政府运河街道办事处属地建设工地安全生产、文明施工监理服务</w:t>
      </w:r>
    </w:p>
    <w:p>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b/>
          <w:bCs/>
          <w:color w:val="auto"/>
          <w:sz w:val="24"/>
          <w:highlight w:val="none"/>
          <w:lang w:val="en-US" w:eastAsia="zh-CN"/>
        </w:rPr>
        <w:t>700000</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最高限价（元）：</w:t>
      </w:r>
      <w:r>
        <w:rPr>
          <w:rFonts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700000</w:t>
      </w:r>
    </w:p>
    <w:p>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杭州市临平区人民政府运河街道办事处属地建设工地安全生产、文明施工监理服务</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pPr>
        <w:pStyle w:val="8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000000"/>
          <w:highlight w:val="none"/>
          <w:lang w:val="en-US" w:eastAsia="zh-CN"/>
        </w:rPr>
        <w:t>二年</w:t>
      </w:r>
      <w:r>
        <w:rPr>
          <w:rFonts w:hint="eastAsia" w:ascii="宋体" w:hAnsi="宋体" w:cs="宋体"/>
          <w:b/>
          <w:color w:val="auto"/>
          <w:highlight w:val="none"/>
          <w:lang w:eastAsia="zh-CN"/>
        </w:rPr>
        <w:t>。</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48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14点00分00秒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bookmarkStart w:id="12" w:name="OLE_LINK3"/>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2"/>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lang w:eastAsia="zh-CN"/>
        </w:rPr>
        <w:t>杭州市临平区</w:t>
      </w:r>
      <w:r>
        <w:rPr>
          <w:rFonts w:hint="eastAsia" w:ascii="宋体" w:hAnsi="宋体" w:cs="宋体"/>
          <w:color w:val="auto"/>
          <w:sz w:val="24"/>
          <w:lang w:val="en-US" w:eastAsia="zh-CN"/>
        </w:rPr>
        <w:t>运河街道</w:t>
      </w:r>
      <w:r>
        <w:rPr>
          <w:rFonts w:hint="eastAsia" w:ascii="宋体" w:hAnsi="宋体" w:cs="宋体"/>
          <w:color w:val="auto"/>
          <w:sz w:val="24"/>
          <w:lang w:eastAsia="zh-CN"/>
        </w:rPr>
        <w:t>兴旺大道1号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马亮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项目联系方式（询问）：0571-89533102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马亮</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质疑联系方式：15957170523 </w:t>
      </w:r>
      <w:r>
        <w:rPr>
          <w:rFonts w:hint="eastAsia" w:ascii="宋体" w:hAnsi="宋体" w:cs="宋体"/>
          <w:color w:val="auto"/>
          <w:sz w:val="24"/>
          <w:highlight w:val="none"/>
          <w:lang w:val="en-US"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杭州正鸿工程咨询有限公司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w:t>
      </w:r>
      <w:r>
        <w:rPr>
          <w:rFonts w:hint="eastAsia" w:ascii="宋体" w:hAnsi="宋体" w:cs="宋体"/>
          <w:color w:val="auto"/>
          <w:sz w:val="24"/>
          <w:highlight w:val="none"/>
          <w:lang w:eastAsia="zh-CN"/>
        </w:rPr>
        <w:t>临平区星桥街道远展街</w:t>
      </w:r>
      <w:r>
        <w:rPr>
          <w:rFonts w:hint="eastAsia" w:ascii="宋体" w:hAnsi="宋体" w:cs="宋体"/>
          <w:color w:val="auto"/>
          <w:sz w:val="24"/>
          <w:highlight w:val="none"/>
          <w:lang w:val="en-US" w:eastAsia="zh-CN"/>
        </w:rPr>
        <w:t>1号联融大厦22幢505室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贺胜杰</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13738009078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俞方华</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13805738712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rPr>
          <w:rFonts w:hint="eastAsia" w:ascii="宋体" w:hAnsi="宋体" w:eastAsia="宋体" w:cs="宋体"/>
          <w:color w:val="auto"/>
          <w:sz w:val="24"/>
          <w:highlight w:val="none"/>
          <w:lang w:val="en-US" w:eastAsia="zh-CN"/>
        </w:rPr>
      </w:pPr>
      <w:bookmarkStart w:id="13" w:name="OLE_LINK4"/>
      <w:r>
        <w:rPr>
          <w:rFonts w:hint="eastAsia" w:ascii="宋体" w:hAnsi="宋体" w:eastAsia="宋体" w:cs="宋体"/>
          <w:color w:val="auto"/>
          <w:sz w:val="24"/>
          <w:highlight w:val="none"/>
          <w:lang w:val="en-US" w:eastAsia="zh-CN"/>
        </w:rPr>
        <w:t>名    称：杭州市临平区财政局、浙江省政府采购行政裁决服务中心（杭州）</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联系人：朱女士/王女士</w:t>
      </w:r>
    </w:p>
    <w:p>
      <w:pPr>
        <w:spacing w:line="360" w:lineRule="auto"/>
        <w:ind w:firstLine="48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监督投诉电话：0571-87227671,0571-87800218</w:t>
      </w:r>
      <w:bookmarkEnd w:id="13"/>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杭州市临平区人民政府运河街道办事处属地建设工地安全生产、文明施工监理服务</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3"/>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w:t>
            </w:r>
            <w:r>
              <w:rPr>
                <w:rFonts w:hint="eastAsia" w:ascii="宋体" w:hAnsi="宋体" w:cs="宋体"/>
                <w:color w:val="auto"/>
                <w:kern w:val="0"/>
                <w:sz w:val="24"/>
                <w:highlight w:val="none"/>
                <w:lang w:eastAsia="zh-CN"/>
              </w:rPr>
              <w:t>开标</w:t>
            </w:r>
            <w:r>
              <w:rPr>
                <w:rFonts w:hint="eastAsia" w:ascii="宋体" w:hAnsi="宋体" w:cs="宋体"/>
                <w:color w:val="auto"/>
                <w:kern w:val="0"/>
                <w:sz w:val="24"/>
                <w:highlight w:val="none"/>
              </w:rPr>
              <w:t>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杭州市临平区远展街</w:t>
            </w:r>
            <w:r>
              <w:rPr>
                <w:rFonts w:hint="eastAsia" w:ascii="宋体" w:hAnsi="宋体" w:cs="宋体"/>
                <w:color w:val="auto"/>
                <w:kern w:val="0"/>
                <w:sz w:val="24"/>
                <w:highlight w:val="none"/>
                <w:u w:val="single"/>
                <w:lang w:val="en-US" w:eastAsia="zh-CN"/>
              </w:rPr>
              <w:t>1号联融大厦22幢505室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杭州市临平区星桥街道远展街1号联融大厦22幢505室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贺胜杰</w:t>
            </w:r>
            <w:r>
              <w:rPr>
                <w:rFonts w:hint="eastAsia" w:hAnsi="宋体" w:cs="宋体"/>
                <w:color w:val="auto"/>
                <w:sz w:val="24"/>
                <w:highlight w:val="none"/>
                <w:u w:val="single"/>
                <w:lang w:val="en-US" w:eastAsia="zh-CN"/>
              </w:rPr>
              <w:t xml:space="preserve">13738009078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宋体" w:hAnsi="宋体" w:eastAsia="宋体" w:cs="仿宋_GB2312"/>
                <w:b/>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本次代理服务费由</w:t>
            </w:r>
            <w:r>
              <w:rPr>
                <w:rFonts w:hint="eastAsia" w:ascii="宋体" w:hAnsi="宋体" w:eastAsia="宋体" w:cs="宋体"/>
                <w:snapToGrid w:val="0"/>
                <w:color w:val="auto"/>
                <w:kern w:val="28"/>
                <w:sz w:val="24"/>
                <w:highlight w:val="none"/>
                <w:lang w:val="en-US" w:eastAsia="zh-CN"/>
              </w:rPr>
              <w:t>各标项</w:t>
            </w:r>
            <w:r>
              <w:rPr>
                <w:rFonts w:hint="eastAsia" w:ascii="宋体" w:hAnsi="宋体" w:eastAsia="宋体" w:cs="宋体"/>
                <w:snapToGrid w:val="0"/>
                <w:color w:val="auto"/>
                <w:kern w:val="28"/>
                <w:sz w:val="24"/>
                <w:highlight w:val="none"/>
                <w:lang w:eastAsia="zh-CN"/>
              </w:rPr>
              <w:t>中标单位支付，代理费用付款</w:t>
            </w:r>
            <w:bookmarkStart w:id="14" w:name="OLE_LINK7"/>
            <w:r>
              <w:rPr>
                <w:rFonts w:hint="eastAsia" w:ascii="宋体" w:hAnsi="宋体" w:eastAsia="宋体" w:cs="宋体"/>
                <w:snapToGrid w:val="0"/>
                <w:color w:val="auto"/>
                <w:kern w:val="28"/>
                <w:sz w:val="24"/>
                <w:highlight w:val="none"/>
                <w:lang w:eastAsia="zh-CN"/>
              </w:rPr>
              <w:t>按原国家计委《关于印发招标代理服务收费管理暂行办法的通知》（计价格[2002]1980号）文件</w:t>
            </w:r>
            <w:bookmarkEnd w:id="14"/>
            <w:r>
              <w:rPr>
                <w:rFonts w:hint="eastAsia" w:ascii="宋体" w:hAnsi="宋体" w:eastAsia="宋体" w:cs="宋体"/>
                <w:snapToGrid w:val="0"/>
                <w:color w:val="auto"/>
                <w:kern w:val="28"/>
                <w:sz w:val="24"/>
                <w:highlight w:val="none"/>
                <w:lang w:eastAsia="zh-CN"/>
              </w:rPr>
              <w:t>直接支付给分散采购招标代理单位，投标人在报价时应综合考虑该笔费用。</w:t>
            </w:r>
          </w:p>
          <w:p>
            <w:pPr>
              <w:spacing w:line="360" w:lineRule="auto"/>
              <w:rPr>
                <w:rFonts w:hint="eastAsia" w:ascii="仿宋_GB2312" w:hAnsi="仿宋" w:eastAsia="仿宋_GB2312"/>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杭州正鸿工程咨询有限公司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宋体"/>
                <w:snapToGrid w:val="0"/>
                <w:color w:val="auto"/>
                <w:kern w:val="28"/>
                <w:sz w:val="24"/>
                <w:highlight w:val="none"/>
                <w:lang w:val="en-US" w:eastAsia="zh-CN"/>
              </w:rPr>
              <w:t>杭州联合农村商业银行股份有限公司康桥支行</w:t>
            </w:r>
            <w:r>
              <w:rPr>
                <w:rFonts w:hint="eastAsia" w:ascii="宋体" w:hAnsi="宋体" w:eastAsia="宋体" w:cs="宋体"/>
                <w:snapToGrid w:val="0"/>
                <w:color w:val="auto"/>
                <w:kern w:val="28"/>
                <w:sz w:val="24"/>
                <w:highlight w:val="none"/>
              </w:rPr>
              <w:t xml:space="preserve"> 帐号：</w:t>
            </w:r>
            <w:r>
              <w:rPr>
                <w:rFonts w:hint="eastAsia" w:ascii="宋体" w:hAnsi="宋体" w:eastAsia="宋体" w:cs="宋体"/>
                <w:snapToGrid w:val="0"/>
                <w:color w:val="auto"/>
                <w:kern w:val="28"/>
                <w:sz w:val="24"/>
                <w:highlight w:val="none"/>
                <w:lang w:val="en-US" w:eastAsia="zh-CN"/>
              </w:rPr>
              <w:t>201000279863923</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eastAsia="宋体" w:cs="仿宋_GB2312"/>
                <w:b/>
                <w:color w:val="auto"/>
                <w:sz w:val="24"/>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eastAsia="宋体" w:cs="宋体"/>
                <w:snapToGrid w:val="0"/>
                <w:color w:val="auto"/>
                <w:kern w:val="28"/>
                <w:sz w:val="24"/>
                <w:highlight w:val="none"/>
                <w:lang w:val="en-US" w:eastAsia="zh-CN"/>
              </w:rPr>
              <w:t xml:space="preserve">中标单位需在领取中标通知书时，提供本项目纸质投标文件（资格文件”、“报价文件”和“商务技术文件”） </w:t>
            </w:r>
            <w:r>
              <w:rPr>
                <w:rFonts w:hint="eastAsia" w:ascii="宋体" w:hAnsi="宋体" w:cs="宋体"/>
                <w:snapToGrid w:val="0"/>
                <w:color w:val="auto"/>
                <w:kern w:val="28"/>
                <w:sz w:val="24"/>
                <w:highlight w:val="none"/>
                <w:lang w:val="en-US" w:eastAsia="zh-CN"/>
              </w:rPr>
              <w:t>三</w:t>
            </w:r>
            <w:r>
              <w:rPr>
                <w:rFonts w:hint="eastAsia" w:ascii="宋体" w:hAnsi="宋体" w:eastAsia="宋体" w:cs="宋体"/>
                <w:snapToGrid w:val="0"/>
                <w:color w:val="auto"/>
                <w:kern w:val="28"/>
                <w:sz w:val="24"/>
                <w:highlight w:val="none"/>
                <w:lang w:val="en-US" w:eastAsia="zh-CN"/>
              </w:rPr>
              <w:t>份（正本一份，副本</w:t>
            </w:r>
            <w:r>
              <w:rPr>
                <w:rFonts w:hint="eastAsia" w:ascii="宋体" w:hAnsi="宋体" w:cs="宋体"/>
                <w:snapToGrid w:val="0"/>
                <w:color w:val="auto"/>
                <w:kern w:val="28"/>
                <w:sz w:val="24"/>
                <w:highlight w:val="none"/>
                <w:lang w:val="en-US" w:eastAsia="zh-CN"/>
              </w:rPr>
              <w:t>二</w:t>
            </w:r>
            <w:r>
              <w:rPr>
                <w:rFonts w:hint="eastAsia" w:ascii="宋体" w:hAnsi="宋体" w:eastAsia="宋体" w:cs="宋体"/>
                <w:snapToGrid w:val="0"/>
                <w:color w:val="auto"/>
                <w:kern w:val="28"/>
                <w:sz w:val="24"/>
                <w:highlight w:val="none"/>
                <w:lang w:val="en-US" w:eastAsia="zh-CN"/>
              </w:rPr>
              <w:t>份）并提供电子投标文件与纸质投标文件内容一致承诺书三份（详见采购文件格式）。</w:t>
            </w:r>
          </w:p>
        </w:tc>
      </w:tr>
    </w:tbl>
    <w:p>
      <w:pPr>
        <w:snapToGrid w:val="0"/>
        <w:spacing w:line="360" w:lineRule="auto"/>
        <w:jc w:val="center"/>
        <w:rPr>
          <w:rFonts w:ascii="宋体" w:hAnsi="宋体" w:cs="宋体"/>
          <w:b/>
          <w:color w:val="auto"/>
          <w:sz w:val="32"/>
          <w:szCs w:val="20"/>
          <w:highlight w:val="none"/>
        </w:rPr>
      </w:pPr>
    </w:p>
    <w:bookmarkEnd w:id="11"/>
    <w:p>
      <w:pPr>
        <w:adjustRightInd/>
        <w:spacing w:line="360" w:lineRule="auto"/>
        <w:ind w:firstLine="3845" w:firstLineChars="1197"/>
        <w:outlineLvl w:val="0"/>
        <w:rPr>
          <w:rFonts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6"/>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w:t>
      </w:r>
      <w:r>
        <w:rPr>
          <w:rFonts w:hint="eastAsia" w:ascii="宋体" w:hAnsi="宋体" w:cs="宋体"/>
          <w:color w:val="auto"/>
          <w:kern w:val="0"/>
          <w:sz w:val="24"/>
          <w:lang w:val="en-US" w:eastAsia="zh-CN"/>
        </w:rPr>
        <w:t>4串通投标认定</w:t>
      </w:r>
      <w:r>
        <w:rPr>
          <w:rFonts w:hint="eastAsia" w:ascii="宋体" w:hAnsi="宋体" w:cs="宋体"/>
          <w:color w:val="auto"/>
          <w:kern w:val="0"/>
          <w:sz w:val="24"/>
          <w:lang w:val="zh-CN"/>
        </w:rPr>
        <w:t>。</w:t>
      </w:r>
      <w:r>
        <w:rPr>
          <w:rFonts w:hint="eastAsia" w:ascii="宋体" w:hAnsi="宋体" w:cs="宋体"/>
          <w:color w:val="auto"/>
          <w:kern w:val="0"/>
          <w:sz w:val="24"/>
          <w:lang w:val="zh-CN" w:eastAsia="zh-CN"/>
        </w:rPr>
        <w:t>有下列情形之一的，视为投标人串通投标，其投标无效：</w:t>
      </w:r>
    </w:p>
    <w:p>
      <w:pPr>
        <w:spacing w:line="360" w:lineRule="auto"/>
        <w:ind w:firstLine="720" w:firstLineChars="300"/>
        <w:rPr>
          <w:rFonts w:hint="eastAsia" w:ascii="宋体" w:hAnsi="宋体" w:cs="宋体"/>
          <w:color w:val="auto"/>
          <w:kern w:val="0"/>
          <w:sz w:val="24"/>
          <w:lang w:val="zh-CN"/>
        </w:rPr>
      </w:pPr>
      <w:r>
        <w:rPr>
          <w:rFonts w:hint="eastAsia" w:ascii="宋体" w:hAnsi="宋体" w:cs="宋体"/>
          <w:color w:val="auto"/>
          <w:kern w:val="0"/>
          <w:sz w:val="24"/>
          <w:lang w:val="en-US" w:eastAsia="zh-CN"/>
        </w:rPr>
        <w:t>12.4.</w:t>
      </w:r>
      <w:r>
        <w:rPr>
          <w:rFonts w:hint="eastAsia" w:ascii="宋体" w:hAnsi="宋体" w:cs="宋体"/>
          <w:color w:val="auto"/>
          <w:kern w:val="0"/>
          <w:sz w:val="24"/>
          <w:lang w:val="zh-CN" w:eastAsia="zh-CN"/>
        </w:rPr>
        <w:t>1.不同投标人的投标文件由同一单位或者个人编制或同一IP地址上传；</w:t>
      </w:r>
    </w:p>
    <w:p>
      <w:pPr>
        <w:spacing w:line="360" w:lineRule="auto"/>
        <w:ind w:firstLine="720" w:firstLineChars="300"/>
        <w:rPr>
          <w:rFonts w:hint="eastAsia" w:ascii="宋体" w:hAnsi="宋体" w:cs="宋体"/>
          <w:color w:val="auto"/>
          <w:kern w:val="0"/>
          <w:sz w:val="24"/>
          <w:lang w:val="zh-CN"/>
        </w:rPr>
      </w:pPr>
      <w:r>
        <w:rPr>
          <w:rFonts w:hint="eastAsia" w:ascii="宋体" w:hAnsi="宋体" w:cs="宋体"/>
          <w:color w:val="auto"/>
          <w:kern w:val="0"/>
          <w:sz w:val="24"/>
          <w:lang w:val="en-US" w:eastAsia="zh-CN"/>
        </w:rPr>
        <w:t>12.4.</w:t>
      </w:r>
      <w:r>
        <w:rPr>
          <w:rFonts w:hint="eastAsia" w:ascii="宋体" w:hAnsi="宋体" w:cs="宋体"/>
          <w:color w:val="auto"/>
          <w:kern w:val="0"/>
          <w:sz w:val="24"/>
          <w:lang w:val="zh-CN" w:eastAsia="zh-CN"/>
        </w:rPr>
        <w:t>2.不同投标人委托同一单位或者个人办理投标事宜；</w:t>
      </w:r>
    </w:p>
    <w:p>
      <w:pPr>
        <w:spacing w:line="360" w:lineRule="auto"/>
        <w:ind w:firstLine="720" w:firstLineChars="300"/>
        <w:rPr>
          <w:rFonts w:hint="eastAsia" w:ascii="宋体" w:hAnsi="宋体" w:cs="宋体"/>
          <w:color w:val="auto"/>
          <w:kern w:val="0"/>
          <w:sz w:val="24"/>
          <w:lang w:val="zh-CN"/>
        </w:rPr>
      </w:pPr>
      <w:r>
        <w:rPr>
          <w:rFonts w:hint="eastAsia" w:ascii="宋体" w:hAnsi="宋体" w:cs="宋体"/>
          <w:color w:val="auto"/>
          <w:kern w:val="0"/>
          <w:sz w:val="24"/>
          <w:lang w:val="en-US" w:eastAsia="zh-CN"/>
        </w:rPr>
        <w:t>12.4.</w:t>
      </w:r>
      <w:r>
        <w:rPr>
          <w:rFonts w:hint="eastAsia" w:ascii="宋体" w:hAnsi="宋体" w:cs="宋体"/>
          <w:color w:val="auto"/>
          <w:kern w:val="0"/>
          <w:sz w:val="24"/>
          <w:lang w:val="zh-CN" w:eastAsia="zh-CN"/>
        </w:rPr>
        <w:t>3.不同投标人的投标文件载明的项目管理成员或者联系人员为同一人；</w:t>
      </w:r>
    </w:p>
    <w:p>
      <w:pPr>
        <w:spacing w:line="360" w:lineRule="auto"/>
        <w:ind w:firstLine="720" w:firstLineChars="300"/>
        <w:rPr>
          <w:rFonts w:hint="eastAsia" w:ascii="宋体" w:hAnsi="宋体" w:cs="宋体"/>
          <w:color w:val="auto"/>
          <w:kern w:val="0"/>
          <w:sz w:val="24"/>
          <w:lang w:val="zh-CN"/>
        </w:rPr>
      </w:pPr>
      <w:r>
        <w:rPr>
          <w:rFonts w:hint="eastAsia" w:ascii="宋体" w:hAnsi="宋体" w:cs="宋体"/>
          <w:color w:val="auto"/>
          <w:kern w:val="0"/>
          <w:sz w:val="24"/>
          <w:lang w:val="en-US" w:eastAsia="zh-CN"/>
        </w:rPr>
        <w:t>12.4.</w:t>
      </w:r>
      <w:r>
        <w:rPr>
          <w:rFonts w:hint="eastAsia" w:ascii="宋体" w:hAnsi="宋体" w:cs="宋体"/>
          <w:color w:val="auto"/>
          <w:kern w:val="0"/>
          <w:sz w:val="24"/>
          <w:lang w:val="zh-CN" w:eastAsia="zh-CN"/>
        </w:rPr>
        <w:t>4.不同投标人的投标文件异常一致或者投标报价呈规律性差异；</w:t>
      </w:r>
    </w:p>
    <w:p>
      <w:pPr>
        <w:spacing w:line="360" w:lineRule="auto"/>
        <w:ind w:firstLine="720" w:firstLineChars="300"/>
        <w:rPr>
          <w:rFonts w:hint="eastAsia" w:ascii="宋体" w:hAnsi="宋体" w:cs="宋体"/>
          <w:color w:val="auto"/>
          <w:kern w:val="0"/>
          <w:sz w:val="24"/>
          <w:lang w:val="zh-CN"/>
        </w:rPr>
      </w:pPr>
      <w:r>
        <w:rPr>
          <w:rFonts w:hint="eastAsia" w:ascii="宋体" w:hAnsi="宋体" w:cs="宋体"/>
          <w:color w:val="auto"/>
          <w:kern w:val="0"/>
          <w:sz w:val="24"/>
          <w:lang w:val="en-US" w:eastAsia="zh-CN"/>
        </w:rPr>
        <w:t>12.4.</w:t>
      </w:r>
      <w:r>
        <w:rPr>
          <w:rFonts w:hint="eastAsia" w:ascii="宋体" w:hAnsi="宋体" w:cs="宋体"/>
          <w:color w:val="auto"/>
          <w:kern w:val="0"/>
          <w:sz w:val="24"/>
          <w:lang w:val="zh-CN" w:eastAsia="zh-CN"/>
        </w:rPr>
        <w:t>5.不同投标人的投标文件相互混装；</w:t>
      </w:r>
    </w:p>
    <w:p>
      <w:pPr>
        <w:spacing w:line="360" w:lineRule="auto"/>
        <w:ind w:firstLine="480" w:firstLineChars="200"/>
        <w:rPr>
          <w:rFonts w:ascii="宋体" w:hAnsi="宋体" w:cs="宋体"/>
          <w:color w:val="auto"/>
          <w:kern w:val="0"/>
          <w:sz w:val="24"/>
          <w:highlight w:val="none"/>
          <w:lang w:val="zh-CN"/>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6"/>
        <w:spacing w:before="0"/>
        <w:ind w:firstLine="643"/>
        <w:rPr>
          <w:rFonts w:ascii="宋体" w:hAnsi="宋体" w:cs="宋体"/>
          <w:b/>
          <w:color w:val="auto"/>
          <w:sz w:val="32"/>
          <w:highlight w:val="none"/>
        </w:rPr>
      </w:pPr>
    </w:p>
    <w:p>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6"/>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color w:val="auto"/>
          <w:sz w:val="24"/>
          <w:highlight w:val="none"/>
        </w:rPr>
        <w:t>资格审查情况、评审专家抽取规则、符合性审查情况、</w:t>
      </w:r>
      <w:bookmarkEnd w:id="18"/>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68072990"/>
      <w:bookmarkEnd w:id="20"/>
      <w:bookmarkStart w:id="21" w:name="_Hlt74707468"/>
      <w:bookmarkEnd w:id="21"/>
      <w:bookmarkStart w:id="22" w:name="_Hlt75236011"/>
      <w:bookmarkEnd w:id="22"/>
      <w:bookmarkStart w:id="23" w:name="_Hlt68403820"/>
      <w:bookmarkEnd w:id="23"/>
      <w:bookmarkStart w:id="24" w:name="_Hlt74730295"/>
      <w:bookmarkEnd w:id="24"/>
      <w:bookmarkStart w:id="25" w:name="_Hlt75236290"/>
      <w:bookmarkEnd w:id="25"/>
      <w:bookmarkStart w:id="26" w:name="_Hlt68073093"/>
      <w:bookmarkEnd w:id="26"/>
      <w:bookmarkStart w:id="27" w:name="_Hlt74714665"/>
      <w:bookmarkEnd w:id="27"/>
      <w:bookmarkStart w:id="28" w:name="_Hlt68057669"/>
      <w:bookmarkEnd w:id="28"/>
      <w:bookmarkStart w:id="29" w:name="_Hlt75236101"/>
      <w:bookmarkEnd w:id="29"/>
      <w:bookmarkStart w:id="30" w:name="_Hlt74729768"/>
      <w:bookmarkEnd w:id="30"/>
    </w:p>
    <w:bookmarkEnd w:id="15"/>
    <w:bookmarkEnd w:id="16"/>
    <w:p>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lang w:bidi="ar-SA"/>
        </w:rPr>
      </w:pPr>
      <w:bookmarkStart w:id="32" w:name="_Toc351971206"/>
      <w:bookmarkStart w:id="33" w:name="_Toc16157"/>
      <w:bookmarkStart w:id="34" w:name="_Toc274303247"/>
      <w:bookmarkStart w:id="35" w:name="_Toc379811066"/>
      <w:bookmarkStart w:id="36" w:name="_Toc39844011"/>
      <w:bookmarkStart w:id="37" w:name="_Toc365897805"/>
      <w:r>
        <w:rPr>
          <w:rFonts w:hint="eastAsia" w:ascii="宋体" w:cs="宋体"/>
          <w:b/>
          <w:bCs/>
          <w:sz w:val="24"/>
          <w:lang w:bidi="ar-SA"/>
        </w:rPr>
        <w:t>一、项目概述：</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cs="宋体"/>
          <w:color w:val="000000"/>
          <w:sz w:val="24"/>
          <w:highlight w:val="none"/>
          <w:lang w:bidi="ar-SA"/>
        </w:rPr>
      </w:pPr>
      <w:r>
        <w:rPr>
          <w:rFonts w:hint="eastAsia" w:ascii="宋体" w:cs="宋体"/>
          <w:color w:val="000000"/>
          <w:sz w:val="24"/>
          <w:highlight w:val="none"/>
          <w:lang w:bidi="ar-SA"/>
        </w:rPr>
        <w:t>以《关于委托第三方机构对属地建设工地安全生产、文明施工状况进行检查的通知》，</w:t>
      </w:r>
      <w:r>
        <w:rPr>
          <w:rFonts w:hint="eastAsia" w:ascii="宋体" w:cs="宋体"/>
          <w:color w:val="000000"/>
          <w:sz w:val="24"/>
          <w:highlight w:val="none"/>
          <w:lang w:eastAsia="zh-CN" w:bidi="ar-SA"/>
        </w:rPr>
        <w:t>临平</w:t>
      </w:r>
      <w:r>
        <w:rPr>
          <w:rFonts w:hint="eastAsia" w:ascii="宋体" w:cs="宋体"/>
          <w:color w:val="000000"/>
          <w:sz w:val="24"/>
          <w:highlight w:val="none"/>
          <w:lang w:bidi="ar-SA"/>
        </w:rPr>
        <w:t>区</w:t>
      </w:r>
      <w:r>
        <w:rPr>
          <w:rFonts w:hint="eastAsia" w:ascii="宋体" w:cs="宋体"/>
          <w:color w:val="000000"/>
          <w:sz w:val="24"/>
          <w:highlight w:val="none"/>
          <w:lang w:eastAsia="zh-CN" w:bidi="ar-SA"/>
        </w:rPr>
        <w:t>运河街道</w:t>
      </w:r>
      <w:r>
        <w:rPr>
          <w:rFonts w:hint="eastAsia" w:ascii="宋体" w:cs="宋体"/>
          <w:color w:val="000000"/>
          <w:sz w:val="24"/>
          <w:highlight w:val="none"/>
          <w:lang w:bidi="ar-SA"/>
        </w:rPr>
        <w:t>属地范围内纳入检查项目</w:t>
      </w:r>
      <w:r>
        <w:rPr>
          <w:rFonts w:hint="eastAsia" w:ascii="宋体" w:cs="宋体"/>
          <w:color w:val="000000"/>
          <w:sz w:val="24"/>
          <w:highlight w:val="none"/>
          <w:lang w:eastAsia="zh-CN" w:bidi="ar-SA"/>
        </w:rPr>
        <w:t>。</w:t>
      </w:r>
      <w:r>
        <w:rPr>
          <w:rFonts w:hint="eastAsia" w:ascii="宋体" w:cs="宋体"/>
          <w:color w:val="000000"/>
          <w:sz w:val="24"/>
          <w:highlight w:val="none"/>
          <w:lang w:bidi="ar-SA"/>
        </w:rPr>
        <w:t>按照通知，每个项目每月检查不少于2次，每次检查不少于2人。</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bidi="ar-SA"/>
        </w:rPr>
      </w:pPr>
      <w:r>
        <w:rPr>
          <w:rFonts w:hint="eastAsia" w:ascii="宋体" w:cs="宋体"/>
          <w:b/>
          <w:bCs/>
          <w:sz w:val="24"/>
          <w:highlight w:val="none"/>
          <w:lang w:bidi="ar-SA"/>
        </w:rPr>
        <w:t>二、具体服务内容、要求等：</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cs="宋体"/>
          <w:sz w:val="24"/>
          <w:highlight w:val="none"/>
          <w:lang w:eastAsia="zh-CN" w:bidi="ar-SA"/>
        </w:rPr>
      </w:pPr>
      <w:r>
        <w:rPr>
          <w:rFonts w:hint="eastAsia" w:ascii="宋体" w:cs="宋体"/>
          <w:sz w:val="24"/>
          <w:highlight w:val="none"/>
          <w:lang w:bidi="ar-SA"/>
        </w:rPr>
        <w:t>监管职责：第三方监管单位组建能够满足招标人要求的项目管理部监管队伍，重点监督检查建设单位的安全文明施工措施费支付情况和施工单位对安全文明施工措施费使用情况，建设、施工、监理等单位的安全方面人员到岗履职情况，建设、施工、监理等单位的安全方面方案台帐编审情况，建设、施工、监理等单位对危险性较大的分部分项工程和重点部位关键环节的安全监管情况，建设、施工、监理等单位对工地文明施工和环境保护的监管情况</w:t>
      </w:r>
      <w:r>
        <w:rPr>
          <w:rFonts w:hint="eastAsia" w:ascii="宋体" w:cs="宋体"/>
          <w:sz w:val="24"/>
          <w:highlight w:val="none"/>
          <w:lang w:eastAsia="zh-CN" w:bidi="ar-SA"/>
        </w:rPr>
        <w:t>，</w:t>
      </w:r>
      <w:r>
        <w:rPr>
          <w:rFonts w:hint="eastAsia" w:ascii="宋体" w:cs="宋体"/>
          <w:sz w:val="24"/>
          <w:highlight w:val="none"/>
          <w:lang w:bidi="ar-SA"/>
        </w:rPr>
        <w:t>建设、施工、监理等单位</w:t>
      </w:r>
      <w:r>
        <w:rPr>
          <w:rFonts w:hint="eastAsia" w:ascii="宋体" w:cs="宋体"/>
          <w:sz w:val="24"/>
          <w:highlight w:val="none"/>
          <w:lang w:eastAsia="zh-CN" w:bidi="ar-SA"/>
        </w:rPr>
        <w:t>对疫情防控措施的落实情况，</w:t>
      </w:r>
      <w:r>
        <w:rPr>
          <w:rFonts w:hint="eastAsia" w:ascii="宋体" w:cs="宋体"/>
          <w:sz w:val="24"/>
          <w:highlight w:val="none"/>
          <w:lang w:bidi="ar-SA"/>
        </w:rPr>
        <w:t>以及工程建设现场各方对安全生产文明施工的其他监管履职情况</w:t>
      </w:r>
      <w:r>
        <w:rPr>
          <w:rFonts w:hint="eastAsia" w:ascii="宋体" w:cs="宋体"/>
          <w:sz w:val="24"/>
          <w:highlight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cs="宋体"/>
          <w:b/>
          <w:bCs/>
          <w:sz w:val="24"/>
          <w:highlight w:val="none"/>
          <w:lang w:bidi="ar-SA"/>
        </w:rPr>
      </w:pPr>
      <w:r>
        <w:rPr>
          <w:rFonts w:hint="eastAsia" w:ascii="宋体" w:cs="宋体"/>
          <w:sz w:val="24"/>
          <w:highlight w:val="none"/>
          <w:lang w:bidi="ar-SA"/>
        </w:rPr>
        <w:t>第三方监管机构对检查发现的问题和隐患，当场出具告知单，并跟踪指导被检查单位整改，整改后形成闭合台账，相关告知单和台帐及时抄报</w:t>
      </w:r>
      <w:r>
        <w:rPr>
          <w:rFonts w:hint="eastAsia" w:ascii="宋体" w:cs="宋体"/>
          <w:sz w:val="24"/>
          <w:highlight w:val="none"/>
          <w:lang w:val="en-US" w:eastAsia="zh-CN" w:bidi="ar-SA"/>
        </w:rPr>
        <w:t>街道</w:t>
      </w:r>
      <w:r>
        <w:rPr>
          <w:rFonts w:hint="eastAsia" w:ascii="宋体" w:cs="宋体"/>
          <w:sz w:val="24"/>
          <w:highlight w:val="none"/>
          <w:lang w:bidi="ar-SA"/>
        </w:rPr>
        <w:t>；对检查发现存在重大安全隐患和严重不文明施工状况，第一时间上报</w:t>
      </w:r>
      <w:r>
        <w:rPr>
          <w:rFonts w:hint="eastAsia" w:ascii="宋体" w:cs="宋体"/>
          <w:sz w:val="24"/>
          <w:highlight w:val="none"/>
          <w:lang w:val="en-US" w:eastAsia="zh-CN" w:bidi="ar-SA"/>
        </w:rPr>
        <w:t>街道</w:t>
      </w:r>
      <w:r>
        <w:rPr>
          <w:rFonts w:hint="eastAsia" w:ascii="宋体" w:cs="宋体"/>
          <w:sz w:val="24"/>
          <w:highlight w:val="none"/>
          <w:lang w:bidi="ar-SA"/>
        </w:rPr>
        <w:t>，并建议</w:t>
      </w:r>
      <w:r>
        <w:rPr>
          <w:rFonts w:hint="eastAsia" w:ascii="宋体" w:cs="宋体"/>
          <w:sz w:val="24"/>
          <w:highlight w:val="none"/>
          <w:lang w:val="en-US" w:eastAsia="zh-CN" w:bidi="ar-SA"/>
        </w:rPr>
        <w:t>街道</w:t>
      </w:r>
      <w:r>
        <w:rPr>
          <w:rFonts w:hint="eastAsia" w:ascii="宋体" w:cs="宋体"/>
          <w:sz w:val="24"/>
          <w:highlight w:val="none"/>
          <w:lang w:bidi="ar-SA"/>
        </w:rPr>
        <w:t>联系行业主管部门进行处理。每月形成安全检查台账和安全监管月报</w:t>
      </w:r>
      <w:r>
        <w:rPr>
          <w:rFonts w:hint="eastAsia" w:ascii="宋体" w:cs="宋体"/>
          <w:sz w:val="24"/>
          <w:highlight w:val="none"/>
          <w:lang w:val="en-US" w:eastAsia="zh-CN" w:bidi="ar-SA"/>
        </w:rPr>
        <w:t>上报街道</w:t>
      </w:r>
      <w:r>
        <w:rPr>
          <w:rFonts w:hint="eastAsia" w:ascii="宋体" w:cs="宋体"/>
          <w:sz w:val="24"/>
          <w:highlight w:val="none"/>
          <w:lang w:bidi="ar-SA"/>
        </w:rPr>
        <w:t>，每季向</w:t>
      </w:r>
      <w:r>
        <w:rPr>
          <w:rFonts w:hint="eastAsia" w:ascii="宋体" w:cs="宋体"/>
          <w:sz w:val="24"/>
          <w:highlight w:val="none"/>
          <w:lang w:val="en-US" w:eastAsia="zh-CN" w:bidi="ar-SA"/>
        </w:rPr>
        <w:t>街道</w:t>
      </w:r>
      <w:r>
        <w:rPr>
          <w:rFonts w:hint="eastAsia" w:ascii="宋体" w:cs="宋体"/>
          <w:sz w:val="24"/>
          <w:highlight w:val="none"/>
          <w:lang w:bidi="ar-SA"/>
        </w:rPr>
        <w:t>提交一份建设工程安全生产和文明施工第三方机构检查专题报告。</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val="en-US" w:eastAsia="zh-CN" w:bidi="ar-SA"/>
        </w:rPr>
      </w:pPr>
      <w:r>
        <w:rPr>
          <w:rFonts w:hint="eastAsia" w:ascii="宋体" w:cs="宋体"/>
          <w:b/>
          <w:bCs/>
          <w:sz w:val="24"/>
          <w:highlight w:val="none"/>
          <w:lang w:val="en-US" w:eastAsia="zh-CN" w:bidi="ar-SA"/>
        </w:rPr>
        <w:t>三、服务期限：</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宋体" w:cs="宋体"/>
          <w:sz w:val="24"/>
          <w:highlight w:val="none"/>
          <w:lang w:val="en-US" w:eastAsia="zh-CN" w:bidi="ar-SA"/>
        </w:rPr>
      </w:pPr>
      <w:r>
        <w:rPr>
          <w:rFonts w:hint="eastAsia" w:ascii="宋体" w:cs="宋体"/>
          <w:sz w:val="24"/>
          <w:highlight w:val="none"/>
          <w:lang w:val="en-US" w:eastAsia="zh-CN" w:bidi="ar-SA"/>
        </w:rPr>
        <w:t>自合同签订之日起二年。项目预算70万元。</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cs="宋体"/>
          <w:b/>
          <w:bCs/>
          <w:sz w:val="24"/>
          <w:highlight w:val="none"/>
          <w:lang w:bidi="ar-SA"/>
        </w:rPr>
      </w:pPr>
      <w:r>
        <w:rPr>
          <w:rFonts w:hint="eastAsia" w:ascii="宋体" w:cs="宋体"/>
          <w:b/>
          <w:bCs/>
          <w:sz w:val="24"/>
          <w:highlight w:val="none"/>
          <w:lang w:eastAsia="zh-CN" w:bidi="ar-SA"/>
        </w:rPr>
        <w:t>四</w:t>
      </w:r>
      <w:r>
        <w:rPr>
          <w:rFonts w:hint="eastAsia" w:ascii="宋体" w:cs="宋体"/>
          <w:b/>
          <w:bCs/>
          <w:sz w:val="24"/>
          <w:highlight w:val="none"/>
          <w:lang w:bidi="ar-SA"/>
        </w:rPr>
        <w:t>、费用结算方式：</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宋体" w:cs="宋体"/>
          <w:b w:val="0"/>
          <w:bCs/>
          <w:snapToGrid w:val="0"/>
          <w:kern w:val="0"/>
          <w:sz w:val="24"/>
          <w:highlight w:val="none"/>
          <w:lang w:bidi="ar-SA"/>
        </w:rPr>
      </w:pPr>
      <w:r>
        <w:rPr>
          <w:rFonts w:hint="eastAsia" w:ascii="宋体" w:cs="宋体"/>
          <w:b w:val="0"/>
          <w:bCs/>
          <w:snapToGrid w:val="0"/>
          <w:kern w:val="0"/>
          <w:sz w:val="24"/>
          <w:highlight w:val="none"/>
          <w:lang w:val="en-US" w:eastAsia="zh-CN" w:bidi="ar-SA"/>
        </w:rPr>
        <w:t>自合同签订之日起7个工作日内支付中标金额的50%作为预付款，具体以双方合同签订为准</w:t>
      </w:r>
      <w:r>
        <w:rPr>
          <w:rFonts w:hint="eastAsia" w:ascii="宋体" w:cs="宋体"/>
          <w:b w:val="0"/>
          <w:bCs/>
          <w:snapToGrid w:val="0"/>
          <w:kern w:val="0"/>
          <w:sz w:val="24"/>
          <w:highlight w:val="none"/>
          <w:lang w:bidi="ar-SA"/>
        </w:rPr>
        <w:t>。</w:t>
      </w:r>
    </w:p>
    <w:bookmarkEnd w:id="32"/>
    <w:bookmarkEnd w:id="33"/>
    <w:bookmarkEnd w:id="34"/>
    <w:bookmarkEnd w:id="35"/>
    <w:bookmarkEnd w:id="36"/>
    <w:bookmarkEnd w:id="37"/>
    <w:p>
      <w:pPr>
        <w:widowControl/>
        <w:snapToGrid w:val="0"/>
        <w:spacing w:line="360" w:lineRule="auto"/>
        <w:ind w:firstLine="480" w:firstLineChars="200"/>
        <w:jc w:val="left"/>
        <w:rPr>
          <w:rFonts w:hint="default" w:ascii="宋体" w:hAnsi="宋体" w:cs="宋体"/>
          <w:sz w:val="24"/>
          <w:highlight w:val="none"/>
          <w:lang w:val="en-US"/>
        </w:rPr>
      </w:pP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numPr>
          <w:ilvl w:val="0"/>
          <w:numId w:val="1"/>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  </w:t>
      </w:r>
      <w:bookmarkStart w:id="38" w:name="_Toc184310296"/>
      <w:bookmarkEnd w:id="38"/>
      <w:bookmarkStart w:id="39" w:name="_Toc184314411"/>
      <w:bookmarkEnd w:id="39"/>
      <w:bookmarkStart w:id="40" w:name="_Toc184310331"/>
      <w:bookmarkEnd w:id="40"/>
      <w:bookmarkStart w:id="41" w:name="_Toc184312067"/>
      <w:bookmarkEnd w:id="41"/>
      <w:bookmarkStart w:id="42" w:name="_Toc184313271"/>
      <w:bookmarkEnd w:id="42"/>
      <w:bookmarkStart w:id="43" w:name="_Toc184313306"/>
      <w:bookmarkEnd w:id="43"/>
      <w:bookmarkStart w:id="44" w:name="_Toc184312130"/>
      <w:bookmarkEnd w:id="44"/>
      <w:bookmarkStart w:id="45" w:name="_Toc184314443"/>
      <w:bookmarkEnd w:id="45"/>
      <w:bookmarkStart w:id="46" w:name="_Toc184312108"/>
      <w:bookmarkEnd w:id="46"/>
      <w:bookmarkStart w:id="47" w:name="_Toc184314480"/>
      <w:bookmarkEnd w:id="47"/>
      <w:bookmarkStart w:id="48" w:name="_Toc184310327"/>
      <w:bookmarkEnd w:id="48"/>
      <w:bookmarkStart w:id="49" w:name="_Toc184312133"/>
      <w:bookmarkEnd w:id="49"/>
      <w:bookmarkStart w:id="50" w:name="_Toc184314449"/>
      <w:bookmarkEnd w:id="50"/>
      <w:bookmarkStart w:id="51" w:name="_Toc184312072"/>
      <w:bookmarkEnd w:id="51"/>
      <w:bookmarkStart w:id="52" w:name="_Toc184314440"/>
      <w:bookmarkEnd w:id="52"/>
      <w:bookmarkStart w:id="53" w:name="_Toc184308062"/>
      <w:bookmarkEnd w:id="53"/>
      <w:bookmarkStart w:id="54" w:name="_Toc184314416"/>
      <w:bookmarkEnd w:id="54"/>
      <w:bookmarkStart w:id="55" w:name="_Toc184314470"/>
      <w:bookmarkEnd w:id="55"/>
      <w:bookmarkStart w:id="56" w:name="_Toc184313294"/>
      <w:bookmarkEnd w:id="56"/>
      <w:bookmarkStart w:id="57" w:name="_Toc184314474"/>
      <w:bookmarkEnd w:id="57"/>
      <w:bookmarkStart w:id="58" w:name="_Toc184314435"/>
      <w:bookmarkEnd w:id="58"/>
      <w:bookmarkStart w:id="59" w:name="_Toc184310325"/>
      <w:bookmarkEnd w:id="59"/>
      <w:bookmarkStart w:id="60" w:name="_Toc184312123"/>
      <w:bookmarkEnd w:id="60"/>
      <w:bookmarkStart w:id="61" w:name="_Toc184312119"/>
      <w:bookmarkEnd w:id="61"/>
      <w:bookmarkStart w:id="62" w:name="_Toc184312101"/>
      <w:bookmarkEnd w:id="62"/>
      <w:bookmarkStart w:id="63" w:name="_Toc184310319"/>
      <w:bookmarkEnd w:id="63"/>
      <w:bookmarkStart w:id="64" w:name="_Toc184314415"/>
      <w:bookmarkEnd w:id="64"/>
      <w:bookmarkStart w:id="65" w:name="_Toc184312120"/>
      <w:bookmarkEnd w:id="65"/>
      <w:bookmarkStart w:id="66" w:name="_Toc184310298"/>
      <w:bookmarkEnd w:id="66"/>
      <w:bookmarkStart w:id="67" w:name="_Toc184308072"/>
      <w:bookmarkEnd w:id="67"/>
      <w:bookmarkStart w:id="68" w:name="_Toc184308096"/>
      <w:bookmarkEnd w:id="68"/>
      <w:bookmarkStart w:id="69" w:name="_Toc184314454"/>
      <w:bookmarkEnd w:id="69"/>
      <w:bookmarkStart w:id="70" w:name="_Toc184314466"/>
      <w:bookmarkEnd w:id="70"/>
      <w:bookmarkStart w:id="71" w:name="_Toc184308074"/>
      <w:bookmarkEnd w:id="71"/>
      <w:bookmarkStart w:id="72" w:name="_Toc184308104"/>
      <w:bookmarkEnd w:id="72"/>
      <w:bookmarkStart w:id="73" w:name="_Toc184313246"/>
      <w:bookmarkEnd w:id="73"/>
      <w:bookmarkStart w:id="74" w:name="_Toc184308081"/>
      <w:bookmarkEnd w:id="74"/>
      <w:bookmarkStart w:id="75" w:name="_Toc184314433"/>
      <w:bookmarkEnd w:id="75"/>
      <w:bookmarkStart w:id="76" w:name="_Toc184312080"/>
      <w:bookmarkEnd w:id="76"/>
      <w:bookmarkStart w:id="77" w:name="_Toc184308106"/>
      <w:bookmarkEnd w:id="77"/>
      <w:bookmarkStart w:id="78" w:name="_Toc184308059"/>
      <w:bookmarkEnd w:id="78"/>
      <w:bookmarkStart w:id="79" w:name="_Toc184312115"/>
      <w:bookmarkEnd w:id="79"/>
      <w:bookmarkStart w:id="80" w:name="_Toc184314472"/>
      <w:bookmarkEnd w:id="80"/>
      <w:bookmarkStart w:id="81" w:name="_Toc184308041"/>
      <w:bookmarkEnd w:id="81"/>
      <w:bookmarkStart w:id="82" w:name="_Toc184313265"/>
      <w:bookmarkEnd w:id="82"/>
      <w:bookmarkStart w:id="83" w:name="_Toc184312128"/>
      <w:bookmarkEnd w:id="83"/>
      <w:bookmarkStart w:id="84" w:name="_Toc184310297"/>
      <w:bookmarkEnd w:id="84"/>
      <w:bookmarkStart w:id="85" w:name="_Toc184313276"/>
      <w:bookmarkEnd w:id="85"/>
      <w:bookmarkStart w:id="86" w:name="_Toc184312087"/>
      <w:bookmarkEnd w:id="86"/>
      <w:bookmarkStart w:id="87" w:name="_Toc184308088"/>
      <w:bookmarkEnd w:id="87"/>
      <w:bookmarkStart w:id="88" w:name="_Toc184314419"/>
      <w:bookmarkEnd w:id="88"/>
      <w:bookmarkStart w:id="89" w:name="_Toc184312103"/>
      <w:bookmarkEnd w:id="89"/>
      <w:bookmarkStart w:id="90" w:name="_Toc184313267"/>
      <w:bookmarkEnd w:id="90"/>
      <w:bookmarkStart w:id="91" w:name="_Toc184312137"/>
      <w:bookmarkEnd w:id="91"/>
      <w:bookmarkStart w:id="92" w:name="_Toc184308105"/>
      <w:bookmarkEnd w:id="92"/>
      <w:bookmarkStart w:id="93" w:name="_Toc184310282"/>
      <w:bookmarkEnd w:id="93"/>
      <w:bookmarkStart w:id="94" w:name="_Toc184312079"/>
      <w:bookmarkEnd w:id="94"/>
      <w:bookmarkStart w:id="95" w:name="_Toc184313304"/>
      <w:bookmarkEnd w:id="95"/>
      <w:bookmarkStart w:id="96" w:name="_Toc184308055"/>
      <w:bookmarkEnd w:id="96"/>
      <w:bookmarkStart w:id="97" w:name="_Toc184308095"/>
      <w:bookmarkEnd w:id="97"/>
      <w:bookmarkStart w:id="98" w:name="_Toc184308044"/>
      <w:bookmarkEnd w:id="98"/>
      <w:bookmarkStart w:id="99" w:name="_Toc184313293"/>
      <w:bookmarkEnd w:id="99"/>
      <w:bookmarkStart w:id="100" w:name="_Toc184312086"/>
      <w:bookmarkEnd w:id="100"/>
      <w:bookmarkStart w:id="101" w:name="_Toc184312070"/>
      <w:bookmarkEnd w:id="101"/>
      <w:bookmarkStart w:id="102" w:name="_Toc184312097"/>
      <w:bookmarkEnd w:id="102"/>
      <w:bookmarkStart w:id="103" w:name="_Toc184312083"/>
      <w:bookmarkEnd w:id="103"/>
      <w:bookmarkStart w:id="104" w:name="_Toc184312102"/>
      <w:bookmarkEnd w:id="104"/>
      <w:bookmarkStart w:id="105" w:name="_Toc184314434"/>
      <w:bookmarkEnd w:id="105"/>
      <w:bookmarkStart w:id="106" w:name="_Toc184312106"/>
      <w:bookmarkEnd w:id="106"/>
      <w:bookmarkStart w:id="107" w:name="_Toc184312113"/>
      <w:bookmarkEnd w:id="107"/>
      <w:bookmarkStart w:id="108" w:name="_Toc184314467"/>
      <w:bookmarkEnd w:id="108"/>
      <w:bookmarkStart w:id="109" w:name="_Toc184308036"/>
      <w:bookmarkEnd w:id="109"/>
      <w:bookmarkStart w:id="110" w:name="_Toc184314469"/>
      <w:bookmarkEnd w:id="110"/>
      <w:bookmarkStart w:id="111" w:name="_Toc184313290"/>
      <w:bookmarkEnd w:id="111"/>
      <w:bookmarkStart w:id="112" w:name="_Toc184313287"/>
      <w:bookmarkEnd w:id="112"/>
      <w:bookmarkStart w:id="113" w:name="_Toc184313255"/>
      <w:bookmarkEnd w:id="113"/>
      <w:bookmarkStart w:id="114" w:name="_Toc184310315"/>
      <w:bookmarkEnd w:id="114"/>
      <w:bookmarkStart w:id="115" w:name="_Toc184310292"/>
      <w:bookmarkEnd w:id="115"/>
      <w:bookmarkStart w:id="116" w:name="_Toc184313283"/>
      <w:bookmarkEnd w:id="116"/>
      <w:bookmarkStart w:id="117" w:name="_Toc184312085"/>
      <w:bookmarkEnd w:id="117"/>
      <w:bookmarkStart w:id="118" w:name="_Toc184313256"/>
      <w:bookmarkEnd w:id="118"/>
      <w:bookmarkStart w:id="119" w:name="_Toc184313269"/>
      <w:bookmarkEnd w:id="119"/>
      <w:bookmarkStart w:id="120" w:name="_Toc184310321"/>
      <w:bookmarkEnd w:id="120"/>
      <w:bookmarkStart w:id="121" w:name="_Toc184308066"/>
      <w:bookmarkEnd w:id="121"/>
      <w:bookmarkStart w:id="122" w:name="_Toc184308069"/>
      <w:bookmarkEnd w:id="122"/>
      <w:bookmarkStart w:id="123" w:name="_Toc184308050"/>
      <w:bookmarkEnd w:id="123"/>
      <w:bookmarkStart w:id="124" w:name="_Toc184308092"/>
      <w:bookmarkEnd w:id="124"/>
      <w:bookmarkStart w:id="125" w:name="_Toc184310337"/>
      <w:bookmarkEnd w:id="125"/>
      <w:bookmarkStart w:id="126" w:name="_Toc184313257"/>
      <w:bookmarkEnd w:id="126"/>
      <w:bookmarkStart w:id="127" w:name="_Toc184313296"/>
      <w:bookmarkEnd w:id="127"/>
      <w:bookmarkStart w:id="128" w:name="_Toc184314432"/>
      <w:bookmarkEnd w:id="128"/>
      <w:bookmarkStart w:id="129" w:name="_Toc184314471"/>
      <w:bookmarkEnd w:id="129"/>
      <w:bookmarkStart w:id="130" w:name="_Toc184312138"/>
      <w:bookmarkEnd w:id="130"/>
      <w:bookmarkStart w:id="131" w:name="_Toc184313264"/>
      <w:bookmarkEnd w:id="131"/>
      <w:bookmarkStart w:id="132" w:name="_Toc184312099"/>
      <w:bookmarkEnd w:id="132"/>
      <w:bookmarkStart w:id="133" w:name="_Toc184310320"/>
      <w:bookmarkEnd w:id="133"/>
      <w:bookmarkStart w:id="134" w:name="_Toc184308094"/>
      <w:bookmarkEnd w:id="134"/>
      <w:bookmarkStart w:id="135" w:name="_Toc184314465"/>
      <w:bookmarkEnd w:id="135"/>
      <w:bookmarkStart w:id="136" w:name="_Toc184314482"/>
      <w:bookmarkEnd w:id="136"/>
      <w:bookmarkStart w:id="137" w:name="_Toc184308060"/>
      <w:bookmarkEnd w:id="137"/>
      <w:bookmarkStart w:id="138" w:name="_Toc184314414"/>
      <w:bookmarkEnd w:id="138"/>
      <w:bookmarkStart w:id="139" w:name="_Toc184314412"/>
      <w:bookmarkEnd w:id="139"/>
      <w:bookmarkStart w:id="140" w:name="_Toc184313298"/>
      <w:bookmarkEnd w:id="140"/>
      <w:bookmarkStart w:id="141" w:name="_Toc184314417"/>
      <w:bookmarkEnd w:id="141"/>
      <w:bookmarkStart w:id="142" w:name="_Toc184308073"/>
      <w:bookmarkEnd w:id="142"/>
      <w:bookmarkStart w:id="143" w:name="_Toc184310277"/>
      <w:bookmarkEnd w:id="143"/>
      <w:bookmarkStart w:id="144" w:name="_Toc184308039"/>
      <w:bookmarkEnd w:id="144"/>
      <w:bookmarkStart w:id="145" w:name="_Toc184313260"/>
      <w:bookmarkEnd w:id="145"/>
      <w:bookmarkStart w:id="146" w:name="_Toc184310324"/>
      <w:bookmarkEnd w:id="146"/>
      <w:bookmarkStart w:id="147" w:name="_Toc184310289"/>
      <w:bookmarkEnd w:id="147"/>
      <w:bookmarkStart w:id="148" w:name="_Toc184310273"/>
      <w:bookmarkEnd w:id="148"/>
      <w:bookmarkStart w:id="149" w:name="_Toc184313272"/>
      <w:bookmarkEnd w:id="149"/>
      <w:bookmarkStart w:id="150" w:name="_Toc184314420"/>
      <w:bookmarkEnd w:id="150"/>
      <w:bookmarkStart w:id="151" w:name="_Toc184312131"/>
      <w:bookmarkEnd w:id="151"/>
      <w:bookmarkStart w:id="152" w:name="_Toc184308084"/>
      <w:bookmarkEnd w:id="152"/>
      <w:bookmarkStart w:id="153" w:name="_Toc184312118"/>
      <w:bookmarkEnd w:id="153"/>
      <w:bookmarkStart w:id="154" w:name="_Toc184314439"/>
      <w:bookmarkEnd w:id="154"/>
      <w:bookmarkStart w:id="155" w:name="_Toc184310304"/>
      <w:bookmarkEnd w:id="155"/>
      <w:bookmarkStart w:id="156" w:name="_Toc184314455"/>
      <w:bookmarkEnd w:id="156"/>
      <w:bookmarkStart w:id="157" w:name="_Toc184308042"/>
      <w:bookmarkEnd w:id="157"/>
      <w:bookmarkStart w:id="158" w:name="_Toc184313310"/>
      <w:bookmarkEnd w:id="158"/>
      <w:bookmarkStart w:id="159" w:name="_Toc184312124"/>
      <w:bookmarkEnd w:id="159"/>
      <w:bookmarkStart w:id="160" w:name="_Toc184314477"/>
      <w:bookmarkEnd w:id="160"/>
      <w:bookmarkStart w:id="161" w:name="_Toc184313245"/>
      <w:bookmarkEnd w:id="161"/>
      <w:bookmarkStart w:id="162" w:name="_Toc184308056"/>
      <w:bookmarkEnd w:id="162"/>
      <w:bookmarkStart w:id="163" w:name="_Toc184312076"/>
      <w:bookmarkEnd w:id="163"/>
      <w:bookmarkStart w:id="164" w:name="_Toc184314462"/>
      <w:bookmarkEnd w:id="164"/>
      <w:bookmarkStart w:id="165" w:name="_Toc184314426"/>
      <w:bookmarkEnd w:id="165"/>
      <w:bookmarkStart w:id="166" w:name="_Toc184312116"/>
      <w:bookmarkEnd w:id="166"/>
      <w:bookmarkStart w:id="167" w:name="_Toc184314463"/>
      <w:bookmarkEnd w:id="167"/>
      <w:bookmarkStart w:id="168" w:name="_Toc184314452"/>
      <w:bookmarkEnd w:id="168"/>
      <w:bookmarkStart w:id="169" w:name="_Toc184312136"/>
      <w:bookmarkEnd w:id="169"/>
      <w:bookmarkStart w:id="170" w:name="_Toc184310333"/>
      <w:bookmarkEnd w:id="170"/>
      <w:bookmarkStart w:id="171" w:name="_Toc184312109"/>
      <w:bookmarkEnd w:id="171"/>
      <w:bookmarkStart w:id="172" w:name="_Toc184314428"/>
      <w:bookmarkEnd w:id="172"/>
      <w:bookmarkStart w:id="173" w:name="_Toc184310284"/>
      <w:bookmarkEnd w:id="173"/>
      <w:bookmarkStart w:id="174" w:name="_Toc184308089"/>
      <w:bookmarkEnd w:id="174"/>
      <w:bookmarkStart w:id="175" w:name="_Toc184308101"/>
      <w:bookmarkEnd w:id="175"/>
      <w:bookmarkStart w:id="176" w:name="_Toc184308038"/>
      <w:bookmarkEnd w:id="176"/>
      <w:bookmarkStart w:id="177" w:name="_Toc184312084"/>
      <w:bookmarkEnd w:id="177"/>
      <w:bookmarkStart w:id="178" w:name="_Toc184313284"/>
      <w:bookmarkEnd w:id="178"/>
      <w:bookmarkStart w:id="179" w:name="_Toc184312107"/>
      <w:bookmarkEnd w:id="179"/>
      <w:bookmarkStart w:id="180" w:name="_Toc184308045"/>
      <w:bookmarkEnd w:id="180"/>
      <w:bookmarkStart w:id="181" w:name="_Toc184314425"/>
      <w:bookmarkEnd w:id="181"/>
      <w:bookmarkStart w:id="182" w:name="_Toc184308077"/>
      <w:bookmarkEnd w:id="182"/>
      <w:bookmarkStart w:id="183" w:name="_Toc184310330"/>
      <w:bookmarkEnd w:id="183"/>
      <w:bookmarkStart w:id="184" w:name="_Toc184314444"/>
      <w:bookmarkEnd w:id="184"/>
      <w:bookmarkStart w:id="185" w:name="_Toc184314447"/>
      <w:bookmarkEnd w:id="185"/>
      <w:bookmarkStart w:id="186" w:name="_Toc184313297"/>
      <w:bookmarkEnd w:id="186"/>
      <w:bookmarkStart w:id="187" w:name="_Toc184310317"/>
      <w:bookmarkEnd w:id="187"/>
      <w:bookmarkStart w:id="188" w:name="_Toc184310335"/>
      <w:bookmarkEnd w:id="188"/>
      <w:bookmarkStart w:id="189" w:name="_Toc184308048"/>
      <w:bookmarkEnd w:id="189"/>
      <w:bookmarkStart w:id="190" w:name="_Toc184313305"/>
      <w:bookmarkEnd w:id="190"/>
      <w:bookmarkStart w:id="191" w:name="_Toc184313292"/>
      <w:bookmarkEnd w:id="191"/>
      <w:bookmarkStart w:id="192" w:name="_Toc184312126"/>
      <w:bookmarkEnd w:id="192"/>
      <w:bookmarkStart w:id="193" w:name="_Toc184308079"/>
      <w:bookmarkEnd w:id="193"/>
      <w:bookmarkStart w:id="194" w:name="_Toc184314431"/>
      <w:bookmarkEnd w:id="194"/>
      <w:bookmarkStart w:id="195" w:name="_Toc184313251"/>
      <w:bookmarkEnd w:id="195"/>
      <w:bookmarkStart w:id="196" w:name="_Toc184314468"/>
      <w:bookmarkEnd w:id="196"/>
      <w:bookmarkStart w:id="197" w:name="_Toc184310306"/>
      <w:bookmarkEnd w:id="197"/>
      <w:bookmarkStart w:id="198" w:name="_Toc184308087"/>
      <w:bookmarkEnd w:id="198"/>
      <w:bookmarkStart w:id="199" w:name="_Toc184310291"/>
      <w:bookmarkEnd w:id="199"/>
      <w:bookmarkStart w:id="200" w:name="_Toc184312129"/>
      <w:bookmarkEnd w:id="200"/>
      <w:bookmarkStart w:id="201" w:name="_Toc184308043"/>
      <w:bookmarkEnd w:id="201"/>
      <w:bookmarkStart w:id="202" w:name="_Toc184313307"/>
      <w:bookmarkEnd w:id="202"/>
      <w:bookmarkStart w:id="203" w:name="_Toc184313262"/>
      <w:bookmarkEnd w:id="203"/>
      <w:bookmarkStart w:id="204" w:name="_Toc184313239"/>
      <w:bookmarkEnd w:id="204"/>
      <w:bookmarkStart w:id="205" w:name="_Toc184310342"/>
      <w:bookmarkEnd w:id="205"/>
      <w:bookmarkStart w:id="206" w:name="_Toc184308049"/>
      <w:bookmarkEnd w:id="206"/>
      <w:bookmarkStart w:id="207" w:name="_Toc184314451"/>
      <w:bookmarkEnd w:id="207"/>
      <w:bookmarkStart w:id="208" w:name="_Toc184310274"/>
      <w:bookmarkEnd w:id="208"/>
      <w:bookmarkStart w:id="209" w:name="_Toc184310344"/>
      <w:bookmarkEnd w:id="209"/>
      <w:bookmarkStart w:id="210" w:name="_Toc184308108"/>
      <w:bookmarkEnd w:id="210"/>
      <w:bookmarkStart w:id="211" w:name="_Toc184310343"/>
      <w:bookmarkEnd w:id="211"/>
      <w:bookmarkStart w:id="212" w:name="_Toc184310279"/>
      <w:bookmarkEnd w:id="212"/>
      <w:bookmarkStart w:id="213" w:name="_Toc184308065"/>
      <w:bookmarkEnd w:id="213"/>
      <w:bookmarkStart w:id="214" w:name="_Toc184312090"/>
      <w:bookmarkEnd w:id="214"/>
      <w:bookmarkStart w:id="215" w:name="_Toc184310301"/>
      <w:bookmarkEnd w:id="215"/>
      <w:bookmarkStart w:id="216" w:name="_Toc184314478"/>
      <w:bookmarkEnd w:id="216"/>
      <w:bookmarkStart w:id="217" w:name="_Toc184312069"/>
      <w:bookmarkEnd w:id="217"/>
      <w:bookmarkStart w:id="218" w:name="_Toc184308093"/>
      <w:bookmarkEnd w:id="218"/>
      <w:bookmarkStart w:id="219" w:name="_Toc184308080"/>
      <w:bookmarkEnd w:id="219"/>
      <w:bookmarkStart w:id="220" w:name="_Toc184313277"/>
      <w:bookmarkEnd w:id="220"/>
      <w:bookmarkStart w:id="221" w:name="_Toc184314421"/>
      <w:bookmarkEnd w:id="221"/>
      <w:bookmarkStart w:id="222" w:name="_Toc184310318"/>
      <w:bookmarkEnd w:id="222"/>
      <w:bookmarkStart w:id="223" w:name="_Toc184310334"/>
      <w:bookmarkEnd w:id="223"/>
      <w:bookmarkStart w:id="224" w:name="_Toc184314460"/>
      <w:bookmarkEnd w:id="224"/>
      <w:bookmarkStart w:id="225" w:name="_Toc184308107"/>
      <w:bookmarkEnd w:id="225"/>
      <w:bookmarkStart w:id="226" w:name="_Toc184308078"/>
      <w:bookmarkEnd w:id="226"/>
      <w:bookmarkStart w:id="227" w:name="_Toc184312139"/>
      <w:bookmarkEnd w:id="227"/>
      <w:bookmarkStart w:id="228" w:name="_Toc184314457"/>
      <w:bookmarkEnd w:id="228"/>
      <w:bookmarkStart w:id="229" w:name="_Toc184308037"/>
      <w:bookmarkEnd w:id="229"/>
      <w:bookmarkStart w:id="230" w:name="_Toc184312111"/>
      <w:bookmarkEnd w:id="230"/>
      <w:bookmarkStart w:id="231" w:name="_Toc184313273"/>
      <w:bookmarkEnd w:id="231"/>
      <w:bookmarkStart w:id="232" w:name="_Toc184314475"/>
      <w:bookmarkEnd w:id="232"/>
      <w:bookmarkStart w:id="233" w:name="_Toc184313275"/>
      <w:bookmarkEnd w:id="233"/>
      <w:bookmarkStart w:id="234" w:name="_Toc184308097"/>
      <w:bookmarkEnd w:id="234"/>
      <w:bookmarkStart w:id="235" w:name="_Toc184312135"/>
      <w:bookmarkEnd w:id="235"/>
      <w:bookmarkStart w:id="236" w:name="_Toc184314459"/>
      <w:bookmarkEnd w:id="236"/>
      <w:bookmarkStart w:id="237" w:name="_Toc184312075"/>
      <w:bookmarkEnd w:id="237"/>
      <w:bookmarkStart w:id="238" w:name="_Toc184310313"/>
      <w:bookmarkEnd w:id="238"/>
      <w:bookmarkStart w:id="239" w:name="_Toc184312082"/>
      <w:bookmarkEnd w:id="239"/>
      <w:bookmarkStart w:id="240" w:name="_Toc184313240"/>
      <w:bookmarkEnd w:id="240"/>
      <w:bookmarkStart w:id="241" w:name="_Toc184310308"/>
      <w:bookmarkEnd w:id="241"/>
      <w:bookmarkStart w:id="242" w:name="_Toc184313288"/>
      <w:bookmarkEnd w:id="242"/>
      <w:bookmarkStart w:id="243" w:name="_Toc184313241"/>
      <w:bookmarkEnd w:id="243"/>
      <w:bookmarkStart w:id="244" w:name="_Toc184313266"/>
      <w:bookmarkEnd w:id="244"/>
      <w:bookmarkStart w:id="245" w:name="_Toc184313242"/>
      <w:bookmarkEnd w:id="245"/>
      <w:bookmarkStart w:id="246" w:name="_Toc184313268"/>
      <w:bookmarkEnd w:id="246"/>
      <w:bookmarkStart w:id="247" w:name="_Toc184310295"/>
      <w:bookmarkEnd w:id="247"/>
      <w:bookmarkStart w:id="248" w:name="_Toc184312073"/>
      <w:bookmarkEnd w:id="248"/>
      <w:bookmarkStart w:id="249" w:name="_Toc184313249"/>
      <w:bookmarkEnd w:id="249"/>
      <w:bookmarkStart w:id="250" w:name="_Toc184312098"/>
      <w:bookmarkEnd w:id="250"/>
      <w:bookmarkStart w:id="251" w:name="_Toc184314437"/>
      <w:bookmarkEnd w:id="251"/>
      <w:bookmarkStart w:id="252" w:name="_Toc184312105"/>
      <w:bookmarkEnd w:id="252"/>
      <w:bookmarkStart w:id="253" w:name="_Toc184308058"/>
      <w:bookmarkEnd w:id="253"/>
      <w:bookmarkStart w:id="254" w:name="_Toc184310302"/>
      <w:bookmarkEnd w:id="254"/>
      <w:bookmarkStart w:id="255" w:name="_Toc184314422"/>
      <w:bookmarkEnd w:id="255"/>
      <w:bookmarkStart w:id="256" w:name="_Toc184308061"/>
      <w:bookmarkEnd w:id="256"/>
      <w:bookmarkStart w:id="257" w:name="_Toc184313289"/>
      <w:bookmarkEnd w:id="257"/>
      <w:bookmarkStart w:id="258" w:name="_Toc184313301"/>
      <w:bookmarkEnd w:id="258"/>
      <w:bookmarkStart w:id="259" w:name="_Toc184313303"/>
      <w:bookmarkEnd w:id="259"/>
      <w:bookmarkStart w:id="260" w:name="_Toc184310336"/>
      <w:bookmarkEnd w:id="260"/>
      <w:bookmarkStart w:id="261" w:name="_Toc184313247"/>
      <w:bookmarkEnd w:id="261"/>
      <w:bookmarkStart w:id="262" w:name="_Toc184314429"/>
      <w:bookmarkEnd w:id="262"/>
      <w:bookmarkStart w:id="263" w:name="_Toc184312121"/>
      <w:bookmarkEnd w:id="263"/>
      <w:bookmarkStart w:id="264" w:name="_Toc184312088"/>
      <w:bookmarkEnd w:id="264"/>
      <w:bookmarkStart w:id="265" w:name="_Toc184310305"/>
      <w:bookmarkEnd w:id="265"/>
      <w:bookmarkStart w:id="266" w:name="_Toc184313253"/>
      <w:bookmarkEnd w:id="266"/>
      <w:bookmarkStart w:id="267" w:name="_Toc184308082"/>
      <w:bookmarkEnd w:id="267"/>
      <w:bookmarkStart w:id="268" w:name="_Toc184308085"/>
      <w:bookmarkEnd w:id="268"/>
      <w:bookmarkStart w:id="269" w:name="_Toc184312132"/>
      <w:bookmarkEnd w:id="269"/>
      <w:bookmarkStart w:id="270" w:name="_Toc184308100"/>
      <w:bookmarkEnd w:id="270"/>
      <w:bookmarkStart w:id="271" w:name="_Toc184314461"/>
      <w:bookmarkEnd w:id="271"/>
      <w:bookmarkStart w:id="272" w:name="_Toc184308091"/>
      <w:bookmarkEnd w:id="272"/>
      <w:bookmarkStart w:id="273" w:name="_Toc184314453"/>
      <w:bookmarkEnd w:id="273"/>
      <w:bookmarkStart w:id="274" w:name="_Toc184312110"/>
      <w:bookmarkEnd w:id="274"/>
      <w:bookmarkStart w:id="275" w:name="_Toc184312096"/>
      <w:bookmarkEnd w:id="275"/>
      <w:bookmarkStart w:id="276" w:name="_Toc184313274"/>
      <w:bookmarkEnd w:id="276"/>
      <w:bookmarkStart w:id="277" w:name="_Toc184314456"/>
      <w:bookmarkEnd w:id="277"/>
      <w:bookmarkStart w:id="278" w:name="_Toc184312089"/>
      <w:bookmarkEnd w:id="278"/>
      <w:bookmarkStart w:id="279" w:name="_Toc184308102"/>
      <w:bookmarkEnd w:id="279"/>
      <w:bookmarkStart w:id="280" w:name="_Toc184310338"/>
      <w:bookmarkEnd w:id="280"/>
      <w:bookmarkStart w:id="281" w:name="_Toc184308070"/>
      <w:bookmarkEnd w:id="281"/>
      <w:bookmarkStart w:id="282" w:name="_Toc184312122"/>
      <w:bookmarkEnd w:id="282"/>
      <w:bookmarkStart w:id="283" w:name="_Toc184310309"/>
      <w:bookmarkEnd w:id="283"/>
      <w:bookmarkStart w:id="284" w:name="_Toc184310311"/>
      <w:bookmarkEnd w:id="284"/>
      <w:bookmarkStart w:id="285" w:name="_Toc184314448"/>
      <w:bookmarkEnd w:id="285"/>
      <w:bookmarkStart w:id="286" w:name="_Toc184313252"/>
      <w:bookmarkEnd w:id="286"/>
      <w:bookmarkStart w:id="287" w:name="_Toc184313243"/>
      <w:bookmarkEnd w:id="287"/>
      <w:bookmarkStart w:id="288" w:name="_Toc184310312"/>
      <w:bookmarkEnd w:id="288"/>
      <w:bookmarkStart w:id="289" w:name="_Toc184308076"/>
      <w:bookmarkEnd w:id="289"/>
      <w:bookmarkStart w:id="290" w:name="_Toc184310276"/>
      <w:bookmarkEnd w:id="290"/>
      <w:bookmarkStart w:id="291" w:name="_Toc184313295"/>
      <w:bookmarkEnd w:id="291"/>
      <w:bookmarkStart w:id="292" w:name="_Toc184312095"/>
      <w:bookmarkEnd w:id="292"/>
      <w:bookmarkStart w:id="293" w:name="_Toc184308057"/>
      <w:bookmarkEnd w:id="293"/>
      <w:bookmarkStart w:id="294" w:name="_Toc184312094"/>
      <w:bookmarkEnd w:id="294"/>
      <w:bookmarkStart w:id="295" w:name="_Toc184310339"/>
      <w:bookmarkEnd w:id="295"/>
      <w:bookmarkStart w:id="296" w:name="_Toc184314473"/>
      <w:bookmarkEnd w:id="296"/>
      <w:bookmarkStart w:id="297" w:name="_Toc184314438"/>
      <w:bookmarkEnd w:id="297"/>
      <w:bookmarkStart w:id="298" w:name="_Toc184310303"/>
      <w:bookmarkEnd w:id="298"/>
      <w:bookmarkStart w:id="299" w:name="_Toc184308054"/>
      <w:bookmarkEnd w:id="299"/>
      <w:bookmarkStart w:id="300" w:name="_Toc184310287"/>
      <w:bookmarkEnd w:id="300"/>
      <w:bookmarkStart w:id="301" w:name="_Toc184314427"/>
      <w:bookmarkEnd w:id="301"/>
      <w:bookmarkStart w:id="302" w:name="_Toc184310285"/>
      <w:bookmarkEnd w:id="302"/>
      <w:bookmarkStart w:id="303" w:name="_Toc184313299"/>
      <w:bookmarkEnd w:id="303"/>
      <w:bookmarkStart w:id="304" w:name="_Toc184313238"/>
      <w:bookmarkEnd w:id="304"/>
      <w:bookmarkStart w:id="305" w:name="_Toc184310290"/>
      <w:bookmarkEnd w:id="305"/>
      <w:bookmarkStart w:id="306" w:name="_Toc184310280"/>
      <w:bookmarkEnd w:id="306"/>
      <w:bookmarkStart w:id="307" w:name="_Toc184312127"/>
      <w:bookmarkEnd w:id="307"/>
      <w:bookmarkStart w:id="308" w:name="_Toc184308047"/>
      <w:bookmarkEnd w:id="308"/>
      <w:bookmarkStart w:id="309" w:name="_Toc184314418"/>
      <w:bookmarkEnd w:id="309"/>
      <w:bookmarkStart w:id="310" w:name="_Toc184313300"/>
      <w:bookmarkEnd w:id="310"/>
      <w:bookmarkStart w:id="311" w:name="_Toc184312092"/>
      <w:bookmarkEnd w:id="311"/>
      <w:bookmarkStart w:id="312" w:name="_Toc184313248"/>
      <w:bookmarkEnd w:id="312"/>
      <w:bookmarkStart w:id="313" w:name="_Toc184312078"/>
      <w:bookmarkEnd w:id="313"/>
      <w:bookmarkStart w:id="314" w:name="_Toc184308040"/>
      <w:bookmarkEnd w:id="314"/>
      <w:bookmarkStart w:id="315" w:name="_Toc184310272"/>
      <w:bookmarkEnd w:id="315"/>
      <w:bookmarkStart w:id="316" w:name="_Toc184313302"/>
      <w:bookmarkEnd w:id="316"/>
      <w:bookmarkStart w:id="317" w:name="_Toc184314445"/>
      <w:bookmarkEnd w:id="317"/>
      <w:bookmarkStart w:id="318" w:name="_Toc184314413"/>
      <w:bookmarkEnd w:id="318"/>
      <w:bookmarkStart w:id="319" w:name="_Toc184313291"/>
      <w:bookmarkEnd w:id="319"/>
      <w:bookmarkStart w:id="320" w:name="_Toc184310329"/>
      <w:bookmarkEnd w:id="320"/>
      <w:bookmarkStart w:id="321" w:name="_Toc184310275"/>
      <w:bookmarkEnd w:id="321"/>
      <w:bookmarkStart w:id="322" w:name="_Toc184313258"/>
      <w:bookmarkEnd w:id="322"/>
      <w:bookmarkStart w:id="323" w:name="_Toc184312081"/>
      <w:bookmarkEnd w:id="323"/>
      <w:bookmarkStart w:id="324" w:name="_Toc184314441"/>
      <w:bookmarkEnd w:id="324"/>
      <w:bookmarkStart w:id="325" w:name="_Toc184312093"/>
      <w:bookmarkEnd w:id="325"/>
      <w:bookmarkStart w:id="326" w:name="_Toc184310278"/>
      <w:bookmarkEnd w:id="326"/>
      <w:bookmarkStart w:id="327" w:name="_Toc184314450"/>
      <w:bookmarkEnd w:id="327"/>
      <w:bookmarkStart w:id="328" w:name="_Toc184312112"/>
      <w:bookmarkEnd w:id="328"/>
      <w:bookmarkStart w:id="329" w:name="_Toc184308086"/>
      <w:bookmarkEnd w:id="329"/>
      <w:bookmarkStart w:id="330" w:name="_Toc184308063"/>
      <w:bookmarkEnd w:id="330"/>
      <w:bookmarkStart w:id="331" w:name="_Toc184314410"/>
      <w:bookmarkEnd w:id="331"/>
      <w:bookmarkStart w:id="332" w:name="_Toc184308052"/>
      <w:bookmarkEnd w:id="332"/>
      <w:bookmarkStart w:id="333" w:name="_Toc184313280"/>
      <w:bookmarkEnd w:id="333"/>
      <w:bookmarkStart w:id="334" w:name="_Toc184313259"/>
      <w:bookmarkEnd w:id="334"/>
      <w:bookmarkStart w:id="335" w:name="_Toc184310293"/>
      <w:bookmarkEnd w:id="335"/>
      <w:bookmarkStart w:id="336" w:name="_Toc184308099"/>
      <w:bookmarkEnd w:id="336"/>
      <w:bookmarkStart w:id="337" w:name="_Toc184313270"/>
      <w:bookmarkEnd w:id="337"/>
      <w:bookmarkStart w:id="338" w:name="_Toc184308075"/>
      <w:bookmarkEnd w:id="338"/>
      <w:bookmarkStart w:id="339" w:name="_Toc184308083"/>
      <w:bookmarkEnd w:id="339"/>
      <w:bookmarkStart w:id="340" w:name="_Toc184308098"/>
      <w:bookmarkEnd w:id="340"/>
      <w:bookmarkStart w:id="341" w:name="_Toc184312071"/>
      <w:bookmarkEnd w:id="341"/>
      <w:bookmarkStart w:id="342" w:name="_Toc184310341"/>
      <w:bookmarkEnd w:id="342"/>
      <w:bookmarkStart w:id="343" w:name="_Toc184308051"/>
      <w:bookmarkEnd w:id="343"/>
      <w:bookmarkStart w:id="344" w:name="_Toc184310299"/>
      <w:bookmarkEnd w:id="344"/>
      <w:bookmarkStart w:id="345" w:name="_Toc184312100"/>
      <w:bookmarkEnd w:id="345"/>
      <w:bookmarkStart w:id="346" w:name="_Toc184313309"/>
      <w:bookmarkEnd w:id="346"/>
      <w:bookmarkStart w:id="347" w:name="_Toc184308064"/>
      <w:bookmarkEnd w:id="347"/>
      <w:bookmarkStart w:id="348" w:name="_Toc184314446"/>
      <w:bookmarkEnd w:id="348"/>
      <w:bookmarkStart w:id="349" w:name="_Toc184314476"/>
      <w:bookmarkEnd w:id="349"/>
      <w:bookmarkStart w:id="350" w:name="_Toc184310307"/>
      <w:bookmarkEnd w:id="350"/>
      <w:bookmarkStart w:id="351" w:name="_Toc184313281"/>
      <w:bookmarkEnd w:id="351"/>
      <w:bookmarkStart w:id="352" w:name="_Toc184310294"/>
      <w:bookmarkEnd w:id="352"/>
      <w:bookmarkStart w:id="353" w:name="_Toc184308046"/>
      <w:bookmarkEnd w:id="353"/>
      <w:bookmarkStart w:id="354" w:name="_Toc184308090"/>
      <w:bookmarkEnd w:id="354"/>
      <w:bookmarkStart w:id="355" w:name="_Toc184310314"/>
      <w:bookmarkEnd w:id="355"/>
      <w:bookmarkStart w:id="356" w:name="_Toc184310332"/>
      <w:bookmarkEnd w:id="356"/>
      <w:bookmarkStart w:id="357" w:name="_Toc184310326"/>
      <w:bookmarkEnd w:id="357"/>
      <w:bookmarkStart w:id="358" w:name="_Toc184308103"/>
      <w:bookmarkEnd w:id="358"/>
      <w:bookmarkStart w:id="359" w:name="_Toc184313263"/>
      <w:bookmarkEnd w:id="359"/>
      <w:bookmarkStart w:id="360" w:name="_Toc184314464"/>
      <w:bookmarkEnd w:id="360"/>
      <w:bookmarkStart w:id="361" w:name="_Toc184312104"/>
      <w:bookmarkEnd w:id="361"/>
      <w:bookmarkStart w:id="362" w:name="_Toc184312125"/>
      <w:bookmarkEnd w:id="362"/>
      <w:bookmarkStart w:id="363" w:name="_Toc184312074"/>
      <w:bookmarkEnd w:id="363"/>
      <w:bookmarkStart w:id="364" w:name="_Toc184313278"/>
      <w:bookmarkEnd w:id="364"/>
      <w:bookmarkStart w:id="365" w:name="_Toc184313285"/>
      <w:bookmarkEnd w:id="365"/>
      <w:bookmarkStart w:id="366" w:name="_Toc184310286"/>
      <w:bookmarkEnd w:id="366"/>
      <w:bookmarkStart w:id="367" w:name="_Toc184312114"/>
      <w:bookmarkEnd w:id="367"/>
      <w:bookmarkStart w:id="368" w:name="_Toc184313244"/>
      <w:bookmarkEnd w:id="368"/>
      <w:bookmarkStart w:id="369" w:name="_Toc184310281"/>
      <w:bookmarkEnd w:id="369"/>
      <w:bookmarkStart w:id="370" w:name="_Toc184314458"/>
      <w:bookmarkEnd w:id="370"/>
      <w:bookmarkStart w:id="371" w:name="_Toc184308071"/>
      <w:bookmarkEnd w:id="371"/>
      <w:bookmarkStart w:id="372" w:name="_Toc184313286"/>
      <w:bookmarkEnd w:id="372"/>
      <w:bookmarkStart w:id="373" w:name="_Toc184310300"/>
      <w:bookmarkEnd w:id="373"/>
      <w:bookmarkStart w:id="374" w:name="_Toc184314479"/>
      <w:bookmarkEnd w:id="374"/>
      <w:bookmarkStart w:id="375" w:name="_Toc184310328"/>
      <w:bookmarkEnd w:id="375"/>
      <w:bookmarkStart w:id="376" w:name="_Toc184314481"/>
      <w:bookmarkEnd w:id="376"/>
      <w:bookmarkStart w:id="377" w:name="_Toc184313250"/>
      <w:bookmarkEnd w:id="377"/>
      <w:bookmarkStart w:id="378" w:name="_Toc184310316"/>
      <w:bookmarkEnd w:id="378"/>
      <w:bookmarkStart w:id="379" w:name="_Toc184314442"/>
      <w:bookmarkEnd w:id="379"/>
      <w:bookmarkStart w:id="380" w:name="_Toc184314430"/>
      <w:bookmarkEnd w:id="380"/>
      <w:bookmarkStart w:id="381" w:name="_Toc184310283"/>
      <w:bookmarkEnd w:id="381"/>
      <w:bookmarkStart w:id="382" w:name="_Toc184310310"/>
      <w:bookmarkEnd w:id="382"/>
      <w:bookmarkStart w:id="383" w:name="_Toc184308068"/>
      <w:bookmarkEnd w:id="383"/>
      <w:bookmarkStart w:id="384" w:name="_Toc184314424"/>
      <w:bookmarkEnd w:id="384"/>
      <w:bookmarkStart w:id="385" w:name="_Toc184313261"/>
      <w:bookmarkEnd w:id="385"/>
      <w:bookmarkStart w:id="386" w:name="_Toc184310322"/>
      <w:bookmarkEnd w:id="386"/>
      <w:bookmarkStart w:id="387" w:name="_Toc184310323"/>
      <w:bookmarkEnd w:id="387"/>
      <w:bookmarkStart w:id="388" w:name="_Toc184308053"/>
      <w:bookmarkEnd w:id="388"/>
      <w:bookmarkStart w:id="389" w:name="_Toc184314436"/>
      <w:bookmarkEnd w:id="389"/>
      <w:bookmarkStart w:id="390" w:name="_Toc184312068"/>
      <w:bookmarkEnd w:id="390"/>
      <w:bookmarkStart w:id="391" w:name="_Toc184312117"/>
      <w:bookmarkEnd w:id="391"/>
      <w:bookmarkStart w:id="392" w:name="_Toc184313254"/>
      <w:bookmarkEnd w:id="392"/>
      <w:bookmarkStart w:id="393" w:name="_Toc184313279"/>
      <w:bookmarkEnd w:id="393"/>
      <w:bookmarkStart w:id="394" w:name="_Toc184313282"/>
      <w:bookmarkEnd w:id="394"/>
      <w:bookmarkStart w:id="395" w:name="_Toc184312091"/>
      <w:bookmarkEnd w:id="395"/>
      <w:bookmarkStart w:id="396" w:name="_Toc184312134"/>
      <w:bookmarkEnd w:id="396"/>
      <w:bookmarkStart w:id="397" w:name="_Toc184313308"/>
      <w:bookmarkEnd w:id="397"/>
      <w:bookmarkStart w:id="398" w:name="_Toc184314423"/>
      <w:bookmarkEnd w:id="398"/>
      <w:bookmarkStart w:id="399" w:name="_Toc184310340"/>
      <w:bookmarkEnd w:id="399"/>
      <w:bookmarkStart w:id="400" w:name="_Toc184308067"/>
      <w:bookmarkEnd w:id="400"/>
      <w:bookmarkStart w:id="401" w:name="_Toc184310288"/>
      <w:bookmarkEnd w:id="401"/>
      <w:bookmarkStart w:id="402" w:name="_Toc184312077"/>
      <w:bookmarkEnd w:id="40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53"/>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
                <w:kern w:val="2"/>
                <w:sz w:val="24"/>
                <w:szCs w:val="24"/>
              </w:rPr>
            </w:pPr>
            <w:bookmarkStart w:id="403" w:name="scoringRules2"/>
            <w:r>
              <w:rPr>
                <w:rFonts w:hint="eastAsia" w:asciiTheme="minorEastAsia" w:hAnsiTheme="minorEastAsia" w:eastAsiaTheme="minorEastAsia" w:cstheme="minorEastAsia"/>
                <w:b/>
                <w:kern w:val="2"/>
                <w:sz w:val="24"/>
                <w:szCs w:val="24"/>
              </w:rPr>
              <w:t>评分细则</w:t>
            </w: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评分细则内容</w:t>
            </w:r>
          </w:p>
        </w:tc>
        <w:tc>
          <w:tcPr>
            <w:tcW w:w="1018"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leftChars="0" w:right="0" w:firstLine="0" w:firstLineChars="0"/>
              <w:jc w:val="center"/>
              <w:rPr>
                <w:rFonts w:hint="eastAsia" w:asciiTheme="minorEastAsia" w:hAnsiTheme="minorEastAsia" w:eastAsiaTheme="minorEastAsia" w:cstheme="minorEastAsia"/>
                <w:bCs/>
                <w:kern w:val="2"/>
                <w:sz w:val="24"/>
                <w:szCs w:val="24"/>
                <w:lang w:val="en-US" w:eastAsia="zh-CN" w:bidi="ar-SA"/>
              </w:rPr>
            </w:pPr>
            <w:bookmarkStart w:id="404" w:name="OLE_LINK8"/>
            <w:r>
              <w:rPr>
                <w:rFonts w:hint="eastAsia" w:asciiTheme="minorEastAsia" w:hAnsiTheme="minorEastAsia" w:eastAsiaTheme="minorEastAsia" w:cstheme="minorEastAsia"/>
                <w:bCs/>
                <w:kern w:val="2"/>
                <w:sz w:val="24"/>
                <w:szCs w:val="24"/>
              </w:rPr>
              <w:t>项目负责人</w:t>
            </w:r>
            <w:bookmarkEnd w:id="404"/>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bookmarkStart w:id="405" w:name="OLE_LINK9"/>
            <w:r>
              <w:rPr>
                <w:rFonts w:hint="eastAsia" w:asciiTheme="minorEastAsia" w:hAnsiTheme="minorEastAsia" w:eastAsiaTheme="minorEastAsia" w:cstheme="minorEastAsia"/>
                <w:color w:val="000000"/>
                <w:kern w:val="2"/>
                <w:sz w:val="24"/>
                <w:szCs w:val="24"/>
                <w:lang w:val="en-US" w:eastAsia="zh-CN" w:bidi="ar-SA"/>
              </w:rPr>
              <w:t>具有工程类中级及以上职称的得4分；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具有注册监理工程师的得4分；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年龄在50周岁以下的得4分；</w:t>
            </w:r>
          </w:p>
          <w:p>
            <w:pPr>
              <w:pStyle w:val="86"/>
              <w:spacing w:before="0" w:beforeAutospacing="0" w:after="0" w:afterAutospacing="0" w:line="440" w:lineRule="exact"/>
              <w:ind w:left="0" w:leftChars="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（在投标文件中提供相应证书及身份证的扫描件或复印件，</w:t>
            </w:r>
            <w:bookmarkStart w:id="406" w:name="OLE_LINK11"/>
            <w:r>
              <w:rPr>
                <w:rFonts w:hint="eastAsia" w:asciiTheme="minorEastAsia" w:hAnsiTheme="minorEastAsia" w:eastAsiaTheme="minorEastAsia" w:cstheme="minorEastAsia"/>
                <w:color w:val="000000"/>
                <w:kern w:val="2"/>
                <w:sz w:val="24"/>
                <w:szCs w:val="24"/>
                <w:lang w:val="en-US" w:eastAsia="zh-CN" w:bidi="ar-SA"/>
              </w:rPr>
              <w:t>提供本单位近一个月社保证明</w:t>
            </w:r>
            <w:bookmarkEnd w:id="406"/>
            <w:r>
              <w:rPr>
                <w:rFonts w:hint="eastAsia" w:asciiTheme="minorEastAsia" w:hAnsiTheme="minorEastAsia" w:eastAsiaTheme="minorEastAsia" w:cstheme="minorEastAsia"/>
                <w:color w:val="000000"/>
                <w:kern w:val="2"/>
                <w:sz w:val="24"/>
                <w:szCs w:val="24"/>
                <w:lang w:val="en-US" w:eastAsia="zh-CN" w:bidi="ar-SA"/>
              </w:rPr>
              <w:t>，并加盖公章，否则不得分。）</w:t>
            </w:r>
            <w:bookmarkEnd w:id="405"/>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leftChars="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leftChars="0" w:right="0" w:firstLine="0" w:firstLineChars="0"/>
              <w:jc w:val="center"/>
              <w:rPr>
                <w:rFonts w:hint="eastAsia" w:asciiTheme="minorEastAsia" w:hAnsiTheme="minorEastAsia" w:eastAsiaTheme="minorEastAsia" w:cstheme="minorEastAsia"/>
                <w:bCs/>
                <w:kern w:val="2"/>
                <w:sz w:val="24"/>
                <w:szCs w:val="24"/>
                <w:lang w:val="en-US" w:eastAsia="zh-CN" w:bidi="ar-SA"/>
              </w:rPr>
            </w:pPr>
            <w:bookmarkStart w:id="407" w:name="OLE_LINK10"/>
            <w:r>
              <w:rPr>
                <w:rFonts w:hint="eastAsia" w:asciiTheme="minorEastAsia" w:hAnsiTheme="minorEastAsia" w:eastAsiaTheme="minorEastAsia" w:cstheme="minorEastAsia"/>
                <w:bCs/>
                <w:kern w:val="2"/>
                <w:sz w:val="24"/>
                <w:szCs w:val="24"/>
              </w:rPr>
              <w:t>本项目的技术负责人基本情况</w:t>
            </w:r>
            <w:bookmarkEnd w:id="407"/>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bookmarkStart w:id="408" w:name="OLE_LINK12"/>
            <w:r>
              <w:rPr>
                <w:rFonts w:hint="eastAsia" w:asciiTheme="minorEastAsia" w:hAnsiTheme="minorEastAsia" w:eastAsiaTheme="minorEastAsia" w:cstheme="minorEastAsia"/>
                <w:color w:val="000000"/>
                <w:kern w:val="2"/>
                <w:sz w:val="24"/>
                <w:szCs w:val="24"/>
                <w:lang w:val="en-US" w:eastAsia="zh-CN" w:bidi="ar-SA"/>
              </w:rPr>
              <w:t>具有工程类中级及以上职称的得4分；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具有注册监理工程师或注册建造师之一的得4分；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年龄在50周岁以下的得4分；</w:t>
            </w:r>
          </w:p>
          <w:p>
            <w:pPr>
              <w:pStyle w:val="86"/>
              <w:spacing w:before="0" w:beforeAutospacing="0" w:after="0" w:afterAutospacing="0" w:line="440" w:lineRule="exact"/>
              <w:ind w:left="0" w:leftChars="0" w:right="0" w:firstLine="0" w:firstLineChars="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（在投标文件中提供相应证书及身份证的扫描件或复印件，提供本单位近一个月社保证明，并加盖公章，否则不得分。</w:t>
            </w:r>
            <w:bookmarkEnd w:id="408"/>
            <w:r>
              <w:rPr>
                <w:rFonts w:hint="eastAsia" w:asciiTheme="minorEastAsia" w:hAnsiTheme="minorEastAsia" w:eastAsiaTheme="minorEastAsia" w:cstheme="minorEastAsia"/>
                <w:color w:val="000000"/>
                <w:kern w:val="2"/>
                <w:sz w:val="24"/>
                <w:szCs w:val="24"/>
                <w:lang w:val="en-US" w:eastAsia="zh-CN" w:bidi="ar-SA"/>
              </w:rPr>
              <w:t>）</w:t>
            </w:r>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leftChars="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rPr>
              <w:t>相关业绩</w:t>
            </w: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lang w:val="en-US" w:eastAsia="zh-CN" w:bidi="ar-SA"/>
              </w:rPr>
            </w:pPr>
            <w:bookmarkStart w:id="409" w:name="OLE_LINK15"/>
            <w:r>
              <w:rPr>
                <w:rFonts w:hint="eastAsia" w:asciiTheme="minorEastAsia" w:hAnsiTheme="minorEastAsia" w:eastAsiaTheme="minorEastAsia" w:cstheme="minorEastAsia"/>
                <w:bCs/>
                <w:kern w:val="2"/>
                <w:sz w:val="24"/>
                <w:szCs w:val="24"/>
                <w:lang w:val="en-US" w:eastAsia="zh-CN"/>
              </w:rPr>
              <w:t>自</w:t>
            </w:r>
            <w:r>
              <w:rPr>
                <w:rFonts w:hint="eastAsia" w:asciiTheme="minorEastAsia" w:hAnsiTheme="minorEastAsia" w:eastAsiaTheme="minorEastAsia" w:cstheme="minorEastAsia"/>
                <w:bCs/>
                <w:kern w:val="2"/>
                <w:sz w:val="24"/>
                <w:szCs w:val="24"/>
              </w:rPr>
              <w:t>20</w:t>
            </w:r>
            <w:r>
              <w:rPr>
                <w:rFonts w:hint="eastAsia" w:asciiTheme="minorEastAsia" w:hAnsiTheme="minorEastAsia" w:eastAsiaTheme="minorEastAsia" w:cstheme="minorEastAsia"/>
                <w:bCs/>
                <w:kern w:val="2"/>
                <w:sz w:val="24"/>
                <w:szCs w:val="24"/>
                <w:lang w:val="en-US" w:eastAsia="zh-CN"/>
              </w:rPr>
              <w:t>21</w:t>
            </w:r>
            <w:r>
              <w:rPr>
                <w:rFonts w:hint="eastAsia" w:asciiTheme="minorEastAsia" w:hAnsiTheme="minorEastAsia" w:eastAsiaTheme="minorEastAsia" w:cstheme="minorEastAsia"/>
                <w:bCs/>
                <w:kern w:val="2"/>
                <w:sz w:val="24"/>
                <w:szCs w:val="24"/>
              </w:rPr>
              <w:t>年1月1日至今（时间以合同签订时间为准）已完成的第三方监管项目的，有一个</w:t>
            </w:r>
            <w:r>
              <w:rPr>
                <w:rFonts w:hint="eastAsia" w:asciiTheme="minorEastAsia" w:hAnsiTheme="minorEastAsia" w:eastAsiaTheme="minorEastAsia" w:cstheme="minorEastAsia"/>
                <w:bCs/>
                <w:kern w:val="2"/>
                <w:sz w:val="24"/>
                <w:szCs w:val="24"/>
                <w:lang w:val="en-US" w:eastAsia="zh-CN"/>
              </w:rPr>
              <w:t>得0.5</w:t>
            </w:r>
            <w:r>
              <w:rPr>
                <w:rFonts w:hint="eastAsia" w:asciiTheme="minorEastAsia" w:hAnsiTheme="minorEastAsia" w:eastAsiaTheme="minorEastAsia" w:cstheme="minorEastAsia"/>
                <w:bCs/>
                <w:kern w:val="2"/>
                <w:sz w:val="24"/>
                <w:szCs w:val="24"/>
              </w:rPr>
              <w:t>分</w:t>
            </w:r>
            <w:r>
              <w:rPr>
                <w:rFonts w:hint="eastAsia" w:asciiTheme="minorEastAsia" w:hAnsiTheme="minorEastAsia" w:eastAsiaTheme="minorEastAsia" w:cstheme="minorEastAsia"/>
                <w:bCs/>
                <w:kern w:val="2"/>
                <w:sz w:val="24"/>
                <w:szCs w:val="24"/>
                <w:lang w:eastAsia="zh-CN"/>
              </w:rPr>
              <w:t>，</w:t>
            </w:r>
            <w:r>
              <w:rPr>
                <w:rFonts w:hint="eastAsia" w:asciiTheme="minorEastAsia" w:hAnsiTheme="minorEastAsia" w:eastAsiaTheme="minorEastAsia" w:cstheme="minorEastAsia"/>
                <w:bCs/>
                <w:kern w:val="2"/>
                <w:sz w:val="24"/>
                <w:szCs w:val="24"/>
                <w:lang w:val="en-US" w:eastAsia="zh-CN"/>
              </w:rPr>
              <w:t>最高得1分</w:t>
            </w:r>
            <w:r>
              <w:rPr>
                <w:rFonts w:hint="eastAsia" w:asciiTheme="minorEastAsia" w:hAnsiTheme="minorEastAsia" w:eastAsiaTheme="minorEastAsia" w:cstheme="minorEastAsia"/>
                <w:bCs/>
                <w:kern w:val="2"/>
                <w:sz w:val="24"/>
                <w:szCs w:val="24"/>
              </w:rPr>
              <w:t>。（提供能反映出项目特征、所承担的工作等评分要素的合同和中标通知书</w:t>
            </w:r>
            <w:r>
              <w:rPr>
                <w:rFonts w:hint="eastAsia" w:asciiTheme="minorEastAsia" w:hAnsiTheme="minorEastAsia" w:eastAsiaTheme="minorEastAsia" w:cstheme="minorEastAsia"/>
                <w:bCs/>
                <w:kern w:val="2"/>
                <w:sz w:val="24"/>
                <w:szCs w:val="24"/>
                <w:lang w:val="en-US" w:eastAsia="zh-CN"/>
              </w:rPr>
              <w:t>扫描件或复印件</w:t>
            </w:r>
            <w:r>
              <w:rPr>
                <w:rFonts w:hint="eastAsia" w:asciiTheme="minorEastAsia" w:hAnsiTheme="minorEastAsia" w:eastAsiaTheme="minorEastAsia" w:cstheme="minorEastAsia"/>
                <w:bCs/>
                <w:kern w:val="2"/>
                <w:sz w:val="24"/>
                <w:szCs w:val="24"/>
              </w:rPr>
              <w:t>进行证明并在投标文件中提供相应的复印件，否则不得分。）</w:t>
            </w:r>
            <w:bookmarkEnd w:id="409"/>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响应时间</w:t>
            </w: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lang w:val="en-US" w:eastAsia="zh-CN" w:bidi="ar-SA"/>
              </w:rPr>
            </w:pPr>
            <w:bookmarkStart w:id="410" w:name="OLE_LINK16"/>
            <w:r>
              <w:rPr>
                <w:rFonts w:hint="eastAsia" w:asciiTheme="minorEastAsia" w:hAnsiTheme="minorEastAsia" w:eastAsiaTheme="minorEastAsia" w:cstheme="minorEastAsia"/>
                <w:bCs/>
                <w:kern w:val="2"/>
                <w:sz w:val="24"/>
                <w:szCs w:val="24"/>
                <w:lang w:val="en-US" w:eastAsia="zh-CN" w:bidi="ar-SA"/>
              </w:rPr>
              <w:t>根据本项目采购需求，根据供应商所提供的售后服务措施:</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lang w:val="en-US" w:eastAsia="zh-CN" w:bidi="ar-SA"/>
              </w:rPr>
            </w:pPr>
            <w:bookmarkStart w:id="411" w:name="OLE_LINK1"/>
            <w:r>
              <w:rPr>
                <w:rFonts w:hint="eastAsia" w:asciiTheme="minorEastAsia" w:hAnsiTheme="minorEastAsia" w:eastAsiaTheme="minorEastAsia" w:cstheme="minorEastAsia"/>
                <w:bCs/>
                <w:kern w:val="2"/>
                <w:sz w:val="24"/>
                <w:szCs w:val="24"/>
                <w:lang w:val="en-US" w:eastAsia="zh-CN" w:bidi="ar-SA"/>
              </w:rPr>
              <w:t>服务响应时间</w:t>
            </w:r>
            <w:bookmarkEnd w:id="411"/>
            <w:r>
              <w:rPr>
                <w:rFonts w:hint="eastAsia" w:asciiTheme="minorEastAsia" w:hAnsiTheme="minorEastAsia" w:eastAsiaTheme="minorEastAsia" w:cstheme="minorEastAsia"/>
                <w:bCs/>
                <w:kern w:val="2"/>
                <w:sz w:val="24"/>
                <w:szCs w:val="24"/>
                <w:lang w:val="en-US" w:eastAsia="zh-CN" w:bidi="ar-SA"/>
              </w:rPr>
              <w:t>1小时（含）以内到达的得6分；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服务响应时间1小时（不含）以上到达的得3分；</w:t>
            </w:r>
            <w:bookmarkEnd w:id="410"/>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相关承诺</w:t>
            </w: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default" w:asciiTheme="minorEastAsia" w:hAnsiTheme="minorEastAsia" w:eastAsiaTheme="minorEastAsia" w:cstheme="minorEastAsia"/>
                <w:bCs/>
                <w:color w:val="auto"/>
                <w:kern w:val="2"/>
                <w:sz w:val="24"/>
                <w:szCs w:val="24"/>
                <w:highlight w:val="none"/>
                <w:lang w:val="en-US"/>
              </w:rPr>
            </w:pPr>
            <w:bookmarkStart w:id="412" w:name="OLE_LINK17"/>
            <w:r>
              <w:rPr>
                <w:rFonts w:hint="eastAsia" w:asciiTheme="minorEastAsia" w:hAnsiTheme="minorEastAsia" w:eastAsiaTheme="minorEastAsia" w:cstheme="minorEastAsia"/>
                <w:bCs/>
                <w:color w:val="auto"/>
                <w:kern w:val="2"/>
                <w:sz w:val="24"/>
                <w:szCs w:val="24"/>
                <w:highlight w:val="none"/>
              </w:rPr>
              <w:t>承诺对辖区内每个工地每月开展2次检查</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w:t>
            </w:r>
            <w:r>
              <w:rPr>
                <w:rFonts w:hint="eastAsia" w:asciiTheme="minorEastAsia" w:hAnsiTheme="minorEastAsia" w:eastAsiaTheme="minorEastAsia" w:cstheme="minorEastAsia"/>
                <w:bCs/>
                <w:color w:val="auto"/>
                <w:kern w:val="2"/>
                <w:sz w:val="24"/>
                <w:szCs w:val="24"/>
                <w:highlight w:val="none"/>
              </w:rPr>
              <w:t>，委派相应资质的人员不少于两人的</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w:t>
            </w:r>
            <w:r>
              <w:rPr>
                <w:rFonts w:hint="eastAsia" w:asciiTheme="minorEastAsia" w:hAnsiTheme="minorEastAsia" w:eastAsiaTheme="minorEastAsia" w:cstheme="minorEastAsia"/>
                <w:bCs/>
                <w:color w:val="auto"/>
                <w:kern w:val="2"/>
                <w:sz w:val="24"/>
                <w:szCs w:val="24"/>
                <w:highlight w:val="none"/>
                <w:lang w:val="en-US" w:eastAsia="zh-CN"/>
              </w:rPr>
              <w:t>承诺函格式自拟，不提供不得分。</w:t>
            </w:r>
            <w:bookmarkEnd w:id="412"/>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lang w:val="en-US" w:eastAsia="zh-CN"/>
              </w:rPr>
            </w:pPr>
            <w:bookmarkStart w:id="413" w:name="OLE_LINK18"/>
            <w:r>
              <w:rPr>
                <w:rFonts w:hint="eastAsia" w:asciiTheme="minorEastAsia" w:hAnsiTheme="minorEastAsia" w:eastAsiaTheme="minorEastAsia" w:cstheme="minorEastAsia"/>
                <w:bCs/>
                <w:color w:val="auto"/>
                <w:kern w:val="2"/>
                <w:sz w:val="24"/>
                <w:szCs w:val="24"/>
                <w:highlight w:val="none"/>
                <w:lang w:eastAsia="zh-CN"/>
              </w:rPr>
              <w:t>人员的配备</w:t>
            </w:r>
            <w:bookmarkEnd w:id="413"/>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color w:val="auto"/>
                <w:kern w:val="2"/>
                <w:sz w:val="24"/>
                <w:szCs w:val="24"/>
                <w:highlight w:val="none"/>
                <w:lang w:eastAsia="zh-CN"/>
              </w:rPr>
            </w:pPr>
            <w:bookmarkStart w:id="414" w:name="OLE_LINK19"/>
            <w:r>
              <w:rPr>
                <w:rFonts w:hint="eastAsia" w:asciiTheme="minorEastAsia" w:hAnsiTheme="minorEastAsia" w:eastAsiaTheme="minorEastAsia" w:cstheme="minorEastAsia"/>
                <w:bCs/>
                <w:color w:val="auto"/>
                <w:kern w:val="2"/>
                <w:sz w:val="24"/>
                <w:szCs w:val="24"/>
                <w:highlight w:val="none"/>
                <w:lang w:eastAsia="zh-CN"/>
              </w:rPr>
              <w:t>监管项目各实施阶段管理人员的配备（</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w:t>
            </w:r>
          </w:p>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eastAsia="zh-CN"/>
              </w:rPr>
              <w:t>人员配备合理得</w:t>
            </w:r>
            <w:r>
              <w:rPr>
                <w:rFonts w:hint="eastAsia" w:asciiTheme="minorEastAsia" w:hAnsiTheme="minorEastAsia" w:eastAsiaTheme="minorEastAsia" w:cstheme="minorEastAsia"/>
                <w:bCs/>
                <w:color w:val="auto"/>
                <w:kern w:val="2"/>
                <w:sz w:val="24"/>
                <w:szCs w:val="24"/>
                <w:highlight w:val="none"/>
                <w:lang w:val="en-US" w:eastAsia="zh-CN"/>
              </w:rPr>
              <w:t>5分，</w:t>
            </w:r>
            <w:bookmarkStart w:id="415" w:name="OLE_LINK6"/>
            <w:r>
              <w:rPr>
                <w:rFonts w:hint="eastAsia" w:asciiTheme="minorEastAsia" w:hAnsiTheme="minorEastAsia" w:eastAsiaTheme="minorEastAsia" w:cstheme="minorEastAsia"/>
                <w:bCs/>
                <w:color w:val="auto"/>
                <w:kern w:val="2"/>
                <w:sz w:val="24"/>
                <w:szCs w:val="24"/>
                <w:highlight w:val="none"/>
                <w:lang w:val="en-US" w:eastAsia="zh-CN"/>
              </w:rPr>
              <w:t>人员配备</w:t>
            </w:r>
            <w:bookmarkEnd w:id="415"/>
            <w:r>
              <w:rPr>
                <w:rFonts w:hint="eastAsia" w:asciiTheme="minorEastAsia" w:hAnsiTheme="minorEastAsia" w:eastAsiaTheme="minorEastAsia" w:cstheme="minorEastAsia"/>
                <w:bCs/>
                <w:color w:val="auto"/>
                <w:kern w:val="2"/>
                <w:sz w:val="24"/>
                <w:szCs w:val="24"/>
                <w:highlight w:val="none"/>
                <w:lang w:val="en-US" w:eastAsia="zh-CN"/>
              </w:rPr>
              <w:t>基本合理得3分，人员配备较差的得1分，人员配备不合理或不提供不得分；</w:t>
            </w:r>
          </w:p>
          <w:bookmarkEnd w:id="414"/>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color w:val="auto"/>
                <w:kern w:val="2"/>
                <w:sz w:val="24"/>
                <w:szCs w:val="24"/>
                <w:highlight w:val="none"/>
                <w:lang w:eastAsia="zh-CN"/>
              </w:rPr>
            </w:pPr>
            <w:bookmarkStart w:id="416" w:name="OLE_LINK20"/>
            <w:r>
              <w:rPr>
                <w:rFonts w:hint="eastAsia" w:asciiTheme="minorEastAsia" w:hAnsiTheme="minorEastAsia" w:eastAsiaTheme="minorEastAsia" w:cstheme="minorEastAsia"/>
                <w:bCs/>
                <w:color w:val="auto"/>
                <w:kern w:val="2"/>
                <w:sz w:val="24"/>
                <w:szCs w:val="24"/>
                <w:highlight w:val="none"/>
                <w:lang w:eastAsia="zh-CN"/>
              </w:rPr>
              <w:t>技术能力（</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w:t>
            </w:r>
            <w:r>
              <w:rPr>
                <w:rFonts w:hint="eastAsia" w:asciiTheme="minorEastAsia" w:hAnsiTheme="minorEastAsia" w:eastAsiaTheme="minorEastAsia" w:cstheme="minorEastAsia"/>
                <w:bCs/>
                <w:color w:val="auto"/>
                <w:kern w:val="2"/>
                <w:sz w:val="24"/>
                <w:szCs w:val="24"/>
                <w:highlight w:val="none"/>
                <w:lang w:val="en-US" w:eastAsia="zh-CN"/>
              </w:rPr>
              <w:t>技术能力强，满足需求的</w:t>
            </w:r>
            <w:r>
              <w:rPr>
                <w:rFonts w:hint="eastAsia" w:asciiTheme="minorEastAsia" w:hAnsiTheme="minorEastAsia" w:eastAsiaTheme="minorEastAsia" w:cstheme="minorEastAsia"/>
                <w:bCs/>
                <w:color w:val="auto"/>
                <w:kern w:val="2"/>
                <w:sz w:val="24"/>
                <w:szCs w:val="24"/>
                <w:highlight w:val="none"/>
                <w:lang w:eastAsia="zh-CN"/>
              </w:rPr>
              <w:t>得</w:t>
            </w:r>
            <w:r>
              <w:rPr>
                <w:rFonts w:hint="eastAsia" w:asciiTheme="minorEastAsia" w:hAnsiTheme="minorEastAsia" w:eastAsiaTheme="minorEastAsia" w:cstheme="minorEastAsia"/>
                <w:bCs/>
                <w:color w:val="auto"/>
                <w:kern w:val="2"/>
                <w:sz w:val="24"/>
                <w:szCs w:val="24"/>
                <w:highlight w:val="none"/>
                <w:lang w:val="en-US" w:eastAsia="zh-CN"/>
              </w:rPr>
              <w:t>5分，技术能力较强，基本满足需求得3分，技术能力较差的得1分，不提供不得分；</w:t>
            </w:r>
            <w:bookmarkEnd w:id="416"/>
          </w:p>
        </w:tc>
        <w:tc>
          <w:tcPr>
            <w:tcW w:w="1018"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tcBorders>
              <w:top w:val="single" w:color="000000" w:sz="4" w:space="0"/>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rPr>
            </w:pPr>
            <w:bookmarkStart w:id="417" w:name="OLE_LINK21"/>
            <w:r>
              <w:rPr>
                <w:rFonts w:hint="eastAsia" w:asciiTheme="minorEastAsia" w:hAnsiTheme="minorEastAsia" w:eastAsiaTheme="minorEastAsia" w:cstheme="minorEastAsia"/>
                <w:bCs/>
                <w:color w:val="auto"/>
                <w:kern w:val="2"/>
                <w:sz w:val="24"/>
                <w:szCs w:val="24"/>
                <w:highlight w:val="none"/>
              </w:rPr>
              <w:t>安全生产、文明施工组织管理方案</w:t>
            </w:r>
            <w:bookmarkEnd w:id="417"/>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color w:val="auto"/>
                <w:kern w:val="2"/>
                <w:sz w:val="24"/>
                <w:szCs w:val="24"/>
                <w:highlight w:val="none"/>
                <w:lang w:val="en-US"/>
              </w:rPr>
            </w:pPr>
            <w:bookmarkStart w:id="418" w:name="OLE_LINK22"/>
            <w:r>
              <w:rPr>
                <w:rFonts w:hint="eastAsia" w:asciiTheme="minorEastAsia" w:hAnsiTheme="minorEastAsia" w:eastAsiaTheme="minorEastAsia" w:cstheme="minorEastAsia"/>
                <w:bCs/>
                <w:color w:val="auto"/>
                <w:kern w:val="2"/>
                <w:sz w:val="24"/>
                <w:szCs w:val="24"/>
                <w:highlight w:val="none"/>
              </w:rPr>
              <w:t>安全生产、文明施工组织管理方案是否全面且合理</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6</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6分，部分满足得3分，基本满足得1分，没有不得分。</w:t>
            </w:r>
            <w:bookmarkEnd w:id="418"/>
          </w:p>
        </w:tc>
        <w:tc>
          <w:tcPr>
            <w:tcW w:w="1018" w:type="dxa"/>
            <w:vMerge w:val="restart"/>
            <w:tcBorders>
              <w:top w:val="single" w:color="000000" w:sz="4" w:space="0"/>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2"/>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Borders>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rPr>
            </w:pP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rPr>
            </w:pPr>
            <w:bookmarkStart w:id="419" w:name="OLE_LINK23"/>
            <w:r>
              <w:rPr>
                <w:rFonts w:hint="eastAsia" w:asciiTheme="minorEastAsia" w:hAnsiTheme="minorEastAsia" w:eastAsiaTheme="minorEastAsia" w:cstheme="minorEastAsia"/>
                <w:bCs/>
                <w:kern w:val="2"/>
                <w:sz w:val="24"/>
                <w:szCs w:val="24"/>
              </w:rPr>
              <w:t>控制本项目的安全生产、文明施工详细的工作流程、管理目标</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6</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6分，部分满足得3分，基本满足得1分，没有不得分。</w:t>
            </w:r>
            <w:bookmarkEnd w:id="419"/>
          </w:p>
        </w:tc>
        <w:tc>
          <w:tcPr>
            <w:tcW w:w="1018" w:type="dxa"/>
            <w:vMerge w:val="continue"/>
            <w:tcBorders>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Borders>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rPr>
            </w:pPr>
          </w:p>
        </w:tc>
        <w:tc>
          <w:tcPr>
            <w:tcW w:w="6353" w:type="dxa"/>
            <w:tcBorders>
              <w:top w:val="single" w:color="000000" w:sz="4" w:space="0"/>
              <w:left w:val="single" w:color="000000" w:sz="4" w:space="0"/>
              <w:bottom w:val="single" w:color="000000" w:sz="4" w:space="0"/>
              <w:right w:val="single" w:color="000000" w:sz="4" w:space="0"/>
            </w:tcBorders>
            <w:vAlign w:val="top"/>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rPr>
            </w:pPr>
            <w:bookmarkStart w:id="420" w:name="OLE_LINK24"/>
            <w:r>
              <w:rPr>
                <w:rFonts w:hint="eastAsia" w:asciiTheme="minorEastAsia" w:hAnsiTheme="minorEastAsia" w:eastAsiaTheme="minorEastAsia" w:cstheme="minorEastAsia"/>
                <w:bCs/>
                <w:kern w:val="2"/>
                <w:sz w:val="24"/>
                <w:szCs w:val="24"/>
              </w:rPr>
              <w:t>控制本项目的安全管理及文明施工管理主要措施，检查施工与安全等方面的问题工作的保证措施</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6</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6分，部分满足得3分，基本满足得1分，没有不得分。</w:t>
            </w:r>
            <w:bookmarkEnd w:id="420"/>
          </w:p>
        </w:tc>
        <w:tc>
          <w:tcPr>
            <w:tcW w:w="1018" w:type="dxa"/>
            <w:vMerge w:val="continue"/>
            <w:tcBorders>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Borders>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rPr>
            </w:pPr>
          </w:p>
        </w:tc>
        <w:tc>
          <w:tcPr>
            <w:tcW w:w="6353"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lang w:val="en-US" w:eastAsia="zh-CN"/>
              </w:rPr>
            </w:pPr>
            <w:bookmarkStart w:id="421" w:name="OLE_LINK25"/>
            <w:r>
              <w:rPr>
                <w:rFonts w:hint="eastAsia" w:asciiTheme="minorEastAsia" w:hAnsiTheme="minorEastAsia" w:eastAsiaTheme="minorEastAsia" w:cstheme="minorEastAsia"/>
                <w:bCs/>
                <w:kern w:val="2"/>
                <w:sz w:val="24"/>
                <w:szCs w:val="24"/>
                <w:lang w:val="en-US" w:eastAsia="zh-CN"/>
              </w:rPr>
              <w:t>档案管理主要措施，管理目标明确</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6</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6分，部分满足得3分，基本满足得1分，没有不得分。</w:t>
            </w:r>
            <w:bookmarkEnd w:id="421"/>
          </w:p>
        </w:tc>
        <w:tc>
          <w:tcPr>
            <w:tcW w:w="1018" w:type="dxa"/>
            <w:vMerge w:val="continue"/>
            <w:tcBorders>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eastAsia="zh-CN"/>
              </w:rPr>
            </w:pPr>
          </w:p>
        </w:tc>
      </w:tr>
      <w:bookmarkEnd w:id="40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tcBorders>
              <w:top w:val="single" w:color="000000" w:sz="4" w:space="0"/>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eastAsia="zh-CN"/>
              </w:rPr>
            </w:pPr>
            <w:bookmarkStart w:id="422" w:name="OLE_LINK26"/>
            <w:r>
              <w:rPr>
                <w:rFonts w:hint="eastAsia" w:asciiTheme="minorEastAsia" w:hAnsiTheme="minorEastAsia" w:eastAsiaTheme="minorEastAsia" w:cstheme="minorEastAsia"/>
                <w:bCs/>
                <w:kern w:val="2"/>
                <w:sz w:val="24"/>
                <w:szCs w:val="24"/>
                <w:lang w:eastAsia="zh-CN"/>
              </w:rPr>
              <w:t>规范管理和具体措施</w:t>
            </w:r>
            <w:bookmarkEnd w:id="422"/>
          </w:p>
        </w:tc>
        <w:tc>
          <w:tcPr>
            <w:tcW w:w="6353"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rPr>
            </w:pPr>
            <w:bookmarkStart w:id="423" w:name="OLE_LINK27"/>
            <w:r>
              <w:rPr>
                <w:rFonts w:hint="eastAsia" w:asciiTheme="minorEastAsia" w:hAnsiTheme="minorEastAsia" w:eastAsiaTheme="minorEastAsia" w:cstheme="minorEastAsia"/>
                <w:bCs/>
                <w:kern w:val="2"/>
                <w:sz w:val="24"/>
                <w:szCs w:val="24"/>
              </w:rPr>
              <w:t>对项目有关规范管理的承诺和具体措施</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5分，部分满足得3分，基本满足得1分，不提供不得分。</w:t>
            </w:r>
            <w:bookmarkEnd w:id="423"/>
          </w:p>
        </w:tc>
        <w:tc>
          <w:tcPr>
            <w:tcW w:w="1018" w:type="dxa"/>
            <w:vMerge w:val="restart"/>
            <w:tcBorders>
              <w:top w:val="single" w:color="000000" w:sz="4" w:space="0"/>
              <w:left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rPr>
            </w:pPr>
            <w:r>
              <w:rPr>
                <w:rFonts w:hint="eastAsia" w:asciiTheme="minorEastAsia" w:hAnsiTheme="minorEastAsia" w:eastAsiaTheme="minorEastAsia" w:cstheme="minorEastAsia"/>
                <w:bCs/>
                <w:kern w:val="2"/>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Borders>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eastAsia="zh-CN"/>
              </w:rPr>
            </w:pPr>
          </w:p>
        </w:tc>
        <w:tc>
          <w:tcPr>
            <w:tcW w:w="6353" w:type="dxa"/>
            <w:tcBorders>
              <w:top w:val="single" w:color="000000" w:sz="4" w:space="0"/>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rPr>
                <w:rFonts w:hint="eastAsia" w:asciiTheme="minorEastAsia" w:hAnsiTheme="minorEastAsia" w:eastAsiaTheme="minorEastAsia" w:cstheme="minorEastAsia"/>
                <w:bCs/>
                <w:kern w:val="2"/>
                <w:sz w:val="24"/>
                <w:szCs w:val="24"/>
              </w:rPr>
            </w:pPr>
            <w:bookmarkStart w:id="424" w:name="OLE_LINK28"/>
            <w:r>
              <w:rPr>
                <w:rFonts w:hint="eastAsia" w:asciiTheme="minorEastAsia" w:hAnsiTheme="minorEastAsia" w:eastAsiaTheme="minorEastAsia" w:cstheme="minorEastAsia"/>
                <w:bCs/>
                <w:kern w:val="2"/>
                <w:sz w:val="24"/>
                <w:szCs w:val="24"/>
              </w:rPr>
              <w:t>对项目有关规范管理的建设性建议或有价值的方法</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0</w:t>
            </w:r>
            <w:r>
              <w:rPr>
                <w:rFonts w:hint="eastAsia" w:asciiTheme="minorEastAsia" w:hAnsiTheme="minorEastAsia" w:eastAsiaTheme="minorEastAsia" w:cstheme="minorEastAsia"/>
                <w:bCs/>
                <w:color w:val="auto"/>
                <w:kern w:val="2"/>
                <w:sz w:val="24"/>
                <w:szCs w:val="24"/>
                <w:highlight w:val="none"/>
                <w:lang w:eastAsia="zh-CN"/>
              </w:rPr>
              <w:t>-</w:t>
            </w:r>
            <w:r>
              <w:rPr>
                <w:rFonts w:hint="eastAsia" w:asciiTheme="minorEastAsia" w:hAnsiTheme="minorEastAsia" w:eastAsiaTheme="minorEastAsia" w:cstheme="minorEastAsia"/>
                <w:bCs/>
                <w:color w:val="auto"/>
                <w:kern w:val="2"/>
                <w:sz w:val="24"/>
                <w:szCs w:val="24"/>
                <w:highlight w:val="none"/>
                <w:lang w:val="en-US" w:eastAsia="zh-CN"/>
              </w:rPr>
              <w:t>5</w:t>
            </w:r>
            <w:r>
              <w:rPr>
                <w:rFonts w:hint="eastAsia" w:asciiTheme="minorEastAsia" w:hAnsiTheme="minorEastAsia" w:eastAsiaTheme="minorEastAsia" w:cstheme="minorEastAsia"/>
                <w:bCs/>
                <w:color w:val="auto"/>
                <w:kern w:val="2"/>
                <w:sz w:val="24"/>
                <w:szCs w:val="24"/>
                <w:highlight w:val="none"/>
                <w:lang w:eastAsia="zh-CN"/>
              </w:rPr>
              <w:t>分）：满足实际需求得</w:t>
            </w:r>
            <w:r>
              <w:rPr>
                <w:rFonts w:hint="eastAsia" w:asciiTheme="minorEastAsia" w:hAnsiTheme="minorEastAsia" w:eastAsiaTheme="minorEastAsia" w:cstheme="minorEastAsia"/>
                <w:bCs/>
                <w:color w:val="auto"/>
                <w:kern w:val="2"/>
                <w:sz w:val="24"/>
                <w:szCs w:val="24"/>
                <w:highlight w:val="none"/>
                <w:lang w:val="en-US" w:eastAsia="zh-CN"/>
              </w:rPr>
              <w:t>5分，部分满足得3分，基本满足得1分，不提供不得分。</w:t>
            </w:r>
            <w:bookmarkEnd w:id="424"/>
          </w:p>
        </w:tc>
        <w:tc>
          <w:tcPr>
            <w:tcW w:w="1018" w:type="dxa"/>
            <w:vMerge w:val="continue"/>
            <w:tcBorders>
              <w:left w:val="single" w:color="000000" w:sz="4" w:space="0"/>
              <w:bottom w:val="single" w:color="000000" w:sz="4" w:space="0"/>
              <w:right w:val="single" w:color="000000" w:sz="4" w:space="0"/>
            </w:tcBorders>
            <w:vAlign w:val="center"/>
          </w:tcPr>
          <w:p>
            <w:pPr>
              <w:pStyle w:val="86"/>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合理化建议</w:t>
            </w:r>
          </w:p>
        </w:tc>
        <w:tc>
          <w:tcPr>
            <w:tcW w:w="635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根据投标人提供的合理化建议：建议科学合理，针对性强，有助于项目的顺利实施的得5分，建议较科学合理，针对性较强，较有助于项目的顺利实施的得3分，建议科学性合理性一般，针对性弱，不利于项目的顺利实施的得1分；未提供的不得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价格分</w:t>
            </w:r>
          </w:p>
        </w:tc>
        <w:tc>
          <w:tcPr>
            <w:tcW w:w="635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有效投标报价的最低价作为评标基准价，其最低报价为满分；按［投标报价得分=（评标基准价/投标报价）*权重］的计算公式计算。</w:t>
            </w:r>
          </w:p>
          <w:p>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评标过程中，不得去掉报价中的最高报价和最低报价。</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10分</w:t>
            </w:r>
          </w:p>
        </w:tc>
      </w:tr>
    </w:tbl>
    <w:p>
      <w:pPr>
        <w:widowControl/>
        <w:spacing w:before="158" w:line="360" w:lineRule="auto"/>
        <w:textAlignment w:val="center"/>
        <w:rPr>
          <w:rFonts w:hint="eastAsia" w:ascii="宋体" w:hAnsi="宋体" w:eastAsia="宋体" w:cs="仿宋"/>
          <w:color w:val="000000"/>
          <w:kern w:val="0"/>
          <w:sz w:val="24"/>
          <w:highlight w:val="none"/>
          <w:lang w:val="en-US" w:eastAsia="zh-CN"/>
        </w:rPr>
      </w:pPr>
    </w:p>
    <w:p>
      <w:pPr>
        <w:snapToGrid w:val="0"/>
        <w:spacing w:line="360" w:lineRule="auto"/>
        <w:rPr>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425" w:name="第五部分"/>
      <w:bookmarkStart w:id="426"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3"/>
        <w:spacing w:before="120" w:line="22" w:lineRule="atLeast"/>
        <w:rPr>
          <w:rFonts w:ascii="宋体" w:hAnsi="宋体" w:eastAsia="宋体" w:cs="宋体"/>
          <w:color w:val="auto"/>
          <w:szCs w:val="24"/>
          <w:highlight w:val="none"/>
        </w:rPr>
      </w:pPr>
    </w:p>
    <w:p>
      <w:pPr>
        <w:pStyle w:val="283"/>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杭州市临平区人民政府运河街道办事处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杭州市临平区人民政府运河街道办事处属地建设工地安全生产、文明施工监理服务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杭州市临平区人民政府运河街道办事处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27" w:name="_Toc28855"/>
      <w:bookmarkStart w:id="428" w:name="_Toc15367"/>
      <w:bookmarkStart w:id="429" w:name="_Toc19273"/>
      <w:bookmarkStart w:id="430" w:name="_Toc22967"/>
      <w:bookmarkStart w:id="43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7"/>
      <w:bookmarkEnd w:id="428"/>
      <w:bookmarkEnd w:id="429"/>
      <w:bookmarkEnd w:id="430"/>
      <w:bookmarkEnd w:id="43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32" w:name="_Toc18585"/>
      <w:bookmarkStart w:id="433" w:name="_Toc6311"/>
      <w:bookmarkStart w:id="434" w:name="_Toc22185"/>
      <w:bookmarkStart w:id="435" w:name="_Toc2918"/>
      <w:bookmarkStart w:id="43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32"/>
      <w:bookmarkEnd w:id="433"/>
      <w:bookmarkEnd w:id="434"/>
      <w:bookmarkEnd w:id="435"/>
      <w:bookmarkEnd w:id="436"/>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37" w:name="_Toc1386"/>
      <w:bookmarkStart w:id="438" w:name="_Toc4929"/>
      <w:bookmarkStart w:id="439" w:name="_Toc13918"/>
      <w:bookmarkStart w:id="440" w:name="_Toc21124"/>
      <w:bookmarkStart w:id="441"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7"/>
      <w:bookmarkEnd w:id="438"/>
      <w:bookmarkEnd w:id="439"/>
      <w:bookmarkEnd w:id="440"/>
      <w:bookmarkEnd w:id="441"/>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Ansi="宋体"/>
                <w:color w:val="auto"/>
                <w:sz w:val="24"/>
                <w:szCs w:val="24"/>
                <w:highlight w:val="none"/>
              </w:rPr>
            </w:pPr>
          </w:p>
        </w:tc>
        <w:tc>
          <w:tcPr>
            <w:tcW w:w="3402" w:type="dxa"/>
            <w:vAlign w:val="center"/>
          </w:tcPr>
          <w:p>
            <w:pPr>
              <w:pStyle w:val="106"/>
              <w:spacing w:line="560" w:lineRule="exact"/>
              <w:ind w:firstLine="200"/>
              <w:jc w:val="center"/>
              <w:rPr>
                <w:rFonts w:hAnsi="宋体"/>
                <w:color w:val="auto"/>
                <w:sz w:val="24"/>
                <w:szCs w:val="24"/>
                <w:highlight w:val="none"/>
              </w:rPr>
            </w:pPr>
          </w:p>
        </w:tc>
        <w:tc>
          <w:tcPr>
            <w:tcW w:w="2552" w:type="dxa"/>
            <w:vAlign w:val="center"/>
          </w:tcPr>
          <w:p>
            <w:pPr>
              <w:pStyle w:val="106"/>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Ansi="宋体"/>
                <w:color w:val="auto"/>
                <w:sz w:val="24"/>
                <w:szCs w:val="24"/>
                <w:highlight w:val="none"/>
              </w:rPr>
            </w:pPr>
          </w:p>
        </w:tc>
        <w:tc>
          <w:tcPr>
            <w:tcW w:w="3402" w:type="dxa"/>
            <w:vAlign w:val="center"/>
          </w:tcPr>
          <w:p>
            <w:pPr>
              <w:pStyle w:val="106"/>
              <w:spacing w:line="560" w:lineRule="exact"/>
              <w:ind w:firstLine="200"/>
              <w:jc w:val="center"/>
              <w:rPr>
                <w:rFonts w:hAnsi="宋体"/>
                <w:color w:val="auto"/>
                <w:sz w:val="24"/>
                <w:szCs w:val="24"/>
                <w:highlight w:val="none"/>
              </w:rPr>
            </w:pPr>
          </w:p>
        </w:tc>
        <w:tc>
          <w:tcPr>
            <w:tcW w:w="2552" w:type="dxa"/>
            <w:vAlign w:val="center"/>
          </w:tcPr>
          <w:p>
            <w:pPr>
              <w:pStyle w:val="106"/>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Ansi="宋体"/>
                <w:color w:val="auto"/>
                <w:sz w:val="24"/>
                <w:szCs w:val="24"/>
                <w:highlight w:val="none"/>
              </w:rPr>
            </w:pPr>
          </w:p>
        </w:tc>
        <w:tc>
          <w:tcPr>
            <w:tcW w:w="3402" w:type="dxa"/>
            <w:vAlign w:val="center"/>
          </w:tcPr>
          <w:p>
            <w:pPr>
              <w:pStyle w:val="106"/>
              <w:spacing w:line="560" w:lineRule="exact"/>
              <w:ind w:firstLine="200"/>
              <w:jc w:val="center"/>
              <w:rPr>
                <w:rFonts w:hAnsi="宋体"/>
                <w:color w:val="auto"/>
                <w:sz w:val="24"/>
                <w:szCs w:val="24"/>
                <w:highlight w:val="none"/>
              </w:rPr>
            </w:pPr>
          </w:p>
        </w:tc>
        <w:tc>
          <w:tcPr>
            <w:tcW w:w="2552" w:type="dxa"/>
            <w:vAlign w:val="center"/>
          </w:tcPr>
          <w:p>
            <w:pPr>
              <w:pStyle w:val="106"/>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line="560" w:lineRule="exact"/>
              <w:ind w:firstLine="200"/>
              <w:jc w:val="center"/>
              <w:rPr>
                <w:rFonts w:hAnsi="宋体"/>
                <w:color w:val="auto"/>
                <w:sz w:val="24"/>
                <w:szCs w:val="24"/>
                <w:highlight w:val="none"/>
              </w:rPr>
            </w:pPr>
          </w:p>
        </w:tc>
        <w:tc>
          <w:tcPr>
            <w:tcW w:w="3402" w:type="dxa"/>
            <w:vAlign w:val="center"/>
          </w:tcPr>
          <w:p>
            <w:pPr>
              <w:pStyle w:val="106"/>
              <w:spacing w:line="560" w:lineRule="exact"/>
              <w:ind w:firstLine="200"/>
              <w:jc w:val="center"/>
              <w:rPr>
                <w:rFonts w:hAnsi="宋体"/>
                <w:color w:val="auto"/>
                <w:sz w:val="24"/>
                <w:szCs w:val="24"/>
                <w:highlight w:val="none"/>
              </w:rPr>
            </w:pPr>
          </w:p>
        </w:tc>
        <w:tc>
          <w:tcPr>
            <w:tcW w:w="2552" w:type="dxa"/>
            <w:vAlign w:val="center"/>
          </w:tcPr>
          <w:p>
            <w:pPr>
              <w:pStyle w:val="106"/>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106"/>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42" w:name="_Toc30158"/>
      <w:bookmarkStart w:id="443" w:name="_Toc30506"/>
      <w:bookmarkStart w:id="444" w:name="_Toc14993"/>
      <w:bookmarkStart w:id="445" w:name="_Toc26916"/>
      <w:bookmarkStart w:id="446"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2"/>
    <w:bookmarkEnd w:id="443"/>
    <w:bookmarkEnd w:id="444"/>
    <w:bookmarkEnd w:id="445"/>
    <w:bookmarkEnd w:id="446"/>
    <w:p>
      <w:pPr>
        <w:pStyle w:val="618"/>
        <w:spacing w:before="0" w:beforeAutospacing="0" w:after="0" w:afterAutospacing="0" w:line="360" w:lineRule="auto"/>
        <w:ind w:firstLine="480"/>
        <w:rPr>
          <w:b/>
          <w:color w:val="auto"/>
          <w:highlight w:val="none"/>
        </w:rPr>
      </w:pPr>
      <w:bookmarkStart w:id="447" w:name="_Toc1814"/>
      <w:bookmarkStart w:id="448" w:name="_Toc10340"/>
      <w:bookmarkStart w:id="449" w:name="_Toc22618"/>
      <w:bookmarkStart w:id="450" w:name="_Toc11108"/>
      <w:bookmarkStart w:id="451" w:name="_Toc4760"/>
      <w:bookmarkStart w:id="452" w:name="_Toc8772"/>
      <w:bookmarkStart w:id="453" w:name="_Toc31421"/>
      <w:bookmarkStart w:id="454" w:name="_Toc3625"/>
      <w:r>
        <w:rPr>
          <w:rFonts w:hint="eastAsia"/>
          <w:b/>
          <w:color w:val="auto"/>
          <w:highlight w:val="none"/>
        </w:rPr>
        <w:t>1.4履约保证金</w:t>
      </w:r>
    </w:p>
    <w:p>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7"/>
      <w:bookmarkEnd w:id="448"/>
      <w:bookmarkEnd w:id="449"/>
      <w:r>
        <w:rPr>
          <w:rFonts w:hint="eastAsia" w:ascii="宋体" w:hAnsi="宋体" w:cs="宋体"/>
          <w:b/>
          <w:color w:val="auto"/>
          <w:sz w:val="24"/>
          <w:highlight w:val="none"/>
        </w:rPr>
        <w:t>预付款</w:t>
      </w:r>
    </w:p>
    <w:p>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50"/>
      <w:bookmarkEnd w:id="451"/>
      <w:bookmarkEnd w:id="452"/>
      <w:bookmarkEnd w:id="453"/>
      <w:bookmarkEnd w:id="45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55" w:name="_Toc3079"/>
      <w:bookmarkStart w:id="456" w:name="_Toc8586"/>
      <w:bookmarkStart w:id="457" w:name="_Toc2375"/>
      <w:bookmarkStart w:id="458" w:name="_Toc24662"/>
      <w:bookmarkStart w:id="459"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60" w:name="_Toc30329"/>
      <w:bookmarkStart w:id="461" w:name="_Toc32454"/>
      <w:bookmarkStart w:id="462" w:name="_Toc18683"/>
      <w:bookmarkStart w:id="463" w:name="_Toc26807"/>
      <w:bookmarkStart w:id="464"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0"/>
    <w:bookmarkEnd w:id="461"/>
    <w:bookmarkEnd w:id="462"/>
    <w:bookmarkEnd w:id="463"/>
    <w:bookmarkEnd w:id="464"/>
    <w:p>
      <w:pPr>
        <w:spacing w:line="560" w:lineRule="exact"/>
        <w:ind w:firstLine="482" w:firstLineChars="200"/>
        <w:outlineLvl w:val="0"/>
        <w:rPr>
          <w:rFonts w:ascii="宋体" w:hAnsi="宋体" w:cs="宋体"/>
          <w:b/>
          <w:color w:val="auto"/>
          <w:sz w:val="24"/>
          <w:highlight w:val="none"/>
        </w:rPr>
      </w:pPr>
      <w:bookmarkStart w:id="465" w:name="_Toc28375"/>
      <w:bookmarkStart w:id="466" w:name="_Toc15583"/>
      <w:bookmarkStart w:id="467" w:name="_Toc16021"/>
      <w:r>
        <w:rPr>
          <w:rFonts w:hint="eastAsia" w:ascii="宋体" w:hAnsi="宋体" w:cs="宋体"/>
          <w:b/>
          <w:color w:val="auto"/>
          <w:sz w:val="24"/>
          <w:highlight w:val="none"/>
        </w:rPr>
        <w:t>1.9合同争议的解决</w:t>
      </w:r>
      <w:bookmarkEnd w:id="465"/>
      <w:bookmarkEnd w:id="466"/>
      <w:bookmarkEnd w:id="467"/>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68" w:name="_Toc15322"/>
      <w:bookmarkStart w:id="469" w:name="_Toc7245"/>
      <w:bookmarkStart w:id="470" w:name="_Toc11173"/>
      <w:r>
        <w:rPr>
          <w:rFonts w:hint="eastAsia" w:ascii="宋体" w:hAnsi="宋体" w:cs="宋体"/>
          <w:b/>
          <w:color w:val="auto"/>
          <w:sz w:val="24"/>
          <w:highlight w:val="none"/>
        </w:rPr>
        <w:t>2.0 合同生效</w:t>
      </w:r>
      <w:bookmarkEnd w:id="468"/>
      <w:bookmarkEnd w:id="469"/>
      <w:bookmarkEnd w:id="470"/>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3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71" w:name="_Toc25079"/>
      <w:bookmarkStart w:id="472" w:name="_Toc19680"/>
      <w:bookmarkStart w:id="473" w:name="_Toc14021"/>
      <w:bookmarkStart w:id="474" w:name="_Toc5228"/>
      <w:bookmarkStart w:id="475" w:name="_Toc31297"/>
      <w:r>
        <w:rPr>
          <w:rFonts w:ascii="宋体" w:hAnsi="宋体"/>
          <w:b/>
          <w:color w:val="auto"/>
          <w:sz w:val="24"/>
          <w:highlight w:val="none"/>
        </w:rPr>
        <w:t>2.1 定义</w:t>
      </w:r>
      <w:bookmarkEnd w:id="471"/>
      <w:bookmarkEnd w:id="472"/>
      <w:bookmarkEnd w:id="473"/>
      <w:bookmarkEnd w:id="474"/>
      <w:bookmarkEnd w:id="475"/>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76" w:name="_Toc3769"/>
      <w:bookmarkStart w:id="477" w:name="_Toc23289"/>
      <w:bookmarkStart w:id="478" w:name="_Toc19539"/>
      <w:bookmarkStart w:id="479" w:name="_Toc31402"/>
      <w:bookmarkStart w:id="480" w:name="_Toc16752"/>
      <w:r>
        <w:rPr>
          <w:rFonts w:ascii="宋体" w:hAnsi="宋体"/>
          <w:b/>
          <w:color w:val="auto"/>
          <w:sz w:val="24"/>
          <w:highlight w:val="none"/>
        </w:rPr>
        <w:t>2.2 技术规范</w:t>
      </w:r>
      <w:bookmarkEnd w:id="476"/>
      <w:bookmarkEnd w:id="477"/>
      <w:bookmarkEnd w:id="478"/>
      <w:bookmarkEnd w:id="479"/>
      <w:bookmarkEnd w:id="48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81" w:name="_Toc4133"/>
      <w:bookmarkStart w:id="482" w:name="_Toc9161"/>
      <w:bookmarkStart w:id="483" w:name="_Toc27945"/>
      <w:bookmarkStart w:id="484" w:name="_Toc12412"/>
      <w:bookmarkStart w:id="485" w:name="_Toc13673"/>
      <w:r>
        <w:rPr>
          <w:rFonts w:ascii="宋体" w:hAnsi="宋体"/>
          <w:b/>
          <w:color w:val="auto"/>
          <w:sz w:val="24"/>
          <w:highlight w:val="none"/>
        </w:rPr>
        <w:t>2.3 知识产权</w:t>
      </w:r>
      <w:bookmarkEnd w:id="481"/>
      <w:bookmarkEnd w:id="482"/>
      <w:bookmarkEnd w:id="483"/>
      <w:bookmarkEnd w:id="484"/>
      <w:bookmarkEnd w:id="48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86" w:name="_Toc22011"/>
      <w:bookmarkStart w:id="487" w:name="_Toc32670"/>
      <w:bookmarkStart w:id="488" w:name="_Toc26555"/>
      <w:bookmarkStart w:id="489" w:name="_Toc31233"/>
      <w:bookmarkStart w:id="490" w:name="_Toc15447"/>
      <w:r>
        <w:rPr>
          <w:rFonts w:ascii="宋体" w:hAnsi="宋体"/>
          <w:b/>
          <w:color w:val="auto"/>
          <w:sz w:val="24"/>
          <w:highlight w:val="none"/>
        </w:rPr>
        <w:t>2.5 结算方式和付款条件</w:t>
      </w:r>
      <w:bookmarkEnd w:id="486"/>
      <w:bookmarkEnd w:id="487"/>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1" w:name="_Toc13154"/>
      <w:bookmarkStart w:id="492" w:name="_Toc13467"/>
      <w:bookmarkStart w:id="493" w:name="_Toc16163"/>
      <w:bookmarkStart w:id="494" w:name="_Toc30507"/>
      <w:bookmarkStart w:id="495" w:name="_Toc18990"/>
      <w:r>
        <w:rPr>
          <w:rFonts w:ascii="宋体" w:hAnsi="宋体"/>
          <w:b/>
          <w:color w:val="auto"/>
          <w:sz w:val="24"/>
          <w:highlight w:val="none"/>
        </w:rPr>
        <w:t>2.6 技术资料和保密义务</w:t>
      </w:r>
      <w:bookmarkEnd w:id="491"/>
      <w:bookmarkEnd w:id="492"/>
      <w:bookmarkEnd w:id="493"/>
      <w:bookmarkEnd w:id="494"/>
      <w:bookmarkEnd w:id="495"/>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9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9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9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9" w:name="_Toc42"/>
      <w:bookmarkStart w:id="500" w:name="_Toc26689"/>
      <w:bookmarkStart w:id="501" w:name="_Toc23368"/>
      <w:bookmarkStart w:id="502" w:name="_Toc10663"/>
      <w:bookmarkStart w:id="503" w:name="_Toc21830"/>
      <w:r>
        <w:rPr>
          <w:rFonts w:ascii="宋体" w:hAnsi="宋体"/>
          <w:b/>
          <w:color w:val="auto"/>
          <w:sz w:val="24"/>
          <w:highlight w:val="none"/>
        </w:rPr>
        <w:t>2.10 合同转让和分包</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504" w:name="_Toc25571"/>
      <w:bookmarkStart w:id="505" w:name="_Toc14371"/>
      <w:bookmarkStart w:id="506" w:name="_Toc32494"/>
      <w:bookmarkStart w:id="507" w:name="_Toc4720"/>
      <w:bookmarkStart w:id="508" w:name="_Toc26633"/>
      <w:r>
        <w:rPr>
          <w:rFonts w:ascii="宋体" w:hAnsi="宋体"/>
          <w:b/>
          <w:color w:val="auto"/>
          <w:sz w:val="24"/>
          <w:highlight w:val="none"/>
        </w:rPr>
        <w:t>2.11 不可抗力</w:t>
      </w:r>
      <w:bookmarkEnd w:id="504"/>
      <w:bookmarkEnd w:id="505"/>
      <w:bookmarkEnd w:id="506"/>
      <w:bookmarkEnd w:id="507"/>
      <w:bookmarkEnd w:id="508"/>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509" w:name="_Toc23854"/>
      <w:bookmarkStart w:id="510" w:name="_Toc25783"/>
      <w:bookmarkStart w:id="511" w:name="_Toc3638"/>
      <w:bookmarkStart w:id="512" w:name="_Toc24465"/>
      <w:bookmarkStart w:id="513" w:name="_Toc14115"/>
      <w:r>
        <w:rPr>
          <w:rFonts w:ascii="宋体" w:hAnsi="宋体"/>
          <w:b/>
          <w:color w:val="auto"/>
          <w:sz w:val="24"/>
          <w:highlight w:val="none"/>
        </w:rPr>
        <w:t>2.12 税费</w:t>
      </w:r>
      <w:bookmarkEnd w:id="509"/>
      <w:bookmarkEnd w:id="510"/>
      <w:bookmarkEnd w:id="511"/>
      <w:bookmarkEnd w:id="512"/>
      <w:bookmarkEnd w:id="513"/>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514" w:name="_Toc25525"/>
      <w:bookmarkStart w:id="515" w:name="_Toc26883"/>
      <w:bookmarkStart w:id="516" w:name="_Toc14814"/>
      <w:bookmarkStart w:id="517" w:name="_Toc7315"/>
      <w:bookmarkStart w:id="518" w:name="_Toc30105"/>
      <w:r>
        <w:rPr>
          <w:rFonts w:ascii="宋体" w:hAnsi="宋体"/>
          <w:b/>
          <w:color w:val="auto"/>
          <w:sz w:val="24"/>
          <w:highlight w:val="none"/>
        </w:rPr>
        <w:t>2.13 乙方破产</w:t>
      </w:r>
      <w:bookmarkEnd w:id="514"/>
      <w:bookmarkEnd w:id="515"/>
      <w:bookmarkEnd w:id="516"/>
      <w:bookmarkEnd w:id="517"/>
      <w:bookmarkEnd w:id="518"/>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519" w:name="_Toc23323"/>
      <w:bookmarkStart w:id="520" w:name="_Toc2016"/>
      <w:bookmarkStart w:id="521" w:name="_Toc1123"/>
      <w:r>
        <w:rPr>
          <w:rFonts w:ascii="宋体" w:hAnsi="宋体"/>
          <w:b/>
          <w:color w:val="auto"/>
          <w:sz w:val="24"/>
          <w:highlight w:val="none"/>
        </w:rPr>
        <w:t>2.14 合同中止、终止</w:t>
      </w:r>
      <w:bookmarkEnd w:id="519"/>
      <w:bookmarkEnd w:id="520"/>
      <w:bookmarkEnd w:id="52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522" w:name="_Toc1969"/>
      <w:bookmarkStart w:id="523" w:name="_Toc14525"/>
      <w:bookmarkStart w:id="524" w:name="_Toc17363"/>
      <w:r>
        <w:rPr>
          <w:rFonts w:ascii="宋体" w:hAnsi="宋体"/>
          <w:b/>
          <w:color w:val="auto"/>
          <w:sz w:val="24"/>
          <w:highlight w:val="none"/>
        </w:rPr>
        <w:t>2.15 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525" w:name="_Toc2308"/>
      <w:bookmarkStart w:id="526" w:name="_Toc9808"/>
      <w:bookmarkStart w:id="527" w:name="_Toc31892"/>
      <w:bookmarkStart w:id="528" w:name="_Toc25198"/>
      <w:bookmarkStart w:id="529" w:name="_Toc12666"/>
      <w:r>
        <w:rPr>
          <w:rFonts w:ascii="宋体" w:hAnsi="宋体"/>
          <w:b/>
          <w:color w:val="auto"/>
          <w:sz w:val="24"/>
          <w:highlight w:val="none"/>
        </w:rPr>
        <w:t>2.16 通知和送达</w:t>
      </w:r>
      <w:bookmarkEnd w:id="525"/>
      <w:bookmarkEnd w:id="526"/>
      <w:bookmarkEnd w:id="527"/>
      <w:bookmarkEnd w:id="528"/>
      <w:bookmarkEnd w:id="529"/>
    </w:p>
    <w:p>
      <w:pPr>
        <w:spacing w:line="560" w:lineRule="exact"/>
        <w:ind w:firstLine="480" w:firstLineChars="200"/>
        <w:rPr>
          <w:rFonts w:ascii="宋体" w:hAnsi="宋体"/>
          <w:color w:val="auto"/>
          <w:sz w:val="24"/>
          <w:highlight w:val="none"/>
        </w:rPr>
      </w:pPr>
      <w:bookmarkStart w:id="530" w:name="_Toc18401"/>
      <w:bookmarkStart w:id="53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30"/>
      <w:bookmarkEnd w:id="531"/>
    </w:p>
    <w:p>
      <w:pPr>
        <w:spacing w:line="560" w:lineRule="exact"/>
        <w:ind w:firstLine="482" w:firstLineChars="200"/>
        <w:outlineLvl w:val="0"/>
        <w:rPr>
          <w:rFonts w:ascii="宋体" w:hAnsi="宋体"/>
          <w:b/>
          <w:color w:val="auto"/>
          <w:sz w:val="24"/>
          <w:highlight w:val="none"/>
        </w:rPr>
      </w:pPr>
      <w:bookmarkStart w:id="532" w:name="_Toc28906"/>
      <w:bookmarkStart w:id="533" w:name="_Toc12254"/>
      <w:bookmarkStart w:id="534" w:name="_Toc5063"/>
      <w:bookmarkStart w:id="535" w:name="_Toc27644"/>
      <w:bookmarkStart w:id="536"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2"/>
      <w:bookmarkEnd w:id="533"/>
      <w:bookmarkEnd w:id="534"/>
      <w:bookmarkEnd w:id="535"/>
      <w:bookmarkEnd w:id="536"/>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37" w:name="_Toc18540"/>
      <w:bookmarkStart w:id="538" w:name="_Toc4355"/>
      <w:bookmarkStart w:id="539" w:name="_Toc30599"/>
      <w:r>
        <w:rPr>
          <w:rFonts w:hint="eastAsia" w:ascii="宋体" w:hAnsi="宋体" w:cs="宋体"/>
          <w:b/>
          <w:color w:val="auto"/>
          <w:sz w:val="24"/>
          <w:highlight w:val="none"/>
        </w:rPr>
        <w:t>2.18 计量单位</w:t>
      </w:r>
      <w:bookmarkEnd w:id="537"/>
      <w:bookmarkEnd w:id="538"/>
      <w:bookmarkEnd w:id="5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40" w:name="_Toc331685784"/>
      <w:r>
        <w:rPr>
          <w:rFonts w:hint="eastAsia" w:ascii="宋体" w:hAnsi="宋体" w:cs="宋体"/>
          <w:b/>
          <w:color w:val="auto"/>
          <w:sz w:val="24"/>
          <w:highlight w:val="none"/>
        </w:rPr>
        <w:t xml:space="preserve"> </w:t>
      </w:r>
      <w:bookmarkEnd w:id="540"/>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1" w:name="_Hlk101257010"/>
      <w:r>
        <w:rPr>
          <w:rFonts w:hint="eastAsia" w:ascii="宋体" w:hAnsi="宋体" w:cs="宋体"/>
          <w:color w:val="auto"/>
          <w:sz w:val="24"/>
          <w:highlight w:val="none"/>
        </w:rPr>
        <w:t>（如果有)</w:t>
      </w:r>
      <w:bookmarkEnd w:id="541"/>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bookmarkStart w:id="542" w:name="OLE_LINK5"/>
      <w:r>
        <w:rPr>
          <w:rFonts w:hint="eastAsia" w:ascii="宋体" w:hAnsi="宋体" w:cs="宋体"/>
          <w:color w:val="auto"/>
          <w:sz w:val="24"/>
          <w:highlight w:val="none"/>
          <w:lang w:eastAsia="zh-CN"/>
        </w:rPr>
        <w:t>杭州市临平区人民政府运河街道办事处属地建设工地安全生产、文明施工监理服务</w:t>
      </w:r>
      <w:bookmarkEnd w:id="542"/>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58"/>
        <w:gridCol w:w="2350"/>
        <w:gridCol w:w="26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项目名称</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rPr>
              <w:t>服务期</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Times New Roman"/>
                <w:b/>
                <w:bCs/>
                <w:color w:val="auto"/>
                <w:kern w:val="2"/>
                <w:sz w:val="24"/>
                <w:szCs w:val="22"/>
                <w:lang w:eastAsia="zh-CN"/>
              </w:rPr>
            </w:pPr>
            <w:r>
              <w:rPr>
                <w:rFonts w:hint="eastAsia" w:ascii="宋体" w:hAnsi="宋体" w:cs="Times New Roman"/>
                <w:b/>
                <w:bCs/>
                <w:color w:val="auto"/>
                <w:kern w:val="2"/>
                <w:sz w:val="24"/>
                <w:szCs w:val="22"/>
              </w:rPr>
              <w:t>投标报价</w:t>
            </w:r>
            <w:r>
              <w:rPr>
                <w:rFonts w:hint="eastAsia" w:ascii="宋体" w:hAnsi="宋体" w:cs="Times New Roman"/>
                <w:b/>
                <w:bCs/>
                <w:color w:val="auto"/>
                <w:kern w:val="2"/>
                <w:sz w:val="24"/>
                <w:szCs w:val="22"/>
                <w:lang w:eastAsia="zh-CN"/>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 杭州市临平区人民政府运河街道办事处属地建设工地安全生产、文明施工监理服务</w:t>
            </w:r>
          </w:p>
        </w:tc>
        <w:tc>
          <w:tcPr>
            <w:tcW w:w="235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响应招标文件要求</w:t>
            </w:r>
          </w:p>
        </w:tc>
        <w:tc>
          <w:tcPr>
            <w:tcW w:w="2612" w:type="dxa"/>
            <w:tcBorders>
              <w:left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3558" w:type="dxa"/>
            <w:tcBorders>
              <w:right w:val="single" w:color="auto" w:sz="4" w:space="0"/>
            </w:tcBorders>
            <w:vAlign w:val="center"/>
          </w:tcPr>
          <w:p>
            <w:pPr>
              <w:spacing w:before="0" w:beforeAutospacing="0" w:after="0" w:afterAutospacing="0" w:line="360" w:lineRule="auto"/>
              <w:ind w:left="0" w:right="0"/>
              <w:jc w:val="center"/>
              <w:rPr>
                <w:rFonts w:ascii="宋体" w:hAnsi="宋体" w:cs="Times New Roman"/>
                <w:color w:val="auto"/>
                <w:kern w:val="2"/>
                <w:sz w:val="24"/>
                <w:szCs w:val="22"/>
              </w:rPr>
            </w:pPr>
            <w:r>
              <w:rPr>
                <w:rFonts w:hint="eastAsia" w:ascii="宋体" w:hAnsi="宋体" w:cs="Times New Roman"/>
                <w:color w:val="auto"/>
                <w:kern w:val="2"/>
                <w:sz w:val="24"/>
                <w:szCs w:val="22"/>
              </w:rPr>
              <w:t>总价</w:t>
            </w:r>
          </w:p>
        </w:tc>
        <w:tc>
          <w:tcPr>
            <w:tcW w:w="4962" w:type="dxa"/>
            <w:gridSpan w:val="2"/>
            <w:tcBorders>
              <w:left w:val="single" w:color="auto" w:sz="4" w:space="0"/>
            </w:tcBorders>
            <w:vAlign w:val="center"/>
          </w:tcPr>
          <w:p>
            <w:pPr>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377"/>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3" w:name="OLE_LINK14"/>
      <w:bookmarkStart w:id="544" w:name="OLE_LINK13"/>
      <w:r>
        <w:rPr>
          <w:rFonts w:hint="eastAsia" w:ascii="宋体" w:hAnsi="宋体" w:cs="宋体"/>
          <w:b/>
          <w:color w:val="auto"/>
          <w:spacing w:val="6"/>
          <w:sz w:val="32"/>
          <w:szCs w:val="32"/>
          <w:highlight w:val="none"/>
        </w:rPr>
        <w:t>残疾人福利性单位声明函</w:t>
      </w:r>
    </w:p>
    <w:bookmarkEnd w:id="543"/>
    <w:bookmarkEnd w:id="54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杭州市临平区人民政府运河街道办事处属地建设工地安全生产、文明施工监理服务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杭州市临平区人民政府运河街道办事处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杭州正鸿工程咨询有限公司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杭州市临平区人民政府运河街道办事处属地建设工地安全生产、文明施工监理服务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HZZHCG2024-030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杭州市临平区人民政府运河街道办事处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杭州市临平区人民政府运河街道办事处属地建设工地安全生产、文明施工监理服务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《中小企业声明函》中类型、行业填写错误的均投标无效</w:t>
      </w:r>
      <w:r>
        <w:rPr>
          <w:rFonts w:hint="eastAsia" w:ascii="宋体" w:hAnsi="宋体" w:cs="宋体"/>
          <w:color w:val="auto"/>
          <w:sz w:val="24"/>
          <w:lang w:eastAsia="zh-CN"/>
        </w:rPr>
        <w:t>，</w:t>
      </w:r>
      <w:r>
        <w:rPr>
          <w:rFonts w:hint="eastAsia" w:ascii="宋体" w:hAnsi="宋体" w:cs="宋体"/>
          <w:color w:val="auto"/>
          <w:sz w:val="24"/>
          <w:lang w:val="en-US" w:eastAsia="zh-CN"/>
        </w:rPr>
        <w:t>《中小企业声明函》中的制造厂商不可使用他人授权品牌或者授权他人实际生产。</w:t>
      </w:r>
    </w:p>
    <w:p>
      <w:pPr>
        <w:spacing w:line="360" w:lineRule="auto"/>
        <w:ind w:right="420" w:firstLine="720" w:firstLineChars="300"/>
        <w:rPr>
          <w:rFonts w:ascii="宋体" w:hAnsi="宋体" w:cs="宋体"/>
          <w:color w:val="auto"/>
          <w:sz w:val="24"/>
          <w:highlight w:val="none"/>
        </w:rPr>
      </w:pP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8" w:name="_Toc36110187"/>
    <w:bookmarkStart w:id="549" w:name="_Toc164085800"/>
    <w:bookmarkStart w:id="550" w:name="_Toc131845147"/>
    <w:bookmarkStart w:id="551" w:name="_Toc91899912"/>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576C9"/>
    <w:multiLevelType w:val="singleLevel"/>
    <w:tmpl w:val="3B3576C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mZjYTcxYzNmNDdjNjE4NDc2Zjc1MDViMDE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7556A"/>
    <w:rsid w:val="015129C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91976"/>
    <w:rsid w:val="03FD0D36"/>
    <w:rsid w:val="04076900"/>
    <w:rsid w:val="041A5A3B"/>
    <w:rsid w:val="042311BA"/>
    <w:rsid w:val="042B157A"/>
    <w:rsid w:val="048F763B"/>
    <w:rsid w:val="049F330E"/>
    <w:rsid w:val="04AA775C"/>
    <w:rsid w:val="04AF1889"/>
    <w:rsid w:val="04F66F48"/>
    <w:rsid w:val="05251E14"/>
    <w:rsid w:val="058928B6"/>
    <w:rsid w:val="05A16594"/>
    <w:rsid w:val="05A7762D"/>
    <w:rsid w:val="060E5941"/>
    <w:rsid w:val="06110FAF"/>
    <w:rsid w:val="06493CA7"/>
    <w:rsid w:val="065A6178"/>
    <w:rsid w:val="065E5408"/>
    <w:rsid w:val="066F1CF3"/>
    <w:rsid w:val="06930BB8"/>
    <w:rsid w:val="07245D42"/>
    <w:rsid w:val="07264C62"/>
    <w:rsid w:val="0779354C"/>
    <w:rsid w:val="08061376"/>
    <w:rsid w:val="08125415"/>
    <w:rsid w:val="08452D77"/>
    <w:rsid w:val="086401F8"/>
    <w:rsid w:val="08751CAA"/>
    <w:rsid w:val="087E4C40"/>
    <w:rsid w:val="08A871D0"/>
    <w:rsid w:val="08D66AD6"/>
    <w:rsid w:val="08DA33A3"/>
    <w:rsid w:val="08E80F13"/>
    <w:rsid w:val="09167982"/>
    <w:rsid w:val="09335624"/>
    <w:rsid w:val="0944690F"/>
    <w:rsid w:val="09535675"/>
    <w:rsid w:val="095F057D"/>
    <w:rsid w:val="09642282"/>
    <w:rsid w:val="09733572"/>
    <w:rsid w:val="09772C16"/>
    <w:rsid w:val="098353B5"/>
    <w:rsid w:val="09A92330"/>
    <w:rsid w:val="09B06B87"/>
    <w:rsid w:val="09C13146"/>
    <w:rsid w:val="09E04166"/>
    <w:rsid w:val="0A13184E"/>
    <w:rsid w:val="0A1C0718"/>
    <w:rsid w:val="0A3E7710"/>
    <w:rsid w:val="0A5B7E63"/>
    <w:rsid w:val="0AA374A5"/>
    <w:rsid w:val="0AAB7649"/>
    <w:rsid w:val="0ABC5606"/>
    <w:rsid w:val="0B30404E"/>
    <w:rsid w:val="0B4C6C14"/>
    <w:rsid w:val="0B503C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7ABB"/>
    <w:rsid w:val="0D827401"/>
    <w:rsid w:val="0D84094E"/>
    <w:rsid w:val="0D8A00E9"/>
    <w:rsid w:val="0D8D589E"/>
    <w:rsid w:val="0DA01C73"/>
    <w:rsid w:val="0DD63300"/>
    <w:rsid w:val="0DF50604"/>
    <w:rsid w:val="0DF702FE"/>
    <w:rsid w:val="0E060E51"/>
    <w:rsid w:val="0E322BA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C6062"/>
    <w:rsid w:val="0FBF3FD2"/>
    <w:rsid w:val="0FBF7FF3"/>
    <w:rsid w:val="10646583"/>
    <w:rsid w:val="107D4B15"/>
    <w:rsid w:val="108A3C80"/>
    <w:rsid w:val="10C26171"/>
    <w:rsid w:val="10F33360"/>
    <w:rsid w:val="10FC16EA"/>
    <w:rsid w:val="110F1D40"/>
    <w:rsid w:val="11266F33"/>
    <w:rsid w:val="1131407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85843"/>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6117E"/>
    <w:rsid w:val="19932372"/>
    <w:rsid w:val="19A20DD5"/>
    <w:rsid w:val="19AE03F1"/>
    <w:rsid w:val="1A071A03"/>
    <w:rsid w:val="1A1B615C"/>
    <w:rsid w:val="1A1F16AE"/>
    <w:rsid w:val="1A3B5C77"/>
    <w:rsid w:val="1A984BAD"/>
    <w:rsid w:val="1AB8220E"/>
    <w:rsid w:val="1AE4166C"/>
    <w:rsid w:val="1AF06CFB"/>
    <w:rsid w:val="1AF11B8D"/>
    <w:rsid w:val="1B11359C"/>
    <w:rsid w:val="1B2A271F"/>
    <w:rsid w:val="1B530544"/>
    <w:rsid w:val="1B713184"/>
    <w:rsid w:val="1BA209CF"/>
    <w:rsid w:val="1BB4777D"/>
    <w:rsid w:val="1BB758B0"/>
    <w:rsid w:val="1BD75AB8"/>
    <w:rsid w:val="1C0459C2"/>
    <w:rsid w:val="1C1B3B4A"/>
    <w:rsid w:val="1C604813"/>
    <w:rsid w:val="1C88086E"/>
    <w:rsid w:val="1CFC15DD"/>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043E8"/>
    <w:rsid w:val="208921B3"/>
    <w:rsid w:val="20973DEB"/>
    <w:rsid w:val="20B26522"/>
    <w:rsid w:val="20B44310"/>
    <w:rsid w:val="211116EB"/>
    <w:rsid w:val="216133FC"/>
    <w:rsid w:val="21D56769"/>
    <w:rsid w:val="21E52EF3"/>
    <w:rsid w:val="21FB5D7B"/>
    <w:rsid w:val="22015E94"/>
    <w:rsid w:val="220B1C3D"/>
    <w:rsid w:val="221D1D20"/>
    <w:rsid w:val="22334A87"/>
    <w:rsid w:val="227D2FE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25633"/>
    <w:rsid w:val="25F74A5C"/>
    <w:rsid w:val="2628662C"/>
    <w:rsid w:val="262D45DE"/>
    <w:rsid w:val="26871DC8"/>
    <w:rsid w:val="26981E37"/>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B77A0"/>
    <w:rsid w:val="294C65AD"/>
    <w:rsid w:val="29806583"/>
    <w:rsid w:val="298B3C4C"/>
    <w:rsid w:val="29E259F5"/>
    <w:rsid w:val="29F26D24"/>
    <w:rsid w:val="2A15033F"/>
    <w:rsid w:val="2A1662C1"/>
    <w:rsid w:val="2A1C7367"/>
    <w:rsid w:val="2A1D2DF3"/>
    <w:rsid w:val="2A2815FA"/>
    <w:rsid w:val="2A6D6092"/>
    <w:rsid w:val="2A7D76B4"/>
    <w:rsid w:val="2B057409"/>
    <w:rsid w:val="2B437463"/>
    <w:rsid w:val="2B7807EE"/>
    <w:rsid w:val="2B9F029D"/>
    <w:rsid w:val="2BA50BF7"/>
    <w:rsid w:val="2BBF00EC"/>
    <w:rsid w:val="2BC37CFD"/>
    <w:rsid w:val="2BD5237F"/>
    <w:rsid w:val="2BE536CE"/>
    <w:rsid w:val="2BE758D9"/>
    <w:rsid w:val="2C09049E"/>
    <w:rsid w:val="2C0A653C"/>
    <w:rsid w:val="2C191F85"/>
    <w:rsid w:val="2CE82D6F"/>
    <w:rsid w:val="2D343236"/>
    <w:rsid w:val="2DD15014"/>
    <w:rsid w:val="2DF72DE4"/>
    <w:rsid w:val="2E0220AF"/>
    <w:rsid w:val="2E140E2C"/>
    <w:rsid w:val="2E4B082A"/>
    <w:rsid w:val="2E5D4E86"/>
    <w:rsid w:val="2E5D790B"/>
    <w:rsid w:val="2E9A3C18"/>
    <w:rsid w:val="2EBB0FEE"/>
    <w:rsid w:val="2EC63002"/>
    <w:rsid w:val="2EE85F28"/>
    <w:rsid w:val="2F0A6B38"/>
    <w:rsid w:val="2F946CCB"/>
    <w:rsid w:val="2FD25781"/>
    <w:rsid w:val="2FDC745C"/>
    <w:rsid w:val="2FF87A6A"/>
    <w:rsid w:val="2FFD7934"/>
    <w:rsid w:val="30104789"/>
    <w:rsid w:val="30114EB2"/>
    <w:rsid w:val="30733ACD"/>
    <w:rsid w:val="308C3862"/>
    <w:rsid w:val="309379D8"/>
    <w:rsid w:val="30A270F7"/>
    <w:rsid w:val="30DF1478"/>
    <w:rsid w:val="30EC586F"/>
    <w:rsid w:val="314550B7"/>
    <w:rsid w:val="319C6071"/>
    <w:rsid w:val="31AC537E"/>
    <w:rsid w:val="31E3679B"/>
    <w:rsid w:val="31E732FD"/>
    <w:rsid w:val="32063D1C"/>
    <w:rsid w:val="321A7BE4"/>
    <w:rsid w:val="32517576"/>
    <w:rsid w:val="32BE5C2C"/>
    <w:rsid w:val="32FB6478"/>
    <w:rsid w:val="33263B3F"/>
    <w:rsid w:val="336963EB"/>
    <w:rsid w:val="336F76C2"/>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5C3856"/>
    <w:rsid w:val="36607A0A"/>
    <w:rsid w:val="36670833"/>
    <w:rsid w:val="366E227C"/>
    <w:rsid w:val="366F2E0D"/>
    <w:rsid w:val="367B6A5C"/>
    <w:rsid w:val="36A74ADA"/>
    <w:rsid w:val="36AD60D5"/>
    <w:rsid w:val="36B224F9"/>
    <w:rsid w:val="36EC0CC9"/>
    <w:rsid w:val="373F410B"/>
    <w:rsid w:val="37472BA8"/>
    <w:rsid w:val="37E00F32"/>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E7517"/>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2675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47E7D"/>
    <w:rsid w:val="3E9A59DE"/>
    <w:rsid w:val="3EAF4836"/>
    <w:rsid w:val="3EBC0A64"/>
    <w:rsid w:val="3EC33DFA"/>
    <w:rsid w:val="3F060E16"/>
    <w:rsid w:val="3F1D1096"/>
    <w:rsid w:val="3F2F0234"/>
    <w:rsid w:val="3F4F2C8D"/>
    <w:rsid w:val="3F5100A6"/>
    <w:rsid w:val="3F6363FE"/>
    <w:rsid w:val="3F756B8F"/>
    <w:rsid w:val="3F95482B"/>
    <w:rsid w:val="4019356B"/>
    <w:rsid w:val="40592157"/>
    <w:rsid w:val="406E1CAE"/>
    <w:rsid w:val="40A0133A"/>
    <w:rsid w:val="40C31A53"/>
    <w:rsid w:val="40FF545D"/>
    <w:rsid w:val="410067C8"/>
    <w:rsid w:val="418F0D2A"/>
    <w:rsid w:val="41A16BD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D4732"/>
    <w:rsid w:val="449101DD"/>
    <w:rsid w:val="44DE1391"/>
    <w:rsid w:val="44F80CB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6BE4"/>
    <w:rsid w:val="477B778F"/>
    <w:rsid w:val="478203EC"/>
    <w:rsid w:val="479C19C8"/>
    <w:rsid w:val="47B025FA"/>
    <w:rsid w:val="4809698F"/>
    <w:rsid w:val="4811697D"/>
    <w:rsid w:val="487A3E25"/>
    <w:rsid w:val="488B5503"/>
    <w:rsid w:val="48937E21"/>
    <w:rsid w:val="489A0361"/>
    <w:rsid w:val="48A04930"/>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66669"/>
    <w:rsid w:val="4C245A30"/>
    <w:rsid w:val="4CB6685F"/>
    <w:rsid w:val="4CC367FE"/>
    <w:rsid w:val="4CE873F2"/>
    <w:rsid w:val="4D077F3C"/>
    <w:rsid w:val="4D123355"/>
    <w:rsid w:val="4D2A3B31"/>
    <w:rsid w:val="4D312C52"/>
    <w:rsid w:val="4D905305"/>
    <w:rsid w:val="4D964A72"/>
    <w:rsid w:val="4D9C1254"/>
    <w:rsid w:val="4E220132"/>
    <w:rsid w:val="4E793892"/>
    <w:rsid w:val="4E800872"/>
    <w:rsid w:val="4EC569ED"/>
    <w:rsid w:val="4ED50EA1"/>
    <w:rsid w:val="4EEC050C"/>
    <w:rsid w:val="4F104EC3"/>
    <w:rsid w:val="4F326A7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02F02"/>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6623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9158C"/>
    <w:rsid w:val="5B843A1C"/>
    <w:rsid w:val="5B873E3F"/>
    <w:rsid w:val="5C02690E"/>
    <w:rsid w:val="5C196DA7"/>
    <w:rsid w:val="5C2A048C"/>
    <w:rsid w:val="5C74136E"/>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82CB4"/>
    <w:rsid w:val="5E4A7017"/>
    <w:rsid w:val="5E552BBA"/>
    <w:rsid w:val="5E611C10"/>
    <w:rsid w:val="5E7A0F3F"/>
    <w:rsid w:val="5EB5006A"/>
    <w:rsid w:val="5EFC7377"/>
    <w:rsid w:val="5F06174D"/>
    <w:rsid w:val="5F2C521E"/>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E2369"/>
    <w:rsid w:val="615227C4"/>
    <w:rsid w:val="61654E3F"/>
    <w:rsid w:val="6182292A"/>
    <w:rsid w:val="619F7F92"/>
    <w:rsid w:val="61F94C26"/>
    <w:rsid w:val="62000E56"/>
    <w:rsid w:val="624F3E49"/>
    <w:rsid w:val="62632286"/>
    <w:rsid w:val="62885958"/>
    <w:rsid w:val="62D1004C"/>
    <w:rsid w:val="62F40B65"/>
    <w:rsid w:val="62FC2CFE"/>
    <w:rsid w:val="63024505"/>
    <w:rsid w:val="635600A5"/>
    <w:rsid w:val="635B1DB5"/>
    <w:rsid w:val="63671FA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34814"/>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A4675"/>
    <w:rsid w:val="6B573233"/>
    <w:rsid w:val="6B5B6274"/>
    <w:rsid w:val="6B935D53"/>
    <w:rsid w:val="6C196F71"/>
    <w:rsid w:val="6C226FCB"/>
    <w:rsid w:val="6C31226F"/>
    <w:rsid w:val="6C552F0B"/>
    <w:rsid w:val="6C6F0E7C"/>
    <w:rsid w:val="6C8C67B7"/>
    <w:rsid w:val="6C9D744C"/>
    <w:rsid w:val="6D167928"/>
    <w:rsid w:val="6D26299B"/>
    <w:rsid w:val="6D4772EC"/>
    <w:rsid w:val="6D7B7514"/>
    <w:rsid w:val="6D9078AF"/>
    <w:rsid w:val="6DAA3FEF"/>
    <w:rsid w:val="6DC0172B"/>
    <w:rsid w:val="6DCB690C"/>
    <w:rsid w:val="6DD41A5B"/>
    <w:rsid w:val="6DF43C2E"/>
    <w:rsid w:val="6DF51CA3"/>
    <w:rsid w:val="6E8335BD"/>
    <w:rsid w:val="6E8E12EF"/>
    <w:rsid w:val="6E972936"/>
    <w:rsid w:val="6ED446C5"/>
    <w:rsid w:val="6F2A7D94"/>
    <w:rsid w:val="6F8331F1"/>
    <w:rsid w:val="6F976CA4"/>
    <w:rsid w:val="6FAE1A09"/>
    <w:rsid w:val="6FD75BF8"/>
    <w:rsid w:val="700941D1"/>
    <w:rsid w:val="707723D0"/>
    <w:rsid w:val="70F5661B"/>
    <w:rsid w:val="71360107"/>
    <w:rsid w:val="713B688E"/>
    <w:rsid w:val="71AB6CFE"/>
    <w:rsid w:val="71D43752"/>
    <w:rsid w:val="71F1796A"/>
    <w:rsid w:val="72154626"/>
    <w:rsid w:val="72262B5D"/>
    <w:rsid w:val="72283FF7"/>
    <w:rsid w:val="722E7212"/>
    <w:rsid w:val="723A0474"/>
    <w:rsid w:val="725923E4"/>
    <w:rsid w:val="72864BF7"/>
    <w:rsid w:val="729023FC"/>
    <w:rsid w:val="73083C35"/>
    <w:rsid w:val="73280EA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B111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65AC3"/>
    <w:rsid w:val="7CE27788"/>
    <w:rsid w:val="7D0C32F1"/>
    <w:rsid w:val="7D0F408D"/>
    <w:rsid w:val="7D491C6C"/>
    <w:rsid w:val="7D5429C0"/>
    <w:rsid w:val="7D6E6D43"/>
    <w:rsid w:val="7DB57A34"/>
    <w:rsid w:val="7DE60973"/>
    <w:rsid w:val="7DEF0916"/>
    <w:rsid w:val="7E1E5218"/>
    <w:rsid w:val="7E9A4E1F"/>
    <w:rsid w:val="7EA7723A"/>
    <w:rsid w:val="7EE713C0"/>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9"/>
    <w:autoRedefine/>
    <w:qFormat/>
    <w:uiPriority w:val="0"/>
    <w:pPr>
      <w:shd w:val="clear" w:color="auto" w:fill="000080"/>
    </w:pPr>
  </w:style>
  <w:style w:type="paragraph" w:styleId="19">
    <w:name w:val="annotation text"/>
    <w:basedOn w:val="1"/>
    <w:link w:val="857"/>
    <w:autoRedefine/>
    <w:qFormat/>
    <w:uiPriority w:val="99"/>
    <w:pPr>
      <w:jc w:val="left"/>
    </w:pPr>
  </w:style>
  <w:style w:type="paragraph" w:styleId="20">
    <w:name w:val="Salutation"/>
    <w:basedOn w:val="1"/>
    <w:next w:val="1"/>
    <w:link w:val="817"/>
    <w:autoRedefine/>
    <w:qFormat/>
    <w:uiPriority w:val="0"/>
    <w:rPr>
      <w:rFonts w:ascii="仿宋_GB2312" w:eastAsia="仿宋_GB2312"/>
      <w:sz w:val="28"/>
      <w:szCs w:val="20"/>
    </w:rPr>
  </w:style>
  <w:style w:type="paragraph" w:styleId="21">
    <w:name w:val="Body Text 3"/>
    <w:basedOn w:val="1"/>
    <w:link w:val="845"/>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6"/>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5"/>
    <w:link w:val="78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2"/>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3"/>
    <w:autoRedefine/>
    <w:qFormat/>
    <w:uiPriority w:val="99"/>
    <w:pPr>
      <w:tabs>
        <w:tab w:val="center" w:pos="4153"/>
        <w:tab w:val="right" w:pos="8306"/>
      </w:tabs>
      <w:snapToGrid w:val="0"/>
      <w:jc w:val="left"/>
    </w:pPr>
    <w:rPr>
      <w:sz w:val="18"/>
      <w:szCs w:val="18"/>
    </w:rPr>
  </w:style>
  <w:style w:type="paragraph" w:styleId="42">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827"/>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1"/>
    <w:autoRedefine/>
    <w:qFormat/>
    <w:uiPriority w:val="0"/>
    <w:pPr>
      <w:spacing w:after="120" w:line="480" w:lineRule="auto"/>
    </w:pPr>
  </w:style>
  <w:style w:type="paragraph" w:styleId="57">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autoRedefine/>
    <w:qFormat/>
    <w:uiPriority w:val="0"/>
    <w:rPr>
      <w:b/>
      <w:bCs/>
    </w:rPr>
  </w:style>
  <w:style w:type="paragraph" w:styleId="61">
    <w:name w:val="Body Text First Indent 2"/>
    <w:basedOn w:val="26"/>
    <w:next w:val="24"/>
    <w:link w:val="657"/>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0">
    <w:name w:val="正文文本首行缩进 21"/>
    <w:basedOn w:val="26"/>
    <w:autoRedefine/>
    <w:qFormat/>
    <w:uiPriority w:val="99"/>
    <w:pPr>
      <w:spacing w:line="200" w:lineRule="atLeast"/>
      <w:ind w:firstLine="420"/>
    </w:pPr>
    <w:rPr>
      <w:rFonts w:hAnsi="Courier New"/>
      <w:spacing w:val="-4"/>
      <w:sz w:val="18"/>
      <w:szCs w:val="18"/>
    </w:rPr>
  </w:style>
  <w:style w:type="paragraph" w:customStyle="1" w:styleId="81">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autoRedefine/>
    <w:qFormat/>
    <w:uiPriority w:val="0"/>
    <w:pPr>
      <w:spacing w:before="156" w:line="360" w:lineRule="auto"/>
      <w:ind w:firstLine="510" w:firstLineChars="200"/>
    </w:pPr>
    <w:rPr>
      <w:sz w:val="24"/>
      <w:szCs w:val="20"/>
    </w:rPr>
  </w:style>
  <w:style w:type="paragraph" w:customStyle="1" w:styleId="87">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autoRedefine/>
    <w:qFormat/>
    <w:uiPriority w:val="0"/>
    <w:pPr>
      <w:ind w:left="0" w:right="466" w:firstLine="288"/>
    </w:pPr>
    <w:rPr>
      <w:rFonts w:hAnsi="宋体"/>
    </w:rPr>
  </w:style>
  <w:style w:type="paragraph" w:customStyle="1" w:styleId="94">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autoRedefine/>
    <w:qFormat/>
    <w:uiPriority w:val="0"/>
    <w:pPr>
      <w:adjustRightInd/>
      <w:spacing w:line="360" w:lineRule="auto"/>
      <w:ind w:firstLine="480" w:firstLineChars="200"/>
    </w:pPr>
    <w:rPr>
      <w:kern w:val="0"/>
      <w:sz w:val="24"/>
    </w:rPr>
  </w:style>
  <w:style w:type="paragraph" w:customStyle="1" w:styleId="99">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autoRedefine/>
    <w:qFormat/>
    <w:uiPriority w:val="0"/>
    <w:pPr>
      <w:tabs>
        <w:tab w:val="left" w:pos="2356"/>
      </w:tabs>
    </w:pPr>
  </w:style>
  <w:style w:type="paragraph" w:customStyle="1" w:styleId="104">
    <w:name w:val="样式 标题 4h4H4Fab-4T5Ref Heading 1rh1Heading sqlsect 1.2.3...."/>
    <w:basedOn w:val="6"/>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autoRedefine/>
    <w:qFormat/>
    <w:uiPriority w:val="0"/>
    <w:pPr>
      <w:adjustRightInd/>
    </w:pPr>
    <w:rPr>
      <w:rFonts w:ascii="宋体" w:hAnsi="Courier New"/>
      <w:kern w:val="0"/>
      <w:sz w:val="20"/>
      <w:szCs w:val="20"/>
    </w:rPr>
  </w:style>
  <w:style w:type="paragraph" w:customStyle="1" w:styleId="107">
    <w:name w:val="正文说明"/>
    <w:basedOn w:val="1"/>
    <w:link w:val="847"/>
    <w:autoRedefine/>
    <w:qFormat/>
    <w:uiPriority w:val="0"/>
    <w:pPr>
      <w:adjustRightInd/>
      <w:spacing w:line="360" w:lineRule="auto"/>
    </w:pPr>
    <w:rPr>
      <w:kern w:val="0"/>
      <w:sz w:val="24"/>
    </w:rPr>
  </w:style>
  <w:style w:type="paragraph" w:customStyle="1" w:styleId="108">
    <w:name w:val="Table Text"/>
    <w:basedOn w:val="1"/>
    <w:link w:val="853"/>
    <w:autoRedefine/>
    <w:qFormat/>
    <w:uiPriority w:val="0"/>
    <w:pPr>
      <w:widowControl/>
      <w:spacing w:before="60" w:after="60"/>
      <w:jc w:val="left"/>
    </w:pPr>
    <w:rPr>
      <w:kern w:val="0"/>
      <w:sz w:val="24"/>
    </w:rPr>
  </w:style>
  <w:style w:type="paragraph" w:customStyle="1" w:styleId="109">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3"/>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4"/>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7"/>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 Spacing1"/>
    <w:qFormat/>
    <w:uiPriority w:val="0"/>
    <w:rPr>
      <w:rFonts w:ascii="Calibri" w:hAnsi="Calibri" w:eastAsia="??" w:cs="宋体"/>
      <w:sz w:val="22"/>
      <w:szCs w:val="22"/>
      <w:lang w:val="en-US" w:eastAsia="en-US" w:bidi="ar-SA"/>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6"/>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autoRedefine/>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3"/>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6"/>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basedOn w:val="62"/>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33101</Words>
  <Characters>35107</Characters>
  <Lines>281</Lines>
  <Paragraphs>79</Paragraphs>
  <TotalTime>7</TotalTime>
  <ScaleCrop>false</ScaleCrop>
  <LinksUpToDate>false</LinksUpToDate>
  <CharactersWithSpaces>40545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2024-11-14T02:08:27Z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8FE50805AE804A57AF53CFEFB0B1ECD8_13</vt:lpwstr>
  </property>
</Properties>
</file>