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CA562">
      <w:pPr>
        <w:spacing w:line="360" w:lineRule="auto"/>
        <w:jc w:val="center"/>
        <w:rPr>
          <w:rFonts w:cs="仿宋_GB2312" w:asciiTheme="minorEastAsia" w:hAnsiTheme="minorEastAsia" w:eastAsiaTheme="minorEastAsia"/>
          <w:b/>
          <w:sz w:val="24"/>
        </w:rPr>
      </w:pPr>
    </w:p>
    <w:p w14:paraId="1E6878C2">
      <w:pPr>
        <w:spacing w:line="360" w:lineRule="auto"/>
        <w:jc w:val="center"/>
        <w:rPr>
          <w:rFonts w:cs="仿宋_GB2312" w:asciiTheme="minorEastAsia" w:hAnsiTheme="minorEastAsia" w:eastAsiaTheme="minorEastAsia"/>
          <w:b/>
          <w:sz w:val="24"/>
        </w:rPr>
      </w:pPr>
    </w:p>
    <w:p w14:paraId="3268ABC7">
      <w:pPr>
        <w:adjustRightInd/>
        <w:spacing w:line="360" w:lineRule="auto"/>
        <w:jc w:val="center"/>
        <w:rPr>
          <w:rFonts w:cs="仿宋_GB2312" w:asciiTheme="minorEastAsia" w:hAnsiTheme="minorEastAsia" w:eastAsiaTheme="minorEastAsia"/>
          <w:b/>
          <w:sz w:val="44"/>
          <w:szCs w:val="44"/>
        </w:rPr>
      </w:pPr>
    </w:p>
    <w:p w14:paraId="5CE382AA">
      <w:pPr>
        <w:adjustRightInd/>
        <w:spacing w:line="360" w:lineRule="auto"/>
        <w:jc w:val="center"/>
        <w:rPr>
          <w:rFonts w:hint="eastAsia" w:cs="仿宋_GB2312" w:asciiTheme="minorEastAsia" w:hAnsiTheme="minorEastAsia" w:eastAsiaTheme="minorEastAsia"/>
          <w:sz w:val="44"/>
          <w:szCs w:val="44"/>
          <w:lang w:eastAsia="zh-CN"/>
        </w:rPr>
      </w:pPr>
      <w:r>
        <w:rPr>
          <w:rFonts w:hint="eastAsia" w:cs="仿宋_GB2312" w:asciiTheme="minorEastAsia" w:hAnsiTheme="minorEastAsia" w:eastAsiaTheme="minorEastAsia"/>
          <w:sz w:val="44"/>
          <w:szCs w:val="44"/>
          <w:lang w:eastAsia="zh-CN"/>
        </w:rPr>
        <w:t>2024年富春江镇易腐垃圾清运处置采购项目</w:t>
      </w:r>
    </w:p>
    <w:p w14:paraId="6B3DE187">
      <w:pPr>
        <w:adjustRightInd/>
        <w:spacing w:line="360" w:lineRule="auto"/>
        <w:jc w:val="center"/>
        <w:rPr>
          <w:rFonts w:cs="仿宋_GB2312" w:asciiTheme="minorEastAsia" w:hAnsiTheme="minorEastAsia" w:eastAsiaTheme="minorEastAsia"/>
          <w:b/>
          <w:sz w:val="44"/>
          <w:szCs w:val="44"/>
        </w:rPr>
      </w:pPr>
    </w:p>
    <w:p w14:paraId="271B2A50">
      <w:pPr>
        <w:adjustRightInd/>
        <w:spacing w:line="360" w:lineRule="auto"/>
        <w:jc w:val="center"/>
        <w:rPr>
          <w:rFonts w:cs="仿宋_GB2312" w:asciiTheme="minorEastAsia" w:hAnsiTheme="minorEastAsia" w:eastAsiaTheme="minorEastAsia"/>
          <w:b/>
          <w:sz w:val="44"/>
          <w:szCs w:val="44"/>
        </w:rPr>
      </w:pPr>
      <w:r>
        <w:rPr>
          <w:rFonts w:cs="仿宋_GB2312" w:asciiTheme="minorEastAsia" w:hAnsiTheme="minorEastAsia" w:eastAsiaTheme="minorEastAsia"/>
          <w:b/>
          <w:sz w:val="44"/>
          <w:szCs w:val="44"/>
        </w:rPr>
        <w:t>（电子招投标）</w:t>
      </w:r>
    </w:p>
    <w:p w14:paraId="108AD16E">
      <w:pPr>
        <w:pStyle w:val="61"/>
      </w:pPr>
    </w:p>
    <w:p w14:paraId="3CB1A2D7">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编号</w:t>
      </w:r>
      <w:r>
        <w:rPr>
          <w:rFonts w:cs="仿宋_GB2312" w:asciiTheme="minorEastAsia" w:hAnsiTheme="minorEastAsia" w:eastAsiaTheme="minorEastAsia"/>
          <w:sz w:val="30"/>
          <w:szCs w:val="30"/>
        </w:rPr>
        <w:t>:</w:t>
      </w:r>
      <w:r>
        <w:rPr>
          <w:rFonts w:hint="eastAsia" w:cs="仿宋_GB2312" w:asciiTheme="minorEastAsia" w:hAnsiTheme="minorEastAsia" w:eastAsiaTheme="minorEastAsia"/>
          <w:sz w:val="30"/>
          <w:szCs w:val="30"/>
        </w:rPr>
        <w:t>（</w:t>
      </w:r>
      <w:r>
        <w:rPr>
          <w:rFonts w:hint="eastAsia" w:cs="仿宋_GB2312" w:asciiTheme="minorEastAsia" w:hAnsiTheme="minorEastAsia" w:eastAsiaTheme="minorEastAsia"/>
          <w:sz w:val="30"/>
          <w:szCs w:val="30"/>
          <w:lang w:eastAsia="zh-CN"/>
        </w:rPr>
        <w:t>HBCG-TL2024045</w:t>
      </w:r>
      <w:r>
        <w:rPr>
          <w:rFonts w:hint="eastAsia" w:cs="仿宋_GB2312" w:asciiTheme="minorEastAsia" w:hAnsiTheme="minorEastAsia" w:eastAsiaTheme="minorEastAsia"/>
          <w:sz w:val="30"/>
          <w:szCs w:val="30"/>
        </w:rPr>
        <w:t>）</w:t>
      </w:r>
    </w:p>
    <w:p w14:paraId="44FA48C7">
      <w:pPr>
        <w:adjustRightInd/>
        <w:spacing w:line="360" w:lineRule="auto"/>
        <w:rPr>
          <w:rFonts w:hint="eastAsia" w:cs="仿宋_GB2312" w:asciiTheme="minorEastAsia" w:hAnsiTheme="minorEastAsia" w:eastAsiaTheme="minorEastAsia"/>
          <w:sz w:val="28"/>
          <w:szCs w:val="20"/>
          <w:lang w:val="en-US" w:eastAsia="zh-CN"/>
        </w:rPr>
      </w:pPr>
      <w:r>
        <w:rPr>
          <w:rFonts w:hint="eastAsia" w:cs="仿宋_GB2312" w:asciiTheme="minorEastAsia" w:hAnsiTheme="minorEastAsia" w:eastAsiaTheme="minorEastAsia"/>
          <w:sz w:val="28"/>
          <w:szCs w:val="20"/>
          <w:lang w:val="en-US" w:eastAsia="zh-CN"/>
        </w:rPr>
        <w:t xml:space="preserve"> </w:t>
      </w:r>
    </w:p>
    <w:p w14:paraId="306CF2F5">
      <w:pPr>
        <w:spacing w:line="360" w:lineRule="auto"/>
        <w:jc w:val="center"/>
        <w:rPr>
          <w:rFonts w:cs="仿宋_GB2312" w:asciiTheme="minorEastAsia" w:hAnsiTheme="minorEastAsia" w:eastAsiaTheme="minorEastAsia"/>
          <w:b/>
          <w:sz w:val="44"/>
          <w:szCs w:val="44"/>
        </w:rPr>
      </w:pPr>
    </w:p>
    <w:p w14:paraId="1F913E24">
      <w:pPr>
        <w:spacing w:line="360" w:lineRule="auto"/>
        <w:jc w:val="center"/>
        <w:rPr>
          <w:rFonts w:cs="仿宋_GB2312" w:asciiTheme="minorEastAsia" w:hAnsiTheme="minorEastAsia" w:eastAsiaTheme="minorEastAsia"/>
          <w:b/>
          <w:sz w:val="44"/>
          <w:szCs w:val="44"/>
        </w:rPr>
      </w:pPr>
    </w:p>
    <w:p w14:paraId="23979136">
      <w:pPr>
        <w:spacing w:line="360" w:lineRule="auto"/>
        <w:jc w:val="center"/>
        <w:rPr>
          <w:rFonts w:cs="仿宋_GB2312" w:asciiTheme="minorEastAsia" w:hAnsiTheme="minorEastAsia" w:eastAsiaTheme="minorEastAsia"/>
          <w:sz w:val="24"/>
        </w:rPr>
      </w:pPr>
    </w:p>
    <w:p w14:paraId="764FA5C2">
      <w:pPr>
        <w:spacing w:line="360" w:lineRule="auto"/>
        <w:jc w:val="center"/>
        <w:rPr>
          <w:rFonts w:cs="仿宋_GB2312" w:asciiTheme="minorEastAsia" w:hAnsiTheme="minorEastAsia" w:eastAsiaTheme="minorEastAsia"/>
          <w:sz w:val="24"/>
        </w:rPr>
      </w:pPr>
    </w:p>
    <w:p w14:paraId="6D03B6E7">
      <w:pPr>
        <w:spacing w:line="360" w:lineRule="auto"/>
        <w:jc w:val="center"/>
        <w:rPr>
          <w:rFonts w:cs="仿宋_GB2312" w:asciiTheme="minorEastAsia" w:hAnsiTheme="minorEastAsia" w:eastAsiaTheme="minorEastAsia"/>
          <w:sz w:val="32"/>
          <w:szCs w:val="32"/>
        </w:rPr>
      </w:pPr>
    </w:p>
    <w:p w14:paraId="12ACFE8D">
      <w:pPr>
        <w:tabs>
          <w:tab w:val="left" w:pos="1980"/>
          <w:tab w:val="left" w:pos="3240"/>
          <w:tab w:val="left" w:pos="3420"/>
          <w:tab w:val="left" w:pos="3600"/>
          <w:tab w:val="left" w:pos="3780"/>
        </w:tabs>
        <w:spacing w:line="720" w:lineRule="auto"/>
        <w:ind w:left="-181" w:leftChars="-86" w:firstLine="1760" w:firstLineChars="550"/>
        <w:rPr>
          <w:rFonts w:asciiTheme="minorEastAsia" w:hAnsiTheme="minorEastAsia" w:eastAsiaTheme="minorEastAsia"/>
          <w:sz w:val="32"/>
        </w:rPr>
      </w:pPr>
    </w:p>
    <w:p w14:paraId="75ED4102">
      <w:pPr>
        <w:tabs>
          <w:tab w:val="left" w:pos="1980"/>
          <w:tab w:val="left" w:pos="3240"/>
          <w:tab w:val="left" w:pos="3420"/>
          <w:tab w:val="left" w:pos="3600"/>
          <w:tab w:val="left" w:pos="3780"/>
        </w:tabs>
        <w:spacing w:line="720" w:lineRule="auto"/>
        <w:jc w:val="center"/>
        <w:rPr>
          <w:rFonts w:asciiTheme="minorEastAsia" w:hAnsiTheme="minorEastAsia" w:eastAsiaTheme="minorEastAsia"/>
          <w:sz w:val="32"/>
          <w:u w:val="single"/>
        </w:rPr>
      </w:pPr>
      <w:r>
        <w:rPr>
          <w:rFonts w:hint="eastAsia" w:asciiTheme="minorEastAsia" w:hAnsiTheme="minorEastAsia" w:eastAsiaTheme="minorEastAsia"/>
          <w:sz w:val="32"/>
        </w:rPr>
        <w:t>采购单位 ：</w:t>
      </w:r>
      <w:r>
        <w:fldChar w:fldCharType="begin"/>
      </w:r>
      <w:r>
        <w:instrText xml:space="preserve"> HYPERLINK "javascript:void(0);" \t "_self" \o "桐庐县残疾人联合会" </w:instrText>
      </w:r>
      <w:r>
        <w:fldChar w:fldCharType="separate"/>
      </w:r>
      <w:r>
        <w:rPr>
          <w:rFonts w:hint="eastAsia" w:asciiTheme="minorEastAsia" w:hAnsiTheme="minorEastAsia" w:eastAsiaTheme="minorEastAsia"/>
          <w:sz w:val="33"/>
          <w:u w:val="single"/>
        </w:rPr>
        <w:t>桐庐县富春江镇人民政府</w:t>
      </w:r>
      <w:r>
        <w:rPr>
          <w:rFonts w:hint="eastAsia" w:asciiTheme="minorEastAsia" w:hAnsiTheme="minorEastAsia" w:eastAsiaTheme="minorEastAsia"/>
          <w:sz w:val="33"/>
          <w:u w:val="single"/>
        </w:rPr>
        <w:fldChar w:fldCharType="end"/>
      </w:r>
    </w:p>
    <w:p w14:paraId="38FBAA8E">
      <w:pPr>
        <w:tabs>
          <w:tab w:val="left" w:pos="1620"/>
          <w:tab w:val="left" w:pos="1800"/>
          <w:tab w:val="left" w:pos="1980"/>
        </w:tabs>
        <w:spacing w:line="720" w:lineRule="auto"/>
        <w:jc w:val="center"/>
        <w:rPr>
          <w:rFonts w:asciiTheme="minorEastAsia" w:hAnsiTheme="minorEastAsia" w:eastAsiaTheme="minorEastAsia"/>
          <w:sz w:val="33"/>
          <w:u w:val="single"/>
        </w:rPr>
      </w:pPr>
      <w:r>
        <w:rPr>
          <w:rFonts w:hint="eastAsia" w:asciiTheme="minorEastAsia" w:hAnsiTheme="minorEastAsia" w:eastAsiaTheme="minorEastAsia"/>
          <w:sz w:val="32"/>
        </w:rPr>
        <w:t>采购机构</w:t>
      </w:r>
      <w:r>
        <w:rPr>
          <w:rFonts w:hint="eastAsia" w:asciiTheme="minorEastAsia" w:hAnsiTheme="minorEastAsia" w:eastAsiaTheme="minorEastAsia"/>
          <w:sz w:val="33"/>
          <w:szCs w:val="33"/>
        </w:rPr>
        <w:t xml:space="preserve"> ：</w:t>
      </w:r>
      <w:r>
        <w:rPr>
          <w:rFonts w:hint="eastAsia" w:asciiTheme="minorEastAsia" w:hAnsiTheme="minorEastAsia" w:eastAsiaTheme="minorEastAsia"/>
          <w:sz w:val="33"/>
          <w:u w:val="single"/>
        </w:rPr>
        <w:t>海标工程管理有限公司</w:t>
      </w:r>
    </w:p>
    <w:p w14:paraId="5C851A7C"/>
    <w:p w14:paraId="2B4CE992"/>
    <w:p w14:paraId="14C6306D">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2024年</w:t>
      </w:r>
      <w:r>
        <w:rPr>
          <w:rFonts w:hint="eastAsia" w:cs="仿宋_GB2312" w:asciiTheme="minorEastAsia" w:hAnsiTheme="minorEastAsia" w:eastAsiaTheme="minorEastAsia"/>
          <w:bCs/>
          <w:sz w:val="32"/>
          <w:szCs w:val="32"/>
          <w:lang w:val="en-US" w:eastAsia="zh-CN"/>
        </w:rPr>
        <w:t>8</w:t>
      </w:r>
      <w:r>
        <w:rPr>
          <w:rFonts w:hint="eastAsia" w:cs="仿宋_GB2312" w:asciiTheme="minorEastAsia" w:hAnsiTheme="minorEastAsia" w:eastAsiaTheme="minorEastAsia"/>
          <w:bCs/>
          <w:sz w:val="32"/>
          <w:szCs w:val="32"/>
        </w:rPr>
        <w:t>月</w:t>
      </w:r>
      <w:bookmarkStart w:id="0" w:name="_Hlt67893495"/>
      <w:bookmarkEnd w:id="0"/>
    </w:p>
    <w:p w14:paraId="7C3CC49F">
      <w:pP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br w:type="page"/>
      </w:r>
    </w:p>
    <w:p w14:paraId="0810EA35">
      <w:pPr>
        <w:pStyle w:val="5"/>
        <w:tabs>
          <w:tab w:val="left" w:pos="5497"/>
          <w:tab w:val="clear" w:pos="432"/>
        </w:tabs>
      </w:pPr>
      <w:r>
        <w:rPr>
          <w:rFonts w:hint="eastAsia"/>
        </w:rPr>
        <w:tab/>
      </w:r>
      <w:r>
        <w:rPr>
          <w:rFonts w:hint="eastAsia"/>
        </w:rPr>
        <w:tab/>
      </w:r>
    </w:p>
    <w:sdt>
      <w:sdtPr>
        <w:rPr>
          <w:rFonts w:ascii="Times New Roman" w:hAnsi="Times New Roman" w:eastAsia="宋体" w:cs="Times New Roman"/>
          <w:b w:val="0"/>
          <w:bCs w:val="0"/>
          <w:color w:val="auto"/>
          <w:kern w:val="2"/>
          <w:sz w:val="21"/>
          <w:szCs w:val="24"/>
          <w:lang w:val="zh-CN"/>
        </w:rPr>
        <w:id w:val="458498842"/>
        <w:docPartObj>
          <w:docPartGallery w:val="Table of Contents"/>
          <w:docPartUnique/>
        </w:docPartObj>
      </w:sdtPr>
      <w:sdtEndPr>
        <w:rPr>
          <w:rFonts w:ascii="Times New Roman" w:hAnsi="Times New Roman" w:eastAsia="宋体" w:cs="Times New Roman"/>
          <w:b w:val="0"/>
          <w:bCs w:val="0"/>
          <w:color w:val="auto"/>
          <w:kern w:val="2"/>
          <w:sz w:val="48"/>
          <w:szCs w:val="56"/>
          <w:lang w:val="en-US"/>
        </w:rPr>
      </w:sdtEndPr>
      <w:sdtContent>
        <w:p w14:paraId="2333440D">
          <w:pPr>
            <w:pStyle w:val="962"/>
            <w:snapToGrid w:val="0"/>
            <w:spacing w:beforeLines="50" w:afterLines="50" w:line="480" w:lineRule="auto"/>
            <w:jc w:val="center"/>
            <w:rPr>
              <w:rFonts w:asciiTheme="minorEastAsia" w:hAnsiTheme="minorEastAsia" w:eastAsiaTheme="minorEastAsia"/>
              <w:sz w:val="48"/>
              <w:szCs w:val="48"/>
            </w:rPr>
          </w:pPr>
          <w:bookmarkStart w:id="1" w:name="_Hlt91233176"/>
          <w:bookmarkEnd w:id="1"/>
          <w:bookmarkStart w:id="2" w:name="_Toc91899869"/>
          <w:r>
            <w:rPr>
              <w:rFonts w:asciiTheme="minorEastAsia" w:hAnsiTheme="minorEastAsia" w:eastAsiaTheme="minorEastAsia"/>
              <w:sz w:val="48"/>
              <w:szCs w:val="48"/>
              <w:lang w:val="zh-CN"/>
            </w:rPr>
            <w:t>目录</w:t>
          </w:r>
        </w:p>
        <w:p w14:paraId="33C1D54F">
          <w:pPr>
            <w:pStyle w:val="43"/>
            <w:tabs>
              <w:tab w:val="right" w:leader="dot" w:pos="9070"/>
            </w:tabs>
            <w:spacing w:line="480" w:lineRule="auto"/>
            <w:rPr>
              <w:rFonts w:asciiTheme="minorEastAsia" w:hAnsiTheme="minorEastAsia" w:eastAsiaTheme="minorEastAsia"/>
              <w:sz w:val="36"/>
              <w:szCs w:val="36"/>
            </w:rPr>
          </w:pPr>
          <w:r>
            <w:rPr>
              <w:rFonts w:asciiTheme="minorEastAsia" w:hAnsiTheme="minorEastAsia" w:eastAsiaTheme="minorEastAsia"/>
              <w:sz w:val="72"/>
              <w:szCs w:val="72"/>
            </w:rPr>
            <w:fldChar w:fldCharType="begin"/>
          </w:r>
          <w:r>
            <w:rPr>
              <w:rFonts w:asciiTheme="minorEastAsia" w:hAnsiTheme="minorEastAsia" w:eastAsiaTheme="minorEastAsia"/>
              <w:sz w:val="72"/>
              <w:szCs w:val="72"/>
            </w:rPr>
            <w:instrText xml:space="preserve"> TOC \o "1-3" \h \z \u </w:instrText>
          </w:r>
          <w:r>
            <w:rPr>
              <w:rFonts w:asciiTheme="minorEastAsia" w:hAnsiTheme="minorEastAsia" w:eastAsiaTheme="minorEastAsia"/>
              <w:sz w:val="72"/>
              <w:szCs w:val="72"/>
            </w:rPr>
            <w:fldChar w:fldCharType="separate"/>
          </w:r>
          <w:r>
            <w:fldChar w:fldCharType="begin"/>
          </w:r>
          <w:r>
            <w:instrText xml:space="preserve"> HYPERLINK \l "_Toc15979" </w:instrText>
          </w:r>
          <w:r>
            <w:fldChar w:fldCharType="separate"/>
          </w:r>
          <w:r>
            <w:rPr>
              <w:rFonts w:hint="eastAsia" w:asciiTheme="minorEastAsia" w:hAnsiTheme="minorEastAsia" w:eastAsiaTheme="minorEastAsia"/>
              <w:sz w:val="36"/>
              <w:szCs w:val="36"/>
            </w:rPr>
            <w:t>第一部分 招标公告</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_Toc15979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23CA89AA">
          <w:pPr>
            <w:pStyle w:val="43"/>
            <w:tabs>
              <w:tab w:val="right" w:leader="dot" w:pos="9070"/>
            </w:tabs>
            <w:spacing w:line="480" w:lineRule="auto"/>
            <w:rPr>
              <w:rFonts w:asciiTheme="minorEastAsia" w:hAnsiTheme="minorEastAsia" w:eastAsiaTheme="minorEastAsia"/>
              <w:sz w:val="36"/>
              <w:szCs w:val="36"/>
            </w:rPr>
          </w:pPr>
          <w:r>
            <w:fldChar w:fldCharType="begin"/>
          </w:r>
          <w:r>
            <w:instrText xml:space="preserve"> HYPERLINK \l "_Toc23156" </w:instrText>
          </w:r>
          <w:r>
            <w:fldChar w:fldCharType="separate"/>
          </w:r>
          <w:r>
            <w:rPr>
              <w:rFonts w:hint="eastAsia" w:asciiTheme="minorEastAsia" w:hAnsiTheme="minorEastAsia" w:eastAsiaTheme="minorEastAsia"/>
              <w:sz w:val="36"/>
              <w:szCs w:val="36"/>
            </w:rPr>
            <w:t>第二部分</w:t>
          </w:r>
          <w:r>
            <w:rPr>
              <w:rFonts w:asciiTheme="minorEastAsia" w:hAnsiTheme="minorEastAsia" w:eastAsiaTheme="minorEastAsia"/>
              <w:sz w:val="36"/>
              <w:szCs w:val="36"/>
            </w:rPr>
            <w:t xml:space="preserve"> 投标人须知</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_Toc23156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7</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3B6A0667">
          <w:pPr>
            <w:pStyle w:val="43"/>
            <w:tabs>
              <w:tab w:val="right" w:leader="dot" w:pos="9070"/>
            </w:tabs>
            <w:spacing w:line="480" w:lineRule="auto"/>
            <w:rPr>
              <w:rFonts w:asciiTheme="minorEastAsia" w:hAnsiTheme="minorEastAsia" w:eastAsiaTheme="minorEastAsia"/>
              <w:sz w:val="36"/>
              <w:szCs w:val="36"/>
            </w:rPr>
          </w:pPr>
          <w:r>
            <w:fldChar w:fldCharType="begin"/>
          </w:r>
          <w:r>
            <w:instrText xml:space="preserve"> HYPERLINK \l "_Toc30778" </w:instrText>
          </w:r>
          <w:r>
            <w:fldChar w:fldCharType="separate"/>
          </w:r>
          <w:r>
            <w:rPr>
              <w:rFonts w:hint="eastAsia" w:asciiTheme="minorEastAsia" w:hAnsiTheme="minorEastAsia" w:eastAsiaTheme="minorEastAsia"/>
              <w:sz w:val="36"/>
              <w:szCs w:val="36"/>
            </w:rPr>
            <w:t>第三部分 采购需求</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_Toc30778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20</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55A9705C">
          <w:pPr>
            <w:pStyle w:val="43"/>
            <w:tabs>
              <w:tab w:val="right" w:leader="dot" w:pos="9070"/>
            </w:tabs>
            <w:spacing w:line="480" w:lineRule="auto"/>
            <w:rPr>
              <w:rFonts w:asciiTheme="minorEastAsia" w:hAnsiTheme="minorEastAsia" w:eastAsiaTheme="minorEastAsia"/>
              <w:sz w:val="36"/>
              <w:szCs w:val="36"/>
            </w:rPr>
          </w:pPr>
          <w:r>
            <w:fldChar w:fldCharType="begin"/>
          </w:r>
          <w:r>
            <w:instrText xml:space="preserve"> HYPERLINK \l "_Toc28132" </w:instrText>
          </w:r>
          <w:r>
            <w:fldChar w:fldCharType="separate"/>
          </w:r>
          <w:r>
            <w:rPr>
              <w:rFonts w:hint="eastAsia" w:asciiTheme="minorEastAsia" w:hAnsiTheme="minorEastAsia" w:eastAsiaTheme="minorEastAsia"/>
              <w:sz w:val="36"/>
              <w:szCs w:val="36"/>
            </w:rPr>
            <w:t>第四部分评标办法</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_Toc28132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20</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61D8505A">
          <w:pPr>
            <w:pStyle w:val="43"/>
            <w:tabs>
              <w:tab w:val="right" w:leader="dot" w:pos="9070"/>
            </w:tabs>
            <w:spacing w:line="480" w:lineRule="auto"/>
            <w:rPr>
              <w:rFonts w:asciiTheme="minorEastAsia" w:hAnsiTheme="minorEastAsia" w:eastAsiaTheme="minorEastAsia"/>
              <w:sz w:val="36"/>
              <w:szCs w:val="36"/>
            </w:rPr>
          </w:pPr>
          <w:r>
            <w:fldChar w:fldCharType="begin"/>
          </w:r>
          <w:r>
            <w:instrText xml:space="preserve"> HYPERLINK \l "_Toc32299" </w:instrText>
          </w:r>
          <w:r>
            <w:fldChar w:fldCharType="separate"/>
          </w:r>
          <w:r>
            <w:rPr>
              <w:rFonts w:hint="eastAsia" w:asciiTheme="minorEastAsia" w:hAnsiTheme="minorEastAsia" w:eastAsiaTheme="minorEastAsia"/>
              <w:sz w:val="36"/>
              <w:szCs w:val="36"/>
            </w:rPr>
            <w:t>第五部分拟签订的合同文本</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_Toc32299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32</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4DD8AB59">
          <w:pPr>
            <w:pStyle w:val="43"/>
            <w:tabs>
              <w:tab w:val="right" w:leader="dot" w:pos="9070"/>
            </w:tabs>
            <w:spacing w:line="480" w:lineRule="auto"/>
            <w:rPr>
              <w:rFonts w:asciiTheme="minorEastAsia" w:hAnsiTheme="minorEastAsia" w:eastAsiaTheme="minorEastAsia"/>
              <w:sz w:val="36"/>
              <w:szCs w:val="36"/>
            </w:rPr>
          </w:pPr>
          <w:r>
            <w:fldChar w:fldCharType="begin"/>
          </w:r>
          <w:r>
            <w:instrText xml:space="preserve"> HYPERLINK \l "_Toc26953" </w:instrText>
          </w:r>
          <w:r>
            <w:fldChar w:fldCharType="separate"/>
          </w:r>
          <w:r>
            <w:rPr>
              <w:rFonts w:hint="eastAsia" w:asciiTheme="minorEastAsia" w:hAnsiTheme="minorEastAsia" w:eastAsiaTheme="minorEastAsia"/>
              <w:sz w:val="36"/>
              <w:szCs w:val="36"/>
            </w:rPr>
            <w:t>第六部分 应提交的有关格式范例</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_Toc26953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42</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1E1CE95F"/>
        <w:p w14:paraId="480CC442">
          <w:pPr>
            <w:pStyle w:val="43"/>
            <w:tabs>
              <w:tab w:val="right" w:leader="dot" w:pos="9070"/>
            </w:tabs>
            <w:rPr>
              <w:sz w:val="48"/>
              <w:szCs w:val="56"/>
            </w:rPr>
          </w:pPr>
        </w:p>
        <w:p w14:paraId="3274EB5F">
          <w:pPr>
            <w:snapToGrid w:val="0"/>
            <w:spacing w:beforeLines="50" w:afterLines="50" w:line="480" w:lineRule="auto"/>
            <w:rPr>
              <w:rFonts w:asciiTheme="minorEastAsia" w:hAnsiTheme="minorEastAsia" w:eastAsiaTheme="minorEastAsia"/>
              <w:sz w:val="48"/>
              <w:szCs w:val="72"/>
            </w:rPr>
          </w:pPr>
          <w:r>
            <w:rPr>
              <w:rFonts w:asciiTheme="minorEastAsia" w:hAnsiTheme="minorEastAsia" w:eastAsiaTheme="minorEastAsia"/>
              <w:sz w:val="48"/>
              <w:szCs w:val="72"/>
            </w:rPr>
            <w:fldChar w:fldCharType="end"/>
          </w:r>
        </w:p>
        <w:p w14:paraId="65E79DEB">
          <w:pPr>
            <w:pStyle w:val="40"/>
          </w:pPr>
        </w:p>
      </w:sdtContent>
    </w:sdt>
    <w:bookmarkEnd w:id="2"/>
    <w:p w14:paraId="7FE13610">
      <w:bookmarkStart w:id="3" w:name="_Hlt74707423"/>
      <w:bookmarkEnd w:id="3"/>
      <w:bookmarkStart w:id="4" w:name="_Hlt74728647"/>
      <w:bookmarkEnd w:id="4"/>
      <w:bookmarkStart w:id="5" w:name="_Hlt74729822"/>
      <w:bookmarkEnd w:id="5"/>
      <w:bookmarkStart w:id="6" w:name="_Hlt74649545"/>
      <w:bookmarkEnd w:id="6"/>
      <w:bookmarkStart w:id="7" w:name="_Toc15979"/>
      <w:bookmarkStart w:id="8" w:name="第二部分"/>
      <w:bookmarkStart w:id="9" w:name="_Toc91899870"/>
      <w:bookmarkStart w:id="10" w:name="_Toc91899871"/>
    </w:p>
    <w:p w14:paraId="1988942C"/>
    <w:p w14:paraId="77524DB2">
      <w:pPr>
        <w:pStyle w:val="40"/>
      </w:pPr>
    </w:p>
    <w:p w14:paraId="60AF27C3">
      <w:pPr>
        <w:pStyle w:val="40"/>
      </w:pPr>
    </w:p>
    <w:p w14:paraId="157DC861">
      <w:pPr>
        <w:pStyle w:val="40"/>
      </w:pPr>
    </w:p>
    <w:p w14:paraId="304D14FD">
      <w:pPr>
        <w:pStyle w:val="40"/>
        <w:tabs>
          <w:tab w:val="left" w:pos="2244"/>
          <w:tab w:val="clear" w:pos="4153"/>
          <w:tab w:val="clear" w:pos="8306"/>
        </w:tabs>
      </w:pPr>
      <w:r>
        <w:tab/>
      </w:r>
    </w:p>
    <w:p w14:paraId="4888D662">
      <w:pPr>
        <w:pStyle w:val="40"/>
      </w:pPr>
    </w:p>
    <w:p w14:paraId="391D7223">
      <w:pPr>
        <w:pStyle w:val="40"/>
      </w:pPr>
    </w:p>
    <w:p w14:paraId="22FA0318">
      <w:pPr>
        <w:pStyle w:val="40"/>
      </w:pPr>
    </w:p>
    <w:p w14:paraId="38594328">
      <w:pPr>
        <w:pStyle w:val="40"/>
      </w:pPr>
    </w:p>
    <w:p w14:paraId="4A840388">
      <w:pPr>
        <w:pStyle w:val="40"/>
      </w:pPr>
    </w:p>
    <w:p w14:paraId="06104078">
      <w:pPr>
        <w:pStyle w:val="40"/>
      </w:pPr>
    </w:p>
    <w:p w14:paraId="6035F421">
      <w:pPr>
        <w:rPr>
          <w:szCs w:val="20"/>
        </w:rPr>
      </w:pPr>
      <w:r>
        <w:rPr>
          <w:rFonts w:hint="eastAsia"/>
          <w:szCs w:val="20"/>
        </w:rPr>
        <w:br w:type="page"/>
      </w:r>
    </w:p>
    <w:p w14:paraId="1F6ED489">
      <w:pPr>
        <w:pStyle w:val="4"/>
        <w:spacing w:beforeLines="0" w:afterLines="0"/>
        <w:rPr>
          <w:szCs w:val="20"/>
        </w:rPr>
      </w:pPr>
      <w:r>
        <w:rPr>
          <w:rFonts w:hint="eastAsia"/>
          <w:szCs w:val="20"/>
        </w:rPr>
        <w:t>第一部分 招标公告</w:t>
      </w:r>
      <w:bookmarkEnd w:id="7"/>
    </w:p>
    <w:p w14:paraId="56E6B5A5">
      <w:pPr>
        <w:pBdr>
          <w:top w:val="single" w:color="auto" w:sz="4" w:space="1"/>
          <w:left w:val="single" w:color="auto" w:sz="4" w:space="4"/>
          <w:bottom w:val="single" w:color="auto" w:sz="4" w:space="1"/>
          <w:right w:val="single" w:color="auto" w:sz="4" w:space="4"/>
        </w:pBd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项目概况</w:t>
      </w:r>
    </w:p>
    <w:p w14:paraId="301AC61B">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lang w:eastAsia="zh-CN"/>
        </w:rPr>
        <w:t>2024年富春江镇易腐垃圾清运处置采购项目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Fonts w:hint="eastAsia" w:asciiTheme="minorEastAsia" w:hAnsiTheme="minorEastAsia" w:eastAsiaTheme="minorEastAsia"/>
          <w:sz w:val="24"/>
          <w:u w:val="single"/>
        </w:rPr>
        <w:t>2024</w:t>
      </w:r>
      <w:r>
        <w:rPr>
          <w:rFonts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9</w:t>
      </w:r>
      <w:r>
        <w:rPr>
          <w:rFonts w:hint="eastAsia"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18</w:t>
      </w:r>
      <w:r>
        <w:rPr>
          <w:rFonts w:hint="eastAsia" w:asciiTheme="minorEastAsia" w:hAnsiTheme="minorEastAsia" w:eastAsiaTheme="minorEastAsia"/>
          <w:sz w:val="24"/>
          <w:u w:val="single"/>
        </w:rPr>
        <w:t>日</w:t>
      </w:r>
      <w:r>
        <w:rPr>
          <w:rFonts w:hint="eastAsia" w:asciiTheme="minorEastAsia" w:hAnsiTheme="minorEastAsia" w:eastAsiaTheme="minorEastAsia"/>
          <w:sz w:val="24"/>
          <w:u w:val="single"/>
          <w:lang w:val="en-US" w:eastAsia="zh-CN"/>
        </w:rPr>
        <w:t>10</w:t>
      </w:r>
      <w:r>
        <w:rPr>
          <w:rFonts w:hint="eastAsia" w:asciiTheme="minorEastAsia" w:hAnsiTheme="minorEastAsia" w:eastAsiaTheme="minorEastAsia"/>
          <w:sz w:val="24"/>
          <w:u w:val="single"/>
        </w:rPr>
        <w:t>点</w:t>
      </w:r>
      <w:r>
        <w:rPr>
          <w:rFonts w:hint="eastAsia" w:asciiTheme="minorEastAsia" w:hAnsiTheme="minorEastAsia" w:eastAsiaTheme="minorEastAsia"/>
          <w:sz w:val="24"/>
          <w:u w:val="single"/>
          <w:lang w:val="en-US" w:eastAsia="zh-CN"/>
        </w:rPr>
        <w:t>30</w:t>
      </w:r>
      <w:r>
        <w:rPr>
          <w:rFonts w:hint="eastAsia" w:asciiTheme="minorEastAsia" w:hAnsiTheme="minorEastAsia" w:eastAsiaTheme="minorEastAsia"/>
          <w:sz w:val="24"/>
          <w:u w:val="single"/>
        </w:rPr>
        <w:t>分</w:t>
      </w:r>
      <w:r>
        <w:rPr>
          <w:rFonts w:hint="eastAsia" w:asciiTheme="minorEastAsia" w:hAnsiTheme="minorEastAsia" w:eastAsiaTheme="minorEastAsia"/>
          <w:bCs/>
          <w:sz w:val="24"/>
          <w:u w:val="single"/>
        </w:rPr>
        <w:t>00秒</w:t>
      </w:r>
      <w:r>
        <w:rPr>
          <w:rFonts w:hint="eastAsia" w:asciiTheme="minorEastAsia" w:hAnsiTheme="minorEastAsia" w:eastAsiaTheme="minorEastAsia"/>
          <w:bCs/>
          <w:sz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43713AF2">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一、项目基本情况</w:t>
      </w:r>
    </w:p>
    <w:p w14:paraId="30A14A83">
      <w:pPr>
        <w:snapToGrid w:val="0"/>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lang w:eastAsia="zh-CN"/>
        </w:rPr>
        <w:t>HBCG-TL2024045</w:t>
      </w:r>
    </w:p>
    <w:p w14:paraId="7AC873BA">
      <w:pPr>
        <w:pStyle w:val="40"/>
        <w:spacing w:line="360" w:lineRule="auto"/>
        <w:ind w:firstLine="482" w:firstLineChars="200"/>
        <w:rPr>
          <w:rFonts w:eastAsiaTheme="minorEastAsia"/>
        </w:rPr>
      </w:pPr>
      <w:r>
        <w:rPr>
          <w:rFonts w:hint="eastAsia" w:asciiTheme="minorEastAsia" w:hAnsiTheme="minorEastAsia" w:eastAsiaTheme="minorEastAsia"/>
          <w:b/>
          <w:sz w:val="24"/>
          <w:szCs w:val="24"/>
        </w:rPr>
        <w:t>采购方式：</w:t>
      </w:r>
      <w:r>
        <w:rPr>
          <w:rFonts w:hint="eastAsia" w:asciiTheme="minorEastAsia" w:hAnsiTheme="minorEastAsia" w:eastAsiaTheme="minorEastAsia"/>
          <w:sz w:val="24"/>
        </w:rPr>
        <w:t>公开招标</w:t>
      </w:r>
    </w:p>
    <w:p w14:paraId="241BD4E1">
      <w:pPr>
        <w:snapToGrid w:val="0"/>
        <w:spacing w:line="360" w:lineRule="auto"/>
        <w:ind w:firstLine="482" w:firstLineChars="200"/>
        <w:rPr>
          <w:rFonts w:hint="eastAsia" w:cs="仿宋_GB2312" w:asciiTheme="minorEastAsia" w:hAnsiTheme="minorEastAsia" w:eastAsiaTheme="minorEastAsia"/>
          <w:sz w:val="24"/>
          <w:lang w:eastAsia="zh-CN"/>
        </w:rPr>
      </w:pPr>
      <w:r>
        <w:rPr>
          <w:rFonts w:asciiTheme="minorEastAsia" w:hAnsiTheme="minorEastAsia" w:eastAsiaTheme="minorEastAsia"/>
          <w:b/>
          <w:sz w:val="24"/>
        </w:rPr>
        <w:t>项目名称：</w:t>
      </w:r>
      <w:r>
        <w:rPr>
          <w:rFonts w:hint="eastAsia" w:cs="仿宋_GB2312" w:asciiTheme="minorEastAsia" w:hAnsiTheme="minorEastAsia" w:eastAsiaTheme="minorEastAsia"/>
          <w:sz w:val="24"/>
          <w:lang w:eastAsia="zh-CN"/>
        </w:rPr>
        <w:t>2024年富春江镇易腐垃圾清运处置采购项目</w:t>
      </w:r>
    </w:p>
    <w:p w14:paraId="6CD1746B">
      <w:pPr>
        <w:snapToGrid w:val="0"/>
        <w:spacing w:line="360" w:lineRule="auto"/>
        <w:ind w:firstLine="482" w:firstLineChars="200"/>
        <w:rPr>
          <w:rFonts w:hint="eastAsia" w:cs="仿宋_GB2312" w:asciiTheme="minorEastAsia" w:hAnsiTheme="minorEastAsia" w:eastAsiaTheme="minorEastAsia"/>
          <w:sz w:val="24"/>
          <w:lang w:eastAsia="zh-CN"/>
        </w:rPr>
      </w:pPr>
      <w:r>
        <w:rPr>
          <w:rFonts w:asciiTheme="minorEastAsia" w:hAnsiTheme="minorEastAsia" w:eastAsiaTheme="minorEastAsia"/>
          <w:b/>
          <w:sz w:val="24"/>
        </w:rPr>
        <w:t>预算金额（元）：</w:t>
      </w:r>
      <w:r>
        <w:rPr>
          <w:rFonts w:hint="eastAsia" w:cs="仿宋_GB2312" w:asciiTheme="minorEastAsia" w:hAnsiTheme="minorEastAsia" w:eastAsiaTheme="minorEastAsia"/>
          <w:sz w:val="24"/>
          <w:lang w:eastAsia="zh-CN"/>
        </w:rPr>
        <w:t>800000</w:t>
      </w:r>
    </w:p>
    <w:p w14:paraId="7189C3BC">
      <w:pPr>
        <w:snapToGrid w:val="0"/>
        <w:spacing w:line="360" w:lineRule="auto"/>
        <w:ind w:firstLine="482" w:firstLineChars="200"/>
        <w:rPr>
          <w:rFonts w:hint="eastAsia" w:eastAsiaTheme="minorEastAsia"/>
          <w:lang w:eastAsia="zh-CN"/>
        </w:rPr>
      </w:pPr>
      <w:r>
        <w:rPr>
          <w:rFonts w:hint="eastAsia" w:asciiTheme="minorEastAsia" w:hAnsiTheme="minorEastAsia" w:eastAsiaTheme="minorEastAsia"/>
          <w:b/>
          <w:sz w:val="24"/>
        </w:rPr>
        <w:t>最高限价（元）：</w:t>
      </w:r>
      <w:r>
        <w:rPr>
          <w:rFonts w:hint="eastAsia" w:cs="仿宋_GB2312" w:asciiTheme="minorEastAsia" w:hAnsiTheme="minorEastAsia" w:eastAsiaTheme="minorEastAsia"/>
          <w:snapToGrid w:val="0"/>
          <w:color w:val="000000"/>
          <w:kern w:val="28"/>
          <w:sz w:val="24"/>
          <w:szCs w:val="20"/>
          <w:u w:val="none"/>
          <w:lang w:val="en-US" w:eastAsia="zh-CN" w:bidi="ar-SA"/>
        </w:rPr>
        <w:t>本项目采用单价报价，最高限价580元/吨</w:t>
      </w:r>
    </w:p>
    <w:p w14:paraId="7788CDF2">
      <w:pPr>
        <w:pStyle w:val="7"/>
        <w:spacing w:line="360" w:lineRule="auto"/>
        <w:ind w:firstLine="482" w:firstLineChars="200"/>
        <w:rPr>
          <w:rFonts w:asciiTheme="minorEastAsia" w:hAnsiTheme="minorEastAsia" w:eastAsiaTheme="minorEastAsia"/>
          <w:bCs/>
          <w:snapToGrid/>
          <w:color w:val="auto"/>
          <w:kern w:val="2"/>
          <w:sz w:val="24"/>
          <w:szCs w:val="24"/>
        </w:rPr>
      </w:pPr>
      <w:r>
        <w:rPr>
          <w:rFonts w:hint="eastAsia" w:asciiTheme="minorEastAsia" w:hAnsiTheme="minorEastAsia" w:eastAsiaTheme="minorEastAsia"/>
          <w:b/>
          <w:color w:val="auto"/>
          <w:sz w:val="24"/>
        </w:rPr>
        <w:t>采购需求：</w:t>
      </w:r>
      <w:r>
        <w:rPr>
          <w:rFonts w:hint="eastAsia" w:cs="仿宋_GB2312" w:asciiTheme="minorEastAsia" w:hAnsiTheme="minorEastAsia" w:eastAsiaTheme="minorEastAsia"/>
          <w:sz w:val="24"/>
          <w:u w:val="none"/>
          <w:lang w:eastAsia="zh-CN"/>
        </w:rPr>
        <w:t>2024年富春江镇易腐垃圾清运处置采购项目</w:t>
      </w:r>
      <w:r>
        <w:rPr>
          <w:rFonts w:hint="eastAsia" w:cs="仿宋_GB2312" w:asciiTheme="minorEastAsia" w:hAnsiTheme="minorEastAsia" w:eastAsiaTheme="minorEastAsia"/>
          <w:snapToGrid/>
          <w:color w:val="auto"/>
          <w:kern w:val="2"/>
          <w:sz w:val="24"/>
          <w:szCs w:val="24"/>
        </w:rPr>
        <w:t>，</w:t>
      </w:r>
      <w:r>
        <w:rPr>
          <w:rFonts w:hint="eastAsia" w:hAnsi="宋体" w:cs="宋体"/>
          <w:bCs/>
          <w:snapToGrid/>
          <w:color w:val="auto"/>
          <w:kern w:val="2"/>
          <w:sz w:val="24"/>
          <w:szCs w:val="24"/>
        </w:rPr>
        <w:t>详见招标文件第三部分采购需求。</w:t>
      </w:r>
    </w:p>
    <w:p w14:paraId="03CD92C4">
      <w:pPr>
        <w:pStyle w:val="131"/>
        <w:snapToGrid w:val="0"/>
        <w:spacing w:before="0"/>
        <w:ind w:firstLine="482"/>
        <w:outlineLvl w:val="2"/>
        <w:rPr>
          <w:rFonts w:asciiTheme="minorEastAsia" w:hAnsiTheme="minorEastAsia" w:eastAsiaTheme="minorEastAsia"/>
          <w:highlight w:val="yellow"/>
        </w:rPr>
      </w:pPr>
      <w:bookmarkStart w:id="11" w:name="_Toc6011"/>
      <w:bookmarkStart w:id="12" w:name="_Toc92901598"/>
      <w:r>
        <w:rPr>
          <w:rFonts w:hint="eastAsia" w:asciiTheme="minorEastAsia" w:hAnsiTheme="minorEastAsia" w:eastAsiaTheme="minorEastAsia"/>
          <w:b/>
        </w:rPr>
        <w:t>合同履约期限：</w:t>
      </w:r>
      <w:bookmarkEnd w:id="11"/>
      <w:bookmarkEnd w:id="12"/>
      <w:r>
        <w:rPr>
          <w:rFonts w:hint="eastAsia" w:ascii="宋体" w:hAnsi="宋体" w:cs="宋体" w:eastAsiaTheme="minorEastAsia"/>
          <w:bCs/>
          <w:szCs w:val="24"/>
          <w:lang w:val="en-US" w:eastAsia="zh-CN"/>
        </w:rPr>
        <w:t>1</w:t>
      </w:r>
      <w:r>
        <w:rPr>
          <w:rFonts w:hint="eastAsia" w:ascii="宋体" w:hAnsi="宋体" w:cs="宋体"/>
          <w:bCs/>
          <w:szCs w:val="24"/>
        </w:rPr>
        <w:t>年。</w:t>
      </w:r>
    </w:p>
    <w:p w14:paraId="55D58215">
      <w:pPr>
        <w:pStyle w:val="7"/>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color w:val="auto"/>
          <w:sz w:val="24"/>
        </w:rPr>
        <w:t>本项目接受联合体投标：</w:t>
      </w:r>
      <w:sdt>
        <w:sdtPr>
          <w:rPr>
            <w:rFonts w:hint="eastAsia" w:cs="Arial" w:asciiTheme="minorEastAsia" w:hAnsiTheme="minorEastAsia" w:eastAsiaTheme="minorEastAsia"/>
            <w:color w:val="auto"/>
            <w:kern w:val="0"/>
            <w:sz w:val="24"/>
          </w:rPr>
          <w:id w:val="2035453831"/>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kern w:val="0"/>
                <w:sz w:val="24"/>
              </w:rPr>
              <w:id w:val="458498662"/>
            </w:sdtPr>
            <w:sdtEndPr>
              <w:rPr>
                <w:rFonts w:hint="eastAsia" w:cs="Arial" w:asciiTheme="minorEastAsia" w:hAnsiTheme="minorEastAsia" w:eastAsiaTheme="minorEastAsia"/>
                <w:kern w:val="0"/>
                <w:sz w:val="24"/>
              </w:rPr>
            </w:sdtEndPr>
            <w:sdtContent>
              <w:r>
                <w:rPr>
                  <w:rFonts w:cs="Arial" w:asciiTheme="minorEastAsia" w:hAnsiTheme="minorEastAsia" w:eastAsiaTheme="minorEastAsia"/>
                  <w:color w:val="auto"/>
                  <w:kern w:val="0"/>
                  <w:sz w:val="24"/>
                </w:rPr>
                <w:sym w:font="Wingdings" w:char="00A8"/>
              </w:r>
            </w:sdtContent>
          </w:sdt>
        </w:sdtContent>
      </w:sdt>
      <w:r>
        <w:rPr>
          <w:rFonts w:hint="eastAsia" w:asciiTheme="minorEastAsia" w:hAnsiTheme="minorEastAsia" w:eastAsiaTheme="minorEastAsia"/>
          <w:b/>
          <w:color w:val="auto"/>
          <w:sz w:val="24"/>
        </w:rPr>
        <w:t>是，</w:t>
      </w:r>
      <w:sdt>
        <w:sdtPr>
          <w:rPr>
            <w:rFonts w:hint="eastAsia" w:cs="Arial" w:asciiTheme="minorEastAsia" w:hAnsiTheme="minorEastAsia" w:eastAsiaTheme="minorEastAsia"/>
            <w:color w:val="auto"/>
            <w:kern w:val="0"/>
            <w:sz w:val="24"/>
          </w:rPr>
          <w:id w:val="-1765526721"/>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color w:val="auto"/>
                <w:kern w:val="0"/>
                <w:sz w:val="24"/>
              </w:rPr>
              <w:id w:val="458498658"/>
            </w:sdtPr>
            <w:sdtEndPr>
              <w:rPr>
                <w:rFonts w:hint="eastAsia" w:cs="Arial" w:asciiTheme="minorEastAsia" w:hAnsiTheme="minorEastAsia" w:eastAsiaTheme="minorEastAsia"/>
                <w:color w:val="auto"/>
                <w:kern w:val="0"/>
                <w:sz w:val="24"/>
              </w:rPr>
            </w:sdtEndPr>
            <w:sdtContent>
              <w:r>
                <w:rPr>
                  <w:rFonts w:cs="Arial" w:asciiTheme="minorEastAsia" w:hAnsiTheme="minorEastAsia" w:eastAsiaTheme="minorEastAsia"/>
                  <w:color w:val="auto"/>
                  <w:kern w:val="0"/>
                  <w:sz w:val="24"/>
                </w:rPr>
                <w:sym w:font="Wingdings" w:char="00FE"/>
              </w:r>
            </w:sdtContent>
          </w:sdt>
        </w:sdtContent>
      </w:sdt>
      <w:r>
        <w:rPr>
          <w:rFonts w:hint="eastAsia" w:asciiTheme="minorEastAsia" w:hAnsiTheme="minorEastAsia" w:eastAsiaTheme="minorEastAsia"/>
          <w:b/>
          <w:color w:val="auto"/>
          <w:sz w:val="24"/>
        </w:rPr>
        <w:t>否</w:t>
      </w:r>
      <w:r>
        <w:rPr>
          <w:rFonts w:hint="eastAsia" w:cs="Arial" w:asciiTheme="minorEastAsia" w:hAnsiTheme="minorEastAsia" w:eastAsiaTheme="minorEastAsia"/>
          <w:color w:val="auto"/>
          <w:kern w:val="0"/>
          <w:sz w:val="24"/>
        </w:rPr>
        <w:t>。</w:t>
      </w:r>
    </w:p>
    <w:p w14:paraId="33E0A222">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二、申请人的资格要求：</w:t>
      </w:r>
    </w:p>
    <w:p w14:paraId="4844A9A4">
      <w:pPr>
        <w:snapToGrid w:val="0"/>
        <w:spacing w:line="360" w:lineRule="auto"/>
        <w:ind w:firstLine="480"/>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1.</w:t>
      </w:r>
      <w:r>
        <w:rPr>
          <w:rFonts w:hint="eastAsia" w:cs="仿宋_GB2312" w:asciiTheme="minorEastAsia" w:hAnsiTheme="minorEastAsia" w:eastAsiaTheme="minor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6C8E53BE">
      <w:pPr>
        <w:spacing w:line="360" w:lineRule="auto"/>
        <w:ind w:firstLine="480" w:firstLineChars="200"/>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2.</w:t>
      </w:r>
      <w:r>
        <w:rPr>
          <w:rFonts w:hint="eastAsia" w:cs="仿宋_GB2312" w:asciiTheme="minorEastAsia" w:hAnsiTheme="minorEastAsia" w:eastAsiaTheme="minorEastAsia"/>
          <w:snapToGrid w:val="0"/>
          <w:kern w:val="28"/>
          <w:sz w:val="24"/>
          <w:szCs w:val="20"/>
        </w:rPr>
        <w:t>落实政府采购政策需满足的资格要求：</w:t>
      </w:r>
    </w:p>
    <w:p w14:paraId="754DBEAF">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无；</w:t>
      </w:r>
    </w:p>
    <w:p w14:paraId="62C0B519">
      <w:pPr>
        <w:spacing w:line="360" w:lineRule="auto"/>
        <w:ind w:firstLine="480" w:firstLineChars="20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3462536F">
      <w:pPr>
        <w:spacing w:line="360" w:lineRule="auto"/>
        <w:ind w:firstLine="897" w:firstLineChars="374"/>
        <w:rPr>
          <w:rFonts w:ascii="宋体" w:hAnsi="宋体" w:cs="宋体"/>
          <w:sz w:val="24"/>
        </w:rPr>
      </w:pPr>
      <w:sdt>
        <w:sdtPr>
          <w:rPr>
            <w:rFonts w:hint="eastAsia" w:ascii="宋体" w:hAnsi="宋体" w:cs="宋体"/>
            <w:kern w:val="0"/>
            <w:sz w:val="24"/>
          </w:rPr>
          <w:id w:val="-333685401"/>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服务全部由符合政策要求的中小企业承接，提供中小企业声明函；</w:t>
      </w:r>
    </w:p>
    <w:p w14:paraId="512B0A7E">
      <w:pPr>
        <w:spacing w:line="360" w:lineRule="auto"/>
        <w:ind w:firstLine="897" w:firstLineChars="374"/>
        <w:rPr>
          <w:rFonts w:ascii="宋体" w:hAnsi="宋体" w:cs="宋体"/>
        </w:rPr>
      </w:pPr>
      <w:sdt>
        <w:sdtPr>
          <w:rPr>
            <w:rFonts w:hint="eastAsia" w:ascii="宋体" w:hAnsi="宋体" w:cs="宋体"/>
            <w:kern w:val="0"/>
            <w:sz w:val="24"/>
          </w:rPr>
          <w:id w:val="-214102535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2582A9B8">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要求以联合体形式参加，提供联合协议和中小企业声明函，联合协议中中小企业合同金额应当达到%，小微企业合同金额应当达到%;</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14:paraId="141571CD">
      <w:pPr>
        <w:spacing w:line="360" w:lineRule="auto"/>
        <w:ind w:firstLine="480" w:firstLineChars="200"/>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要求合同分包，提供分包意向协议和中小企业声明函，分包意向协议中中小企业合同金额达到% ，小微企业合同金额应当达到%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14:paraId="35646390">
      <w:pPr>
        <w:snapToGrid w:val="0"/>
        <w:spacing w:line="360" w:lineRule="auto"/>
        <w:ind w:firstLine="480" w:firstLineChars="200"/>
        <w:rPr>
          <w:rFonts w:asciiTheme="minorEastAsia" w:hAnsiTheme="minorEastAsia" w:eastAsiaTheme="minorEastAsia"/>
          <w:color w:val="FF0000"/>
          <w:sz w:val="24"/>
          <w:highlight w:val="yellow"/>
          <w:u w:val="single"/>
        </w:rPr>
      </w:pPr>
      <w:r>
        <w:rPr>
          <w:rFonts w:asciiTheme="minorEastAsia" w:hAnsiTheme="minorEastAsia" w:eastAsiaTheme="minorEastAsia"/>
          <w:sz w:val="24"/>
        </w:rPr>
        <w:t>3.本项目的特定资格要求：</w:t>
      </w:r>
      <w:r>
        <w:rPr>
          <w:rFonts w:hint="eastAsia" w:asciiTheme="minorEastAsia" w:hAnsiTheme="minorEastAsia" w:eastAsiaTheme="minorEastAsia"/>
          <w:sz w:val="24"/>
          <w:lang w:val="en-US" w:eastAsia="zh-CN"/>
        </w:rPr>
        <w:t>无</w:t>
      </w:r>
      <w:r>
        <w:rPr>
          <w:rFonts w:hint="eastAsia" w:asciiTheme="minorEastAsia" w:hAnsiTheme="minorEastAsia" w:eastAsiaTheme="minorEastAsia"/>
          <w:sz w:val="24"/>
        </w:rPr>
        <w:t>；</w:t>
      </w:r>
    </w:p>
    <w:p w14:paraId="4239045D">
      <w:pPr>
        <w:snapToGrid w:val="0"/>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单位负责人为同一人或者存在直接控股、管理关系的不同供应商，不得参加同一合同项下的政府采购活动；</w:t>
      </w:r>
      <w:r>
        <w:rPr>
          <w:rFonts w:cs="仿宋_GB2312" w:asciiTheme="minorEastAsia" w:hAnsiTheme="minorEastAsia" w:eastAsiaTheme="minorEastAsia"/>
          <w:sz w:val="24"/>
        </w:rPr>
        <w:t>为采购项目提供整体设计、规范编制或者项目管理、监理、检测等服务后</w:t>
      </w:r>
      <w:r>
        <w:rPr>
          <w:rFonts w:hint="eastAsia" w:cs="仿宋_GB2312" w:asciiTheme="minorEastAsia" w:hAnsiTheme="minorEastAsia" w:eastAsiaTheme="minorEastAsia"/>
          <w:sz w:val="24"/>
        </w:rPr>
        <w:t>不得</w:t>
      </w:r>
      <w:r>
        <w:rPr>
          <w:rFonts w:cs="仿宋_GB2312" w:asciiTheme="minorEastAsia" w:hAnsiTheme="minorEastAsia" w:eastAsiaTheme="minorEastAsia"/>
          <w:sz w:val="24"/>
        </w:rPr>
        <w:t>再参加该采购项目的其他采购活动。</w:t>
      </w:r>
    </w:p>
    <w:p w14:paraId="3C5CFB1D">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三、获取招标文件</w:t>
      </w:r>
    </w:p>
    <w:p w14:paraId="6A3DB692">
      <w:pPr>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时间：</w:t>
      </w:r>
      <w:r>
        <w:rPr>
          <w:rFonts w:asciiTheme="minorEastAsia" w:hAnsiTheme="minorEastAsia" w:eastAsiaTheme="minorEastAsia"/>
          <w:sz w:val="24"/>
        </w:rPr>
        <w:t>/至</w:t>
      </w:r>
      <w:r>
        <w:rPr>
          <w:rFonts w:hint="eastAsia" w:asciiTheme="minorEastAsia" w:hAnsiTheme="minorEastAsia" w:eastAsiaTheme="minorEastAsia"/>
          <w:sz w:val="24"/>
          <w:u w:val="single"/>
        </w:rPr>
        <w:t>2024</w:t>
      </w:r>
      <w:r>
        <w:rPr>
          <w:rFonts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9</w:t>
      </w:r>
      <w:r>
        <w:rPr>
          <w:rFonts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18</w:t>
      </w:r>
      <w:r>
        <w:rPr>
          <w:rFonts w:asciiTheme="minorEastAsia" w:hAnsiTheme="minorEastAsia" w:eastAsiaTheme="minorEastAsia"/>
          <w:sz w:val="24"/>
          <w:u w:val="single"/>
        </w:rPr>
        <w:t>日</w:t>
      </w:r>
      <w:r>
        <w:rPr>
          <w:rFonts w:hint="eastAsia" w:asciiTheme="minorEastAsia" w:hAnsiTheme="minorEastAsia" w:eastAsiaTheme="minorEastAsia"/>
          <w:sz w:val="24"/>
        </w:rPr>
        <w:t>，每天上午</w:t>
      </w:r>
      <w:r>
        <w:rPr>
          <w:rFonts w:asciiTheme="minorEastAsia" w:hAnsiTheme="minorEastAsia" w:eastAsiaTheme="minorEastAsia"/>
          <w:sz w:val="24"/>
        </w:rPr>
        <w:t xml:space="preserve">00:00至12:00 </w:t>
      </w:r>
      <w:r>
        <w:rPr>
          <w:rFonts w:hint="eastAsia" w:asciiTheme="minorEastAsia" w:hAnsiTheme="minorEastAsia" w:eastAsiaTheme="minorEastAsia"/>
          <w:sz w:val="24"/>
        </w:rPr>
        <w:t>，下午</w:t>
      </w:r>
      <w:r>
        <w:rPr>
          <w:rFonts w:asciiTheme="minorEastAsia" w:hAnsiTheme="minorEastAsia" w:eastAsiaTheme="minorEastAsia"/>
          <w:sz w:val="24"/>
        </w:rPr>
        <w:t>12:00至23:59（北京时间，线上获取法定节假日均可，线下获取文件法定节假日除外）</w:t>
      </w:r>
    </w:p>
    <w:p w14:paraId="708D8881">
      <w:pPr>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地点（网址）：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14:paraId="3BF7EADD">
      <w:pPr>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方式：</w:t>
      </w:r>
      <w:r>
        <w:rPr>
          <w:rFonts w:hint="eastAsia" w:asciiTheme="minorEastAsia" w:hAnsiTheme="minorEastAsia" w:eastAsiaTheme="minorEastAsia"/>
          <w:sz w:val="24"/>
        </w:rPr>
        <w:t>供应商登录政采云平台</w:t>
      </w:r>
      <w:r>
        <w:rPr>
          <w:rFonts w:asciiTheme="minorEastAsia" w:hAnsiTheme="minorEastAsia" w:eastAsiaTheme="minorEastAsia"/>
          <w:sz w:val="24"/>
        </w:rPr>
        <w:t xml:space="preserve">https://www.zcygov.cn/在线申请获取采购文件（进入“项目采购”应用，在获取采购文件菜单中选择项目，申请获取采购文件）。 </w:t>
      </w:r>
    </w:p>
    <w:p w14:paraId="111B62B3">
      <w:pPr>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售价（元）：</w:t>
      </w:r>
      <w:r>
        <w:rPr>
          <w:rFonts w:asciiTheme="minorEastAsia" w:hAnsiTheme="minorEastAsia" w:eastAsiaTheme="minorEastAsia"/>
          <w:sz w:val="24"/>
        </w:rPr>
        <w:t xml:space="preserve">0 </w:t>
      </w:r>
      <w:r>
        <w:rPr>
          <w:rFonts w:asciiTheme="minorEastAsia" w:hAnsiTheme="minorEastAsia" w:eastAsiaTheme="minorEastAsia"/>
          <w:sz w:val="24"/>
        </w:rPr>
        <w:tab/>
      </w:r>
    </w:p>
    <w:p w14:paraId="0EC369D8">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四、提交投标文件截止时间、开标时间和地点</w:t>
      </w:r>
    </w:p>
    <w:p w14:paraId="7706FCA4">
      <w:pPr>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提交投标文件截止时间：</w:t>
      </w:r>
      <w:r>
        <w:rPr>
          <w:rFonts w:hint="eastAsia" w:asciiTheme="minorEastAsia" w:hAnsiTheme="minorEastAsia" w:eastAsiaTheme="minorEastAsia"/>
          <w:sz w:val="24"/>
          <w:u w:val="single"/>
        </w:rPr>
        <w:t>2024</w:t>
      </w:r>
      <w:r>
        <w:rPr>
          <w:rFonts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9</w:t>
      </w:r>
      <w:r>
        <w:rPr>
          <w:rFonts w:hint="eastAsia"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18</w:t>
      </w:r>
      <w:r>
        <w:rPr>
          <w:rFonts w:hint="eastAsia" w:asciiTheme="minorEastAsia" w:hAnsiTheme="minorEastAsia" w:eastAsiaTheme="minorEastAsia"/>
          <w:sz w:val="24"/>
          <w:u w:val="single"/>
        </w:rPr>
        <w:t>日</w:t>
      </w:r>
      <w:r>
        <w:rPr>
          <w:rFonts w:hint="eastAsia" w:asciiTheme="minorEastAsia" w:hAnsiTheme="minorEastAsia" w:eastAsiaTheme="minorEastAsia"/>
          <w:sz w:val="24"/>
          <w:u w:val="single"/>
          <w:lang w:val="en-US" w:eastAsia="zh-CN"/>
        </w:rPr>
        <w:t>10</w:t>
      </w:r>
      <w:r>
        <w:rPr>
          <w:rFonts w:hint="eastAsia" w:asciiTheme="minorEastAsia" w:hAnsiTheme="minorEastAsia" w:eastAsiaTheme="minorEastAsia"/>
          <w:sz w:val="24"/>
          <w:u w:val="single"/>
        </w:rPr>
        <w:t>点</w:t>
      </w:r>
      <w:r>
        <w:rPr>
          <w:rFonts w:hint="eastAsia" w:asciiTheme="minorEastAsia" w:hAnsiTheme="minorEastAsia" w:eastAsiaTheme="minorEastAsia"/>
          <w:sz w:val="24"/>
          <w:u w:val="single"/>
          <w:lang w:val="en-US" w:eastAsia="zh-CN"/>
        </w:rPr>
        <w:t>3</w:t>
      </w:r>
      <w:r>
        <w:rPr>
          <w:rFonts w:hint="eastAsia" w:asciiTheme="minorEastAsia" w:hAnsiTheme="minorEastAsia" w:eastAsiaTheme="minorEastAsia"/>
          <w:sz w:val="24"/>
          <w:u w:val="single"/>
        </w:rPr>
        <w:t>0分</w:t>
      </w:r>
      <w:r>
        <w:rPr>
          <w:rFonts w:hint="eastAsia" w:asciiTheme="minorEastAsia" w:hAnsiTheme="minorEastAsia" w:eastAsiaTheme="minorEastAsia"/>
          <w:sz w:val="24"/>
        </w:rPr>
        <w:t>（北京时间）</w:t>
      </w:r>
    </w:p>
    <w:p w14:paraId="25891700">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投标地点（网址）：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14:paraId="55378E3C">
      <w:pPr>
        <w:snapToGrid w:val="0"/>
        <w:spacing w:line="360" w:lineRule="auto"/>
        <w:ind w:firstLine="482" w:firstLineChars="200"/>
        <w:rPr>
          <w:rFonts w:asciiTheme="minorEastAsia" w:hAnsiTheme="minorEastAsia" w:eastAsiaTheme="minorEastAsia"/>
          <w:bCs/>
          <w:sz w:val="24"/>
          <w:u w:val="single"/>
        </w:rPr>
      </w:pPr>
      <w:r>
        <w:rPr>
          <w:rFonts w:hint="eastAsia" w:asciiTheme="minorEastAsia" w:hAnsiTheme="minorEastAsia" w:eastAsiaTheme="minorEastAsia"/>
          <w:b/>
          <w:sz w:val="24"/>
        </w:rPr>
        <w:t>开标时间：</w:t>
      </w:r>
      <w:r>
        <w:rPr>
          <w:rFonts w:hint="eastAsia" w:asciiTheme="minorEastAsia" w:hAnsiTheme="minorEastAsia" w:eastAsiaTheme="minorEastAsia"/>
          <w:sz w:val="24"/>
          <w:u w:val="single"/>
        </w:rPr>
        <w:t>2024</w:t>
      </w:r>
      <w:r>
        <w:rPr>
          <w:rFonts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9</w:t>
      </w:r>
      <w:r>
        <w:rPr>
          <w:rFonts w:hint="eastAsia"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18</w:t>
      </w:r>
      <w:r>
        <w:rPr>
          <w:rFonts w:hint="eastAsia" w:asciiTheme="minorEastAsia" w:hAnsiTheme="minorEastAsia" w:eastAsiaTheme="minorEastAsia"/>
          <w:sz w:val="24"/>
          <w:u w:val="single"/>
        </w:rPr>
        <w:t>日</w:t>
      </w:r>
      <w:r>
        <w:rPr>
          <w:rFonts w:hint="eastAsia" w:asciiTheme="minorEastAsia" w:hAnsiTheme="minorEastAsia" w:eastAsiaTheme="minorEastAsia"/>
          <w:sz w:val="24"/>
          <w:u w:val="single"/>
          <w:lang w:val="en-US" w:eastAsia="zh-CN"/>
        </w:rPr>
        <w:t>10</w:t>
      </w:r>
      <w:r>
        <w:rPr>
          <w:rFonts w:hint="eastAsia" w:asciiTheme="minorEastAsia" w:hAnsiTheme="minorEastAsia" w:eastAsiaTheme="minorEastAsia"/>
          <w:sz w:val="24"/>
          <w:u w:val="single"/>
        </w:rPr>
        <w:t>点30分</w:t>
      </w:r>
    </w:p>
    <w:p w14:paraId="3678934B">
      <w:pPr>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开标地点（网址）：</w:t>
      </w:r>
      <w:r>
        <w:rPr>
          <w:rFonts w:asciiTheme="minorEastAsia" w:hAnsiTheme="minorEastAsia" w:eastAsiaTheme="minorEastAsia"/>
          <w:sz w:val="24"/>
        </w:rPr>
        <w:t>政</w:t>
      </w:r>
      <w:r>
        <w:rPr>
          <w:rFonts w:hint="eastAsia" w:asciiTheme="minorEastAsia" w:hAnsiTheme="minorEastAsia" w:eastAsiaTheme="minorEastAsia"/>
          <w:sz w:val="24"/>
        </w:rPr>
        <w:t>采云平台（</w:t>
      </w:r>
      <w:r>
        <w:rPr>
          <w:rFonts w:asciiTheme="minorEastAsia" w:hAnsiTheme="minorEastAsia" w:eastAsiaTheme="minorEastAsia"/>
          <w:sz w:val="24"/>
        </w:rPr>
        <w:t>https://www.zcygov.cn/）</w:t>
      </w:r>
    </w:p>
    <w:p w14:paraId="6C58A390">
      <w:pPr>
        <w:snapToGrid w:val="0"/>
        <w:spacing w:line="360" w:lineRule="auto"/>
        <w:rPr>
          <w:rFonts w:asciiTheme="minorEastAsia" w:hAnsiTheme="minorEastAsia" w:eastAsiaTheme="minorEastAsia"/>
          <w:sz w:val="24"/>
        </w:rPr>
      </w:pPr>
      <w:r>
        <w:rPr>
          <w:rFonts w:hint="eastAsia" w:asciiTheme="minorEastAsia" w:hAnsiTheme="minorEastAsia" w:eastAsiaTheme="minorEastAsia"/>
          <w:b/>
          <w:sz w:val="24"/>
        </w:rPr>
        <w:t>五、公告期限</w:t>
      </w:r>
    </w:p>
    <w:p w14:paraId="19BCB12A">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自本公告发布之日起</w:t>
      </w:r>
      <w:r>
        <w:rPr>
          <w:rFonts w:asciiTheme="minorEastAsia" w:hAnsiTheme="minorEastAsia" w:eastAsiaTheme="minorEastAsia"/>
          <w:sz w:val="24"/>
        </w:rPr>
        <w:t>5个工作日。</w:t>
      </w:r>
    </w:p>
    <w:p w14:paraId="014FFBCC">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六、其他补充事宜</w:t>
      </w:r>
    </w:p>
    <w:p w14:paraId="50D1DF0F">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Theme="minorEastAsia" w:hAnsiTheme="minorEastAsia" w:eastAsiaTheme="minorEastAsia"/>
          <w:sz w:val="24"/>
        </w:rPr>
        <w:t>作出答复的，可以在答复期满后十五个工作日内向同级政府采购监督管理部门投诉。质疑函范本、投诉书范本请到浙江政府采购网下载专区下载。</w:t>
      </w:r>
    </w:p>
    <w:p w14:paraId="75EDD488">
      <w:pPr>
        <w:snapToGrid w:val="0"/>
        <w:spacing w:line="360" w:lineRule="auto"/>
        <w:ind w:firstLine="480" w:firstLineChars="200"/>
        <w:rPr>
          <w:rFonts w:cs="仿宋_GB2312" w:asciiTheme="minorEastAsia" w:hAnsiTheme="minorEastAsia" w:eastAsiaTheme="minorEastAsia"/>
          <w:sz w:val="24"/>
        </w:rPr>
      </w:pPr>
      <w:r>
        <w:rPr>
          <w:rFonts w:hint="eastAsia" w:asciiTheme="minorEastAsia" w:hAnsiTheme="minorEastAsia" w:eastAsiaTheme="minorEastAsia"/>
          <w:sz w:val="24"/>
        </w:rPr>
        <w:t>2.其他事项：（1）需要落实的政府采购政策：包括节约资源、保护环境、支持创新、促进中小企业发展等。详见招标文件的第二部分总则。（2）</w:t>
      </w:r>
      <w:r>
        <w:rPr>
          <w:rFonts w:asciiTheme="minorEastAsia" w:hAnsiTheme="minorEastAsia" w:eastAsiaTheme="minorEastAsia"/>
          <w:sz w:val="24"/>
        </w:rPr>
        <w:t>电子招投标的说明：</w:t>
      </w:r>
      <w:r>
        <w:rPr>
          <w:rFonts w:hint="eastAsia" w:cs="仿宋_GB2312" w:asciiTheme="minorEastAsia" w:hAnsiTheme="minorEastAsia" w:eastAsiaTheme="minorEastAsia"/>
          <w:sz w:val="24"/>
        </w:rPr>
        <w:t>①</w:t>
      </w:r>
      <w:r>
        <w:rPr>
          <w:rFonts w:cs="仿宋_GB2312" w:asciiTheme="minorEastAsia" w:hAnsiTheme="minorEastAsia" w:eastAsiaTheme="minorEastAsia"/>
          <w:sz w:val="24"/>
        </w:rPr>
        <w:t>电子招投标：本项目以数据电文形式，依托“政府采购云平台（www.zcygov.cn）”进行招投标活动，不接受纸质投标文件</w:t>
      </w:r>
      <w:r>
        <w:rPr>
          <w:rFonts w:hint="eastAsia" w:cs="仿宋_GB2312" w:asciiTheme="minorEastAsia" w:hAnsiTheme="minorEastAsia" w:eastAsiaTheme="minorEastAsia"/>
          <w:sz w:val="24"/>
        </w:rPr>
        <w:t>；②</w:t>
      </w:r>
      <w:r>
        <w:rPr>
          <w:rFonts w:cs="仿宋_GB2312" w:asciiTheme="minorEastAsia" w:hAnsiTheme="minorEastAsia" w:eastAsiaTheme="minorEastAsia"/>
          <w:sz w:val="24"/>
        </w:rPr>
        <w:t>投标准备：注册账号--点击“商家入驻”，进行政府采购供应商资料填写；申领CA数字证书---申领流程详见“浙江政府采购网-下载专区-电子交易客户端-CA驱动和申领流程”；安装“政</w:t>
      </w:r>
      <w:r>
        <w:rPr>
          <w:rFonts w:hint="eastAsia" w:cs="仿宋_GB2312" w:asciiTheme="minorEastAsia" w:hAnsiTheme="minorEastAsia" w:eastAsiaTheme="minorEastAsia"/>
          <w:sz w:val="24"/>
        </w:rPr>
        <w:t>采云电子交易客户端”</w:t>
      </w:r>
      <w:r>
        <w:rPr>
          <w:rFonts w:cs="仿宋_GB2312" w:asciiTheme="minorEastAsia" w:hAnsiTheme="minorEastAsia" w:eastAsiaTheme="minorEastAsia"/>
          <w:sz w:val="24"/>
        </w:rPr>
        <w:t>----前往“浙江政府采购网-下载专区-电子交易客户端”进行下载并安装</w:t>
      </w:r>
      <w:r>
        <w:rPr>
          <w:rFonts w:hint="eastAsia" w:cs="仿宋_GB2312" w:asciiTheme="minorEastAsia" w:hAnsiTheme="minorEastAsia" w:eastAsiaTheme="minorEastAsia"/>
          <w:sz w:val="24"/>
        </w:rPr>
        <w:t>；③</w:t>
      </w:r>
      <w:r>
        <w:rPr>
          <w:rFonts w:cs="仿宋_GB2312" w:asciiTheme="minorEastAsia" w:hAnsiTheme="minorEastAsia" w:eastAsiaTheme="minorEastAsia"/>
          <w:sz w:val="24"/>
        </w:rPr>
        <w:t>招标文件的获取：使用账号登录或者使用CA登录政</w:t>
      </w:r>
      <w:r>
        <w:rPr>
          <w:rFonts w:hint="eastAsia" w:cs="仿宋_GB2312" w:asciiTheme="minorEastAsia" w:hAnsiTheme="minorEastAsia" w:eastAsiaTheme="minorEastAsia"/>
          <w:sz w:val="24"/>
        </w:rPr>
        <w:t>采云平台；进入“项目采购”应用，在获取采购文件菜单中选择项目，获取招标文件；④</w:t>
      </w:r>
      <w:r>
        <w:rPr>
          <w:rFonts w:cs="仿宋_GB2312" w:asciiTheme="minorEastAsia" w:hAnsiTheme="minorEastAsia" w:eastAsiaTheme="minorEastAsia"/>
          <w:sz w:val="24"/>
        </w:rPr>
        <w:t>投标文件的制作：在“政</w:t>
      </w:r>
      <w:r>
        <w:rPr>
          <w:rFonts w:hint="eastAsia" w:cs="仿宋_GB2312" w:asciiTheme="minorEastAsia" w:hAnsiTheme="minorEastAsia" w:eastAsiaTheme="minorEastAsia"/>
          <w:sz w:val="24"/>
        </w:rPr>
        <w:t>采云电子交易客户端”中完成“填写基本信息”、“导入投标文件”、“标书关联”、“标书检查”、“电子签名”、“生成电子标书”等操作；</w:t>
      </w:r>
      <w:r>
        <w:rPr>
          <w:rFonts w:hint="eastAsia" w:asciiTheme="minorEastAsia" w:hAnsiTheme="minorEastAsia" w:eastAsiaTheme="minorEastAsia"/>
          <w:sz w:val="24"/>
        </w:rPr>
        <w:t>⑤</w:t>
      </w:r>
      <w:r>
        <w:rPr>
          <w:rFonts w:asciiTheme="minorEastAsia" w:hAnsiTheme="minorEastAsia" w:eastAsiaTheme="minorEastAsia"/>
          <w:sz w:val="24"/>
        </w:rPr>
        <w:t>采购人、采购机构将依托政</w:t>
      </w:r>
      <w:r>
        <w:rPr>
          <w:rFonts w:hint="eastAsia" w:asciiTheme="minorEastAsia" w:hAnsiTheme="minorEastAsia" w:eastAsiaTheme="minorEastAsia"/>
          <w:sz w:val="24"/>
        </w:rPr>
        <w:t>采云平台完成本项目的电子交易活动，平台不接受未按上述方式获取招标文件的供应商进行投标活动；⑥</w:t>
      </w:r>
      <w:r>
        <w:rPr>
          <w:rFonts w:asciiTheme="minorEastAsia" w:hAnsiTheme="minorEastAsia" w:eastAsiaTheme="minorEastAsia"/>
          <w:sz w:val="24"/>
        </w:rPr>
        <w:t>对未按上述方式获取招标文件的供应商对该文件提出的质疑，采购人或采购代理机构将</w:t>
      </w:r>
      <w:r>
        <w:rPr>
          <w:rFonts w:hint="eastAsia" w:asciiTheme="minorEastAsia" w:hAnsiTheme="minorEastAsia" w:eastAsiaTheme="minorEastAsia"/>
          <w:sz w:val="24"/>
        </w:rPr>
        <w:t>不予处理；⑦</w:t>
      </w:r>
      <w:r>
        <w:rPr>
          <w:rFonts w:asciiTheme="minorEastAsia" w:hAnsiTheme="minorEastAsia" w:eastAsiaTheme="minorEastAsia"/>
          <w:sz w:val="24"/>
        </w:rPr>
        <w:t>不提供招标文件纸质版</w:t>
      </w:r>
      <w:r>
        <w:rPr>
          <w:rFonts w:hint="eastAsia" w:asciiTheme="minorEastAsia" w:hAnsiTheme="minorEastAsia" w:eastAsiaTheme="minorEastAsia"/>
          <w:sz w:val="24"/>
        </w:rPr>
        <w:t>；</w:t>
      </w:r>
      <w:r>
        <w:rPr>
          <w:rFonts w:hint="eastAsia" w:cs="仿宋_GB2312" w:asciiTheme="minorEastAsia" w:hAnsiTheme="minorEastAsia" w:eastAsiaTheme="minorEastAsia"/>
          <w:sz w:val="24"/>
        </w:rPr>
        <w:t>⑧</w:t>
      </w:r>
      <w:r>
        <w:rPr>
          <w:rFonts w:cs="仿宋_GB2312" w:asciiTheme="minorEastAsia" w:hAnsiTheme="minorEastAsia" w:eastAsiaTheme="minorEastAsia"/>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s="仿宋_GB2312" w:asciiTheme="minorEastAsia" w:hAnsiTheme="minorEastAsia" w:eastAsiaTheme="minorEastAsia"/>
          <w:sz w:val="24"/>
        </w:rPr>
        <w:t>；</w:t>
      </w:r>
      <w:r>
        <w:rPr>
          <w:rFonts w:hint="eastAsia" w:asciiTheme="minorEastAsia" w:hAnsiTheme="minorEastAsia" w:eastAsiaTheme="minorEastAsia"/>
          <w:sz w:val="24"/>
        </w:rPr>
        <w:t>⑨</w:t>
      </w:r>
      <w:r>
        <w:rPr>
          <w:rFonts w:hint="eastAsia" w:cs="仿宋_GB2312" w:asciiTheme="minorEastAsia" w:hAnsiTheme="minorEastAsia" w:eastAsiaTheme="minor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cs="仿宋_GB2312" w:asciiTheme="minorEastAsia" w:hAnsiTheme="minorEastAsia" w:eastAsiaTheme="minorEastAsia"/>
          <w:sz w:val="24"/>
        </w:rPr>
        <w:t>具体操作指南：详见政</w:t>
      </w:r>
      <w:r>
        <w:rPr>
          <w:rFonts w:hint="eastAsia" w:cs="仿宋_GB2312" w:asciiTheme="minorEastAsia" w:hAnsiTheme="minorEastAsia" w:eastAsiaTheme="minorEastAsia"/>
          <w:sz w:val="24"/>
        </w:rPr>
        <w:t>采云平台“服务中心</w:t>
      </w:r>
      <w:r>
        <w:rPr>
          <w:rFonts w:cs="仿宋_GB2312" w:asciiTheme="minorEastAsia" w:hAnsiTheme="minorEastAsia" w:eastAsiaTheme="minorEastAsia"/>
          <w:sz w:val="24"/>
        </w:rPr>
        <w:t>-帮助文档-项目采购-操作流程-电子招投标-政府采购项目电子交易管理操作指南-供应商”。</w:t>
      </w:r>
    </w:p>
    <w:p w14:paraId="307EF178">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七、对本次采购提出询问、质疑、投诉，请按以下方式联系</w:t>
      </w:r>
    </w:p>
    <w:p w14:paraId="33C7B31D">
      <w:pPr>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    1.采购人信息</w:t>
      </w:r>
    </w:p>
    <w:p w14:paraId="2A7F1B95">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名   称：桐庐县富春江镇人民政府</w:t>
      </w:r>
    </w:p>
    <w:p w14:paraId="6B6BBC10">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址：桐庐县富春江镇</w:t>
      </w:r>
    </w:p>
    <w:p w14:paraId="21A23C96">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项目联系人（询问）：</w:t>
      </w:r>
      <w:r>
        <w:rPr>
          <w:rFonts w:hint="eastAsia" w:asciiTheme="minorEastAsia" w:hAnsiTheme="minorEastAsia" w:eastAsiaTheme="minorEastAsia"/>
          <w:sz w:val="24"/>
          <w:lang w:eastAsia="zh-CN"/>
        </w:rPr>
        <w:t>孙婷</w:t>
      </w:r>
    </w:p>
    <w:p w14:paraId="4CC837C7">
      <w:pPr>
        <w:snapToGrid w:val="0"/>
        <w:spacing w:line="360" w:lineRule="auto"/>
        <w:ind w:firstLine="480" w:firstLineChars="200"/>
        <w:rPr>
          <w:rFonts w:hint="eastAsia" w:eastAsiaTheme="minorEastAsia"/>
          <w:highlight w:val="none"/>
          <w:lang w:eastAsia="zh-CN"/>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sz w:val="24"/>
          <w:highlight w:val="none"/>
          <w:lang w:eastAsia="zh-CN"/>
        </w:rPr>
        <w:t>19550225003</w:t>
      </w:r>
    </w:p>
    <w:p w14:paraId="202E9685">
      <w:pPr>
        <w:snapToGrid w:val="0"/>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质疑联系人：袁龙军</w:t>
      </w:r>
    </w:p>
    <w:p w14:paraId="5CE628D8">
      <w:pPr>
        <w:snapToGrid w:val="0"/>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质疑联系方式：</w:t>
      </w:r>
      <w:r>
        <w:rPr>
          <w:rFonts w:hint="eastAsia" w:asciiTheme="minorEastAsia" w:hAnsiTheme="minorEastAsia" w:eastAsiaTheme="minorEastAsia"/>
          <w:sz w:val="24"/>
          <w:highlight w:val="none"/>
          <w:lang w:val="en-US" w:eastAsia="zh-CN"/>
        </w:rPr>
        <w:t>13732271882</w:t>
      </w:r>
    </w:p>
    <w:p w14:paraId="1A5663FF">
      <w:pPr>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    2.采购代理机构信息            </w:t>
      </w:r>
    </w:p>
    <w:p w14:paraId="5952D5D5">
      <w:pPr>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名称：海标工程管理有限公司</w:t>
      </w:r>
    </w:p>
    <w:p w14:paraId="34698B60">
      <w:pPr>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地址：</w:t>
      </w:r>
      <w:r>
        <w:rPr>
          <w:rFonts w:hint="eastAsia" w:ascii="宋体" w:hAnsi="宋体" w:cs="宋体"/>
          <w:sz w:val="24"/>
          <w:lang w:eastAsia="zh-CN"/>
        </w:rPr>
        <w:t>浙江省杭州市临平区星桥街道原展街59号302室</w:t>
      </w:r>
    </w:p>
    <w:p w14:paraId="04FE96A3">
      <w:pPr>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    项目联系人（询问）：</w:t>
      </w:r>
      <w:r>
        <w:rPr>
          <w:rFonts w:hint="eastAsia" w:asciiTheme="minorEastAsia" w:hAnsiTheme="minorEastAsia" w:eastAsiaTheme="minorEastAsia"/>
          <w:sz w:val="24"/>
        </w:rPr>
        <w:t>樊袁烽</w:t>
      </w:r>
    </w:p>
    <w:p w14:paraId="673BD0CE">
      <w:pPr>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    项目联系方式（询问）：</w:t>
      </w:r>
      <w:r>
        <w:rPr>
          <w:rFonts w:hint="eastAsia" w:asciiTheme="minorEastAsia" w:hAnsiTheme="minorEastAsia" w:eastAsiaTheme="minorEastAsia"/>
          <w:sz w:val="24"/>
        </w:rPr>
        <w:t>13588383174</w:t>
      </w:r>
    </w:p>
    <w:p w14:paraId="69981E0A">
      <w:pPr>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    质疑联系人：</w:t>
      </w:r>
      <w:r>
        <w:rPr>
          <w:rFonts w:hint="eastAsia" w:asciiTheme="minorEastAsia" w:hAnsiTheme="minorEastAsia" w:eastAsiaTheme="minorEastAsia"/>
          <w:sz w:val="24"/>
        </w:rPr>
        <w:t>袁彬</w:t>
      </w:r>
    </w:p>
    <w:p w14:paraId="0D14B71C">
      <w:pPr>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    质疑联系方式：</w:t>
      </w:r>
      <w:r>
        <w:rPr>
          <w:rFonts w:hint="eastAsia" w:asciiTheme="minorEastAsia" w:hAnsiTheme="minorEastAsia" w:eastAsiaTheme="minorEastAsia"/>
          <w:sz w:val="24"/>
        </w:rPr>
        <w:t>15005715200</w:t>
      </w:r>
    </w:p>
    <w:p w14:paraId="3AD89B41">
      <w:pPr>
        <w:spacing w:line="360" w:lineRule="auto"/>
        <w:rPr>
          <w:rFonts w:ascii="宋体" w:hAnsi="宋体" w:cs="宋体"/>
          <w:sz w:val="24"/>
        </w:rPr>
      </w:pPr>
      <w:r>
        <w:rPr>
          <w:rFonts w:hint="eastAsia" w:ascii="宋体" w:hAnsi="宋体" w:cs="宋体"/>
          <w:sz w:val="24"/>
        </w:rPr>
        <w:t>3. 同级政府采购监督管理部门</w:t>
      </w:r>
    </w:p>
    <w:p w14:paraId="47147A3D">
      <w:pPr>
        <w:spacing w:line="360" w:lineRule="auto"/>
        <w:rPr>
          <w:rFonts w:ascii="宋体" w:hAnsi="宋体" w:cs="宋体"/>
          <w:sz w:val="24"/>
        </w:rPr>
      </w:pPr>
      <w:r>
        <w:rPr>
          <w:rFonts w:hint="eastAsia" w:ascii="宋体" w:hAnsi="宋体" w:cs="宋体"/>
          <w:sz w:val="24"/>
        </w:rPr>
        <w:t xml:space="preserve">    名    称：桐庐县财政局、浙江省政府采购行政裁决服务中心（杭州）</w:t>
      </w:r>
    </w:p>
    <w:p w14:paraId="28F610CE">
      <w:pPr>
        <w:spacing w:line="360" w:lineRule="auto"/>
        <w:ind w:left="1680" w:hanging="1680" w:hangingChars="700"/>
        <w:rPr>
          <w:rFonts w:ascii="宋体" w:hAnsi="宋体" w:cs="宋体"/>
          <w:sz w:val="24"/>
        </w:rPr>
      </w:pPr>
      <w:r>
        <w:rPr>
          <w:rFonts w:hint="eastAsia" w:ascii="宋体" w:hAnsi="宋体" w:cs="宋体"/>
          <w:sz w:val="24"/>
        </w:rPr>
        <w:t xml:space="preserve">    地    址：杭州市上城区四季青街道新业路市民之家G03办公室（快递仅限ems或顺丰）</w:t>
      </w:r>
    </w:p>
    <w:p w14:paraId="19D96DF8">
      <w:pPr>
        <w:spacing w:line="360" w:lineRule="auto"/>
        <w:rPr>
          <w:rFonts w:ascii="宋体" w:hAnsi="宋体" w:cs="宋体"/>
          <w:sz w:val="24"/>
        </w:rPr>
      </w:pPr>
      <w:r>
        <w:rPr>
          <w:rFonts w:hint="eastAsia" w:ascii="宋体" w:hAnsi="宋体" w:cs="宋体"/>
          <w:sz w:val="24"/>
        </w:rPr>
        <w:t xml:space="preserve">    传    真： /</w:t>
      </w:r>
    </w:p>
    <w:p w14:paraId="18162769">
      <w:pPr>
        <w:spacing w:line="360" w:lineRule="auto"/>
        <w:rPr>
          <w:rFonts w:ascii="宋体" w:hAnsi="宋体" w:cs="宋体"/>
          <w:sz w:val="24"/>
        </w:rPr>
      </w:pPr>
      <w:r>
        <w:rPr>
          <w:rFonts w:hint="eastAsia" w:ascii="宋体" w:hAnsi="宋体" w:cs="宋体"/>
          <w:sz w:val="24"/>
        </w:rPr>
        <w:t xml:space="preserve">    联系人 ：朱女士、王女士</w:t>
      </w:r>
    </w:p>
    <w:p w14:paraId="4A024BAC">
      <w:pPr>
        <w:spacing w:line="360" w:lineRule="auto"/>
        <w:ind w:firstLine="480" w:firstLineChars="200"/>
        <w:rPr>
          <w:rFonts w:asciiTheme="minorEastAsia" w:hAnsiTheme="minorEastAsia" w:eastAsiaTheme="minorEastAsia"/>
          <w:sz w:val="24"/>
        </w:rPr>
      </w:pPr>
      <w:r>
        <w:rPr>
          <w:rFonts w:hint="eastAsia" w:ascii="宋体" w:hAnsi="宋体" w:cs="宋体"/>
          <w:sz w:val="24"/>
        </w:rPr>
        <w:t>监督投诉电话：0571-85252453</w:t>
      </w:r>
    </w:p>
    <w:p w14:paraId="04040D37">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p>
    <w:p w14:paraId="6F3A641B">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lang w:val="en-US" w:eastAsia="zh-CN"/>
        </w:rPr>
        <w:t>95763</w:t>
      </w:r>
      <w:r>
        <w:rPr>
          <w:rFonts w:asciiTheme="minorEastAsia" w:hAnsiTheme="minorEastAsia" w:eastAsiaTheme="minorEastAsia"/>
          <w:sz w:val="24"/>
        </w:rPr>
        <w:t>。</w:t>
      </w:r>
    </w:p>
    <w:p w14:paraId="104AD28D">
      <w:pPr>
        <w:pStyle w:val="33"/>
        <w:snapToGrid w:val="0"/>
        <w:spacing w:line="360" w:lineRule="auto"/>
        <w:ind w:firstLine="480" w:firstLineChars="200"/>
        <w:rPr>
          <w:rFonts w:cs="仿宋_GB2312" w:asciiTheme="minorEastAsia" w:hAnsiTheme="minorEastAsia" w:eastAsiaTheme="minorEastAsia"/>
          <w:sz w:val="24"/>
          <w:szCs w:val="24"/>
        </w:rPr>
      </w:pPr>
    </w:p>
    <w:p w14:paraId="56A068BC">
      <w:pPr>
        <w:pStyle w:val="4"/>
        <w:spacing w:before="48" w:after="48"/>
        <w:jc w:val="center"/>
        <w:rPr>
          <w:szCs w:val="20"/>
        </w:rPr>
      </w:pPr>
      <w:r>
        <w:br w:type="page"/>
      </w:r>
      <w:bookmarkStart w:id="13" w:name="_Toc23156"/>
      <w:r>
        <w:rPr>
          <w:rFonts w:hint="eastAsia"/>
          <w:szCs w:val="20"/>
        </w:rPr>
        <w:t>第二部分</w:t>
      </w:r>
      <w:bookmarkEnd w:id="8"/>
      <w:r>
        <w:rPr>
          <w:szCs w:val="20"/>
        </w:rPr>
        <w:t xml:space="preserve"> 投标人须知</w:t>
      </w:r>
      <w:bookmarkEnd w:id="9"/>
      <w:bookmarkEnd w:id="13"/>
    </w:p>
    <w:p w14:paraId="59F216C7">
      <w:pPr>
        <w:pStyle w:val="745"/>
        <w:spacing w:before="120" w:after="120"/>
        <w:ind w:left="105"/>
        <w:jc w:val="center"/>
      </w:pPr>
      <w:bookmarkStart w:id="14" w:name="_Toc26881"/>
      <w:r>
        <w:rPr>
          <w:rFonts w:hint="eastAsia"/>
        </w:rPr>
        <w:t>前附表</w:t>
      </w:r>
      <w:bookmarkEnd w:id="14"/>
    </w:p>
    <w:tbl>
      <w:tblPr>
        <w:tblStyle w:val="62"/>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3D906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D6213E9">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95B0F26">
            <w:pPr>
              <w:snapToGrid w:val="0"/>
              <w:spacing w:line="360" w:lineRule="auto"/>
              <w:jc w:val="center"/>
              <w:rPr>
                <w:rFonts w:ascii="宋体" w:hAnsi="宋体" w:cs="宋体"/>
                <w:b/>
                <w:sz w:val="24"/>
              </w:rPr>
            </w:pPr>
            <w:r>
              <w:rPr>
                <w:rFonts w:hint="eastAsia" w:ascii="宋体" w:hAnsi="宋体" w:cs="宋体"/>
                <w:b/>
                <w:sz w:val="24"/>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5E6934CB">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0CD8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7679B9">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56BD263">
            <w:pPr>
              <w:snapToGrid w:val="0"/>
              <w:spacing w:line="360" w:lineRule="auto"/>
              <w:jc w:val="center"/>
              <w:rPr>
                <w:rFonts w:ascii="宋体" w:hAnsi="宋体" w:cs="宋体"/>
                <w:b/>
                <w:sz w:val="24"/>
              </w:rPr>
            </w:pPr>
            <w:r>
              <w:rPr>
                <w:rFonts w:hint="eastAsia" w:ascii="宋体" w:hAnsi="宋体" w:cs="宋体"/>
                <w:b/>
                <w:sz w:val="24"/>
              </w:rPr>
              <w:t>项目属性</w:t>
            </w:r>
          </w:p>
        </w:tc>
        <w:tc>
          <w:tcPr>
            <w:tcW w:w="6662" w:type="dxa"/>
            <w:tcBorders>
              <w:top w:val="single" w:color="000000" w:sz="8" w:space="0"/>
              <w:left w:val="single" w:color="000000" w:sz="2" w:space="0"/>
              <w:bottom w:val="single" w:color="000000" w:sz="8" w:space="0"/>
              <w:right w:val="single" w:color="000000" w:sz="8" w:space="0"/>
            </w:tcBorders>
            <w:vAlign w:val="center"/>
          </w:tcPr>
          <w:p w14:paraId="2A6C7320">
            <w:pPr>
              <w:rPr>
                <w:rFonts w:ascii="宋体" w:hAnsi="宋体" w:cs="宋体"/>
                <w:sz w:val="24"/>
              </w:rPr>
            </w:pPr>
            <w:r>
              <w:rPr>
                <w:rFonts w:hint="eastAsia" w:ascii="宋体" w:hAnsi="宋体" w:cs="宋体"/>
                <w:sz w:val="24"/>
              </w:rPr>
              <w:t>服务类。</w:t>
            </w:r>
          </w:p>
        </w:tc>
      </w:tr>
      <w:tr w14:paraId="0DDE8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AA45A7">
            <w:pPr>
              <w:snapToGrid w:val="0"/>
              <w:spacing w:line="360" w:lineRule="auto"/>
              <w:jc w:val="center"/>
              <w:rPr>
                <w:rFonts w:ascii="宋体" w:hAnsi="宋体" w:cs="宋体"/>
                <w:sz w:val="24"/>
              </w:rPr>
            </w:pPr>
          </w:p>
          <w:p w14:paraId="2D2D7FDC">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1D4ED94">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3EA6FACB">
            <w:pPr>
              <w:snapToGrid w:val="0"/>
              <w:spacing w:line="360" w:lineRule="auto"/>
              <w:rPr>
                <w:rFonts w:ascii="宋体" w:hAnsi="宋体" w:cs="宋体"/>
              </w:rPr>
            </w:pPr>
            <w:r>
              <w:rPr>
                <w:rFonts w:hint="eastAsia" w:ascii="宋体" w:hAnsi="宋体" w:cs="宋体"/>
                <w:kern w:val="0"/>
                <w:sz w:val="24"/>
              </w:rPr>
              <w:t>（1）标的：</w:t>
            </w:r>
            <w:r>
              <w:rPr>
                <w:rFonts w:hint="eastAsia" w:cs="仿宋_GB2312" w:asciiTheme="minorEastAsia" w:hAnsiTheme="minorEastAsia" w:eastAsiaTheme="minorEastAsia"/>
                <w:sz w:val="24"/>
                <w:u w:val="single"/>
                <w:lang w:eastAsia="zh-CN"/>
              </w:rPr>
              <w:t>2024年富春江镇易腐垃圾清运处置采购项目</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w:t>
            </w:r>
          </w:p>
        </w:tc>
      </w:tr>
      <w:tr w14:paraId="038A2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737991">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4693BE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0643681F">
            <w:pPr>
              <w:spacing w:line="360" w:lineRule="auto"/>
              <w:rPr>
                <w:rFonts w:ascii="宋体" w:hAnsi="宋体" w:cs="宋体"/>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14:paraId="63A07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8A8515">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F1586CE">
            <w:pPr>
              <w:snapToGrid w:val="0"/>
              <w:spacing w:line="360" w:lineRule="auto"/>
              <w:jc w:val="center"/>
              <w:rPr>
                <w:rFonts w:ascii="宋体" w:hAnsi="宋体" w:cs="宋体"/>
                <w:b/>
                <w:sz w:val="24"/>
              </w:rPr>
            </w:pPr>
            <w:r>
              <w:rPr>
                <w:rFonts w:hint="eastAsia" w:ascii="宋体" w:hAnsi="宋体" w:cs="宋体"/>
                <w:b/>
                <w:sz w:val="24"/>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cs="宋体"/>
                <w:kern w:val="0"/>
                <w:sz w:val="24"/>
              </w:rPr>
              <w:id w:val="-1276331357"/>
            </w:sdtPr>
            <w:sdtEndPr>
              <w:rPr>
                <w:rFonts w:hint="eastAsia" w:ascii="宋体" w:hAnsi="宋体" w:cs="宋体"/>
                <w:kern w:val="0"/>
                <w:sz w:val="24"/>
              </w:rPr>
            </w:sdtEndPr>
            <w:sdtContent>
              <w:p w14:paraId="59AC2292">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73F8B838">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 xml:space="preserve"> B</w:t>
                </w:r>
                <w:r>
                  <w:rPr>
                    <w:rFonts w:hint="eastAsia" w:ascii="宋体" w:hAnsi="宋体" w:cs="宋体"/>
                    <w:sz w:val="24"/>
                  </w:rPr>
                  <w:t xml:space="preserve">不同意分包。 </w:t>
                </w:r>
              </w:p>
              <w:p w14:paraId="55BA0E74">
                <w:pPr>
                  <w:spacing w:line="360" w:lineRule="auto"/>
                  <w:rPr>
                    <w:rFonts w:ascii="宋体" w:hAnsi="宋体" w:cs="宋体"/>
                    <w:sz w:val="24"/>
                  </w:rPr>
                </w:pPr>
                <w:r>
                  <w:rPr>
                    <w:rFonts w:hint="eastAsia" w:ascii="宋体" w:hAnsi="宋体" w:cs="宋体"/>
                    <w:sz w:val="24"/>
                  </w:rPr>
                  <w:t>注：不得限制大中型企业向小微企业合理分包。</w:t>
                </w:r>
              </w:p>
            </w:sdtContent>
          </w:sdt>
        </w:tc>
      </w:tr>
      <w:tr w14:paraId="0DA80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5CC7EE">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867B5F5">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1517F44D">
            <w:pPr>
              <w:spacing w:line="360" w:lineRule="auto"/>
              <w:rPr>
                <w:rFonts w:ascii="宋体" w:hAnsi="宋体" w:cs="宋体"/>
                <w:sz w:val="24"/>
                <w:szCs w:val="20"/>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14:paraId="7DAA9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D2C7A2">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67F355A">
            <w:pPr>
              <w:snapToGrid w:val="0"/>
              <w:spacing w:line="360" w:lineRule="auto"/>
              <w:jc w:val="center"/>
              <w:rPr>
                <w:rFonts w:ascii="宋体" w:hAnsi="宋体" w:cs="宋体"/>
                <w:b/>
                <w:sz w:val="24"/>
              </w:rPr>
            </w:pPr>
            <w:r>
              <w:rPr>
                <w:rFonts w:hint="eastAsia" w:ascii="宋体" w:hAnsi="宋体" w:cs="宋体"/>
                <w:b/>
                <w:sz w:val="24"/>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37FA3288">
            <w:pPr>
              <w:spacing w:line="360" w:lineRule="auto"/>
              <w:rPr>
                <w:rFonts w:ascii="宋体" w:hAnsi="宋体" w:cs="宋体"/>
                <w:b/>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tc>
      </w:tr>
      <w:tr w14:paraId="14B60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089BEC">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1F1B201">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42C1E749">
            <w:pPr>
              <w:spacing w:line="360" w:lineRule="auto"/>
              <w:rPr>
                <w:rFonts w:ascii="宋体" w:hAnsi="宋体" w:cs="宋体"/>
                <w:b/>
                <w:kern w:val="0"/>
                <w:sz w:val="24"/>
                <w:lang w:val="zh-CN"/>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14:paraId="32B95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2B44E13">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7DFC381">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662" w:type="dxa"/>
            <w:tcBorders>
              <w:top w:val="single" w:color="000000" w:sz="8" w:space="0"/>
              <w:left w:val="single" w:color="000000" w:sz="2" w:space="0"/>
              <w:bottom w:val="single" w:color="auto" w:sz="4" w:space="0"/>
              <w:right w:val="single" w:color="000000" w:sz="8" w:space="0"/>
            </w:tcBorders>
            <w:vAlign w:val="center"/>
          </w:tcPr>
          <w:p w14:paraId="59C0825F">
            <w:pPr>
              <w:spacing w:line="360" w:lineRule="auto"/>
              <w:rPr>
                <w:rFonts w:ascii="宋体" w:hAnsi="宋体" w:cs="宋体"/>
                <w:sz w:val="24"/>
              </w:rPr>
            </w:pPr>
            <w:r>
              <w:rPr>
                <w:rFonts w:hint="eastAsia" w:ascii="宋体" w:hAnsi="宋体" w:cs="宋体"/>
                <w:sz w:val="24"/>
              </w:rPr>
              <w:t>（1）资格证明文件：见招标文件第二部分11.1。</w:t>
            </w:r>
          </w:p>
          <w:p w14:paraId="248F38F0">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CBCC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blHeader/>
        </w:trPr>
        <w:tc>
          <w:tcPr>
            <w:tcW w:w="629" w:type="dxa"/>
            <w:vMerge w:val="continue"/>
            <w:tcBorders>
              <w:left w:val="single" w:color="auto" w:sz="4" w:space="0"/>
              <w:bottom w:val="single" w:color="auto" w:sz="4" w:space="0"/>
              <w:right w:val="single" w:color="auto" w:sz="4" w:space="0"/>
            </w:tcBorders>
            <w:vAlign w:val="center"/>
          </w:tcPr>
          <w:p w14:paraId="032818F7">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6202952">
            <w:pPr>
              <w:snapToGrid w:val="0"/>
              <w:spacing w:line="360" w:lineRule="auto"/>
              <w:jc w:val="center"/>
              <w:rPr>
                <w:rFonts w:ascii="宋体" w:hAnsi="宋体" w:cs="宋体"/>
                <w:b/>
                <w:sz w:val="24"/>
              </w:rPr>
            </w:pPr>
          </w:p>
        </w:tc>
        <w:tc>
          <w:tcPr>
            <w:tcW w:w="6662" w:type="dxa"/>
            <w:tcBorders>
              <w:top w:val="single" w:color="auto" w:sz="4" w:space="0"/>
              <w:left w:val="single" w:color="000000" w:sz="2" w:space="0"/>
              <w:bottom w:val="single" w:color="000000" w:sz="8" w:space="0"/>
              <w:right w:val="single" w:color="000000" w:sz="8" w:space="0"/>
            </w:tcBorders>
            <w:vAlign w:val="center"/>
          </w:tcPr>
          <w:p w14:paraId="11A9C4A5">
            <w:pPr>
              <w:spacing w:line="360" w:lineRule="auto"/>
              <w:jc w:val="center"/>
              <w:rPr>
                <w:rFonts w:ascii="宋体" w:hAnsi="宋体" w:cs="宋体"/>
                <w:sz w:val="24"/>
              </w:rPr>
            </w:pPr>
            <w:r>
              <w:rPr>
                <w:rFonts w:hint="eastAsia" w:ascii="宋体" w:hAnsi="宋体" w:cs="宋体"/>
                <w:sz w:val="24"/>
              </w:rPr>
              <w:t>（2）资信证明文件：根据招标文件第四部分评标标准提供。</w:t>
            </w:r>
          </w:p>
        </w:tc>
      </w:tr>
      <w:tr w14:paraId="271CE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ACD6D8">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F1F4C4E">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2721BC70">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069B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6B8431">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9797107">
            <w:pPr>
              <w:snapToGrid w:val="0"/>
              <w:spacing w:line="360" w:lineRule="auto"/>
              <w:jc w:val="center"/>
              <w:rPr>
                <w:rFonts w:ascii="宋体" w:hAnsi="宋体" w:cs="宋体"/>
                <w:b/>
                <w:sz w:val="24"/>
              </w:rPr>
            </w:pPr>
            <w:r>
              <w:rPr>
                <w:rFonts w:hint="eastAsia" w:ascii="宋体" w:hAnsi="宋体" w:cs="宋体"/>
                <w:b/>
                <w:sz w:val="24"/>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0F96C7F4">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14:paraId="4DB58BDF">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7A284B9">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0A93312">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D79C941">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D6471DA">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5232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14:paraId="23149F97">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14:paraId="31636FCD">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662" w:type="dxa"/>
            <w:tcBorders>
              <w:top w:val="single" w:color="000000" w:sz="8" w:space="0"/>
              <w:left w:val="single" w:color="000000" w:sz="2" w:space="0"/>
              <w:bottom w:val="single" w:color="000000" w:sz="8" w:space="0"/>
              <w:right w:val="single" w:color="000000" w:sz="8" w:space="0"/>
            </w:tcBorders>
            <w:vAlign w:val="center"/>
          </w:tcPr>
          <w:p w14:paraId="041A2160">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7F1B4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14:paraId="43EE1424">
            <w:pPr>
              <w:spacing w:line="360" w:lineRule="auto"/>
              <w:ind w:firstLine="420" w:firstLineChars="200"/>
              <w:jc w:val="center"/>
              <w:rPr>
                <w:rFonts w:ascii="宋体" w:hAnsi="宋体" w:cs="宋体"/>
              </w:rPr>
            </w:pPr>
          </w:p>
        </w:tc>
        <w:tc>
          <w:tcPr>
            <w:tcW w:w="1843" w:type="dxa"/>
            <w:vMerge w:val="continue"/>
            <w:tcBorders>
              <w:left w:val="single" w:color="000000" w:sz="2" w:space="0"/>
              <w:right w:val="single" w:color="000000" w:sz="8" w:space="0"/>
            </w:tcBorders>
            <w:vAlign w:val="center"/>
          </w:tcPr>
          <w:p w14:paraId="6AA5ACD3">
            <w:pPr>
              <w:spacing w:line="360" w:lineRule="auto"/>
              <w:ind w:firstLine="420" w:firstLineChars="200"/>
              <w:jc w:val="center"/>
              <w:rPr>
                <w:rFonts w:ascii="宋体" w:hAnsi="宋体" w:cs="宋体"/>
              </w:rPr>
            </w:pPr>
          </w:p>
        </w:tc>
        <w:tc>
          <w:tcPr>
            <w:tcW w:w="6662" w:type="dxa"/>
            <w:tcBorders>
              <w:top w:val="single" w:color="000000" w:sz="8" w:space="0"/>
              <w:left w:val="single" w:color="000000" w:sz="2" w:space="0"/>
              <w:bottom w:val="single" w:color="000000" w:sz="8" w:space="0"/>
              <w:right w:val="single" w:color="000000" w:sz="8" w:space="0"/>
            </w:tcBorders>
            <w:vAlign w:val="center"/>
          </w:tcPr>
          <w:p w14:paraId="17CFD1CD">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34D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9B6B21">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EB1B3A8">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662" w:type="dxa"/>
            <w:tcBorders>
              <w:top w:val="single" w:color="000000" w:sz="8" w:space="0"/>
              <w:left w:val="single" w:color="000000" w:sz="2" w:space="0"/>
              <w:bottom w:val="single" w:color="000000" w:sz="8" w:space="0"/>
              <w:right w:val="single" w:color="000000" w:sz="8" w:space="0"/>
            </w:tcBorders>
            <w:vAlign w:val="center"/>
          </w:tcPr>
          <w:p w14:paraId="30B06331">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桐庐县迎春南路279号立山国际中心904室（海标工程管理有限公司）</w:t>
            </w:r>
            <w:r>
              <w:rPr>
                <w:rFonts w:hint="eastAsia" w:hAnsi="宋体" w:cs="宋体"/>
                <w:kern w:val="28"/>
                <w:sz w:val="24"/>
                <w:szCs w:val="24"/>
              </w:rPr>
              <w:t>；备份投标文件签收人</w:t>
            </w:r>
            <w:r>
              <w:rPr>
                <w:rFonts w:hint="eastAsia" w:hAnsi="宋体" w:cs="宋体"/>
                <w:kern w:val="28"/>
                <w:sz w:val="24"/>
                <w:szCs w:val="24"/>
                <w:lang w:eastAsia="zh-CN"/>
              </w:rPr>
              <w:t>：</w:t>
            </w:r>
            <w:r>
              <w:rPr>
                <w:rFonts w:hint="eastAsia" w:hAnsi="宋体" w:cs="宋体"/>
                <w:kern w:val="28"/>
                <w:sz w:val="24"/>
                <w:szCs w:val="24"/>
                <w:lang w:val="en-US" w:eastAsia="zh-CN"/>
              </w:rPr>
              <w:t>袁彬</w:t>
            </w:r>
            <w:r>
              <w:rPr>
                <w:rFonts w:hint="eastAsia" w:hAnsi="宋体" w:cs="宋体"/>
                <w:kern w:val="28"/>
                <w:sz w:val="24"/>
                <w:szCs w:val="24"/>
              </w:rPr>
              <w:t>联系电话：</w:t>
            </w:r>
            <w:r>
              <w:rPr>
                <w:rFonts w:hint="eastAsia" w:hAnsi="宋体" w:cs="宋体"/>
                <w:sz w:val="24"/>
                <w:u w:val="single"/>
                <w:lang w:val="en-US" w:eastAsia="zh-CN"/>
              </w:rPr>
              <w:t>15005715200</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543F2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6F2809">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5567712">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招标代理服务费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7C5944CF">
            <w:pPr>
              <w:pStyle w:val="33"/>
              <w:spacing w:line="360" w:lineRule="auto"/>
              <w:rPr>
                <w:rFonts w:hAnsi="宋体" w:cs="宋体"/>
                <w:kern w:val="28"/>
                <w:sz w:val="24"/>
                <w:szCs w:val="24"/>
              </w:rPr>
            </w:pPr>
            <w:r>
              <w:rPr>
                <w:rFonts w:hint="eastAsia" w:cs="Times New Roman" w:asciiTheme="minorEastAsia" w:hAnsiTheme="minorEastAsia" w:eastAsiaTheme="minorEastAsia"/>
                <w:kern w:val="28"/>
                <w:sz w:val="24"/>
                <w:szCs w:val="24"/>
              </w:rPr>
              <w:t>本项目的招标代理服务费由中标单位支付，按浙价服[2003]77号文件的</w:t>
            </w:r>
            <w:r>
              <w:rPr>
                <w:rFonts w:hint="eastAsia" w:cs="Times New Roman" w:asciiTheme="minorEastAsia" w:hAnsiTheme="minorEastAsia" w:eastAsiaTheme="minorEastAsia"/>
                <w:kern w:val="28"/>
                <w:sz w:val="24"/>
                <w:szCs w:val="24"/>
                <w:lang w:val="en-US" w:eastAsia="zh-CN"/>
              </w:rPr>
              <w:t>68</w:t>
            </w:r>
            <w:r>
              <w:rPr>
                <w:rFonts w:hint="eastAsia" w:cs="Times New Roman" w:asciiTheme="minorEastAsia" w:hAnsiTheme="minorEastAsia" w:eastAsiaTheme="minorEastAsia"/>
                <w:kern w:val="28"/>
                <w:sz w:val="24"/>
                <w:szCs w:val="24"/>
              </w:rPr>
              <w:t>%计取，由中标单位在领取中标通知书时，一次性支付给代理公司，上述费用应含在投标报价中（不得单独列项），投标人在投标报价让利中考虑上述费用。</w:t>
            </w:r>
          </w:p>
        </w:tc>
      </w:tr>
      <w:tr w14:paraId="7B15E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B506F3">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415C75B">
            <w:pPr>
              <w:snapToGrid w:val="0"/>
              <w:spacing w:line="360" w:lineRule="auto"/>
              <w:jc w:val="center"/>
              <w:rPr>
                <w:rFonts w:ascii="宋体" w:hAnsi="宋体" w:cs="宋体"/>
                <w:b/>
                <w:sz w:val="24"/>
              </w:rPr>
            </w:pPr>
            <w:r>
              <w:rPr>
                <w:rFonts w:hint="eastAsia" w:ascii="宋体" w:hAnsi="宋体" w:cs="宋体"/>
                <w:b/>
                <w:sz w:val="24"/>
              </w:rPr>
              <w:t>其它说明</w:t>
            </w:r>
          </w:p>
        </w:tc>
        <w:tc>
          <w:tcPr>
            <w:tcW w:w="6662" w:type="dxa"/>
            <w:tcBorders>
              <w:top w:val="single" w:color="000000" w:sz="8" w:space="0"/>
              <w:left w:val="single" w:color="000000" w:sz="2" w:space="0"/>
              <w:bottom w:val="single" w:color="000000" w:sz="8" w:space="0"/>
              <w:right w:val="single" w:color="000000" w:sz="8" w:space="0"/>
            </w:tcBorders>
            <w:vAlign w:val="center"/>
          </w:tcPr>
          <w:p w14:paraId="1B136B36">
            <w:pPr>
              <w:spacing w:line="360" w:lineRule="auto"/>
              <w:rPr>
                <w:rFonts w:ascii="宋体" w:hAnsi="宋体" w:cs="宋体"/>
                <w:snapToGrid w:val="0"/>
                <w:kern w:val="28"/>
                <w:sz w:val="24"/>
              </w:rPr>
            </w:pPr>
            <w:r>
              <w:rPr>
                <w:rFonts w:hint="eastAsia" w:ascii="宋体" w:hAnsi="宋体" w:cs="宋体"/>
                <w:snapToGrid w:val="0"/>
                <w:kern w:val="28"/>
                <w:sz w:val="24"/>
              </w:rPr>
              <w:t>无</w:t>
            </w:r>
          </w:p>
        </w:tc>
      </w:tr>
      <w:bookmarkEnd w:id="10"/>
    </w:tbl>
    <w:p w14:paraId="305A30EC">
      <w:pPr>
        <w:adjustRightInd/>
        <w:spacing w:line="360" w:lineRule="auto"/>
        <w:ind w:firstLine="3845" w:firstLineChars="1197"/>
        <w:outlineLvl w:val="0"/>
        <w:rPr>
          <w:rFonts w:ascii="宋体" w:hAnsi="宋体" w:cs="宋体"/>
          <w:b/>
          <w:sz w:val="32"/>
          <w:szCs w:val="20"/>
        </w:rPr>
      </w:pPr>
      <w:bookmarkStart w:id="15" w:name="_Toc12574"/>
      <w:bookmarkStart w:id="16" w:name="第三部分"/>
      <w:bookmarkStart w:id="17" w:name="_Toc164416483"/>
      <w:r>
        <w:rPr>
          <w:rFonts w:hint="eastAsia" w:ascii="宋体" w:hAnsi="宋体" w:cs="宋体"/>
          <w:b/>
          <w:sz w:val="32"/>
          <w:szCs w:val="20"/>
        </w:rPr>
        <w:t>一、总则</w:t>
      </w:r>
      <w:bookmarkEnd w:id="15"/>
    </w:p>
    <w:p w14:paraId="1400C6A5">
      <w:pPr>
        <w:snapToGrid w:val="0"/>
        <w:spacing w:line="360" w:lineRule="auto"/>
        <w:ind w:firstLine="361" w:firstLineChars="150"/>
        <w:jc w:val="left"/>
        <w:outlineLvl w:val="1"/>
        <w:rPr>
          <w:rFonts w:ascii="宋体" w:hAnsi="宋体" w:cs="宋体"/>
          <w:b/>
          <w:sz w:val="24"/>
        </w:rPr>
      </w:pPr>
      <w:bookmarkStart w:id="18" w:name="_Toc20199"/>
      <w:r>
        <w:rPr>
          <w:rFonts w:hint="eastAsia" w:ascii="宋体" w:hAnsi="宋体" w:cs="宋体"/>
          <w:b/>
          <w:sz w:val="24"/>
        </w:rPr>
        <w:t>1. 适用范围</w:t>
      </w:r>
      <w:bookmarkEnd w:id="18"/>
    </w:p>
    <w:p w14:paraId="49DD204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0E6CE28">
      <w:pPr>
        <w:adjustRightInd/>
        <w:spacing w:line="360" w:lineRule="auto"/>
        <w:outlineLvl w:val="0"/>
        <w:rPr>
          <w:rFonts w:ascii="宋体" w:hAnsi="宋体" w:cs="宋体"/>
          <w:b/>
          <w:sz w:val="24"/>
        </w:rPr>
      </w:pPr>
      <w:bookmarkStart w:id="19" w:name="_Toc24287"/>
      <w:r>
        <w:rPr>
          <w:rFonts w:hint="eastAsia" w:ascii="宋体" w:hAnsi="宋体" w:cs="宋体"/>
          <w:b/>
          <w:sz w:val="24"/>
        </w:rPr>
        <w:t>2.定义</w:t>
      </w:r>
      <w:bookmarkEnd w:id="19"/>
    </w:p>
    <w:p w14:paraId="4F290DD2">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E2667F4">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196E7D6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FC293F5">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D732547">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8C05A73">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4CFC1D8E">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7D0FAE1">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11286087">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9FD29D8">
      <w:pPr>
        <w:spacing w:line="360" w:lineRule="auto"/>
        <w:ind w:firstLine="240" w:firstLineChars="100"/>
        <w:rPr>
          <w:rFonts w:ascii="宋体" w:hAnsi="宋体" w:cs="宋体"/>
          <w:sz w:val="24"/>
        </w:rPr>
      </w:pPr>
      <w:r>
        <w:rPr>
          <w:rFonts w:hint="eastAsia" w:ascii="宋体" w:hAnsi="宋体" w:cs="宋体"/>
          <w:sz w:val="24"/>
        </w:rPr>
        <w:t>3.2 支持绿色发展</w:t>
      </w:r>
    </w:p>
    <w:p w14:paraId="57C8C92B">
      <w:pPr>
        <w:spacing w:line="360" w:lineRule="auto"/>
        <w:ind w:firstLine="480" w:firstLineChars="200"/>
        <w:rPr>
          <w:rFonts w:ascii="宋体" w:hAnsi="宋体" w:cs="宋体"/>
          <w:sz w:val="24"/>
        </w:rPr>
      </w:pPr>
      <w:r>
        <w:rPr>
          <w:rFonts w:hint="eastAsia" w:ascii="宋体" w:hAnsi="宋体" w:cs="宋体"/>
          <w:sz w:val="24"/>
        </w:rPr>
        <w:t>3.2.1 修缮、装修类项目采购建材的，采购人应将绿色建筑和绿色建材性能、指标等作为实质性条件纳入招标文件和合同。</w:t>
      </w:r>
    </w:p>
    <w:p w14:paraId="5E7DBD52">
      <w:pPr>
        <w:spacing w:line="360" w:lineRule="auto"/>
        <w:ind w:firstLine="480" w:firstLineChars="200"/>
        <w:rPr>
          <w:rFonts w:ascii="宋体" w:hAnsi="宋体" w:cs="宋体"/>
          <w:sz w:val="24"/>
        </w:rPr>
      </w:pPr>
      <w:r>
        <w:rPr>
          <w:rFonts w:hint="eastAsia" w:ascii="宋体" w:hAnsi="宋体" w:cs="宋体"/>
          <w:sz w:val="24"/>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23689CD">
      <w:pPr>
        <w:spacing w:line="360" w:lineRule="auto"/>
        <w:ind w:firstLine="240" w:firstLineChars="100"/>
        <w:rPr>
          <w:rFonts w:ascii="宋体" w:hAnsi="宋体" w:cs="宋体"/>
          <w:sz w:val="24"/>
        </w:rPr>
      </w:pPr>
      <w:r>
        <w:rPr>
          <w:rFonts w:hint="eastAsia" w:ascii="宋体" w:hAnsi="宋体" w:cs="宋体"/>
          <w:sz w:val="24"/>
        </w:rPr>
        <w:t>3.3支持中小企业发展</w:t>
      </w:r>
    </w:p>
    <w:p w14:paraId="6B0494F1">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A24631">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0D0458E">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9BF62D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6F1385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5F66910">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6FEEE91">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32DCF9">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F991088">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4F26AF4">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34609F9">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025EF91">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80A4402">
      <w:pPr>
        <w:spacing w:line="360" w:lineRule="auto"/>
        <w:rPr>
          <w:rFonts w:ascii="宋体" w:hAnsi="宋体" w:cs="宋体"/>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7346792E">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7C847C8E">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EE0D99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14:paraId="0C56626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F9083E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14:paraId="74646931">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14:paraId="6B8F852C">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F7CB553">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14:paraId="162D5D63">
      <w:pPr>
        <w:pStyle w:val="33"/>
        <w:spacing w:line="360" w:lineRule="auto"/>
        <w:ind w:left="479" w:leftChars="228"/>
        <w:rPr>
          <w:rFonts w:hAnsi="宋体" w:cs="宋体"/>
          <w:sz w:val="24"/>
        </w:rPr>
      </w:pPr>
      <w:r>
        <w:rPr>
          <w:rFonts w:hint="eastAsia" w:hAnsi="宋体" w:cs="宋体"/>
          <w:sz w:val="24"/>
        </w:rPr>
        <w:t>4.2.2.2对采购过程提出质疑的，质疑期限为各采购程序环节结束之日起计算。4.2.2.3对采购结果提出质疑的，质疑期限自采购结果公告期限届满之日起计算。</w:t>
      </w:r>
    </w:p>
    <w:p w14:paraId="051E2EF7">
      <w:pPr>
        <w:pStyle w:val="33"/>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14:paraId="76633236">
      <w:pPr>
        <w:pStyle w:val="33"/>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14:paraId="6F8256A1">
      <w:pPr>
        <w:pStyle w:val="33"/>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14:paraId="1057613E">
      <w:pPr>
        <w:pStyle w:val="33"/>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14:paraId="023C8E3C">
      <w:pPr>
        <w:pStyle w:val="33"/>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14:paraId="6BC594A2">
      <w:pPr>
        <w:pStyle w:val="33"/>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14:paraId="14F67695">
      <w:pPr>
        <w:pStyle w:val="33"/>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14:paraId="7636A61F">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F3E40FD">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2BB600F1">
      <w:pPr>
        <w:pStyle w:val="888"/>
        <w:shd w:val="clear" w:color="auto" w:fill="FFFFFF"/>
        <w:snapToGrid w:val="0"/>
        <w:spacing w:after="240" w:afterAutospacing="0" w:line="360" w:lineRule="auto"/>
        <w:ind w:firstLine="400"/>
        <w:contextualSpacing/>
      </w:pPr>
      <w:r>
        <w:rPr>
          <w:rFonts w:hint="eastAsia"/>
        </w:rPr>
        <w:t>4.2.4对同一采购程序环节的质疑，供应商须在法定质疑期内一次性提出。</w:t>
      </w:r>
    </w:p>
    <w:p w14:paraId="667D0A8F">
      <w:pPr>
        <w:pStyle w:val="888"/>
        <w:shd w:val="clear" w:color="auto" w:fill="FFFFFF"/>
        <w:snapToGrid w:val="0"/>
        <w:spacing w:after="240" w:afterAutospacing="0" w:line="360" w:lineRule="auto"/>
        <w:ind w:firstLine="400"/>
        <w:contextualSpacing/>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2B7748B">
      <w:pPr>
        <w:pStyle w:val="888"/>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14:paraId="7C0B9DDB">
      <w:pPr>
        <w:pStyle w:val="888"/>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14:paraId="0E8DFAAB">
      <w:pPr>
        <w:pStyle w:val="888"/>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14:paraId="53EE9DD2">
      <w:pPr>
        <w:pStyle w:val="888"/>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14:paraId="12AB1E04">
      <w:pPr>
        <w:pStyle w:val="888"/>
        <w:shd w:val="clear" w:color="auto" w:fill="FFFFFF"/>
        <w:snapToGrid w:val="0"/>
        <w:spacing w:after="240" w:afterAutospacing="0" w:line="360" w:lineRule="auto"/>
        <w:ind w:firstLine="400"/>
        <w:contextualSpacing/>
      </w:pPr>
      <w:r>
        <w:rPr>
          <w:rFonts w:hint="eastAsia"/>
        </w:rPr>
        <w:t>4.3.3供应商投诉应当有明确的请求和必要的证明材料。</w:t>
      </w:r>
    </w:p>
    <w:p w14:paraId="31DEE147">
      <w:pPr>
        <w:pStyle w:val="888"/>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14:paraId="0881CD47">
      <w:pPr>
        <w:pStyle w:val="888"/>
        <w:shd w:val="clear" w:color="auto" w:fill="FFFFFF"/>
        <w:snapToGrid w:val="0"/>
        <w:spacing w:after="240" w:afterAutospacing="0" w:line="360" w:lineRule="auto"/>
        <w:ind w:firstLine="400"/>
        <w:contextualSpacing/>
      </w:pPr>
      <w:r>
        <w:rPr>
          <w:rFonts w:hint="eastAsia"/>
        </w:rPr>
        <w:t>投诉书范本及制作说明详见附件3。</w:t>
      </w:r>
    </w:p>
    <w:p w14:paraId="15AA21DF">
      <w:pPr>
        <w:pStyle w:val="888"/>
        <w:shd w:val="clear" w:color="auto" w:fill="FFFFFF"/>
        <w:snapToGrid w:val="0"/>
        <w:spacing w:after="240" w:afterAutospacing="0" w:line="360" w:lineRule="auto"/>
        <w:ind w:firstLine="400"/>
        <w:contextualSpacing/>
      </w:pPr>
      <w:r>
        <w:rPr>
          <w:rFonts w:hint="eastAsia"/>
        </w:rPr>
        <w:t>4.4在线质疑、投诉。</w:t>
      </w:r>
    </w:p>
    <w:p w14:paraId="292D9869">
      <w:pPr>
        <w:pStyle w:val="888"/>
        <w:shd w:val="clear" w:color="auto" w:fill="FFFFFF"/>
        <w:snapToGrid w:val="0"/>
        <w:spacing w:after="24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B3182A">
      <w:pPr>
        <w:adjustRightInd/>
        <w:spacing w:line="360" w:lineRule="auto"/>
        <w:jc w:val="center"/>
        <w:outlineLvl w:val="0"/>
        <w:rPr>
          <w:rFonts w:ascii="宋体" w:hAnsi="宋体" w:cs="宋体"/>
          <w:b/>
          <w:sz w:val="32"/>
          <w:szCs w:val="20"/>
        </w:rPr>
      </w:pPr>
      <w:bookmarkStart w:id="20" w:name="_Toc20464"/>
      <w:r>
        <w:rPr>
          <w:rFonts w:hint="eastAsia" w:ascii="宋体" w:hAnsi="宋体" w:cs="宋体"/>
          <w:b/>
          <w:sz w:val="32"/>
          <w:szCs w:val="20"/>
        </w:rPr>
        <w:t>二、招标文件的构成、澄清、修改</w:t>
      </w:r>
      <w:bookmarkEnd w:id="20"/>
    </w:p>
    <w:p w14:paraId="53E89158">
      <w:pPr>
        <w:pStyle w:val="33"/>
        <w:spacing w:line="360" w:lineRule="auto"/>
        <w:rPr>
          <w:rFonts w:hAnsi="宋体" w:cs="宋体"/>
          <w:b/>
          <w:sz w:val="24"/>
          <w:szCs w:val="24"/>
        </w:rPr>
      </w:pPr>
      <w:r>
        <w:rPr>
          <w:rFonts w:hint="eastAsia" w:hAnsi="宋体" w:cs="宋体"/>
          <w:b/>
          <w:sz w:val="24"/>
          <w:szCs w:val="24"/>
        </w:rPr>
        <w:t>5．招标文件的构成</w:t>
      </w:r>
    </w:p>
    <w:p w14:paraId="02E088CC">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278125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67BB81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1BEBF1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4C334D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78ADB6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64ADCE20">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BC9D403">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143B55E">
      <w:pPr>
        <w:pStyle w:val="33"/>
        <w:spacing w:line="360" w:lineRule="auto"/>
        <w:rPr>
          <w:rFonts w:hAnsi="宋体" w:cs="宋体"/>
          <w:b/>
          <w:sz w:val="24"/>
          <w:szCs w:val="24"/>
        </w:rPr>
      </w:pPr>
      <w:r>
        <w:rPr>
          <w:rFonts w:hint="eastAsia" w:hAnsi="宋体" w:cs="宋体"/>
          <w:b/>
          <w:sz w:val="24"/>
          <w:szCs w:val="24"/>
        </w:rPr>
        <w:t>6. 招标文件的澄清、修改</w:t>
      </w:r>
    </w:p>
    <w:p w14:paraId="1C0A042A">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6D065687">
      <w:pPr>
        <w:pStyle w:val="131"/>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9E993C">
      <w:pPr>
        <w:pStyle w:val="3"/>
        <w:rPr>
          <w:rFonts w:hAnsi="宋体" w:cs="宋体"/>
          <w:sz w:val="18"/>
          <w:szCs w:val="18"/>
          <w:lang w:val="en-US"/>
        </w:rPr>
      </w:pPr>
    </w:p>
    <w:p w14:paraId="5B0E16A9">
      <w:pPr>
        <w:adjustRightInd/>
        <w:spacing w:line="360" w:lineRule="auto"/>
        <w:jc w:val="center"/>
        <w:outlineLvl w:val="0"/>
        <w:rPr>
          <w:rFonts w:ascii="宋体" w:hAnsi="宋体" w:cs="宋体"/>
          <w:b/>
          <w:sz w:val="30"/>
          <w:szCs w:val="20"/>
        </w:rPr>
      </w:pPr>
      <w:bookmarkStart w:id="21" w:name="_Toc17156"/>
      <w:r>
        <w:rPr>
          <w:rFonts w:hint="eastAsia" w:ascii="宋体" w:hAnsi="宋体" w:cs="宋体"/>
          <w:b/>
          <w:sz w:val="30"/>
          <w:szCs w:val="20"/>
        </w:rPr>
        <w:t>三、投标</w:t>
      </w:r>
      <w:bookmarkEnd w:id="21"/>
    </w:p>
    <w:p w14:paraId="2D057B31">
      <w:pPr>
        <w:pStyle w:val="33"/>
        <w:spacing w:line="360" w:lineRule="auto"/>
        <w:rPr>
          <w:rFonts w:hAnsi="宋体" w:cs="宋体"/>
          <w:b/>
          <w:sz w:val="24"/>
          <w:szCs w:val="24"/>
        </w:rPr>
      </w:pPr>
      <w:r>
        <w:rPr>
          <w:rFonts w:hint="eastAsia" w:hAnsi="宋体" w:cs="宋体"/>
          <w:b/>
          <w:sz w:val="24"/>
          <w:szCs w:val="24"/>
        </w:rPr>
        <w:t>7. 招标文件的获取</w:t>
      </w:r>
    </w:p>
    <w:p w14:paraId="65CB962F">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D43538A">
      <w:pPr>
        <w:pStyle w:val="33"/>
        <w:spacing w:line="360" w:lineRule="auto"/>
        <w:rPr>
          <w:rFonts w:hAnsi="宋体" w:cs="宋体"/>
          <w:b/>
          <w:sz w:val="24"/>
          <w:szCs w:val="24"/>
        </w:rPr>
      </w:pPr>
      <w:r>
        <w:rPr>
          <w:rFonts w:hint="eastAsia" w:hAnsi="宋体" w:cs="宋体"/>
          <w:b/>
          <w:sz w:val="24"/>
          <w:szCs w:val="24"/>
        </w:rPr>
        <w:t>8.开标前答疑会或现场考察</w:t>
      </w:r>
    </w:p>
    <w:p w14:paraId="5C058368">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3FB1D33">
      <w:pPr>
        <w:pStyle w:val="33"/>
        <w:spacing w:line="360" w:lineRule="auto"/>
        <w:rPr>
          <w:rFonts w:hAnsi="宋体" w:cs="宋体"/>
          <w:b/>
          <w:szCs w:val="24"/>
        </w:rPr>
      </w:pPr>
      <w:r>
        <w:rPr>
          <w:rFonts w:hint="eastAsia" w:hAnsi="宋体" w:cs="宋体"/>
          <w:b/>
          <w:kern w:val="28"/>
          <w:sz w:val="24"/>
          <w:szCs w:val="24"/>
        </w:rPr>
        <w:t>9.投标保证金</w:t>
      </w:r>
    </w:p>
    <w:p w14:paraId="0D509AE3">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FD77F4B">
      <w:pPr>
        <w:pStyle w:val="33"/>
        <w:spacing w:line="360" w:lineRule="auto"/>
        <w:rPr>
          <w:rFonts w:hAnsi="宋体" w:cs="宋体"/>
          <w:b/>
          <w:sz w:val="24"/>
          <w:szCs w:val="24"/>
        </w:rPr>
      </w:pPr>
      <w:r>
        <w:rPr>
          <w:rFonts w:hint="eastAsia" w:hAnsi="宋体" w:cs="宋体"/>
          <w:b/>
          <w:sz w:val="24"/>
          <w:szCs w:val="24"/>
        </w:rPr>
        <w:t>10. 投标文件的语言</w:t>
      </w:r>
    </w:p>
    <w:p w14:paraId="0AF65B0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502960B">
      <w:pPr>
        <w:pStyle w:val="33"/>
        <w:spacing w:line="360" w:lineRule="auto"/>
        <w:rPr>
          <w:rFonts w:hAnsi="宋体" w:cs="宋体"/>
          <w:b/>
          <w:sz w:val="24"/>
          <w:szCs w:val="24"/>
        </w:rPr>
      </w:pPr>
      <w:r>
        <w:rPr>
          <w:rFonts w:hint="eastAsia" w:hAnsi="宋体" w:cs="宋体"/>
          <w:b/>
          <w:sz w:val="24"/>
          <w:szCs w:val="24"/>
        </w:rPr>
        <w:t>11. 投标文件的组成</w:t>
      </w:r>
    </w:p>
    <w:p w14:paraId="610AA95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FD86B6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A13F803">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lang w:val="en-US" w:eastAsia="zh-CN"/>
        </w:rPr>
        <w:t>营业执照</w:t>
      </w:r>
      <w:r>
        <w:rPr>
          <w:rFonts w:hint="eastAsia" w:ascii="宋体" w:hAnsi="宋体" w:cs="宋体"/>
          <w:snapToGrid w:val="0"/>
          <w:kern w:val="28"/>
          <w:sz w:val="24"/>
          <w:szCs w:val="20"/>
        </w:rPr>
        <w:t>；</w:t>
      </w:r>
    </w:p>
    <w:p w14:paraId="49635F4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0C5F1C3">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1391AD47">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p>
    <w:p w14:paraId="72C6C20D">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6EB7F8FE">
      <w:pPr>
        <w:snapToGrid w:val="0"/>
        <w:spacing w:line="360" w:lineRule="auto"/>
        <w:ind w:firstLine="960" w:firstLineChars="400"/>
        <w:rPr>
          <w:rFonts w:hint="eastAsia" w:ascii="宋体" w:hAnsi="宋体" w:cs="宋体"/>
          <w:sz w:val="24"/>
        </w:rPr>
      </w:pPr>
      <w:r>
        <w:rPr>
          <w:rFonts w:hint="eastAsia" w:ascii="宋体" w:hAnsi="宋体" w:cs="宋体"/>
          <w:sz w:val="24"/>
        </w:rPr>
        <w:t>11.2.3分包意向协议（如果有)；</w:t>
      </w:r>
    </w:p>
    <w:p w14:paraId="7298AAFC">
      <w:pPr>
        <w:snapToGrid w:val="0"/>
        <w:spacing w:line="360" w:lineRule="auto"/>
        <w:ind w:firstLine="960" w:firstLineChars="400"/>
        <w:rPr>
          <w:rFonts w:hint="eastAsia" w:ascii="宋体" w:hAnsi="宋体" w:cs="宋体"/>
          <w:sz w:val="24"/>
        </w:rPr>
      </w:pPr>
      <w:r>
        <w:rPr>
          <w:rFonts w:hint="eastAsia" w:ascii="宋体" w:hAnsi="宋体" w:cs="宋体"/>
          <w:sz w:val="24"/>
        </w:rPr>
        <w:t>11.2.4符合性审查资料；</w:t>
      </w:r>
    </w:p>
    <w:p w14:paraId="3E0D14C8">
      <w:pPr>
        <w:snapToGrid w:val="0"/>
        <w:spacing w:line="360" w:lineRule="auto"/>
        <w:ind w:firstLine="960" w:firstLineChars="400"/>
        <w:rPr>
          <w:rFonts w:hint="eastAsia" w:ascii="宋体" w:hAnsi="宋体" w:cs="宋体"/>
          <w:sz w:val="24"/>
        </w:rPr>
      </w:pPr>
      <w:r>
        <w:rPr>
          <w:rFonts w:hint="eastAsia" w:ascii="宋体" w:hAnsi="宋体" w:cs="宋体"/>
          <w:sz w:val="24"/>
        </w:rPr>
        <w:t>11.2.5评标标准相应的商务技术资料；</w:t>
      </w:r>
    </w:p>
    <w:p w14:paraId="16D2E0AB">
      <w:pPr>
        <w:snapToGrid w:val="0"/>
        <w:spacing w:line="360" w:lineRule="auto"/>
        <w:ind w:firstLine="960" w:firstLineChars="400"/>
        <w:rPr>
          <w:rFonts w:hint="eastAsia" w:ascii="宋体" w:hAnsi="宋体" w:cs="宋体"/>
          <w:sz w:val="24"/>
        </w:rPr>
      </w:pPr>
      <w:r>
        <w:rPr>
          <w:rFonts w:hint="eastAsia" w:ascii="宋体" w:hAnsi="宋体" w:cs="宋体"/>
          <w:sz w:val="24"/>
        </w:rPr>
        <w:t>11.2.6投标标的清单；</w:t>
      </w:r>
    </w:p>
    <w:p w14:paraId="01198A9D">
      <w:pPr>
        <w:snapToGrid w:val="0"/>
        <w:spacing w:line="360" w:lineRule="auto"/>
        <w:ind w:firstLine="960" w:firstLineChars="400"/>
        <w:rPr>
          <w:rFonts w:hint="eastAsia" w:ascii="宋体" w:hAnsi="宋体" w:cs="宋体"/>
          <w:sz w:val="24"/>
        </w:rPr>
      </w:pPr>
      <w:r>
        <w:rPr>
          <w:rFonts w:hint="eastAsia" w:ascii="宋体" w:hAnsi="宋体" w:cs="宋体"/>
          <w:sz w:val="24"/>
        </w:rPr>
        <w:t>11.2.7商务技术偏离表；</w:t>
      </w:r>
    </w:p>
    <w:p w14:paraId="36F3300B">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29997E92">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5C7DCA70">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2C0FF47C">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r>
        <w:rPr>
          <w:rFonts w:hint="eastAsia" w:ascii="宋体" w:hAnsi="宋体" w:cs="宋体"/>
          <w:snapToGrid w:val="0"/>
          <w:kern w:val="28"/>
          <w:sz w:val="24"/>
          <w:szCs w:val="20"/>
        </w:rPr>
        <w:t>（如果有)</w:t>
      </w:r>
      <w:r>
        <w:rPr>
          <w:rFonts w:hint="eastAsia" w:ascii="宋体" w:hAnsi="宋体" w:cs="宋体"/>
          <w:sz w:val="24"/>
        </w:rPr>
        <w:t>。</w:t>
      </w:r>
    </w:p>
    <w:p w14:paraId="14B75AB1">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275D6568">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3287D970">
      <w:pPr>
        <w:pStyle w:val="131"/>
        <w:snapToGrid w:val="0"/>
        <w:spacing w:before="0"/>
        <w:ind w:firstLine="0" w:firstLineChars="0"/>
        <w:outlineLvl w:val="0"/>
        <w:rPr>
          <w:rFonts w:ascii="宋体" w:hAnsi="宋体" w:cs="宋体"/>
          <w:b/>
          <w:szCs w:val="24"/>
        </w:rPr>
      </w:pPr>
      <w:bookmarkStart w:id="22" w:name="_Toc23396"/>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bookmarkEnd w:id="22"/>
    </w:p>
    <w:p w14:paraId="3972187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780A62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8FAA58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7EBEF0B">
      <w:pPr>
        <w:snapToGrid w:val="0"/>
        <w:spacing w:line="360" w:lineRule="auto"/>
        <w:rPr>
          <w:rFonts w:ascii="宋体" w:hAnsi="宋体" w:cs="宋体"/>
          <w:b/>
          <w:sz w:val="24"/>
        </w:rPr>
      </w:pPr>
      <w:r>
        <w:rPr>
          <w:rFonts w:hint="eastAsia" w:ascii="宋体" w:hAnsi="宋体" w:cs="宋体"/>
          <w:b/>
          <w:sz w:val="24"/>
        </w:rPr>
        <w:t>13.投标文件的签署、盖章</w:t>
      </w:r>
    </w:p>
    <w:p w14:paraId="6E4AABA0">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979492F">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016B061">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541160B">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9BC4F18">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C0F2552">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D000F05">
      <w:pPr>
        <w:pStyle w:val="131"/>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1139A9F0">
      <w:pPr>
        <w:pStyle w:val="33"/>
        <w:spacing w:line="360" w:lineRule="auto"/>
        <w:rPr>
          <w:rFonts w:hAnsi="宋体" w:cs="宋体"/>
          <w:b/>
          <w:sz w:val="24"/>
          <w:szCs w:val="24"/>
        </w:rPr>
      </w:pPr>
      <w:r>
        <w:rPr>
          <w:rFonts w:hint="eastAsia" w:hAnsi="宋体" w:cs="宋体"/>
          <w:b/>
          <w:sz w:val="24"/>
          <w:szCs w:val="24"/>
        </w:rPr>
        <w:t>15.备份投标文件</w:t>
      </w:r>
    </w:p>
    <w:p w14:paraId="141751E5">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40844DE3">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FB1D484">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79053E91">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1C72DAE9">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421A51F3">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0B929FB0">
      <w:pPr>
        <w:pStyle w:val="25"/>
        <w:spacing w:line="360" w:lineRule="auto"/>
        <w:ind w:firstLine="360" w:firstLineChars="150"/>
        <w:rPr>
          <w:rFonts w:cs="宋体"/>
          <w:szCs w:val="21"/>
        </w:rPr>
      </w:pPr>
      <w:r>
        <w:rPr>
          <w:rFonts w:hint="eastAsia" w:cs="宋体"/>
          <w:szCs w:val="21"/>
        </w:rPr>
        <w:t>有招标文件第四部分4.2规定的情形之一的，投标无效：</w:t>
      </w:r>
    </w:p>
    <w:p w14:paraId="5F06D7B8">
      <w:pPr>
        <w:pStyle w:val="131"/>
        <w:spacing w:before="0"/>
        <w:ind w:firstLine="0" w:firstLineChars="0"/>
        <w:rPr>
          <w:rFonts w:ascii="宋体" w:hAnsi="宋体" w:cs="宋体"/>
          <w:b/>
          <w:szCs w:val="24"/>
        </w:rPr>
      </w:pPr>
      <w:r>
        <w:rPr>
          <w:rFonts w:hint="eastAsia" w:ascii="宋体" w:hAnsi="宋体" w:cs="宋体"/>
          <w:b/>
          <w:szCs w:val="24"/>
        </w:rPr>
        <w:t>17.投标有效期</w:t>
      </w:r>
    </w:p>
    <w:p w14:paraId="4748264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3830D57">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24981BAD">
      <w:pPr>
        <w:pStyle w:val="131"/>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59953E6E">
      <w:pPr>
        <w:pStyle w:val="131"/>
        <w:spacing w:before="0"/>
        <w:ind w:firstLine="480"/>
        <w:rPr>
          <w:rFonts w:ascii="宋体" w:hAnsi="宋体" w:cs="宋体"/>
        </w:rPr>
      </w:pPr>
    </w:p>
    <w:bookmarkEnd w:id="16"/>
    <w:bookmarkEnd w:id="17"/>
    <w:p w14:paraId="28D4CA21">
      <w:pPr>
        <w:pStyle w:val="131"/>
        <w:spacing w:before="0"/>
        <w:ind w:firstLine="1928" w:firstLineChars="600"/>
        <w:rPr>
          <w:rFonts w:ascii="宋体" w:hAnsi="宋体" w:cs="宋体"/>
          <w:b/>
          <w:sz w:val="32"/>
        </w:rPr>
      </w:pPr>
      <w:bookmarkStart w:id="23" w:name="第四部分"/>
      <w:r>
        <w:rPr>
          <w:rFonts w:hint="eastAsia" w:ascii="宋体" w:hAnsi="宋体" w:cs="宋体"/>
          <w:b/>
          <w:sz w:val="32"/>
        </w:rPr>
        <w:t>四、开标、资格审查与信用信息查询</w:t>
      </w:r>
    </w:p>
    <w:p w14:paraId="3E60DD86">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2BAA6E54">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20C10ADD">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2CCEE69D">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6D12BD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63F63C36">
      <w:pPr>
        <w:pStyle w:val="131"/>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6233B770">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4AA96246">
      <w:pPr>
        <w:pStyle w:val="131"/>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6EFE697">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6999476B">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0515BCAD">
      <w:pPr>
        <w:pStyle w:val="131"/>
        <w:spacing w:before="0"/>
        <w:ind w:firstLine="0" w:firstLineChars="0"/>
        <w:rPr>
          <w:rFonts w:ascii="宋体" w:hAnsi="宋体" w:cs="宋体"/>
          <w:b/>
          <w:szCs w:val="24"/>
        </w:rPr>
      </w:pPr>
      <w:r>
        <w:rPr>
          <w:rFonts w:hint="eastAsia" w:ascii="宋体" w:hAnsi="宋体" w:cs="宋体"/>
          <w:b/>
          <w:szCs w:val="24"/>
        </w:rPr>
        <w:t>20、信用信息查询</w:t>
      </w:r>
    </w:p>
    <w:p w14:paraId="09E1649F">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577518D6">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9886380">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B5433CC">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487F07C">
      <w:pPr>
        <w:pStyle w:val="131"/>
        <w:spacing w:before="0"/>
        <w:ind w:firstLine="0" w:firstLineChars="0"/>
        <w:rPr>
          <w:rFonts w:ascii="宋体" w:hAnsi="宋体" w:cs="宋体"/>
          <w:kern w:val="0"/>
          <w:szCs w:val="24"/>
        </w:rPr>
      </w:pPr>
    </w:p>
    <w:p w14:paraId="23408582">
      <w:pPr>
        <w:snapToGrid w:val="0"/>
        <w:spacing w:line="360" w:lineRule="auto"/>
        <w:jc w:val="center"/>
        <w:outlineLvl w:val="0"/>
        <w:rPr>
          <w:rFonts w:ascii="宋体" w:hAnsi="宋体" w:cs="宋体"/>
          <w:b/>
          <w:sz w:val="36"/>
          <w:szCs w:val="36"/>
        </w:rPr>
      </w:pPr>
      <w:bookmarkStart w:id="24" w:name="_Toc12315"/>
      <w:r>
        <w:rPr>
          <w:rFonts w:hint="eastAsia" w:ascii="宋体" w:hAnsi="宋体" w:cs="宋体"/>
          <w:b/>
          <w:sz w:val="36"/>
          <w:szCs w:val="36"/>
        </w:rPr>
        <w:t>五、评标</w:t>
      </w:r>
      <w:bookmarkEnd w:id="24"/>
    </w:p>
    <w:p w14:paraId="1BEF5DA6">
      <w:pPr>
        <w:spacing w:line="360" w:lineRule="auto"/>
        <w:rPr>
          <w:rFonts w:ascii="宋体" w:hAnsi="宋体" w:cs="宋体"/>
          <w:b/>
          <w:sz w:val="24"/>
        </w:rPr>
      </w:pPr>
      <w:bookmarkStart w:id="25"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EE60555">
      <w:pPr>
        <w:spacing w:line="360" w:lineRule="auto"/>
        <w:rPr>
          <w:rFonts w:ascii="宋体" w:hAnsi="宋体" w:cs="宋体"/>
          <w:b/>
          <w:sz w:val="24"/>
        </w:rPr>
      </w:pPr>
    </w:p>
    <w:p w14:paraId="7C13D286">
      <w:pPr>
        <w:snapToGrid w:val="0"/>
        <w:spacing w:line="360" w:lineRule="auto"/>
        <w:jc w:val="center"/>
        <w:outlineLvl w:val="0"/>
        <w:rPr>
          <w:rFonts w:ascii="宋体" w:hAnsi="宋体" w:cs="宋体"/>
          <w:b/>
          <w:sz w:val="36"/>
          <w:szCs w:val="36"/>
        </w:rPr>
      </w:pPr>
      <w:bookmarkStart w:id="26" w:name="_Toc16475"/>
      <w:r>
        <w:rPr>
          <w:rFonts w:hint="eastAsia" w:ascii="宋体" w:hAnsi="宋体" w:cs="宋体"/>
          <w:b/>
          <w:sz w:val="36"/>
          <w:szCs w:val="36"/>
        </w:rPr>
        <w:t>六、定 标</w:t>
      </w:r>
      <w:bookmarkEnd w:id="26"/>
    </w:p>
    <w:p w14:paraId="0EB4724E">
      <w:pPr>
        <w:pStyle w:val="25"/>
        <w:spacing w:line="360" w:lineRule="auto"/>
        <w:ind w:left="479" w:hanging="479" w:hangingChars="199"/>
        <w:rPr>
          <w:rFonts w:cs="宋体"/>
          <w:b/>
        </w:rPr>
      </w:pPr>
      <w:r>
        <w:rPr>
          <w:rFonts w:hint="eastAsia" w:cs="宋体"/>
          <w:b/>
        </w:rPr>
        <w:t>22. 确定中标供应商</w:t>
      </w:r>
    </w:p>
    <w:p w14:paraId="2A8C9F33">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FB0DCFE">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36D83EE">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33D479D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27" w:name="_Hlk101184471"/>
      <w:r>
        <w:rPr>
          <w:rFonts w:hint="eastAsia" w:ascii="宋体" w:hAnsi="宋体" w:cs="宋体"/>
          <w:sz w:val="24"/>
        </w:rPr>
        <w:t>资格审查情况、评审专家抽取规则、符合性审查情况、</w:t>
      </w:r>
      <w:bookmarkEnd w:id="27"/>
      <w:r>
        <w:rPr>
          <w:rFonts w:hint="eastAsia" w:ascii="宋体" w:hAnsi="宋体" w:cs="宋体"/>
          <w:sz w:val="24"/>
        </w:rPr>
        <w:t>未中标情况说明、中标公告期限以及评审专家名单、评分汇总及明细。</w:t>
      </w:r>
    </w:p>
    <w:p w14:paraId="129BD584">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52C2FED8">
      <w:pPr>
        <w:snapToGrid w:val="0"/>
        <w:spacing w:line="360" w:lineRule="auto"/>
        <w:ind w:left="120" w:leftChars="57" w:firstLine="482" w:firstLineChars="150"/>
        <w:jc w:val="center"/>
        <w:rPr>
          <w:rFonts w:ascii="宋体" w:hAnsi="宋体" w:cs="宋体"/>
          <w:b/>
          <w:sz w:val="32"/>
        </w:rPr>
      </w:pPr>
    </w:p>
    <w:p w14:paraId="507CF36B">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44127E9">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A14B7C2">
      <w:pPr>
        <w:pStyle w:val="25"/>
        <w:spacing w:line="360" w:lineRule="auto"/>
        <w:ind w:left="479" w:hanging="479" w:hangingChars="199"/>
        <w:rPr>
          <w:rFonts w:cs="宋体"/>
          <w:b/>
        </w:rPr>
      </w:pPr>
      <w:r>
        <w:rPr>
          <w:rFonts w:hint="eastAsia" w:cs="宋体"/>
          <w:b/>
        </w:rPr>
        <w:t>25. 合同的签订</w:t>
      </w:r>
    </w:p>
    <w:p w14:paraId="1639A24B">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中标通知书发出之日起三十日内，中标人无故不与采购人签订采购合同的，采购人有权取消其中标资格，并上报相关监管部门，按有关规定予以通报。中标人上述行为给采购人造成的损失的，应当对采购人进行赔偿，同时采购人保留追究其相关法律责任的权利。</w:t>
      </w:r>
    </w:p>
    <w:p w14:paraId="0C3FFF30">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4C5F165">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E415815">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A4AB943">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C749705">
      <w:pPr>
        <w:pStyle w:val="25"/>
        <w:snapToGrid w:val="0"/>
        <w:spacing w:line="360" w:lineRule="auto"/>
        <w:ind w:firstLine="482"/>
        <w:rPr>
          <w:rFonts w:cs="宋体"/>
          <w:b/>
          <w:highlight w:val="none"/>
        </w:rPr>
      </w:pPr>
      <w:r>
        <w:rPr>
          <w:rFonts w:hint="eastAsia" w:cs="宋体"/>
          <w:b/>
          <w:highlight w:val="none"/>
        </w:rPr>
        <w:t>26. 履约保证金</w:t>
      </w:r>
    </w:p>
    <w:p w14:paraId="63A5A8B2">
      <w:pPr>
        <w:pStyle w:val="131"/>
        <w:snapToGrid w:val="0"/>
        <w:spacing w:before="0"/>
        <w:ind w:firstLine="480"/>
        <w:rPr>
          <w:rFonts w:hint="eastAsia" w:ascii="宋体" w:hAnsi="宋体" w:cs="宋体"/>
          <w:lang w:val="en-US" w:eastAsia="zh-CN"/>
        </w:rPr>
      </w:pPr>
      <w:r>
        <w:rPr>
          <w:rFonts w:hint="eastAsia" w:ascii="宋体" w:hAnsi="宋体" w:cs="宋体"/>
          <w:lang w:val="en-US" w:eastAsia="zh-CN"/>
        </w:rPr>
        <w:t>本项目不设置履约保证金。</w:t>
      </w:r>
    </w:p>
    <w:p w14:paraId="120C2DA4">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44DA42C6">
      <w:pPr>
        <w:pStyle w:val="131"/>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73BC4AD8">
      <w:pPr>
        <w:pStyle w:val="131"/>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1D9F54A6">
      <w:pPr>
        <w:pStyle w:val="131"/>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20DE580A">
      <w:pPr>
        <w:pStyle w:val="131"/>
        <w:snapToGrid w:val="0"/>
        <w:spacing w:before="0"/>
        <w:ind w:firstLine="480"/>
        <w:rPr>
          <w:rFonts w:ascii="宋体" w:hAnsi="宋体" w:cs="宋体"/>
        </w:rPr>
      </w:pPr>
      <w:r>
        <w:rPr>
          <w:rFonts w:hint="eastAsia" w:ascii="宋体" w:hAnsi="宋体" w:cs="宋体"/>
        </w:rPr>
        <w:t>27.3电子交易平台发现严重安全漏洞，有潜在泄密危险的；</w:t>
      </w:r>
    </w:p>
    <w:p w14:paraId="055D47BA">
      <w:pPr>
        <w:pStyle w:val="131"/>
        <w:snapToGrid w:val="0"/>
        <w:spacing w:before="0"/>
        <w:ind w:firstLine="480"/>
        <w:rPr>
          <w:rFonts w:ascii="宋体" w:hAnsi="宋体" w:cs="宋体"/>
        </w:rPr>
      </w:pPr>
      <w:r>
        <w:rPr>
          <w:rFonts w:hint="eastAsia" w:ascii="宋体" w:hAnsi="宋体" w:cs="宋体"/>
        </w:rPr>
        <w:t xml:space="preserve">27.4病毒发作导致不能进行正常操作的； </w:t>
      </w:r>
    </w:p>
    <w:p w14:paraId="4BA779C1">
      <w:pPr>
        <w:pStyle w:val="131"/>
        <w:snapToGrid w:val="0"/>
        <w:spacing w:before="0"/>
        <w:ind w:firstLine="480"/>
        <w:rPr>
          <w:rFonts w:ascii="宋体" w:hAnsi="宋体" w:cs="宋体"/>
        </w:rPr>
      </w:pPr>
      <w:r>
        <w:rPr>
          <w:rFonts w:hint="eastAsia" w:ascii="宋体" w:hAnsi="宋体" w:cs="宋体"/>
        </w:rPr>
        <w:t>27.5其他无法保证电子交易的公平、公正和安全的情况。</w:t>
      </w:r>
    </w:p>
    <w:p w14:paraId="6FDE2B06">
      <w:pPr>
        <w:pStyle w:val="131"/>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C45D814">
      <w:pPr>
        <w:tabs>
          <w:tab w:val="left" w:pos="0"/>
        </w:tabs>
        <w:snapToGrid w:val="0"/>
        <w:spacing w:line="360" w:lineRule="auto"/>
        <w:ind w:firstLine="480"/>
        <w:rPr>
          <w:rFonts w:ascii="宋体" w:hAnsi="宋体" w:cs="宋体"/>
          <w:sz w:val="24"/>
        </w:rPr>
      </w:pPr>
    </w:p>
    <w:p w14:paraId="1FFA8B4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B32B8F7">
      <w:pPr>
        <w:pStyle w:val="25"/>
        <w:snapToGrid w:val="0"/>
        <w:spacing w:line="360" w:lineRule="auto"/>
        <w:ind w:firstLine="0" w:firstLineChars="0"/>
        <w:rPr>
          <w:rFonts w:cs="宋体"/>
          <w:b/>
        </w:rPr>
      </w:pPr>
      <w:r>
        <w:rPr>
          <w:rFonts w:hint="eastAsia" w:cs="宋体"/>
          <w:b/>
        </w:rPr>
        <w:t>29.验收</w:t>
      </w:r>
    </w:p>
    <w:p w14:paraId="50213B67">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2115FD">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2F19D98E">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18A893AA">
      <w:pPr>
        <w:tabs>
          <w:tab w:val="left" w:pos="0"/>
        </w:tabs>
        <w:snapToGrid w:val="0"/>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5"/>
    <w:p w14:paraId="6E086FA1">
      <w:pPr>
        <w:tabs>
          <w:tab w:val="left" w:pos="0"/>
        </w:tabs>
        <w:snapToGrid w:val="0"/>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8" w:name="_Hlt74714665"/>
      <w:bookmarkEnd w:id="28"/>
      <w:bookmarkStart w:id="29" w:name="_Hlt74730295"/>
      <w:bookmarkEnd w:id="29"/>
      <w:bookmarkStart w:id="30" w:name="_Hlt68072990"/>
      <w:bookmarkEnd w:id="30"/>
      <w:bookmarkStart w:id="31" w:name="_Hlt75236011"/>
      <w:bookmarkEnd w:id="31"/>
      <w:bookmarkStart w:id="32" w:name="_Hlt68403820"/>
      <w:bookmarkEnd w:id="32"/>
      <w:bookmarkStart w:id="33" w:name="_Hlt75236290"/>
      <w:bookmarkEnd w:id="33"/>
      <w:bookmarkStart w:id="34" w:name="_Hlt68057669"/>
      <w:bookmarkEnd w:id="34"/>
      <w:bookmarkStart w:id="35" w:name="_Hlt74707468"/>
      <w:bookmarkEnd w:id="35"/>
      <w:bookmarkStart w:id="36" w:name="_Hlt74729768"/>
      <w:bookmarkEnd w:id="36"/>
      <w:bookmarkStart w:id="37" w:name="_Hlt68072998"/>
      <w:bookmarkEnd w:id="37"/>
      <w:bookmarkStart w:id="38" w:name="_Hlt75236101"/>
      <w:bookmarkEnd w:id="38"/>
      <w:bookmarkStart w:id="39" w:name="_Hlt68073093"/>
      <w:bookmarkEnd w:id="39"/>
    </w:p>
    <w:p w14:paraId="0C96C27D">
      <w:pPr>
        <w:pStyle w:val="4"/>
        <w:numPr>
          <w:ilvl w:val="0"/>
          <w:numId w:val="1"/>
        </w:numPr>
        <w:spacing w:beforeLines="0" w:afterLines="0"/>
      </w:pPr>
      <w:bookmarkStart w:id="40" w:name="_Toc30778"/>
      <w:r>
        <w:rPr>
          <w:rFonts w:hint="eastAsia"/>
        </w:rPr>
        <w:t>采购需求</w:t>
      </w:r>
      <w:bookmarkEnd w:id="40"/>
    </w:p>
    <w:p w14:paraId="000AFFFD">
      <w:pPr>
        <w:keepNext w:val="0"/>
        <w:keepLines w:val="0"/>
        <w:pageBreakBefore w:val="0"/>
        <w:kinsoku/>
        <w:wordWrap/>
        <w:topLinePunct/>
        <w:bidi w:val="0"/>
        <w:adjustRightInd w:val="0"/>
        <w:spacing w:line="360" w:lineRule="auto"/>
        <w:rPr>
          <w:rFonts w:hint="eastAsia" w:ascii="宋体" w:hAnsi="宋体" w:eastAsia="宋体" w:cs="宋体"/>
          <w:b/>
          <w:color w:val="auto"/>
          <w:kern w:val="0"/>
          <w:sz w:val="24"/>
          <w:szCs w:val="24"/>
        </w:rPr>
      </w:pPr>
      <w:bookmarkStart w:id="41" w:name="_Toc28132"/>
      <w:r>
        <w:rPr>
          <w:rFonts w:hint="eastAsia" w:ascii="宋体" w:hAnsi="宋体" w:eastAsia="宋体" w:cs="宋体"/>
          <w:b/>
          <w:color w:val="auto"/>
          <w:kern w:val="0"/>
          <w:sz w:val="24"/>
          <w:szCs w:val="24"/>
          <w:lang w:val="en-US" w:eastAsia="zh-CN"/>
        </w:rPr>
        <w:t>一</w:t>
      </w:r>
      <w:r>
        <w:rPr>
          <w:rFonts w:hint="eastAsia" w:ascii="宋体" w:hAnsi="宋体" w:eastAsia="宋体" w:cs="宋体"/>
          <w:b/>
          <w:color w:val="auto"/>
          <w:kern w:val="0"/>
          <w:sz w:val="24"/>
          <w:szCs w:val="24"/>
        </w:rPr>
        <w:t>、项目具体内容、实施范围</w:t>
      </w:r>
    </w:p>
    <w:p w14:paraId="3EB3BAED">
      <w:pPr>
        <w:keepNext w:val="0"/>
        <w:keepLines w:val="0"/>
        <w:pageBreakBefore w:val="0"/>
        <w:kinsoku/>
        <w:wordWrap/>
        <w:topLinePunct/>
        <w:bidi w:val="0"/>
        <w:adjustRightInd w:val="0"/>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（1）服务范围</w:t>
      </w:r>
    </w:p>
    <w:p w14:paraId="5B6F2A0E">
      <w:pPr>
        <w:keepNext w:val="0"/>
        <w:keepLines w:val="0"/>
        <w:pageBreakBefore w:val="0"/>
        <w:kinsoku/>
        <w:wordWrap/>
        <w:topLinePunct/>
        <w:bidi w:val="0"/>
        <w:adjustRightInd w:val="0"/>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富春江镇范围内所有易腐垃圾清运及处置。</w:t>
      </w:r>
    </w:p>
    <w:p w14:paraId="4DFD86DC">
      <w:pPr>
        <w:keepNext w:val="0"/>
        <w:keepLines w:val="0"/>
        <w:pageBreakBefore w:val="0"/>
        <w:kinsoku/>
        <w:wordWrap/>
        <w:topLinePunct/>
        <w:bidi w:val="0"/>
        <w:adjustRightInd w:val="0"/>
        <w:spacing w:line="360" w:lineRule="auto"/>
        <w:ind w:firstLine="480" w:firstLineChars="20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富春江镇内的易腐垃圾清运处置按具体规范要求作业。如因其他原因需要临时调整或适当延长分类收集清运处置时间的，中标单位根据采购人要求及时作出调整或安排。如因天气恶劣等其他因素，确实对日常作业造成影响的，尤其是对一线作业人员可能造成伤害的，或可能存在较大安全隐患的，中标单位可向采购人提出申请（口头或书面形式）经同意后进行分类收集清运处置模式调整，待各类不良因素去除后中标单位应及时恢复原状。</w:t>
      </w:r>
    </w:p>
    <w:p w14:paraId="47952F9E">
      <w:pPr>
        <w:keepNext w:val="0"/>
        <w:keepLines w:val="0"/>
        <w:pageBreakBefore w:val="0"/>
        <w:kinsoku/>
        <w:wordWrap/>
        <w:topLinePunct/>
        <w:bidi w:val="0"/>
        <w:adjustRightInd w:val="0"/>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（2）服务内容</w:t>
      </w:r>
    </w:p>
    <w:p w14:paraId="488DD9B9">
      <w:pPr>
        <w:keepNext w:val="0"/>
        <w:keepLines w:val="0"/>
        <w:pageBreakBefore w:val="0"/>
        <w:kinsoku/>
        <w:wordWrap/>
        <w:topLinePunct/>
        <w:bidi w:val="0"/>
        <w:adjustRightInd w:val="0"/>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富春江镇范围内所有易腐垃圾清运及处置。</w:t>
      </w:r>
    </w:p>
    <w:p w14:paraId="6639DCCB">
      <w:pPr>
        <w:keepNext w:val="0"/>
        <w:keepLines w:val="0"/>
        <w:pageBreakBefore w:val="0"/>
        <w:kinsoku/>
        <w:wordWrap/>
        <w:topLinePunct/>
        <w:bidi w:val="0"/>
        <w:adjustRightInd w:val="0"/>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二</w:t>
      </w:r>
      <w:r>
        <w:rPr>
          <w:rFonts w:hint="eastAsia" w:ascii="宋体" w:hAnsi="宋体" w:eastAsia="宋体" w:cs="宋体"/>
          <w:b/>
          <w:color w:val="auto"/>
          <w:kern w:val="0"/>
          <w:sz w:val="24"/>
          <w:szCs w:val="24"/>
        </w:rPr>
        <w:t>、项目服务要求</w:t>
      </w:r>
    </w:p>
    <w:p w14:paraId="24EB81EE">
      <w:pPr>
        <w:keepNext w:val="0"/>
        <w:keepLines w:val="0"/>
        <w:pageBreakBefore w:val="0"/>
        <w:kinsoku/>
        <w:wordWrap/>
        <w:bidi w:val="0"/>
        <w:adjustRightInd w:val="0"/>
        <w:spacing w:line="360" w:lineRule="auto"/>
        <w:ind w:firstLine="235" w:firstLineChars="98"/>
        <w:rPr>
          <w:rFonts w:hint="eastAsia" w:ascii="宋体" w:hAnsi="宋体" w:eastAsia="宋体" w:cs="宋体"/>
          <w:color w:val="auto"/>
          <w:sz w:val="24"/>
          <w:szCs w:val="24"/>
        </w:rPr>
      </w:pPr>
      <w:r>
        <w:rPr>
          <w:rFonts w:hint="eastAsia" w:ascii="宋体" w:hAnsi="宋体" w:eastAsia="宋体" w:cs="宋体"/>
          <w:color w:val="auto"/>
          <w:sz w:val="24"/>
          <w:szCs w:val="24"/>
        </w:rPr>
        <w:t>（1）收运处置方式</w:t>
      </w:r>
    </w:p>
    <w:p w14:paraId="35E3E6D7">
      <w:pPr>
        <w:keepNext w:val="0"/>
        <w:keepLines w:val="0"/>
        <w:pageBreakBefore w:val="0"/>
        <w:kinsoku/>
        <w:wordWrap/>
        <w:bidi w:val="0"/>
        <w:adjustRightIn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富春江镇</w:t>
      </w:r>
      <w:r>
        <w:rPr>
          <w:rFonts w:hint="eastAsia" w:ascii="宋体" w:hAnsi="宋体" w:eastAsia="宋体" w:cs="宋体"/>
          <w:color w:val="auto"/>
          <w:sz w:val="24"/>
          <w:szCs w:val="24"/>
          <w:lang w:eastAsia="zh-CN"/>
        </w:rPr>
        <w:t>俞赵、芦茨、</w:t>
      </w:r>
      <w:r>
        <w:rPr>
          <w:rFonts w:hint="eastAsia" w:ascii="宋体" w:hAnsi="宋体" w:eastAsia="宋体" w:cs="宋体"/>
          <w:color w:val="auto"/>
          <w:sz w:val="24"/>
          <w:szCs w:val="24"/>
          <w:lang w:val="en-US" w:eastAsia="zh-CN"/>
        </w:rPr>
        <w:t>芝厦三</w:t>
      </w:r>
      <w:r>
        <w:rPr>
          <w:rFonts w:hint="eastAsia" w:ascii="宋体" w:hAnsi="宋体" w:eastAsia="宋体" w:cs="宋体"/>
          <w:color w:val="auto"/>
          <w:sz w:val="24"/>
          <w:szCs w:val="24"/>
        </w:rPr>
        <w:t>个集置</w:t>
      </w:r>
      <w:r>
        <w:rPr>
          <w:rFonts w:hint="eastAsia" w:ascii="宋体" w:hAnsi="宋体" w:eastAsia="宋体" w:cs="宋体"/>
          <w:color w:val="auto"/>
          <w:sz w:val="24"/>
          <w:szCs w:val="24"/>
          <w:lang w:val="en-US" w:eastAsia="zh-CN"/>
        </w:rPr>
        <w:t>点的易腐垃圾直运至中标单位场地进行处置</w:t>
      </w:r>
    </w:p>
    <w:p w14:paraId="54301402">
      <w:pPr>
        <w:keepNext w:val="0"/>
        <w:keepLines w:val="0"/>
        <w:pageBreakBefore w:val="0"/>
        <w:kinsoku/>
        <w:wordWrap/>
        <w:bidi w:val="0"/>
        <w:adjustRightInd w:val="0"/>
        <w:spacing w:line="360" w:lineRule="auto"/>
        <w:ind w:firstLine="235" w:firstLineChars="98"/>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）收运频次：</w:t>
      </w:r>
    </w:p>
    <w:p w14:paraId="27F93813">
      <w:pPr>
        <w:keepNext w:val="0"/>
        <w:keepLines w:val="0"/>
        <w:pageBreakBefore w:val="0"/>
        <w:kinsoku/>
        <w:wordWrap/>
        <w:bidi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收运频次1次/日。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如遇特殊情况，按甲方要求增加收运次数</w:t>
      </w:r>
      <w:r>
        <w:rPr>
          <w:rFonts w:hint="eastAsia" w:ascii="宋体" w:hAnsi="宋体" w:eastAsia="宋体" w:cs="宋体"/>
          <w:color w:val="auto"/>
          <w:sz w:val="24"/>
          <w:szCs w:val="24"/>
          <w:lang w:eastAsia="zh-CN"/>
        </w:rPr>
        <w:t>）</w:t>
      </w:r>
    </w:p>
    <w:p w14:paraId="04BA8671">
      <w:pPr>
        <w:keepNext w:val="0"/>
        <w:keepLines w:val="0"/>
        <w:pageBreakBefore w:val="0"/>
        <w:kinsoku/>
        <w:wordWrap/>
        <w:bidi w:val="0"/>
        <w:adjustRightInd w:val="0"/>
        <w:spacing w:line="360" w:lineRule="auto"/>
        <w:ind w:firstLine="235" w:firstLineChars="98"/>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）人员及车辆配置要求</w:t>
      </w:r>
    </w:p>
    <w:p w14:paraId="7C98CB87">
      <w:pPr>
        <w:keepNext w:val="0"/>
        <w:keepLines w:val="0"/>
        <w:pageBreakBefore w:val="0"/>
        <w:tabs>
          <w:tab w:val="left" w:pos="10506"/>
        </w:tabs>
        <w:kinsoku/>
        <w:wordWrap/>
        <w:bidi w:val="0"/>
        <w:adjustRightIn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一线作业人员配置要求：根据日产日清要求，配置一线作业人员及管理人员。</w:t>
      </w:r>
    </w:p>
    <w:p w14:paraId="2D309A8F">
      <w:pPr>
        <w:keepNext w:val="0"/>
        <w:keepLines w:val="0"/>
        <w:pageBreakBefore w:val="0"/>
        <w:tabs>
          <w:tab w:val="left" w:pos="10506"/>
        </w:tabs>
        <w:kinsoku/>
        <w:wordWrap/>
        <w:bidi w:val="0"/>
        <w:adjustRightIn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一线作业车辆配置要求：根据日产日清要求，配置相应作业车辆。</w:t>
      </w:r>
    </w:p>
    <w:p w14:paraId="5475421C">
      <w:pPr>
        <w:keepNext w:val="0"/>
        <w:keepLines w:val="0"/>
        <w:pageBreakBefore w:val="0"/>
        <w:kinsoku/>
        <w:wordWrap/>
        <w:topLinePunct/>
        <w:bidi w:val="0"/>
        <w:adjustRightInd w:val="0"/>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三</w:t>
      </w:r>
      <w:r>
        <w:rPr>
          <w:rFonts w:hint="eastAsia" w:ascii="宋体" w:hAnsi="宋体" w:eastAsia="宋体" w:cs="宋体"/>
          <w:b/>
          <w:color w:val="auto"/>
          <w:kern w:val="0"/>
          <w:sz w:val="24"/>
          <w:szCs w:val="24"/>
        </w:rPr>
        <w:t>、作业标准与规范</w:t>
      </w:r>
    </w:p>
    <w:p w14:paraId="143CD900">
      <w:pPr>
        <w:keepNext w:val="0"/>
        <w:keepLines w:val="0"/>
        <w:pageBreakBefore w:val="0"/>
        <w:kinsoku/>
        <w:wordWrap/>
        <w:bidi w:val="0"/>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易腐垃圾收集作业规范：</w:t>
      </w:r>
    </w:p>
    <w:p w14:paraId="7E79AAD7">
      <w:pPr>
        <w:keepNext w:val="0"/>
        <w:keepLines w:val="0"/>
        <w:pageBreakBefore w:val="0"/>
        <w:kinsoku/>
        <w:wordWrap/>
        <w:bidi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①各垃圾集置点易腐垃圾清运采用大型压缩式易腐垃圾运输车以清洁直运模式为主。</w:t>
      </w:r>
    </w:p>
    <w:p w14:paraId="0DF04CCD">
      <w:pPr>
        <w:keepNext w:val="0"/>
        <w:keepLines w:val="0"/>
        <w:pageBreakBefore w:val="0"/>
        <w:kinsoku/>
        <w:wordWrap/>
        <w:bidi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②作业人员上岗前应统一着装，配工作证，着手套、戴口罩，严禁着装不规范等问题发生。</w:t>
      </w:r>
    </w:p>
    <w:p w14:paraId="613C68F1">
      <w:pPr>
        <w:keepNext w:val="0"/>
        <w:keepLines w:val="0"/>
        <w:pageBreakBefore w:val="0"/>
        <w:kinsoku/>
        <w:wordWrap/>
        <w:bidi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③易腐垃圾收集车必须统一外观，有明显易腐垃圾标识，外观整洁，无吊挂。出车前应对车辆进行检查，运输过程中应遵守交通规则，注意行车安全。</w:t>
      </w:r>
    </w:p>
    <w:p w14:paraId="737BB014">
      <w:pPr>
        <w:keepNext w:val="0"/>
        <w:keepLines w:val="0"/>
        <w:pageBreakBefore w:val="0"/>
        <w:kinsoku/>
        <w:wordWrap/>
        <w:bidi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④易腐垃圾收集车至投放点后，车辆应就近停放在垃圾集置点处，并在车尾放置提示或警示安全柱，以方便易腐垃圾清运。装运时地面应铺设塑料垫，生活垃圾装车时无垃圾落地和污水外溢现象。</w:t>
      </w:r>
    </w:p>
    <w:p w14:paraId="08F8340A">
      <w:pPr>
        <w:keepNext w:val="0"/>
        <w:keepLines w:val="0"/>
        <w:pageBreakBefore w:val="0"/>
        <w:kinsoku/>
        <w:wordWrap/>
        <w:bidi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⑤易腐垃圾装车前，应对垃圾桶内的易腐垃圾进行检查，未达到分类要求的，应在未分类垃圾桶上张贴告知单告知，督促其加强垃圾分类工作。对拒不改正的，应予以拍照，并上传公司管理平台，然后整理后统一上报业主单位处理。</w:t>
      </w:r>
    </w:p>
    <w:p w14:paraId="3307366D">
      <w:pPr>
        <w:keepNext w:val="0"/>
        <w:keepLines w:val="0"/>
        <w:pageBreakBefore w:val="0"/>
        <w:kinsoku/>
        <w:wordWrap/>
        <w:bidi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⑥易腐垃圾装车结束后，应将垃圾桶拖至原位摆放整齐，并清扫装车场地，做到车走地净。</w:t>
      </w:r>
    </w:p>
    <w:p w14:paraId="0A5CCB59">
      <w:pPr>
        <w:keepNext w:val="0"/>
        <w:keepLines w:val="0"/>
        <w:pageBreakBefore w:val="0"/>
        <w:kinsoku/>
        <w:wordWrap/>
        <w:bidi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⑦作业过程中，垃圾桶应轻拿轻放；人员不得大声喧哗；严格遵守城区禁鸣喇叭等要求；车辆作业过程中，严禁开启车上播放器，收听广播或音乐；尽量降低作业噪音。</w:t>
      </w:r>
    </w:p>
    <w:p w14:paraId="30CB2126">
      <w:pPr>
        <w:keepNext w:val="0"/>
        <w:keepLines w:val="0"/>
        <w:pageBreakBefore w:val="0"/>
        <w:kinsoku/>
        <w:wordWrap/>
        <w:bidi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⑧如影响居民时，应用“请让让、帮帮忙、麻烦你了、打扰了”等文明用语，不得语言粗暴。</w:t>
      </w:r>
    </w:p>
    <w:p w14:paraId="47D566B4">
      <w:pPr>
        <w:keepNext w:val="0"/>
        <w:keepLines w:val="0"/>
        <w:pageBreakBefore w:val="0"/>
        <w:kinsoku/>
        <w:wordWrap/>
        <w:bidi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⑨作业结束后，应做好收集清运</w:t>
      </w:r>
      <w:r>
        <w:rPr>
          <w:rFonts w:hint="eastAsia" w:ascii="宋体" w:hAnsi="宋体" w:eastAsia="宋体" w:cs="宋体"/>
          <w:color w:val="auto"/>
          <w:sz w:val="24"/>
          <w:szCs w:val="24"/>
          <w:lang w:eastAsia="zh-CN"/>
        </w:rPr>
        <w:t>台账记录</w:t>
      </w:r>
      <w:r>
        <w:rPr>
          <w:rFonts w:hint="eastAsia" w:ascii="宋体" w:hAnsi="宋体" w:eastAsia="宋体" w:cs="宋体"/>
          <w:color w:val="auto"/>
          <w:sz w:val="24"/>
          <w:szCs w:val="24"/>
        </w:rPr>
        <w:t>，并对作业车辆进行全部清洗</w:t>
      </w:r>
      <w:r>
        <w:rPr>
          <w:rFonts w:hint="eastAsia" w:ascii="宋体" w:hAnsi="宋体" w:eastAsia="宋体" w:cs="宋体"/>
          <w:color w:val="auto"/>
          <w:sz w:val="24"/>
          <w:szCs w:val="24"/>
          <w:lang w:eastAsia="zh-CN"/>
        </w:rPr>
        <w:t>和</w:t>
      </w:r>
      <w:r>
        <w:rPr>
          <w:rFonts w:hint="eastAsia" w:ascii="宋体" w:hAnsi="宋体" w:eastAsia="宋体" w:cs="宋体"/>
          <w:color w:val="auto"/>
          <w:sz w:val="24"/>
          <w:szCs w:val="24"/>
        </w:rPr>
        <w:t>车辆消杀工作。</w:t>
      </w:r>
    </w:p>
    <w:p w14:paraId="640B9F33">
      <w:pPr>
        <w:keepNext w:val="0"/>
        <w:keepLines w:val="0"/>
        <w:pageBreakBefore w:val="0"/>
        <w:kinsoku/>
        <w:wordWrap/>
        <w:bidi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⑩</w:t>
      </w:r>
      <w:r>
        <w:rPr>
          <w:rFonts w:hint="eastAsia" w:ascii="宋体" w:hAnsi="宋体" w:eastAsia="宋体" w:cs="宋体"/>
          <w:color w:val="auto"/>
          <w:sz w:val="24"/>
          <w:szCs w:val="24"/>
        </w:rPr>
        <w:t>日产日清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当日清运。</w:t>
      </w:r>
    </w:p>
    <w:p w14:paraId="269799A9">
      <w:pPr>
        <w:keepNext w:val="0"/>
        <w:keepLines w:val="0"/>
        <w:pageBreakBefore w:val="0"/>
        <w:kinsoku/>
        <w:wordWrap/>
        <w:topLinePunct/>
        <w:bidi w:val="0"/>
        <w:adjustRightInd w:val="0"/>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四</w:t>
      </w:r>
      <w:r>
        <w:rPr>
          <w:rFonts w:hint="eastAsia" w:ascii="宋体" w:hAnsi="宋体" w:eastAsia="宋体" w:cs="宋体"/>
          <w:b/>
          <w:color w:val="auto"/>
          <w:kern w:val="0"/>
          <w:sz w:val="24"/>
          <w:szCs w:val="24"/>
        </w:rPr>
        <w:t>、其他事项</w:t>
      </w:r>
    </w:p>
    <w:p w14:paraId="5DCFB35F">
      <w:pPr>
        <w:keepNext w:val="0"/>
        <w:keepLines w:val="0"/>
        <w:pageBreakBefore w:val="0"/>
        <w:widowControl/>
        <w:kinsoku/>
        <w:wordWrap/>
        <w:overflowPunct w:val="0"/>
        <w:autoSpaceDE w:val="0"/>
        <w:autoSpaceDN w:val="0"/>
        <w:bidi w:val="0"/>
        <w:adjustRightInd w:val="0"/>
        <w:snapToGrid w:val="0"/>
        <w:spacing w:line="360" w:lineRule="auto"/>
        <w:ind w:firstLine="360" w:firstLineChars="15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（1）在重大节假日、活动保障及防汛抗台、防冻抗雪期间，应根据实际无条件服从要求，及时调整与转换作业模式。</w:t>
      </w:r>
    </w:p>
    <w:p w14:paraId="003C116C">
      <w:pPr>
        <w:keepNext w:val="0"/>
        <w:keepLines w:val="0"/>
        <w:pageBreakBefore w:val="0"/>
        <w:widowControl/>
        <w:kinsoku/>
        <w:wordWrap/>
        <w:overflowPunct w:val="0"/>
        <w:autoSpaceDE w:val="0"/>
        <w:autoSpaceDN w:val="0"/>
        <w:bidi w:val="0"/>
        <w:adjustRightInd w:val="0"/>
        <w:snapToGrid w:val="0"/>
        <w:spacing w:line="360" w:lineRule="auto"/>
        <w:ind w:firstLine="360" w:firstLineChars="15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（2）接到接到县（市长）公开电话、967000交办单、数字城管，或者各类媒体报道、市民来电（访）或投诉的各类问题，及在各级检查中发现并通报的问题，应做到及时整改与上报。</w:t>
      </w:r>
    </w:p>
    <w:p w14:paraId="598C9B2F">
      <w:pPr>
        <w:keepNext w:val="0"/>
        <w:keepLines w:val="0"/>
        <w:pageBreakBefore w:val="0"/>
        <w:widowControl/>
        <w:kinsoku/>
        <w:wordWrap/>
        <w:overflowPunct w:val="0"/>
        <w:autoSpaceDE w:val="0"/>
        <w:autoSpaceDN w:val="0"/>
        <w:bidi w:val="0"/>
        <w:adjustRightInd w:val="0"/>
        <w:snapToGrid w:val="0"/>
        <w:spacing w:line="360" w:lineRule="auto"/>
        <w:ind w:firstLine="360" w:firstLineChars="15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（3）遭遇突发性污染事件，必须组织人员及车辆等在30分钟内到达事发现场，以最快的有效时间内清除地面污染。</w:t>
      </w:r>
    </w:p>
    <w:p w14:paraId="1ABB0D7D">
      <w:pPr>
        <w:keepNext w:val="0"/>
        <w:keepLines w:val="0"/>
        <w:pageBreakBefore w:val="0"/>
        <w:widowControl/>
        <w:kinsoku/>
        <w:wordWrap/>
        <w:overflowPunct w:val="0"/>
        <w:autoSpaceDE w:val="0"/>
        <w:autoSpaceDN w:val="0"/>
        <w:bidi w:val="0"/>
        <w:adjustRightInd w:val="0"/>
        <w:snapToGrid w:val="0"/>
        <w:spacing w:line="360" w:lineRule="auto"/>
        <w:ind w:firstLine="360" w:firstLineChars="15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（4）对清扫作业区域周边部位的卫生作业有“举手之劳”的义务。</w:t>
      </w:r>
    </w:p>
    <w:p w14:paraId="7A175DF2">
      <w:pPr>
        <w:keepNext w:val="0"/>
        <w:keepLines w:val="0"/>
        <w:pageBreakBefore w:val="0"/>
        <w:widowControl/>
        <w:kinsoku/>
        <w:wordWrap/>
        <w:overflowPunct w:val="0"/>
        <w:autoSpaceDE w:val="0"/>
        <w:autoSpaceDN w:val="0"/>
        <w:bidi w:val="0"/>
        <w:adjustRightInd w:val="0"/>
        <w:snapToGrid w:val="0"/>
        <w:spacing w:line="360" w:lineRule="auto"/>
        <w:ind w:firstLine="360" w:firstLineChars="15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（5）作业公司应积极协助并配合采购人完成其他各类卫生清理整治工作。</w:t>
      </w:r>
    </w:p>
    <w:p w14:paraId="5F732E61">
      <w:pPr>
        <w:keepNext w:val="0"/>
        <w:keepLines w:val="0"/>
        <w:pageBreakBefore w:val="0"/>
        <w:kinsoku/>
        <w:wordWrap/>
        <w:topLinePunct/>
        <w:bidi w:val="0"/>
        <w:adjustRightInd w:val="0"/>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五</w:t>
      </w:r>
      <w:r>
        <w:rPr>
          <w:rFonts w:hint="eastAsia" w:ascii="宋体" w:hAnsi="宋体" w:eastAsia="宋体" w:cs="宋体"/>
          <w:b/>
          <w:color w:val="auto"/>
          <w:kern w:val="0"/>
          <w:sz w:val="24"/>
          <w:szCs w:val="24"/>
        </w:rPr>
        <w:t>、</w:t>
      </w:r>
      <w:r>
        <w:rPr>
          <w:rFonts w:hint="eastAsia" w:ascii="宋体" w:hAnsi="宋体" w:eastAsia="宋体" w:cs="宋体"/>
          <w:b/>
          <w:bCs/>
          <w:color w:val="auto"/>
          <w:kern w:val="0"/>
          <w:sz w:val="24"/>
          <w:szCs w:val="24"/>
        </w:rPr>
        <w:t>管理要求</w:t>
      </w:r>
    </w:p>
    <w:p w14:paraId="454CF12B">
      <w:pPr>
        <w:keepNext w:val="0"/>
        <w:keepLines w:val="0"/>
        <w:pageBreakBefore w:val="0"/>
        <w:kinsoku/>
        <w:wordWrap/>
        <w:bidi w:val="0"/>
        <w:adjustRightInd w:val="0"/>
        <w:snapToGrid w:val="0"/>
        <w:spacing w:line="360" w:lineRule="auto"/>
        <w:ind w:firstLine="360" w:firstLineChars="15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（1）中标人应加强作业质量管理，做好作业质量自查记录，作业交接班必须在作业现场进行。</w:t>
      </w:r>
    </w:p>
    <w:p w14:paraId="50CA8298">
      <w:pPr>
        <w:keepNext w:val="0"/>
        <w:keepLines w:val="0"/>
        <w:pageBreakBefore w:val="0"/>
        <w:kinsoku/>
        <w:wordWrap/>
        <w:bidi w:val="0"/>
        <w:adjustRightInd w:val="0"/>
        <w:snapToGrid w:val="0"/>
        <w:spacing w:line="360" w:lineRule="auto"/>
        <w:ind w:firstLine="360" w:firstLineChars="15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（2）规范管理，文明作业，自觉接受合同采购人及上级各部门领导的检查和社会监督，对出现的问题要及时整改。</w:t>
      </w:r>
    </w:p>
    <w:p w14:paraId="25AACE54">
      <w:pPr>
        <w:keepNext w:val="0"/>
        <w:keepLines w:val="0"/>
        <w:pageBreakBefore w:val="0"/>
        <w:kinsoku/>
        <w:wordWrap/>
        <w:bidi w:val="0"/>
        <w:adjustRightInd w:val="0"/>
        <w:snapToGrid w:val="0"/>
        <w:spacing w:line="360" w:lineRule="auto"/>
        <w:ind w:firstLine="360" w:firstLineChars="15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（3）作业时应严格遵守劳动纪律，遵守安全操作规程，确保安全，发生各种意外事故由中标人自行依照法律法规妥善处理。</w:t>
      </w:r>
    </w:p>
    <w:p w14:paraId="42CF886D">
      <w:pPr>
        <w:keepNext w:val="0"/>
        <w:keepLines w:val="0"/>
        <w:pageBreakBefore w:val="0"/>
        <w:kinsoku/>
        <w:wordWrap/>
        <w:bidi w:val="0"/>
        <w:adjustRightInd w:val="0"/>
        <w:snapToGrid w:val="0"/>
        <w:spacing w:line="360" w:lineRule="auto"/>
        <w:ind w:firstLine="360" w:firstLineChars="15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（4）中标人不得向单位和个人收取任何清运和处置费用。</w:t>
      </w:r>
    </w:p>
    <w:p w14:paraId="0EDDE742">
      <w:pPr>
        <w:keepNext w:val="0"/>
        <w:keepLines w:val="0"/>
        <w:pageBreakBefore w:val="0"/>
        <w:kinsoku/>
        <w:wordWrap/>
        <w:bidi w:val="0"/>
        <w:adjustRightInd w:val="0"/>
        <w:snapToGrid w:val="0"/>
        <w:spacing w:line="360" w:lineRule="auto"/>
        <w:ind w:firstLine="360" w:firstLineChars="15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（5）中标人作业车辆应停放适当地点，不影响行人和交通，收工后存放在合适的停车场所进行集中管理。</w:t>
      </w:r>
    </w:p>
    <w:p w14:paraId="11878FC5">
      <w:pPr>
        <w:keepNext w:val="0"/>
        <w:keepLines w:val="0"/>
        <w:pageBreakBefore w:val="0"/>
        <w:kinsoku/>
        <w:wordWrap/>
        <w:bidi w:val="0"/>
        <w:adjustRightInd w:val="0"/>
        <w:snapToGrid w:val="0"/>
        <w:spacing w:line="360" w:lineRule="auto"/>
        <w:ind w:firstLine="360" w:firstLineChars="15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（6）遇到生活垃圾不分类等问题，应做好信息采集与上报工作，并根据采购人意见采取拒运措施。</w:t>
      </w:r>
    </w:p>
    <w:p w14:paraId="200E7CE4">
      <w:pPr>
        <w:keepNext w:val="0"/>
        <w:keepLines w:val="0"/>
        <w:pageBreakBefore w:val="0"/>
        <w:kinsoku/>
        <w:wordWrap/>
        <w:bidi w:val="0"/>
        <w:adjustRightInd w:val="0"/>
        <w:snapToGrid w:val="0"/>
        <w:spacing w:line="360" w:lineRule="auto"/>
        <w:ind w:firstLine="360" w:firstLineChars="15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（7）月度内中标人应根据行业作业标准加强自身管理与检查，并结合区块实际认真科学的制定作业计划，向采购人提供优质服务。</w:t>
      </w:r>
    </w:p>
    <w:p w14:paraId="3F2BE5DB">
      <w:pPr>
        <w:keepNext w:val="0"/>
        <w:keepLines w:val="0"/>
        <w:pageBreakBefore w:val="0"/>
        <w:kinsoku/>
        <w:wordWrap/>
        <w:bidi w:val="0"/>
        <w:adjustRightInd w:val="0"/>
        <w:snapToGrid w:val="0"/>
        <w:spacing w:line="360" w:lineRule="auto"/>
        <w:ind w:firstLine="360" w:firstLineChars="15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（8）本项目要求作业人员为适龄人员。应严格遵守有关劳动法规，保障职工合法权益。</w:t>
      </w:r>
    </w:p>
    <w:p w14:paraId="6E937B2D">
      <w:pPr>
        <w:keepNext w:val="0"/>
        <w:keepLines w:val="0"/>
        <w:pageBreakBefore w:val="0"/>
        <w:kinsoku/>
        <w:wordWrap/>
        <w:topLinePunct/>
        <w:bidi w:val="0"/>
        <w:adjustRightIn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（9）在合同履行期间，因</w:t>
      </w:r>
      <w:r>
        <w:rPr>
          <w:rFonts w:hint="eastAsia" w:ascii="宋体" w:hAnsi="宋体" w:eastAsia="宋体" w:cs="宋体"/>
          <w:bCs/>
          <w:color w:val="auto"/>
          <w:sz w:val="24"/>
          <w:szCs w:val="24"/>
          <w:lang w:eastAsia="zh-CN"/>
        </w:rPr>
        <w:t>自然</w:t>
      </w:r>
      <w:r>
        <w:rPr>
          <w:rFonts w:hint="eastAsia" w:ascii="宋体" w:hAnsi="宋体" w:eastAsia="宋体" w:cs="宋体"/>
          <w:bCs/>
          <w:color w:val="auto"/>
          <w:sz w:val="24"/>
          <w:szCs w:val="24"/>
        </w:rPr>
        <w:t>灾害或政府需求等因素，导致合同无法正常履行时，采购人可根据实际情况，终止合同。另外，采购人根据管理需要，单方面对各类管理要求等相关内容进行修改时，经双方协商同意后，按新的管理要求等相关内容执行。</w:t>
      </w:r>
    </w:p>
    <w:p w14:paraId="3DF84D74">
      <w:pPr>
        <w:keepNext w:val="0"/>
        <w:keepLines w:val="0"/>
        <w:pageBreakBefore w:val="0"/>
        <w:kinsoku/>
        <w:wordWrap/>
        <w:autoSpaceDE w:val="0"/>
        <w:autoSpaceDN w:val="0"/>
        <w:bidi w:val="0"/>
        <w:adjustRightIn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、服务期</w:t>
      </w:r>
    </w:p>
    <w:p w14:paraId="57E34ED3">
      <w:pPr>
        <w:keepNext w:val="0"/>
        <w:keepLines w:val="0"/>
        <w:pageBreakBefore w:val="0"/>
        <w:kinsoku/>
        <w:wordWrap/>
        <w:autoSpaceDE w:val="0"/>
        <w:autoSpaceDN w:val="0"/>
        <w:bidi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本项目服务期为实际处置之日起一年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或者累计服务费用达到80万元，合同终止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549B476A">
      <w:pPr>
        <w:keepNext w:val="0"/>
        <w:keepLines w:val="0"/>
        <w:pageBreakBefore w:val="0"/>
        <w:kinsoku/>
        <w:wordWrap/>
        <w:autoSpaceDE w:val="0"/>
        <w:autoSpaceDN w:val="0"/>
        <w:bidi w:val="0"/>
        <w:adjustRightIn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、履约保证金</w:t>
      </w:r>
    </w:p>
    <w:p w14:paraId="27AEA378">
      <w:pPr>
        <w:keepNext w:val="0"/>
        <w:keepLines w:val="0"/>
        <w:pageBreakBefore w:val="0"/>
        <w:kinsoku/>
        <w:wordWrap/>
        <w:autoSpaceDE w:val="0"/>
        <w:autoSpaceDN w:val="0"/>
        <w:bidi w:val="0"/>
        <w:adjustRightInd w:val="0"/>
        <w:spacing w:line="360" w:lineRule="auto"/>
        <w:ind w:firstLine="480" w:firstLineChars="200"/>
        <w:rPr>
          <w:rFonts w:hint="eastAsia"/>
        </w:rPr>
      </w:pPr>
      <w:r>
        <w:rPr>
          <w:rFonts w:hint="eastAsia" w:ascii="宋体" w:hAnsi="宋体" w:eastAsia="宋体" w:cs="宋体"/>
          <w:color w:val="auto"/>
          <w:sz w:val="24"/>
          <w:szCs w:val="24"/>
        </w:rPr>
        <w:t>本项目无履约保证金。</w:t>
      </w:r>
    </w:p>
    <w:p w14:paraId="7ADC9B54">
      <w:pPr>
        <w:keepNext w:val="0"/>
        <w:keepLines w:val="0"/>
        <w:pageBreakBefore w:val="0"/>
        <w:kinsoku/>
        <w:wordWrap/>
        <w:topLinePunct/>
        <w:bidi w:val="0"/>
        <w:adjustRightInd w:val="0"/>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七</w:t>
      </w:r>
      <w:r>
        <w:rPr>
          <w:rFonts w:hint="eastAsia" w:ascii="宋体" w:hAnsi="宋体" w:eastAsia="宋体" w:cs="宋体"/>
          <w:b/>
          <w:color w:val="auto"/>
          <w:kern w:val="0"/>
          <w:sz w:val="24"/>
          <w:szCs w:val="24"/>
        </w:rPr>
        <w:t>、</w:t>
      </w:r>
      <w:r>
        <w:rPr>
          <w:rFonts w:hint="eastAsia" w:ascii="宋体" w:hAnsi="宋体" w:eastAsia="宋体" w:cs="宋体"/>
          <w:b/>
          <w:color w:val="auto"/>
          <w:sz w:val="24"/>
          <w:szCs w:val="24"/>
        </w:rPr>
        <w:t>付款方式</w:t>
      </w:r>
    </w:p>
    <w:p w14:paraId="60DEDCAE">
      <w:pPr>
        <w:keepNext w:val="0"/>
        <w:keepLines w:val="0"/>
        <w:pageBreakBefore w:val="0"/>
        <w:kinsoku/>
        <w:wordWrap/>
        <w:topLinePunct/>
        <w:bidi w:val="0"/>
        <w:adjustRightInd w:val="0"/>
        <w:spacing w:line="360" w:lineRule="auto"/>
        <w:ind w:firstLine="480" w:firstLineChars="200"/>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highlight w:val="none"/>
          <w:lang w:val="en-US" w:eastAsia="zh-CN"/>
        </w:rPr>
        <w:t>本项目不支付预付款，按时结算。</w:t>
      </w:r>
      <w:r>
        <w:rPr>
          <w:rFonts w:hint="eastAsia" w:ascii="宋体" w:hAnsi="宋体" w:eastAsia="宋体" w:cs="宋体"/>
          <w:b w:val="0"/>
          <w:bCs/>
          <w:color w:val="auto"/>
          <w:kern w:val="0"/>
          <w:sz w:val="24"/>
          <w:szCs w:val="24"/>
          <w:highlight w:val="none"/>
          <w:lang w:val="en-US" w:eastAsia="zh-CN" w:bidi="ar-SA"/>
        </w:rPr>
        <w:t>每三个月</w:t>
      </w:r>
      <w:r>
        <w:rPr>
          <w:rFonts w:hint="eastAsia" w:ascii="宋体" w:hAnsi="宋体" w:eastAsia="宋体" w:cs="宋体"/>
          <w:b w:val="0"/>
          <w:bCs/>
          <w:color w:val="auto"/>
          <w:kern w:val="0"/>
          <w:sz w:val="24"/>
          <w:szCs w:val="24"/>
          <w:highlight w:val="none"/>
        </w:rPr>
        <w:t>结算</w:t>
      </w:r>
      <w:r>
        <w:rPr>
          <w:rFonts w:hint="eastAsia" w:ascii="宋体" w:hAnsi="宋体" w:eastAsia="宋体" w:cs="宋体"/>
          <w:b w:val="0"/>
          <w:bCs/>
          <w:color w:val="auto"/>
          <w:kern w:val="0"/>
          <w:sz w:val="24"/>
          <w:szCs w:val="24"/>
          <w:highlight w:val="none"/>
          <w:lang w:val="en-US" w:eastAsia="zh-CN"/>
        </w:rPr>
        <w:t>一次，</w:t>
      </w:r>
      <w:r>
        <w:rPr>
          <w:rFonts w:hint="eastAsia" w:ascii="宋体" w:hAnsi="宋体" w:eastAsia="宋体" w:cs="宋体"/>
          <w:b w:val="0"/>
          <w:bCs/>
          <w:color w:val="auto"/>
          <w:kern w:val="0"/>
          <w:sz w:val="24"/>
          <w:szCs w:val="24"/>
          <w:highlight w:val="none"/>
        </w:rPr>
        <w:t>以运达垃圾处置点的实际处置数量乘以</w:t>
      </w:r>
      <w:r>
        <w:rPr>
          <w:rFonts w:hint="eastAsia" w:ascii="宋体" w:hAnsi="宋体" w:eastAsia="宋体" w:cs="宋体"/>
          <w:b w:val="0"/>
          <w:bCs/>
          <w:color w:val="auto"/>
          <w:kern w:val="0"/>
          <w:sz w:val="24"/>
          <w:szCs w:val="24"/>
          <w:highlight w:val="none"/>
          <w:lang w:val="en-US" w:eastAsia="zh-CN"/>
        </w:rPr>
        <w:t>中标</w:t>
      </w:r>
      <w:r>
        <w:rPr>
          <w:rFonts w:hint="eastAsia" w:ascii="宋体" w:hAnsi="宋体" w:eastAsia="宋体" w:cs="宋体"/>
          <w:b w:val="0"/>
          <w:bCs/>
          <w:color w:val="auto"/>
          <w:kern w:val="0"/>
          <w:sz w:val="24"/>
          <w:szCs w:val="24"/>
          <w:highlight w:val="none"/>
        </w:rPr>
        <w:t>单价。</w:t>
      </w:r>
      <w:r>
        <w:rPr>
          <w:rFonts w:hint="eastAsia" w:ascii="宋体" w:hAnsi="宋体" w:eastAsia="宋体" w:cs="宋体"/>
          <w:b w:val="0"/>
          <w:bCs/>
          <w:color w:val="auto"/>
          <w:kern w:val="0"/>
          <w:sz w:val="24"/>
          <w:szCs w:val="24"/>
          <w:lang w:val="en-US" w:eastAsia="zh-CN" w:bidi="ar-SA"/>
        </w:rPr>
        <w:t>具体如下：</w:t>
      </w:r>
    </w:p>
    <w:p w14:paraId="3087BCE0">
      <w:pPr>
        <w:pStyle w:val="21"/>
        <w:keepNext w:val="0"/>
        <w:keepLines w:val="0"/>
        <w:pageBreakBefore w:val="0"/>
        <w:kinsoku/>
        <w:wordWrap/>
        <w:bidi w:val="0"/>
        <w:adjustRightInd w:val="0"/>
        <w:spacing w:line="360" w:lineRule="auto"/>
        <w:ind w:firstLine="480" w:firstLineChars="200"/>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（1）支付</w:t>
      </w:r>
      <w:r>
        <w:rPr>
          <w:rFonts w:hint="eastAsia" w:ascii="宋体" w:hAnsi="宋体" w:cs="宋体"/>
          <w:b w:val="0"/>
          <w:bCs/>
          <w:color w:val="auto"/>
          <w:kern w:val="0"/>
          <w:sz w:val="24"/>
          <w:szCs w:val="24"/>
          <w:lang w:val="en-US" w:eastAsia="zh-CN" w:bidi="ar-SA"/>
        </w:rPr>
        <w:t>单据</w:t>
      </w:r>
      <w:r>
        <w:rPr>
          <w:rFonts w:hint="eastAsia" w:ascii="宋体" w:hAnsi="宋体" w:eastAsia="宋体" w:cs="宋体"/>
          <w:b w:val="0"/>
          <w:bCs/>
          <w:color w:val="auto"/>
          <w:kern w:val="0"/>
          <w:sz w:val="24"/>
          <w:szCs w:val="24"/>
          <w:lang w:val="en-US" w:eastAsia="zh-CN" w:bidi="ar-SA"/>
        </w:rPr>
        <w:t>：乙方在每个月结束后五个工作日内，向甲方提供月易腐垃圾收集运输处理费结算单；经甲方要求，乙方应提供所有证明记录和资料以便甲方核实；</w:t>
      </w:r>
    </w:p>
    <w:p w14:paraId="29F6B73D">
      <w:pPr>
        <w:pStyle w:val="21"/>
        <w:keepNext w:val="0"/>
        <w:keepLines w:val="0"/>
        <w:pageBreakBefore w:val="0"/>
        <w:kinsoku/>
        <w:wordWrap/>
        <w:bidi w:val="0"/>
        <w:adjustRightInd w:val="0"/>
        <w:spacing w:line="360" w:lineRule="auto"/>
        <w:ind w:firstLine="480" w:firstLineChars="200"/>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（2）支付</w:t>
      </w:r>
      <w:r>
        <w:rPr>
          <w:rFonts w:hint="eastAsia" w:ascii="宋体" w:hAnsi="宋体" w:cs="宋体"/>
          <w:b w:val="0"/>
          <w:bCs/>
          <w:color w:val="auto"/>
          <w:kern w:val="0"/>
          <w:sz w:val="24"/>
          <w:szCs w:val="24"/>
          <w:lang w:val="en-US" w:eastAsia="zh-CN" w:bidi="ar-SA"/>
        </w:rPr>
        <w:t>时间</w:t>
      </w:r>
      <w:r>
        <w:rPr>
          <w:rFonts w:hint="eastAsia" w:ascii="宋体" w:hAnsi="宋体" w:eastAsia="宋体" w:cs="宋体"/>
          <w:b w:val="0"/>
          <w:bCs/>
          <w:color w:val="auto"/>
          <w:kern w:val="0"/>
          <w:sz w:val="24"/>
          <w:szCs w:val="24"/>
          <w:lang w:val="en-US" w:eastAsia="zh-CN" w:bidi="ar-SA"/>
        </w:rPr>
        <w:t>：每季度末，乙方提供当季的每月台账资料，经甲方根据核算确认后，按实际收运处置的数量支付当季收运处置费。</w:t>
      </w:r>
    </w:p>
    <w:p w14:paraId="6ABDA4C0">
      <w:pPr>
        <w:keepNext w:val="0"/>
        <w:keepLines w:val="0"/>
        <w:pageBreakBefore w:val="0"/>
        <w:kinsoku/>
        <w:wordWrap/>
        <w:topLinePunct/>
        <w:bidi w:val="0"/>
        <w:adjustRightInd w:val="0"/>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八</w:t>
      </w:r>
      <w:r>
        <w:rPr>
          <w:rFonts w:hint="eastAsia" w:ascii="宋体" w:hAnsi="宋体" w:eastAsia="宋体" w:cs="宋体"/>
          <w:b/>
          <w:color w:val="auto"/>
          <w:kern w:val="0"/>
          <w:sz w:val="24"/>
          <w:szCs w:val="24"/>
        </w:rPr>
        <w:t>、补充事项说明</w:t>
      </w:r>
    </w:p>
    <w:p w14:paraId="7D411F79">
      <w:pPr>
        <w:keepNext w:val="0"/>
        <w:keepLines w:val="0"/>
        <w:pageBreakBefore w:val="0"/>
        <w:kinsoku/>
        <w:wordWrap/>
        <w:autoSpaceDE w:val="0"/>
        <w:autoSpaceDN w:val="0"/>
        <w:bidi w:val="0"/>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（1）为提升作业队伍形象，作业人员服装（含帽子）必须按照采购人所指定款式、面料进行采购，费用由中标单位列支。</w:t>
      </w:r>
    </w:p>
    <w:p w14:paraId="56CF12FF">
      <w:pPr>
        <w:keepNext w:val="0"/>
        <w:keepLines w:val="0"/>
        <w:pageBreakBefore w:val="0"/>
        <w:kinsoku/>
        <w:wordWrap/>
        <w:autoSpaceDE w:val="0"/>
        <w:autoSpaceDN w:val="0"/>
        <w:bidi w:val="0"/>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（2）投标人承诺为本项目配置的管理人员，必须具有大专及以上学历并在投标人内部有一定管理业绩的正式职工（提供社保缴纳记录），且在合同履行期内未经采购人同意不得更换或变动，否则视为违约。</w:t>
      </w:r>
    </w:p>
    <w:p w14:paraId="70A0E832">
      <w:pPr>
        <w:keepNext w:val="0"/>
        <w:keepLines w:val="0"/>
        <w:pageBreakBefore w:val="0"/>
        <w:kinsoku/>
        <w:wordWrap/>
        <w:autoSpaceDE w:val="0"/>
        <w:autoSpaceDN w:val="0"/>
        <w:bidi w:val="0"/>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（3）中标人不得以任何形式对本项目进行分包或转包，否则视为违约，并将中标人不良情况通报行业主管部门。</w:t>
      </w:r>
    </w:p>
    <w:p w14:paraId="523704A5">
      <w:pPr>
        <w:keepNext w:val="0"/>
        <w:keepLines w:val="0"/>
        <w:pageBreakBefore w:val="0"/>
        <w:kinsoku/>
        <w:wordWrap/>
        <w:autoSpaceDE w:val="0"/>
        <w:autoSpaceDN w:val="0"/>
        <w:bidi w:val="0"/>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（4）在合同履行期间，因中标人作业服务质量不到位，管理不善等其他原因而引发问题，造成严重的负面影响，给采购人的正常工作与形象等造成不良后果的，采购人可单方面可终止合同。</w:t>
      </w:r>
    </w:p>
    <w:p w14:paraId="4A1038F8">
      <w:pPr>
        <w:keepNext w:val="0"/>
        <w:keepLines w:val="0"/>
        <w:pageBreakBefore w:val="0"/>
        <w:kinsoku/>
        <w:wordWrap/>
        <w:autoSpaceDE w:val="0"/>
        <w:autoSpaceDN w:val="0"/>
        <w:bidi w:val="0"/>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5）中标人在合同履行期间，在各类检查、考核、各类迎检、重要活动保障等工作中，存在作业服务质量不符合相应的标准，对整改措施落实不到位，成绩较差，经采购人综合测评认为中标人已不能履行合同约定的内容的，采购人可单方面终止合同。</w:t>
      </w:r>
    </w:p>
    <w:p w14:paraId="0864E7B4">
      <w:pPr>
        <w:keepNext w:val="0"/>
        <w:keepLines w:val="0"/>
        <w:pageBreakBefore w:val="0"/>
        <w:kinsoku/>
        <w:wordWrap/>
        <w:autoSpaceDE w:val="0"/>
        <w:autoSpaceDN w:val="0"/>
        <w:bidi w:val="0"/>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（6）中标人在合同履行期间，存在未能按</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rPr>
        <w:t>明确的要求，有效落实日产日清等服务承诺的，采购人要求限期整改而不落实、不到位的，或者对采购人的检查进行推诿不配合的，采购人视情节，可对中标人进行抄告、约谈、扣罚，情节严重的可终止合同。</w:t>
      </w:r>
    </w:p>
    <w:p w14:paraId="7F73AC96">
      <w:pPr>
        <w:keepNext w:val="0"/>
        <w:keepLines w:val="0"/>
        <w:pageBreakBefore w:val="0"/>
        <w:kinsoku/>
        <w:wordWrap/>
        <w:topLinePunct/>
        <w:bidi w:val="0"/>
        <w:adjustRightInd w:val="0"/>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color w:val="auto"/>
          <w:sz w:val="24"/>
          <w:szCs w:val="24"/>
        </w:rPr>
        <w:t>（7）在其他方面，因中标人单方原因，造成不良后果，采购人认为已不适合继续履行合同的，可单方面终止合同。</w:t>
      </w:r>
    </w:p>
    <w:p w14:paraId="76381A28">
      <w:pPr>
        <w:keepNext w:val="0"/>
        <w:keepLines w:val="0"/>
        <w:pageBreakBefore w:val="0"/>
        <w:kinsoku/>
        <w:wordWrap/>
        <w:topLinePunct/>
        <w:bidi w:val="0"/>
        <w:adjustRightInd w:val="0"/>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九</w:t>
      </w:r>
      <w:r>
        <w:rPr>
          <w:rFonts w:hint="eastAsia" w:ascii="宋体" w:hAnsi="宋体" w:eastAsia="宋体" w:cs="宋体"/>
          <w:b/>
          <w:color w:val="auto"/>
          <w:kern w:val="0"/>
          <w:sz w:val="24"/>
          <w:szCs w:val="24"/>
        </w:rPr>
        <w:t>、</w:t>
      </w:r>
      <w:r>
        <w:rPr>
          <w:rFonts w:hint="eastAsia" w:ascii="宋体" w:hAnsi="宋体" w:eastAsia="宋体" w:cs="宋体"/>
          <w:b/>
          <w:color w:val="auto"/>
          <w:sz w:val="24"/>
          <w:szCs w:val="24"/>
        </w:rPr>
        <w:t>售后服务要求</w:t>
      </w:r>
    </w:p>
    <w:p w14:paraId="573D416D">
      <w:pPr>
        <w:keepNext w:val="0"/>
        <w:keepLines w:val="0"/>
        <w:pageBreakBefore w:val="0"/>
        <w:kinsoku/>
        <w:wordWrap/>
        <w:bidi w:val="0"/>
        <w:adjustRightInd w:val="0"/>
        <w:snapToGrid w:val="0"/>
        <w:spacing w:line="360" w:lineRule="auto"/>
        <w:ind w:firstLine="484" w:firstLineChars="202"/>
        <w:rPr>
          <w:rFonts w:hint="eastAsia" w:ascii="宋体" w:hAnsi="宋体" w:eastAsia="宋体" w:cs="宋体"/>
          <w:bCs/>
          <w:color w:val="auto"/>
          <w:sz w:val="24"/>
          <w:szCs w:val="24"/>
        </w:rPr>
      </w:pPr>
      <w:r>
        <w:rPr>
          <w:rFonts w:hint="eastAsia" w:ascii="宋体" w:hAnsi="宋体" w:eastAsia="宋体" w:cs="宋体"/>
          <w:bCs/>
          <w:color w:val="auto"/>
          <w:sz w:val="24"/>
          <w:szCs w:val="24"/>
        </w:rPr>
        <w:t>投标人应具备与本项目匹配的服务能力，以响应采购人的服务要求。</w:t>
      </w:r>
    </w:p>
    <w:p w14:paraId="250EE114">
      <w:pPr>
        <w:keepNext w:val="0"/>
        <w:keepLines w:val="0"/>
        <w:pageBreakBefore w:val="0"/>
        <w:kinsoku/>
        <w:wordWrap/>
        <w:bidi w:val="0"/>
        <w:adjustRightInd w:val="0"/>
        <w:snapToGrid w:val="0"/>
        <w:spacing w:line="360" w:lineRule="auto"/>
        <w:ind w:firstLine="480" w:firstLineChars="200"/>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响应时间：投标人在投标文件中必须明确承诺售后服务响应时间，并不得低于以下标准：提供7×24电话或电子邮件服务，接到采购人通知1小时内做出明确响应和安排处置，完成垃圾清运和处置要求。</w:t>
      </w:r>
    </w:p>
    <w:p w14:paraId="06E5850C">
      <w:pPr>
        <w:keepNext w:val="0"/>
        <w:keepLines w:val="0"/>
        <w:pageBreakBefore w:val="0"/>
        <w:kinsoku/>
        <w:wordWrap/>
        <w:bidi w:val="0"/>
        <w:adjustRightInd w:val="0"/>
        <w:snapToGrid w:val="0"/>
        <w:spacing w:line="360" w:lineRule="auto"/>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十、其他要求</w:t>
      </w:r>
    </w:p>
    <w:p w14:paraId="0252234F">
      <w:pPr>
        <w:keepNext w:val="0"/>
        <w:keepLines w:val="0"/>
        <w:pageBreakBefore w:val="0"/>
        <w:kinsoku/>
        <w:wordWrap/>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（1）进入站（点）的易腐垃圾应称重计量，并记录易腐垃圾的来源、数量等信息。 </w:t>
      </w:r>
    </w:p>
    <w:p w14:paraId="67BFC843">
      <w:pPr>
        <w:keepNext w:val="0"/>
        <w:keepLines w:val="0"/>
        <w:pageBreakBefore w:val="0"/>
        <w:kinsoku/>
        <w:wordWrap/>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（2）应建立设备日常运行台账制度，如实记录设备运行时间、耗电量、进出物料等重要参数，仪表出现故障或数据异常应及时修复。 </w:t>
      </w:r>
    </w:p>
    <w:p w14:paraId="26B281D5">
      <w:pPr>
        <w:keepNext w:val="0"/>
        <w:keepLines w:val="0"/>
        <w:pageBreakBefore w:val="0"/>
        <w:kinsoku/>
        <w:wordWrap/>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（3）易腐垃圾的处置需符合行业规范与标准，采用生物处理设备的，应对设备仓内温度、湿度和氧气浓度等主要技术指标进行监测控制，物料在仓内温度和停留时间应符合采购需求标准。</w:t>
      </w:r>
    </w:p>
    <w:p w14:paraId="52DD3731">
      <w:pPr>
        <w:keepNext w:val="0"/>
        <w:keepLines w:val="0"/>
        <w:pageBreakBefore w:val="0"/>
        <w:kinsoku/>
        <w:wordWrap/>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（4）采用的微生物菌种应安全、有效，有明确来源和种名。微生物菌种的安全性应符合规定。 </w:t>
      </w:r>
    </w:p>
    <w:p w14:paraId="41493186">
      <w:pPr>
        <w:keepNext w:val="0"/>
        <w:keepLines w:val="0"/>
        <w:pageBreakBefore w:val="0"/>
        <w:kinsoku/>
        <w:wordWrap/>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（5）定期冲洗打扫，保持站（点）环境整洁，确保设备表面无垃圾残留，地面无污渍、无污水积存、无垃圾遗撒，站（点）无明显异味。 </w:t>
      </w:r>
    </w:p>
    <w:p w14:paraId="32DCB519">
      <w:pPr>
        <w:keepNext w:val="0"/>
        <w:keepLines w:val="0"/>
        <w:pageBreakBefore w:val="0"/>
        <w:kinsoku/>
        <w:wordWrap/>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（6）易腐垃圾收运车辆应满足密闭运输要求，不得抛洒滴漏。 </w:t>
      </w:r>
    </w:p>
    <w:p w14:paraId="7843514D">
      <w:pPr>
        <w:keepNext w:val="0"/>
        <w:keepLines w:val="0"/>
        <w:pageBreakBefore w:val="0"/>
        <w:kinsoku/>
        <w:wordWrap/>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（7）做好卫生防疫工作，并落实必要的劳动防护措施，操作人员应按规定使用手套、口罩等防护用品</w:t>
      </w:r>
      <w:r>
        <w:rPr>
          <w:rFonts w:hint="eastAsia" w:ascii="宋体" w:hAnsi="宋体" w:eastAsia="宋体" w:cs="宋体"/>
          <w:color w:val="auto"/>
          <w:sz w:val="24"/>
          <w:szCs w:val="24"/>
          <w:lang w:eastAsia="zh-CN"/>
        </w:rPr>
        <w:t>。</w:t>
      </w:r>
    </w:p>
    <w:p w14:paraId="2862D88F">
      <w:pPr>
        <w:keepNext w:val="0"/>
        <w:keepLines w:val="0"/>
        <w:pageBreakBefore w:val="0"/>
        <w:kinsoku/>
        <w:wordWrap/>
        <w:bidi w:val="0"/>
        <w:adjustRightIn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）本项目内作业车辆发生故障时，应向采购人进行报备，并上报应对措施。</w:t>
      </w:r>
    </w:p>
    <w:p w14:paraId="669549FB">
      <w:pPr>
        <w:keepNext w:val="0"/>
        <w:keepLines w:val="0"/>
        <w:pageBreakBefore w:val="0"/>
        <w:kinsoku/>
        <w:wordWrap/>
        <w:bidi w:val="0"/>
        <w:adjustRightIn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）如因政策原因，本项目需进行调整的，以政策调整为准。</w:t>
      </w:r>
    </w:p>
    <w:p w14:paraId="6D35F264">
      <w:pPr>
        <w:pStyle w:val="9"/>
        <w:rPr>
          <w:rFonts w:hint="eastAsia"/>
        </w:rPr>
      </w:pPr>
    </w:p>
    <w:p w14:paraId="36F8308E">
      <w:pPr>
        <w:rPr>
          <w:rFonts w:hint="eastAsia"/>
        </w:rPr>
      </w:pPr>
    </w:p>
    <w:p w14:paraId="090CC324">
      <w:pPr>
        <w:rPr>
          <w:rFonts w:hint="eastAsia"/>
        </w:rPr>
      </w:pPr>
    </w:p>
    <w:p w14:paraId="254A5BBD">
      <w:pPr>
        <w:rPr>
          <w:rFonts w:hint="eastAsia"/>
        </w:rPr>
      </w:pPr>
      <w:r>
        <w:rPr>
          <w:rFonts w:hint="eastAsia"/>
        </w:rPr>
        <w:br w:type="page"/>
      </w:r>
    </w:p>
    <w:p w14:paraId="3E247D9B">
      <w:pPr>
        <w:pStyle w:val="4"/>
        <w:spacing w:before="48" w:after="48"/>
      </w:pPr>
      <w:r>
        <w:rPr>
          <w:rFonts w:hint="eastAsia"/>
        </w:rPr>
        <w:t>第四部分</w:t>
      </w:r>
      <w:bookmarkStart w:id="42" w:name="_Toc184308044"/>
      <w:bookmarkEnd w:id="42"/>
      <w:bookmarkStart w:id="43" w:name="_Toc184312138"/>
      <w:bookmarkEnd w:id="43"/>
      <w:bookmarkStart w:id="44" w:name="_Toc184313301"/>
      <w:bookmarkEnd w:id="44"/>
      <w:bookmarkStart w:id="45" w:name="_Toc184314440"/>
      <w:bookmarkEnd w:id="45"/>
      <w:bookmarkStart w:id="46" w:name="_Toc184314435"/>
      <w:bookmarkEnd w:id="46"/>
      <w:bookmarkStart w:id="47" w:name="_Toc184314481"/>
      <w:bookmarkEnd w:id="47"/>
      <w:bookmarkStart w:id="48" w:name="_Toc184308096"/>
      <w:bookmarkEnd w:id="48"/>
      <w:bookmarkStart w:id="49" w:name="_Toc184312082"/>
      <w:bookmarkEnd w:id="49"/>
      <w:bookmarkStart w:id="50" w:name="_Toc184312135"/>
      <w:bookmarkEnd w:id="50"/>
      <w:bookmarkStart w:id="51" w:name="_Toc184310342"/>
      <w:bookmarkEnd w:id="51"/>
      <w:bookmarkStart w:id="52" w:name="_Toc184310280"/>
      <w:bookmarkEnd w:id="52"/>
      <w:bookmarkStart w:id="53" w:name="_Toc184308037"/>
      <w:bookmarkEnd w:id="53"/>
      <w:bookmarkStart w:id="54" w:name="_Toc184312131"/>
      <w:bookmarkEnd w:id="54"/>
      <w:bookmarkStart w:id="55" w:name="_Toc184314463"/>
      <w:bookmarkEnd w:id="55"/>
      <w:bookmarkStart w:id="56" w:name="_Toc184312092"/>
      <w:bookmarkEnd w:id="56"/>
      <w:bookmarkStart w:id="57" w:name="_Toc184314418"/>
      <w:bookmarkEnd w:id="57"/>
      <w:bookmarkStart w:id="58" w:name="_Toc184312110"/>
      <w:bookmarkEnd w:id="58"/>
      <w:bookmarkStart w:id="59" w:name="_Toc184310325"/>
      <w:bookmarkEnd w:id="59"/>
      <w:bookmarkStart w:id="60" w:name="_Toc184308036"/>
      <w:bookmarkEnd w:id="60"/>
      <w:bookmarkStart w:id="61" w:name="_Toc184308047"/>
      <w:bookmarkEnd w:id="61"/>
      <w:bookmarkStart w:id="62" w:name="_Toc184312080"/>
      <w:bookmarkEnd w:id="62"/>
      <w:bookmarkStart w:id="63" w:name="_Toc184314431"/>
      <w:bookmarkEnd w:id="63"/>
      <w:bookmarkStart w:id="64" w:name="_Toc184310274"/>
      <w:bookmarkEnd w:id="64"/>
      <w:bookmarkStart w:id="65" w:name="_Toc184314468"/>
      <w:bookmarkEnd w:id="65"/>
      <w:bookmarkStart w:id="66" w:name="_Toc184308097"/>
      <w:bookmarkEnd w:id="66"/>
      <w:bookmarkStart w:id="67" w:name="_Toc184310293"/>
      <w:bookmarkEnd w:id="67"/>
      <w:bookmarkStart w:id="68" w:name="_Toc184313258"/>
      <w:bookmarkEnd w:id="68"/>
      <w:bookmarkStart w:id="69" w:name="_Toc184314469"/>
      <w:bookmarkEnd w:id="69"/>
      <w:bookmarkStart w:id="70" w:name="_Toc184313259"/>
      <w:bookmarkEnd w:id="70"/>
      <w:bookmarkStart w:id="71" w:name="_Toc184313254"/>
      <w:bookmarkEnd w:id="71"/>
      <w:bookmarkStart w:id="72" w:name="_Toc184314471"/>
      <w:bookmarkEnd w:id="72"/>
      <w:bookmarkStart w:id="73" w:name="_Toc184312106"/>
      <w:bookmarkEnd w:id="73"/>
      <w:bookmarkStart w:id="74" w:name="_Toc184308077"/>
      <w:bookmarkEnd w:id="74"/>
      <w:bookmarkStart w:id="75" w:name="_Toc184314441"/>
      <w:bookmarkEnd w:id="75"/>
      <w:bookmarkStart w:id="76" w:name="_Toc184308071"/>
      <w:bookmarkEnd w:id="76"/>
      <w:bookmarkStart w:id="77" w:name="_Toc184314459"/>
      <w:bookmarkEnd w:id="77"/>
      <w:bookmarkStart w:id="78" w:name="_Toc184308043"/>
      <w:bookmarkEnd w:id="78"/>
      <w:bookmarkStart w:id="79" w:name="_Toc184310292"/>
      <w:bookmarkEnd w:id="79"/>
      <w:bookmarkStart w:id="80" w:name="_Toc184312124"/>
      <w:bookmarkEnd w:id="80"/>
      <w:bookmarkStart w:id="81" w:name="_Toc184308041"/>
      <w:bookmarkEnd w:id="81"/>
      <w:bookmarkStart w:id="82" w:name="_Toc184310278"/>
      <w:bookmarkEnd w:id="82"/>
      <w:bookmarkStart w:id="83" w:name="_Toc184314482"/>
      <w:bookmarkEnd w:id="83"/>
      <w:bookmarkStart w:id="84" w:name="_Toc184312078"/>
      <w:bookmarkEnd w:id="84"/>
      <w:bookmarkStart w:id="85" w:name="_Toc184314415"/>
      <w:bookmarkEnd w:id="85"/>
      <w:bookmarkStart w:id="86" w:name="_Toc184314419"/>
      <w:bookmarkEnd w:id="86"/>
      <w:bookmarkStart w:id="87" w:name="_Toc184313304"/>
      <w:bookmarkEnd w:id="87"/>
      <w:bookmarkStart w:id="88" w:name="_Toc184310288"/>
      <w:bookmarkEnd w:id="88"/>
      <w:bookmarkStart w:id="89" w:name="_Toc184314439"/>
      <w:bookmarkEnd w:id="89"/>
      <w:bookmarkStart w:id="90" w:name="_Toc184312102"/>
      <w:bookmarkEnd w:id="90"/>
      <w:bookmarkStart w:id="91" w:name="_Toc184310294"/>
      <w:bookmarkEnd w:id="91"/>
      <w:bookmarkStart w:id="92" w:name="_Toc184310321"/>
      <w:bookmarkEnd w:id="92"/>
      <w:bookmarkStart w:id="93" w:name="_Toc184314480"/>
      <w:bookmarkEnd w:id="93"/>
      <w:bookmarkStart w:id="94" w:name="_Toc184310301"/>
      <w:bookmarkEnd w:id="94"/>
      <w:bookmarkStart w:id="95" w:name="_Toc184314449"/>
      <w:bookmarkEnd w:id="95"/>
      <w:bookmarkStart w:id="96" w:name="_Toc184310279"/>
      <w:bookmarkEnd w:id="96"/>
      <w:bookmarkStart w:id="97" w:name="_Toc184314473"/>
      <w:bookmarkEnd w:id="97"/>
      <w:bookmarkStart w:id="98" w:name="_Toc184312077"/>
      <w:bookmarkEnd w:id="98"/>
      <w:bookmarkStart w:id="99" w:name="_Toc184312076"/>
      <w:bookmarkEnd w:id="99"/>
      <w:bookmarkStart w:id="100" w:name="_Toc184308055"/>
      <w:bookmarkEnd w:id="100"/>
      <w:bookmarkStart w:id="101" w:name="_Toc184314416"/>
      <w:bookmarkEnd w:id="101"/>
      <w:bookmarkStart w:id="102" w:name="_Toc184314442"/>
      <w:bookmarkEnd w:id="102"/>
      <w:bookmarkStart w:id="103" w:name="_Toc184312130"/>
      <w:bookmarkEnd w:id="103"/>
      <w:bookmarkStart w:id="104" w:name="_Toc184308074"/>
      <w:bookmarkEnd w:id="104"/>
      <w:bookmarkStart w:id="105" w:name="_Toc184310286"/>
      <w:bookmarkEnd w:id="105"/>
      <w:bookmarkStart w:id="106" w:name="_Toc184312085"/>
      <w:bookmarkEnd w:id="106"/>
      <w:bookmarkStart w:id="107" w:name="_Toc184313250"/>
      <w:bookmarkEnd w:id="107"/>
      <w:bookmarkStart w:id="108" w:name="_Toc184314451"/>
      <w:bookmarkEnd w:id="108"/>
      <w:bookmarkStart w:id="109" w:name="_Toc184313260"/>
      <w:bookmarkEnd w:id="109"/>
      <w:bookmarkStart w:id="110" w:name="_Toc184313263"/>
      <w:bookmarkEnd w:id="110"/>
      <w:bookmarkStart w:id="111" w:name="_Toc184312122"/>
      <w:bookmarkEnd w:id="111"/>
      <w:bookmarkStart w:id="112" w:name="_Toc184310282"/>
      <w:bookmarkEnd w:id="112"/>
      <w:bookmarkStart w:id="113" w:name="_Toc184310299"/>
      <w:bookmarkEnd w:id="113"/>
      <w:bookmarkStart w:id="114" w:name="_Toc184314452"/>
      <w:bookmarkEnd w:id="114"/>
      <w:bookmarkStart w:id="115" w:name="_Toc184312134"/>
      <w:bookmarkEnd w:id="115"/>
      <w:bookmarkStart w:id="116" w:name="_Toc184313297"/>
      <w:bookmarkEnd w:id="116"/>
      <w:bookmarkStart w:id="117" w:name="_Toc184308092"/>
      <w:bookmarkEnd w:id="117"/>
      <w:bookmarkStart w:id="118" w:name="_Toc184310305"/>
      <w:bookmarkEnd w:id="118"/>
      <w:bookmarkStart w:id="119" w:name="_Toc184308093"/>
      <w:bookmarkEnd w:id="119"/>
      <w:bookmarkStart w:id="120" w:name="_Toc184308105"/>
      <w:bookmarkEnd w:id="120"/>
      <w:bookmarkStart w:id="121" w:name="_Toc184310290"/>
      <w:bookmarkEnd w:id="121"/>
      <w:bookmarkStart w:id="122" w:name="_Toc184308045"/>
      <w:bookmarkEnd w:id="122"/>
      <w:bookmarkStart w:id="123" w:name="_Toc184308095"/>
      <w:bookmarkEnd w:id="123"/>
      <w:bookmarkStart w:id="124" w:name="_Toc184308084"/>
      <w:bookmarkEnd w:id="124"/>
      <w:bookmarkStart w:id="125" w:name="_Toc184310277"/>
      <w:bookmarkEnd w:id="125"/>
      <w:bookmarkStart w:id="126" w:name="_Toc184314437"/>
      <w:bookmarkEnd w:id="126"/>
      <w:bookmarkStart w:id="127" w:name="_Toc184312139"/>
      <w:bookmarkEnd w:id="127"/>
      <w:bookmarkStart w:id="128" w:name="_Toc184310303"/>
      <w:bookmarkEnd w:id="128"/>
      <w:bookmarkStart w:id="129" w:name="_Toc184312090"/>
      <w:bookmarkEnd w:id="129"/>
      <w:bookmarkStart w:id="130" w:name="_Toc184312117"/>
      <w:bookmarkEnd w:id="130"/>
      <w:bookmarkStart w:id="131" w:name="_Toc184308053"/>
      <w:bookmarkEnd w:id="131"/>
      <w:bookmarkStart w:id="132" w:name="_Toc184310309"/>
      <w:bookmarkEnd w:id="132"/>
      <w:bookmarkStart w:id="133" w:name="_Toc184314450"/>
      <w:bookmarkEnd w:id="133"/>
      <w:bookmarkStart w:id="134" w:name="_Toc184312068"/>
      <w:bookmarkEnd w:id="134"/>
      <w:bookmarkStart w:id="135" w:name="_Toc184310306"/>
      <w:bookmarkEnd w:id="135"/>
      <w:bookmarkStart w:id="136" w:name="_Toc184312126"/>
      <w:bookmarkEnd w:id="136"/>
      <w:bookmarkStart w:id="137" w:name="_Toc184312121"/>
      <w:bookmarkEnd w:id="137"/>
      <w:bookmarkStart w:id="138" w:name="_Toc184313273"/>
      <w:bookmarkEnd w:id="138"/>
      <w:bookmarkStart w:id="139" w:name="_Toc184314474"/>
      <w:bookmarkEnd w:id="139"/>
      <w:bookmarkStart w:id="140" w:name="_Toc184314417"/>
      <w:bookmarkEnd w:id="140"/>
      <w:bookmarkStart w:id="141" w:name="_Toc184308106"/>
      <w:bookmarkEnd w:id="141"/>
      <w:bookmarkStart w:id="142" w:name="_Toc184310296"/>
      <w:bookmarkEnd w:id="142"/>
      <w:bookmarkStart w:id="143" w:name="_Toc184312115"/>
      <w:bookmarkEnd w:id="143"/>
      <w:bookmarkStart w:id="144" w:name="_Toc184312091"/>
      <w:bookmarkEnd w:id="144"/>
      <w:bookmarkStart w:id="145" w:name="_Toc184313308"/>
      <w:bookmarkEnd w:id="145"/>
      <w:bookmarkStart w:id="146" w:name="_Toc184312107"/>
      <w:bookmarkEnd w:id="146"/>
      <w:bookmarkStart w:id="147" w:name="_Toc184312136"/>
      <w:bookmarkEnd w:id="147"/>
      <w:bookmarkStart w:id="148" w:name="_Toc184308078"/>
      <w:bookmarkEnd w:id="148"/>
      <w:bookmarkStart w:id="149" w:name="_Toc184314427"/>
      <w:bookmarkEnd w:id="149"/>
      <w:bookmarkStart w:id="150" w:name="_Toc184308089"/>
      <w:bookmarkEnd w:id="150"/>
      <w:bookmarkStart w:id="151" w:name="_Toc184314433"/>
      <w:bookmarkEnd w:id="151"/>
      <w:bookmarkStart w:id="152" w:name="_Toc184313275"/>
      <w:bookmarkEnd w:id="152"/>
      <w:bookmarkStart w:id="153" w:name="_Toc184308048"/>
      <w:bookmarkEnd w:id="153"/>
      <w:bookmarkStart w:id="154" w:name="_Toc184312089"/>
      <w:bookmarkEnd w:id="154"/>
      <w:bookmarkStart w:id="155" w:name="_Toc184313246"/>
      <w:bookmarkEnd w:id="155"/>
      <w:bookmarkStart w:id="156" w:name="_Toc184308038"/>
      <w:bookmarkEnd w:id="156"/>
      <w:bookmarkStart w:id="157" w:name="_Toc184308049"/>
      <w:bookmarkEnd w:id="157"/>
      <w:bookmarkStart w:id="158" w:name="_Toc184313300"/>
      <w:bookmarkEnd w:id="158"/>
      <w:bookmarkStart w:id="159" w:name="_Toc184312070"/>
      <w:bookmarkEnd w:id="159"/>
      <w:bookmarkStart w:id="160" w:name="_Toc184310324"/>
      <w:bookmarkEnd w:id="160"/>
      <w:bookmarkStart w:id="161" w:name="_Toc184313240"/>
      <w:bookmarkEnd w:id="161"/>
      <w:bookmarkStart w:id="162" w:name="_Toc184312111"/>
      <w:bookmarkEnd w:id="162"/>
      <w:bookmarkStart w:id="163" w:name="_Toc184314465"/>
      <w:bookmarkEnd w:id="163"/>
      <w:bookmarkStart w:id="164" w:name="_Toc184310298"/>
      <w:bookmarkEnd w:id="164"/>
      <w:bookmarkStart w:id="165" w:name="_Toc184310334"/>
      <w:bookmarkEnd w:id="165"/>
      <w:bookmarkStart w:id="166" w:name="_Toc184313292"/>
      <w:bookmarkEnd w:id="166"/>
      <w:bookmarkStart w:id="167" w:name="_Toc184312096"/>
      <w:bookmarkEnd w:id="167"/>
      <w:bookmarkStart w:id="168" w:name="_Toc184312084"/>
      <w:bookmarkEnd w:id="168"/>
      <w:bookmarkStart w:id="169" w:name="_Toc184310312"/>
      <w:bookmarkEnd w:id="169"/>
      <w:bookmarkStart w:id="170" w:name="_Toc184308100"/>
      <w:bookmarkEnd w:id="170"/>
      <w:bookmarkStart w:id="171" w:name="_Toc184314414"/>
      <w:bookmarkEnd w:id="171"/>
      <w:bookmarkStart w:id="172" w:name="_Toc184314461"/>
      <w:bookmarkEnd w:id="172"/>
      <w:bookmarkStart w:id="173" w:name="_Toc184308090"/>
      <w:bookmarkEnd w:id="173"/>
      <w:bookmarkStart w:id="174" w:name="_Toc184313248"/>
      <w:bookmarkEnd w:id="174"/>
      <w:bookmarkStart w:id="175" w:name="_Toc184308069"/>
      <w:bookmarkEnd w:id="175"/>
      <w:bookmarkStart w:id="176" w:name="_Toc184308059"/>
      <w:bookmarkEnd w:id="176"/>
      <w:bookmarkStart w:id="177" w:name="_Toc184314479"/>
      <w:bookmarkEnd w:id="177"/>
      <w:bookmarkStart w:id="178" w:name="_Toc184308056"/>
      <w:bookmarkEnd w:id="178"/>
      <w:bookmarkStart w:id="179" w:name="_Toc184310281"/>
      <w:bookmarkEnd w:id="179"/>
      <w:bookmarkStart w:id="180" w:name="_Toc184308061"/>
      <w:bookmarkEnd w:id="180"/>
      <w:bookmarkStart w:id="181" w:name="_Toc184314411"/>
      <w:bookmarkEnd w:id="181"/>
      <w:bookmarkStart w:id="182" w:name="_Toc184308104"/>
      <w:bookmarkEnd w:id="182"/>
      <w:bookmarkStart w:id="183" w:name="_Toc184312105"/>
      <w:bookmarkEnd w:id="183"/>
      <w:bookmarkStart w:id="184" w:name="_Toc184313289"/>
      <w:bookmarkEnd w:id="184"/>
      <w:bookmarkStart w:id="185" w:name="_Toc184313298"/>
      <w:bookmarkEnd w:id="185"/>
      <w:bookmarkStart w:id="186" w:name="_Toc184312088"/>
      <w:bookmarkEnd w:id="186"/>
      <w:bookmarkStart w:id="187" w:name="_Toc184308081"/>
      <w:bookmarkEnd w:id="187"/>
      <w:bookmarkStart w:id="188" w:name="_Toc184308050"/>
      <w:bookmarkEnd w:id="188"/>
      <w:bookmarkStart w:id="189" w:name="_Toc184314467"/>
      <w:bookmarkEnd w:id="189"/>
      <w:bookmarkStart w:id="190" w:name="_Toc184312087"/>
      <w:bookmarkEnd w:id="190"/>
      <w:bookmarkStart w:id="191" w:name="_Toc184310295"/>
      <w:bookmarkEnd w:id="191"/>
      <w:bookmarkStart w:id="192" w:name="_Toc184313251"/>
      <w:bookmarkEnd w:id="192"/>
      <w:bookmarkStart w:id="193" w:name="_Toc184308054"/>
      <w:bookmarkEnd w:id="193"/>
      <w:bookmarkStart w:id="194" w:name="_Toc184312116"/>
      <w:bookmarkEnd w:id="194"/>
      <w:bookmarkStart w:id="195" w:name="_Toc184313299"/>
      <w:bookmarkEnd w:id="195"/>
      <w:bookmarkStart w:id="196" w:name="_Toc184313241"/>
      <w:bookmarkEnd w:id="196"/>
      <w:bookmarkStart w:id="197" w:name="_Toc184308064"/>
      <w:bookmarkEnd w:id="197"/>
      <w:bookmarkStart w:id="198" w:name="_Toc184313262"/>
      <w:bookmarkEnd w:id="198"/>
      <w:bookmarkStart w:id="199" w:name="_Toc184313244"/>
      <w:bookmarkEnd w:id="199"/>
      <w:bookmarkStart w:id="200" w:name="_Toc184310340"/>
      <w:bookmarkEnd w:id="200"/>
      <w:bookmarkStart w:id="201" w:name="_Toc184314475"/>
      <w:bookmarkEnd w:id="201"/>
      <w:bookmarkStart w:id="202" w:name="_Toc184308102"/>
      <w:bookmarkEnd w:id="202"/>
      <w:bookmarkStart w:id="203" w:name="_Toc184313282"/>
      <w:bookmarkEnd w:id="203"/>
      <w:bookmarkStart w:id="204" w:name="_Toc184312132"/>
      <w:bookmarkEnd w:id="204"/>
      <w:bookmarkStart w:id="205" w:name="_Toc184312112"/>
      <w:bookmarkEnd w:id="205"/>
      <w:bookmarkStart w:id="206" w:name="_Toc184310337"/>
      <w:bookmarkEnd w:id="206"/>
      <w:bookmarkStart w:id="207" w:name="_Toc184310313"/>
      <w:bookmarkEnd w:id="207"/>
      <w:bookmarkStart w:id="208" w:name="_Toc184314421"/>
      <w:bookmarkEnd w:id="208"/>
      <w:bookmarkStart w:id="209" w:name="_Toc184308051"/>
      <w:bookmarkEnd w:id="209"/>
      <w:bookmarkStart w:id="210" w:name="_Toc184312075"/>
      <w:bookmarkEnd w:id="210"/>
      <w:bookmarkStart w:id="211" w:name="_Toc184313287"/>
      <w:bookmarkEnd w:id="211"/>
      <w:bookmarkStart w:id="212" w:name="_Toc184308083"/>
      <w:bookmarkEnd w:id="212"/>
      <w:bookmarkStart w:id="213" w:name="_Toc184313294"/>
      <w:bookmarkEnd w:id="213"/>
      <w:bookmarkStart w:id="214" w:name="_Toc184308042"/>
      <w:bookmarkEnd w:id="214"/>
      <w:bookmarkStart w:id="215" w:name="_Toc184312083"/>
      <w:bookmarkEnd w:id="215"/>
      <w:bookmarkStart w:id="216" w:name="_Toc184310318"/>
      <w:bookmarkEnd w:id="216"/>
      <w:bookmarkStart w:id="217" w:name="_Toc184313291"/>
      <w:bookmarkEnd w:id="217"/>
      <w:bookmarkStart w:id="218" w:name="_Toc184308108"/>
      <w:bookmarkEnd w:id="218"/>
      <w:bookmarkStart w:id="219" w:name="_Toc184313247"/>
      <w:bookmarkEnd w:id="219"/>
      <w:bookmarkStart w:id="220" w:name="_Toc184312128"/>
      <w:bookmarkEnd w:id="220"/>
      <w:bookmarkStart w:id="221" w:name="_Toc184313265"/>
      <w:bookmarkEnd w:id="221"/>
      <w:bookmarkStart w:id="222" w:name="_Toc184313272"/>
      <w:bookmarkEnd w:id="222"/>
      <w:bookmarkStart w:id="223" w:name="_Toc184310283"/>
      <w:bookmarkEnd w:id="223"/>
      <w:bookmarkStart w:id="224" w:name="_Toc184313280"/>
      <w:bookmarkEnd w:id="224"/>
      <w:bookmarkStart w:id="225" w:name="_Toc184313284"/>
      <w:bookmarkEnd w:id="225"/>
      <w:bookmarkStart w:id="226" w:name="_Toc184314434"/>
      <w:bookmarkEnd w:id="226"/>
      <w:bookmarkStart w:id="227" w:name="_Toc184312069"/>
      <w:bookmarkEnd w:id="227"/>
      <w:bookmarkStart w:id="228" w:name="_Toc184310327"/>
      <w:bookmarkEnd w:id="228"/>
      <w:bookmarkStart w:id="229" w:name="_Toc184308101"/>
      <w:bookmarkEnd w:id="229"/>
      <w:bookmarkStart w:id="230" w:name="_Toc184312101"/>
      <w:bookmarkEnd w:id="230"/>
      <w:bookmarkStart w:id="231" w:name="_Toc184310311"/>
      <w:bookmarkEnd w:id="231"/>
      <w:bookmarkStart w:id="232" w:name="_Toc184310323"/>
      <w:bookmarkEnd w:id="232"/>
      <w:bookmarkStart w:id="233" w:name="_Toc184308066"/>
      <w:bookmarkEnd w:id="233"/>
      <w:bookmarkStart w:id="234" w:name="_Toc184313255"/>
      <w:bookmarkEnd w:id="234"/>
      <w:bookmarkStart w:id="235" w:name="_Toc184310329"/>
      <w:bookmarkEnd w:id="235"/>
      <w:bookmarkStart w:id="236" w:name="_Toc184314436"/>
      <w:bookmarkEnd w:id="236"/>
      <w:bookmarkStart w:id="237" w:name="_Toc184314412"/>
      <w:bookmarkEnd w:id="237"/>
      <w:bookmarkStart w:id="238" w:name="_Toc184310335"/>
      <w:bookmarkEnd w:id="238"/>
      <w:bookmarkStart w:id="239" w:name="_Toc184314457"/>
      <w:bookmarkEnd w:id="239"/>
      <w:bookmarkStart w:id="240" w:name="_Toc184314454"/>
      <w:bookmarkEnd w:id="240"/>
      <w:bookmarkStart w:id="241" w:name="_Toc184314423"/>
      <w:bookmarkEnd w:id="241"/>
      <w:bookmarkStart w:id="242" w:name="_Toc184314443"/>
      <w:bookmarkEnd w:id="242"/>
      <w:bookmarkStart w:id="243" w:name="_Toc184308094"/>
      <w:bookmarkEnd w:id="243"/>
      <w:bookmarkStart w:id="244" w:name="_Toc184310322"/>
      <w:bookmarkEnd w:id="244"/>
      <w:bookmarkStart w:id="245" w:name="_Toc184308088"/>
      <w:bookmarkEnd w:id="245"/>
      <w:bookmarkStart w:id="246" w:name="_Toc184312129"/>
      <w:bookmarkEnd w:id="246"/>
      <w:bookmarkStart w:id="247" w:name="_Toc184313290"/>
      <w:bookmarkEnd w:id="247"/>
      <w:bookmarkStart w:id="248" w:name="_Toc184310273"/>
      <w:bookmarkEnd w:id="248"/>
      <w:bookmarkStart w:id="249" w:name="_Toc184314466"/>
      <w:bookmarkEnd w:id="249"/>
      <w:bookmarkStart w:id="250" w:name="_Toc184308080"/>
      <w:bookmarkEnd w:id="250"/>
      <w:bookmarkStart w:id="251" w:name="_Toc184308060"/>
      <w:bookmarkEnd w:id="251"/>
      <w:bookmarkStart w:id="252" w:name="_Toc184308057"/>
      <w:bookmarkEnd w:id="252"/>
      <w:bookmarkStart w:id="253" w:name="_Toc184310343"/>
      <w:bookmarkEnd w:id="253"/>
      <w:bookmarkStart w:id="254" w:name="_Toc184314470"/>
      <w:bookmarkEnd w:id="254"/>
      <w:bookmarkStart w:id="255" w:name="_Toc184314478"/>
      <w:bookmarkEnd w:id="255"/>
      <w:bookmarkStart w:id="256" w:name="_Toc184314410"/>
      <w:bookmarkEnd w:id="256"/>
      <w:bookmarkStart w:id="257" w:name="_Toc184308072"/>
      <w:bookmarkEnd w:id="257"/>
      <w:bookmarkStart w:id="258" w:name="_Toc184313271"/>
      <w:bookmarkEnd w:id="258"/>
      <w:bookmarkStart w:id="259" w:name="_Toc184308040"/>
      <w:bookmarkEnd w:id="259"/>
      <w:bookmarkStart w:id="260" w:name="_Toc184313307"/>
      <w:bookmarkEnd w:id="260"/>
      <w:bookmarkStart w:id="261" w:name="_Toc184314447"/>
      <w:bookmarkEnd w:id="261"/>
      <w:bookmarkStart w:id="262" w:name="_Toc184310275"/>
      <w:bookmarkEnd w:id="262"/>
      <w:bookmarkStart w:id="263" w:name="_Toc184312073"/>
      <w:bookmarkEnd w:id="263"/>
      <w:bookmarkStart w:id="264" w:name="_Toc184310338"/>
      <w:bookmarkEnd w:id="264"/>
      <w:bookmarkStart w:id="265" w:name="_Toc184314453"/>
      <w:bookmarkEnd w:id="265"/>
      <w:bookmarkStart w:id="266" w:name="_Toc184310339"/>
      <w:bookmarkEnd w:id="266"/>
      <w:bookmarkStart w:id="267" w:name="_Toc184310276"/>
      <w:bookmarkEnd w:id="267"/>
      <w:bookmarkStart w:id="268" w:name="_Toc184310332"/>
      <w:bookmarkEnd w:id="268"/>
      <w:bookmarkStart w:id="269" w:name="_Toc184312100"/>
      <w:bookmarkEnd w:id="269"/>
      <w:bookmarkStart w:id="270" w:name="_Toc184313239"/>
      <w:bookmarkEnd w:id="270"/>
      <w:bookmarkStart w:id="271" w:name="_Toc184312109"/>
      <w:bookmarkEnd w:id="271"/>
      <w:bookmarkStart w:id="272" w:name="_Toc184308070"/>
      <w:bookmarkEnd w:id="272"/>
      <w:bookmarkStart w:id="273" w:name="_Toc184310319"/>
      <w:bookmarkEnd w:id="273"/>
      <w:bookmarkStart w:id="274" w:name="_Toc184313270"/>
      <w:bookmarkEnd w:id="274"/>
      <w:bookmarkStart w:id="275" w:name="_Toc184313286"/>
      <w:bookmarkEnd w:id="275"/>
      <w:bookmarkStart w:id="276" w:name="_Toc184308068"/>
      <w:bookmarkEnd w:id="276"/>
      <w:bookmarkStart w:id="277" w:name="_Toc184313243"/>
      <w:bookmarkEnd w:id="277"/>
      <w:bookmarkStart w:id="278" w:name="_Toc184312108"/>
      <w:bookmarkEnd w:id="278"/>
      <w:bookmarkStart w:id="279" w:name="_Toc184313303"/>
      <w:bookmarkEnd w:id="279"/>
      <w:bookmarkStart w:id="280" w:name="_Toc184308063"/>
      <w:bookmarkEnd w:id="280"/>
      <w:bookmarkStart w:id="281" w:name="_Toc184310285"/>
      <w:bookmarkEnd w:id="281"/>
      <w:bookmarkStart w:id="282" w:name="_Toc184313306"/>
      <w:bookmarkEnd w:id="282"/>
      <w:bookmarkStart w:id="283" w:name="_Toc184310344"/>
      <w:bookmarkEnd w:id="283"/>
      <w:bookmarkStart w:id="284" w:name="_Toc184314428"/>
      <w:bookmarkEnd w:id="284"/>
      <w:bookmarkStart w:id="285" w:name="_Toc184310300"/>
      <w:bookmarkEnd w:id="285"/>
      <w:bookmarkStart w:id="286" w:name="_Toc184313274"/>
      <w:bookmarkEnd w:id="286"/>
      <w:bookmarkStart w:id="287" w:name="_Toc184310315"/>
      <w:bookmarkEnd w:id="287"/>
      <w:bookmarkStart w:id="288" w:name="_Toc184313266"/>
      <w:bookmarkEnd w:id="288"/>
      <w:bookmarkStart w:id="289" w:name="_Toc184313268"/>
      <w:bookmarkEnd w:id="289"/>
      <w:bookmarkStart w:id="290" w:name="_Toc184314429"/>
      <w:bookmarkEnd w:id="290"/>
      <w:bookmarkStart w:id="291" w:name="_Toc184308067"/>
      <w:bookmarkEnd w:id="291"/>
      <w:bookmarkStart w:id="292" w:name="_Toc184314420"/>
      <w:bookmarkEnd w:id="292"/>
      <w:bookmarkStart w:id="293" w:name="_Toc184313264"/>
      <w:bookmarkEnd w:id="293"/>
      <w:bookmarkStart w:id="294" w:name="_Toc184314476"/>
      <w:bookmarkEnd w:id="294"/>
      <w:bookmarkStart w:id="295" w:name="_Toc184314456"/>
      <w:bookmarkEnd w:id="295"/>
      <w:bookmarkStart w:id="296" w:name="_Toc184312097"/>
      <w:bookmarkEnd w:id="296"/>
      <w:bookmarkStart w:id="297" w:name="_Toc184313238"/>
      <w:bookmarkEnd w:id="297"/>
      <w:bookmarkStart w:id="298" w:name="_Toc184314472"/>
      <w:bookmarkEnd w:id="298"/>
      <w:bookmarkStart w:id="299" w:name="_Toc184308046"/>
      <w:bookmarkEnd w:id="299"/>
      <w:bookmarkStart w:id="300" w:name="_Toc184308091"/>
      <w:bookmarkEnd w:id="300"/>
      <w:bookmarkStart w:id="301" w:name="_Toc184313283"/>
      <w:bookmarkEnd w:id="301"/>
      <w:bookmarkStart w:id="302" w:name="_Toc184313309"/>
      <w:bookmarkEnd w:id="302"/>
      <w:bookmarkStart w:id="303" w:name="_Toc184310341"/>
      <w:bookmarkEnd w:id="303"/>
      <w:bookmarkStart w:id="304" w:name="_Toc184310308"/>
      <w:bookmarkEnd w:id="304"/>
      <w:bookmarkStart w:id="305" w:name="_Toc184308087"/>
      <w:bookmarkEnd w:id="305"/>
      <w:bookmarkStart w:id="306" w:name="_Toc184308073"/>
      <w:bookmarkEnd w:id="306"/>
      <w:bookmarkStart w:id="307" w:name="_Toc184313277"/>
      <w:bookmarkEnd w:id="307"/>
      <w:bookmarkStart w:id="308" w:name="_Toc184312104"/>
      <w:bookmarkEnd w:id="308"/>
      <w:bookmarkStart w:id="309" w:name="_Toc184310302"/>
      <w:bookmarkEnd w:id="309"/>
      <w:bookmarkStart w:id="310" w:name="_Toc184313305"/>
      <w:bookmarkEnd w:id="310"/>
      <w:bookmarkStart w:id="311" w:name="_Toc184313257"/>
      <w:bookmarkEnd w:id="311"/>
      <w:bookmarkStart w:id="312" w:name="_Toc184312081"/>
      <w:bookmarkEnd w:id="312"/>
      <w:bookmarkStart w:id="313" w:name="_Toc184308086"/>
      <w:bookmarkEnd w:id="313"/>
      <w:bookmarkStart w:id="314" w:name="_Toc184313267"/>
      <w:bookmarkEnd w:id="314"/>
      <w:bookmarkStart w:id="315" w:name="_Toc184312125"/>
      <w:bookmarkEnd w:id="315"/>
      <w:bookmarkStart w:id="316" w:name="_Toc184313269"/>
      <w:bookmarkEnd w:id="316"/>
      <w:bookmarkStart w:id="317" w:name="_Toc184313261"/>
      <w:bookmarkEnd w:id="317"/>
      <w:bookmarkStart w:id="318" w:name="_Toc184314446"/>
      <w:bookmarkEnd w:id="318"/>
      <w:bookmarkStart w:id="319" w:name="_Toc184312127"/>
      <w:bookmarkEnd w:id="319"/>
      <w:bookmarkStart w:id="320" w:name="_Toc184312095"/>
      <w:bookmarkEnd w:id="320"/>
      <w:bookmarkStart w:id="321" w:name="_Toc184314430"/>
      <w:bookmarkEnd w:id="321"/>
      <w:bookmarkStart w:id="322" w:name="_Toc184313288"/>
      <w:bookmarkEnd w:id="322"/>
      <w:bookmarkStart w:id="323" w:name="_Toc184312098"/>
      <w:bookmarkEnd w:id="323"/>
      <w:bookmarkStart w:id="324" w:name="_Toc184313245"/>
      <w:bookmarkEnd w:id="324"/>
      <w:bookmarkStart w:id="325" w:name="_Toc184312120"/>
      <w:bookmarkEnd w:id="325"/>
      <w:bookmarkStart w:id="326" w:name="_Toc184310330"/>
      <w:bookmarkEnd w:id="326"/>
      <w:bookmarkStart w:id="327" w:name="_Toc184308058"/>
      <w:bookmarkEnd w:id="327"/>
      <w:bookmarkStart w:id="328" w:name="_Toc184312099"/>
      <w:bookmarkEnd w:id="328"/>
      <w:bookmarkStart w:id="329" w:name="_Toc184312133"/>
      <w:bookmarkEnd w:id="329"/>
      <w:bookmarkStart w:id="330" w:name="_Toc184310316"/>
      <w:bookmarkEnd w:id="330"/>
      <w:bookmarkStart w:id="331" w:name="_Toc184308039"/>
      <w:bookmarkEnd w:id="331"/>
      <w:bookmarkStart w:id="332" w:name="_Toc184312093"/>
      <w:bookmarkEnd w:id="332"/>
      <w:bookmarkStart w:id="333" w:name="_Toc184308107"/>
      <w:bookmarkEnd w:id="333"/>
      <w:bookmarkStart w:id="334" w:name="_Toc184310307"/>
      <w:bookmarkEnd w:id="334"/>
      <w:bookmarkStart w:id="335" w:name="_Toc184308079"/>
      <w:bookmarkEnd w:id="335"/>
      <w:bookmarkStart w:id="336" w:name="_Toc184313302"/>
      <w:bookmarkEnd w:id="336"/>
      <w:bookmarkStart w:id="337" w:name="_Toc184310336"/>
      <w:bookmarkEnd w:id="337"/>
      <w:bookmarkStart w:id="338" w:name="_Toc184312072"/>
      <w:bookmarkEnd w:id="338"/>
      <w:bookmarkStart w:id="339" w:name="_Toc184312119"/>
      <w:bookmarkEnd w:id="339"/>
      <w:bookmarkStart w:id="340" w:name="_Toc184314458"/>
      <w:bookmarkEnd w:id="340"/>
      <w:bookmarkStart w:id="341" w:name="_Toc184314464"/>
      <w:bookmarkEnd w:id="341"/>
      <w:bookmarkStart w:id="342" w:name="_Toc184312067"/>
      <w:bookmarkEnd w:id="342"/>
      <w:bookmarkStart w:id="343" w:name="_Toc184313293"/>
      <w:bookmarkEnd w:id="343"/>
      <w:bookmarkStart w:id="344" w:name="_Toc184312071"/>
      <w:bookmarkEnd w:id="344"/>
      <w:bookmarkStart w:id="345" w:name="_Toc184312074"/>
      <w:bookmarkEnd w:id="345"/>
      <w:bookmarkStart w:id="346" w:name="_Toc184308052"/>
      <w:bookmarkEnd w:id="346"/>
      <w:bookmarkStart w:id="347" w:name="_Toc184310331"/>
      <w:bookmarkEnd w:id="347"/>
      <w:bookmarkStart w:id="348" w:name="_Toc184312114"/>
      <w:bookmarkEnd w:id="348"/>
      <w:bookmarkStart w:id="349" w:name="_Toc184308085"/>
      <w:bookmarkEnd w:id="349"/>
      <w:bookmarkStart w:id="350" w:name="_Toc184313276"/>
      <w:bookmarkEnd w:id="350"/>
      <w:bookmarkStart w:id="351" w:name="_Toc184310289"/>
      <w:bookmarkEnd w:id="351"/>
      <w:bookmarkStart w:id="352" w:name="_Toc184310310"/>
      <w:bookmarkEnd w:id="352"/>
      <w:bookmarkStart w:id="353" w:name="_Toc184314422"/>
      <w:bookmarkEnd w:id="353"/>
      <w:bookmarkStart w:id="354" w:name="_Toc184308065"/>
      <w:bookmarkEnd w:id="354"/>
      <w:bookmarkStart w:id="355" w:name="_Toc184314462"/>
      <w:bookmarkEnd w:id="355"/>
      <w:bookmarkStart w:id="356" w:name="_Toc184310272"/>
      <w:bookmarkEnd w:id="356"/>
      <w:bookmarkStart w:id="357" w:name="_Toc184313279"/>
      <w:bookmarkEnd w:id="357"/>
      <w:bookmarkStart w:id="358" w:name="_Toc184313253"/>
      <w:bookmarkEnd w:id="358"/>
      <w:bookmarkStart w:id="359" w:name="_Toc184314455"/>
      <w:bookmarkEnd w:id="359"/>
      <w:bookmarkStart w:id="360" w:name="_Toc184314425"/>
      <w:bookmarkEnd w:id="360"/>
      <w:bookmarkStart w:id="361" w:name="_Toc184313256"/>
      <w:bookmarkEnd w:id="361"/>
      <w:bookmarkStart w:id="362" w:name="_Toc184313249"/>
      <w:bookmarkEnd w:id="362"/>
      <w:bookmarkStart w:id="363" w:name="_Toc184314448"/>
      <w:bookmarkEnd w:id="363"/>
      <w:bookmarkStart w:id="364" w:name="_Toc184314413"/>
      <w:bookmarkEnd w:id="364"/>
      <w:bookmarkStart w:id="365" w:name="_Toc184313278"/>
      <w:bookmarkEnd w:id="365"/>
      <w:bookmarkStart w:id="366" w:name="_Toc184313285"/>
      <w:bookmarkEnd w:id="366"/>
      <w:bookmarkStart w:id="367" w:name="_Toc184314460"/>
      <w:bookmarkEnd w:id="367"/>
      <w:bookmarkStart w:id="368" w:name="_Toc184313252"/>
      <w:bookmarkEnd w:id="368"/>
      <w:bookmarkStart w:id="369" w:name="_Toc184314444"/>
      <w:bookmarkEnd w:id="369"/>
      <w:bookmarkStart w:id="370" w:name="_Toc184314438"/>
      <w:bookmarkEnd w:id="370"/>
      <w:bookmarkStart w:id="371" w:name="_Toc184312079"/>
      <w:bookmarkEnd w:id="371"/>
      <w:bookmarkStart w:id="372" w:name="_Toc184308082"/>
      <w:bookmarkEnd w:id="372"/>
      <w:bookmarkStart w:id="373" w:name="_Toc184313310"/>
      <w:bookmarkEnd w:id="373"/>
      <w:bookmarkStart w:id="374" w:name="_Toc184308103"/>
      <w:bookmarkEnd w:id="374"/>
      <w:bookmarkStart w:id="375" w:name="_Toc184308075"/>
      <w:bookmarkEnd w:id="375"/>
      <w:bookmarkStart w:id="376" w:name="_Toc184313242"/>
      <w:bookmarkEnd w:id="376"/>
      <w:bookmarkStart w:id="377" w:name="_Toc184310328"/>
      <w:bookmarkEnd w:id="377"/>
      <w:bookmarkStart w:id="378" w:name="_Toc184310297"/>
      <w:bookmarkEnd w:id="378"/>
      <w:bookmarkStart w:id="379" w:name="_Toc184310326"/>
      <w:bookmarkEnd w:id="379"/>
      <w:bookmarkStart w:id="380" w:name="_Toc184310320"/>
      <w:bookmarkEnd w:id="380"/>
      <w:bookmarkStart w:id="381" w:name="_Toc184310333"/>
      <w:bookmarkEnd w:id="381"/>
      <w:bookmarkStart w:id="382" w:name="_Toc184308098"/>
      <w:bookmarkEnd w:id="382"/>
      <w:bookmarkStart w:id="383" w:name="_Toc184312137"/>
      <w:bookmarkEnd w:id="383"/>
      <w:bookmarkStart w:id="384" w:name="_Toc184310291"/>
      <w:bookmarkEnd w:id="384"/>
      <w:bookmarkStart w:id="385" w:name="_Toc184312118"/>
      <w:bookmarkEnd w:id="385"/>
      <w:bookmarkStart w:id="386" w:name="_Toc184312123"/>
      <w:bookmarkEnd w:id="386"/>
      <w:bookmarkStart w:id="387" w:name="_Toc184314432"/>
      <w:bookmarkEnd w:id="387"/>
      <w:bookmarkStart w:id="388" w:name="_Toc184312094"/>
      <w:bookmarkEnd w:id="388"/>
      <w:bookmarkStart w:id="389" w:name="_Toc184314445"/>
      <w:bookmarkEnd w:id="389"/>
      <w:bookmarkStart w:id="390" w:name="_Toc184310314"/>
      <w:bookmarkEnd w:id="390"/>
      <w:bookmarkStart w:id="391" w:name="_Toc184312103"/>
      <w:bookmarkEnd w:id="391"/>
      <w:bookmarkStart w:id="392" w:name="_Toc184310317"/>
      <w:bookmarkEnd w:id="392"/>
      <w:bookmarkStart w:id="393" w:name="_Toc184313296"/>
      <w:bookmarkEnd w:id="393"/>
      <w:bookmarkStart w:id="394" w:name="_Toc184310304"/>
      <w:bookmarkEnd w:id="394"/>
      <w:bookmarkStart w:id="395" w:name="_Toc184308099"/>
      <w:bookmarkEnd w:id="395"/>
      <w:bookmarkStart w:id="396" w:name="_Toc184310287"/>
      <w:bookmarkEnd w:id="396"/>
      <w:bookmarkStart w:id="397" w:name="_Toc184313281"/>
      <w:bookmarkEnd w:id="397"/>
      <w:bookmarkStart w:id="398" w:name="_Toc184314426"/>
      <w:bookmarkEnd w:id="398"/>
      <w:bookmarkStart w:id="399" w:name="_Toc184310284"/>
      <w:bookmarkEnd w:id="399"/>
      <w:bookmarkStart w:id="400" w:name="_Toc184313295"/>
      <w:bookmarkEnd w:id="400"/>
      <w:bookmarkStart w:id="401" w:name="_Toc184312086"/>
      <w:bookmarkEnd w:id="401"/>
      <w:bookmarkStart w:id="402" w:name="_Toc184312113"/>
      <w:bookmarkEnd w:id="402"/>
      <w:bookmarkStart w:id="403" w:name="_Toc184314424"/>
      <w:bookmarkEnd w:id="403"/>
      <w:bookmarkStart w:id="404" w:name="_Toc184308062"/>
      <w:bookmarkEnd w:id="404"/>
      <w:bookmarkStart w:id="405" w:name="_Toc184314477"/>
      <w:bookmarkEnd w:id="405"/>
      <w:bookmarkStart w:id="406" w:name="_Toc184308076"/>
      <w:bookmarkEnd w:id="406"/>
      <w:r>
        <w:rPr>
          <w:rFonts w:hint="eastAsia"/>
          <w:lang w:val="en-US" w:eastAsia="zh-CN"/>
        </w:rPr>
        <w:t xml:space="preserve"> </w:t>
      </w:r>
      <w:r>
        <w:rPr>
          <w:rFonts w:hint="eastAsia"/>
        </w:rPr>
        <w:t>评标办法</w:t>
      </w:r>
      <w:bookmarkEnd w:id="41"/>
    </w:p>
    <w:p w14:paraId="7B25C0FF">
      <w:pPr>
        <w:widowControl/>
        <w:jc w:val="center"/>
        <w:textAlignment w:val="top"/>
        <w:rPr>
          <w:rFonts w:ascii="宋体" w:hAnsi="宋体" w:cs="宋体"/>
          <w:color w:val="000000"/>
          <w:kern w:val="0"/>
          <w:sz w:val="24"/>
        </w:rPr>
      </w:pPr>
      <w:r>
        <w:rPr>
          <w:rFonts w:hint="eastAsia" w:ascii="宋体" w:hAnsi="宋体" w:cs="宋体"/>
          <w:color w:val="000000"/>
          <w:kern w:val="0"/>
          <w:sz w:val="24"/>
        </w:rPr>
        <w:t>评标办法前附表</w:t>
      </w:r>
    </w:p>
    <w:tbl>
      <w:tblPr>
        <w:tblStyle w:val="62"/>
        <w:tblpPr w:leftFromText="180" w:rightFromText="180" w:vertAnchor="text" w:horzAnchor="page" w:tblpXSpec="center" w:tblpY="401"/>
        <w:tblOverlap w:val="never"/>
        <w:tblW w:w="91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7"/>
        <w:gridCol w:w="6182"/>
        <w:gridCol w:w="495"/>
        <w:gridCol w:w="750"/>
        <w:gridCol w:w="1262"/>
      </w:tblGrid>
      <w:tr w14:paraId="2EE47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97" w:type="dxa"/>
            <w:shd w:val="clear" w:color="auto" w:fill="auto"/>
            <w:vAlign w:val="center"/>
          </w:tcPr>
          <w:p w14:paraId="76E90DC1">
            <w:pPr>
              <w:widowControl/>
              <w:textAlignment w:val="top"/>
              <w:rPr>
                <w:rFonts w:ascii="宋体" w:hAnsi="宋体" w:cs="宋体"/>
                <w:color w:val="000000"/>
                <w:kern w:val="0"/>
                <w:sz w:val="24"/>
              </w:rPr>
            </w:pPr>
            <w:r>
              <w:rPr>
                <w:rFonts w:hint="eastAsia" w:ascii="宋体" w:hAnsi="宋体" w:cs="宋体"/>
                <w:color w:val="000000"/>
                <w:kern w:val="0"/>
                <w:sz w:val="24"/>
              </w:rPr>
              <w:t>序号</w:t>
            </w:r>
          </w:p>
        </w:tc>
        <w:tc>
          <w:tcPr>
            <w:tcW w:w="6182" w:type="dxa"/>
            <w:shd w:val="clear" w:color="auto" w:fill="auto"/>
            <w:vAlign w:val="center"/>
          </w:tcPr>
          <w:p w14:paraId="6181E4B7">
            <w:pPr>
              <w:widowControl/>
              <w:jc w:val="center"/>
              <w:textAlignment w:val="top"/>
              <w:rPr>
                <w:rFonts w:ascii="宋体" w:hAnsi="宋体" w:cs="宋体"/>
                <w:color w:val="000000"/>
                <w:kern w:val="0"/>
                <w:sz w:val="24"/>
                <w:highlight w:val="none"/>
              </w:rPr>
            </w:pPr>
            <w:r>
              <w:rPr>
                <w:rFonts w:hint="eastAsia" w:ascii="宋体" w:hAnsi="宋体" w:cs="宋体"/>
                <w:color w:val="000000"/>
                <w:kern w:val="0"/>
                <w:sz w:val="24"/>
                <w:highlight w:val="none"/>
              </w:rPr>
              <w:t>评标标准</w:t>
            </w:r>
          </w:p>
        </w:tc>
        <w:tc>
          <w:tcPr>
            <w:tcW w:w="495" w:type="dxa"/>
            <w:shd w:val="clear" w:color="auto" w:fill="auto"/>
            <w:vAlign w:val="center"/>
          </w:tcPr>
          <w:p w14:paraId="07049E61">
            <w:pPr>
              <w:widowControl/>
              <w:textAlignment w:val="top"/>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权重</w:t>
            </w:r>
            <w:r>
              <w:rPr>
                <w:rFonts w:hint="eastAsia" w:ascii="宋体" w:hAnsi="宋体" w:cs="宋体"/>
                <w:color w:val="000000"/>
                <w:kern w:val="0"/>
                <w:sz w:val="24"/>
                <w:highlight w:val="none"/>
                <w:lang w:val="en-US" w:eastAsia="zh-CN"/>
              </w:rPr>
              <w:t>分值</w:t>
            </w:r>
          </w:p>
        </w:tc>
        <w:tc>
          <w:tcPr>
            <w:tcW w:w="750" w:type="dxa"/>
            <w:shd w:val="clear" w:color="auto" w:fill="auto"/>
            <w:vAlign w:val="center"/>
          </w:tcPr>
          <w:p w14:paraId="38361110">
            <w:pPr>
              <w:widowControl/>
              <w:textAlignment w:val="top"/>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主观分/客观分</w:t>
            </w:r>
          </w:p>
        </w:tc>
        <w:tc>
          <w:tcPr>
            <w:tcW w:w="1262" w:type="dxa"/>
            <w:shd w:val="clear" w:color="auto" w:fill="auto"/>
            <w:vAlign w:val="center"/>
          </w:tcPr>
          <w:p w14:paraId="1C23FAB5">
            <w:pPr>
              <w:widowControl/>
              <w:jc w:val="center"/>
              <w:textAlignment w:val="top"/>
              <w:rPr>
                <w:rFonts w:ascii="宋体" w:hAnsi="宋体" w:cs="宋体"/>
                <w:color w:val="000000"/>
                <w:kern w:val="0"/>
                <w:sz w:val="24"/>
                <w:highlight w:val="none"/>
              </w:rPr>
            </w:pPr>
            <w:r>
              <w:rPr>
                <w:rFonts w:hint="eastAsia" w:ascii="宋体" w:hAnsi="宋体" w:cs="宋体"/>
                <w:color w:val="000000"/>
                <w:kern w:val="0"/>
                <w:sz w:val="24"/>
                <w:highlight w:val="none"/>
              </w:rPr>
              <w:t>投标文件中评标标准相应的商务技术资料目录</w:t>
            </w:r>
          </w:p>
        </w:tc>
      </w:tr>
      <w:tr w14:paraId="226AE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97" w:type="dxa"/>
            <w:shd w:val="clear" w:color="auto" w:fill="auto"/>
            <w:vAlign w:val="center"/>
          </w:tcPr>
          <w:p w14:paraId="365E9769">
            <w:pPr>
              <w:widowControl/>
              <w:jc w:val="center"/>
              <w:textAlignment w:val="top"/>
              <w:rPr>
                <w:rFonts w:ascii="宋体" w:hAnsi="宋体" w:cs="宋体"/>
                <w:color w:val="000000"/>
                <w:kern w:val="0"/>
                <w:sz w:val="24"/>
              </w:rPr>
            </w:pPr>
            <w:r>
              <w:rPr>
                <w:rFonts w:hint="eastAsia" w:ascii="宋体" w:hAnsi="宋体" w:cs="宋体"/>
                <w:color w:val="000000"/>
                <w:kern w:val="0"/>
                <w:sz w:val="24"/>
              </w:rPr>
              <w:t>1</w:t>
            </w:r>
          </w:p>
        </w:tc>
        <w:tc>
          <w:tcPr>
            <w:tcW w:w="6182" w:type="dxa"/>
            <w:shd w:val="clear" w:color="auto" w:fill="auto"/>
            <w:vAlign w:val="center"/>
          </w:tcPr>
          <w:p w14:paraId="29475C32">
            <w:pPr>
              <w:widowControl/>
              <w:textAlignment w:val="top"/>
              <w:rPr>
                <w:ins w:id="0" w:author="开心妈咪" w:date="2024-08-27T15:06:02Z"/>
                <w:rFonts w:hint="eastAsia" w:ascii="宋体" w:hAnsi="宋体" w:cs="宋体"/>
                <w:color w:val="000000"/>
                <w:kern w:val="0"/>
                <w:sz w:val="24"/>
                <w:highlight w:val="none"/>
                <w:lang w:val="en-GB"/>
              </w:rPr>
            </w:pPr>
            <w:r>
              <w:rPr>
                <w:rFonts w:hint="eastAsia" w:ascii="宋体" w:hAnsi="宋体" w:cs="宋体"/>
                <w:color w:val="000000"/>
                <w:kern w:val="0"/>
                <w:sz w:val="24"/>
                <w:highlight w:val="none"/>
                <w:lang w:val="en-GB"/>
              </w:rPr>
              <w:t>投标人自20</w:t>
            </w:r>
            <w:r>
              <w:rPr>
                <w:rFonts w:hint="eastAsia" w:ascii="宋体" w:hAnsi="宋体" w:cs="宋体"/>
                <w:color w:val="000000"/>
                <w:kern w:val="0"/>
                <w:sz w:val="24"/>
                <w:highlight w:val="none"/>
                <w:lang w:val="en-US" w:eastAsia="zh-CN"/>
              </w:rPr>
              <w:t>19</w:t>
            </w:r>
            <w:r>
              <w:rPr>
                <w:rFonts w:hint="eastAsia" w:ascii="宋体" w:hAnsi="宋体" w:cs="宋体"/>
                <w:color w:val="000000"/>
                <w:kern w:val="0"/>
                <w:sz w:val="24"/>
                <w:highlight w:val="none"/>
                <w:lang w:val="en-GB"/>
              </w:rPr>
              <w:t>年1月1日至今（以签订合同时间为准），</w:t>
            </w:r>
            <w:r>
              <w:rPr>
                <w:rFonts w:hint="eastAsia" w:ascii="宋体" w:hAnsi="宋体" w:cs="宋体"/>
                <w:sz w:val="24"/>
                <w:highlight w:val="none"/>
              </w:rPr>
              <w:t>承揽过</w:t>
            </w:r>
            <w:r>
              <w:rPr>
                <w:rFonts w:hint="eastAsia" w:ascii="宋体" w:hAnsi="宋体" w:eastAsia="宋体" w:cs="宋体"/>
                <w:sz w:val="24"/>
                <w:highlight w:val="none"/>
              </w:rPr>
              <w:t>类似</w:t>
            </w:r>
            <w:r>
              <w:rPr>
                <w:rFonts w:hint="eastAsia" w:ascii="宋体" w:hAnsi="宋体" w:eastAsia="宋体" w:cs="宋体"/>
                <w:sz w:val="24"/>
                <w:highlight w:val="none"/>
                <w:lang w:val="zh-CN" w:eastAsia="zh-CN"/>
              </w:rPr>
              <w:t>易腐垃圾清运</w:t>
            </w:r>
            <w:r>
              <w:rPr>
                <w:rFonts w:hint="eastAsia" w:ascii="宋体" w:hAnsi="宋体" w:eastAsia="宋体" w:cs="宋体"/>
                <w:sz w:val="24"/>
                <w:highlight w:val="none"/>
              </w:rPr>
              <w:t>项目</w:t>
            </w:r>
            <w:r>
              <w:rPr>
                <w:rFonts w:hint="eastAsia" w:ascii="宋体" w:hAnsi="宋体" w:cs="宋体"/>
                <w:sz w:val="24"/>
                <w:highlight w:val="none"/>
              </w:rPr>
              <w:t>的</w:t>
            </w:r>
            <w:r>
              <w:rPr>
                <w:rFonts w:hint="eastAsia" w:ascii="宋体" w:hAnsi="宋体" w:cs="宋体"/>
                <w:color w:val="000000"/>
                <w:kern w:val="0"/>
                <w:sz w:val="24"/>
                <w:highlight w:val="none"/>
                <w:lang w:val="en-GB"/>
              </w:rPr>
              <w:t>，每提供一个项目业绩，得</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lang w:val="en-GB"/>
              </w:rPr>
              <w:t>分，本项最多得</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lang w:val="en-GB"/>
              </w:rPr>
              <w:t>分。</w:t>
            </w:r>
          </w:p>
          <w:p w14:paraId="242CF79D">
            <w:pPr>
              <w:widowControl/>
              <w:textAlignment w:val="top"/>
              <w:rPr>
                <w:rFonts w:ascii="宋体" w:hAnsi="宋体" w:cs="宋体"/>
                <w:color w:val="000000"/>
                <w:kern w:val="0"/>
                <w:sz w:val="24"/>
                <w:highlight w:val="none"/>
                <w:lang w:val="en-GB"/>
              </w:rPr>
            </w:pPr>
            <w:r>
              <w:rPr>
                <w:rFonts w:hint="eastAsia" w:ascii="宋体" w:hAnsi="宋体" w:cs="宋体"/>
                <w:color w:val="000000"/>
                <w:kern w:val="0"/>
                <w:sz w:val="24"/>
                <w:highlight w:val="none"/>
                <w:lang w:val="en-GB"/>
              </w:rPr>
              <w:t>注：提供合同</w:t>
            </w:r>
            <w:r>
              <w:rPr>
                <w:rFonts w:hint="eastAsia" w:ascii="宋体" w:hAnsi="宋体" w:cs="宋体"/>
                <w:color w:val="000000"/>
                <w:kern w:val="0"/>
                <w:sz w:val="24"/>
                <w:highlight w:val="none"/>
                <w:lang w:val="en-GB" w:eastAsia="zh-CN"/>
              </w:rPr>
              <w:t>、</w:t>
            </w:r>
            <w:r>
              <w:rPr>
                <w:rFonts w:hint="eastAsia" w:ascii="宋体" w:hAnsi="宋体" w:cs="宋体"/>
                <w:color w:val="000000"/>
                <w:kern w:val="0"/>
                <w:sz w:val="24"/>
                <w:highlight w:val="none"/>
                <w:lang w:val="en-US" w:eastAsia="zh-CN"/>
              </w:rPr>
              <w:t>中标通知书及履约验收证明文件</w:t>
            </w:r>
            <w:r>
              <w:rPr>
                <w:rFonts w:hint="eastAsia" w:ascii="宋体" w:hAnsi="宋体" w:cs="宋体"/>
                <w:color w:val="000000"/>
                <w:kern w:val="0"/>
                <w:sz w:val="24"/>
                <w:highlight w:val="none"/>
                <w:lang w:val="en-GB"/>
              </w:rPr>
              <w:t>并加盖公章，</w:t>
            </w:r>
            <w:r>
              <w:rPr>
                <w:rFonts w:hint="eastAsia" w:ascii="宋体" w:hAnsi="宋体" w:cs="宋体"/>
                <w:color w:val="000000"/>
                <w:kern w:val="0"/>
                <w:sz w:val="24"/>
                <w:highlight w:val="none"/>
              </w:rPr>
              <w:t>不</w:t>
            </w:r>
            <w:r>
              <w:rPr>
                <w:rFonts w:hint="eastAsia" w:ascii="宋体" w:hAnsi="宋体" w:cs="宋体"/>
                <w:color w:val="000000"/>
                <w:kern w:val="0"/>
                <w:sz w:val="24"/>
                <w:highlight w:val="none"/>
                <w:lang w:val="en-GB"/>
              </w:rPr>
              <w:t>提供不得分。</w:t>
            </w:r>
          </w:p>
        </w:tc>
        <w:tc>
          <w:tcPr>
            <w:tcW w:w="495" w:type="dxa"/>
            <w:shd w:val="clear" w:color="auto" w:fill="auto"/>
            <w:vAlign w:val="center"/>
          </w:tcPr>
          <w:p w14:paraId="64F7A887">
            <w:pPr>
              <w:widowControl/>
              <w:jc w:val="center"/>
              <w:textAlignment w:val="top"/>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3</w:t>
            </w:r>
          </w:p>
        </w:tc>
        <w:tc>
          <w:tcPr>
            <w:tcW w:w="750" w:type="dxa"/>
            <w:shd w:val="clear" w:color="auto" w:fill="auto"/>
            <w:vAlign w:val="center"/>
          </w:tcPr>
          <w:p w14:paraId="298CC7A2">
            <w:pPr>
              <w:widowControl/>
              <w:jc w:val="center"/>
              <w:textAlignment w:val="top"/>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客观分</w:t>
            </w:r>
          </w:p>
        </w:tc>
        <w:tc>
          <w:tcPr>
            <w:tcW w:w="1262" w:type="dxa"/>
            <w:shd w:val="clear" w:color="auto" w:fill="auto"/>
            <w:vAlign w:val="center"/>
          </w:tcPr>
          <w:p w14:paraId="705DFA35">
            <w:pPr>
              <w:widowControl/>
              <w:jc w:val="center"/>
              <w:textAlignment w:val="top"/>
              <w:rPr>
                <w:rFonts w:ascii="宋体" w:hAnsi="宋体" w:cs="宋体"/>
                <w:color w:val="000000"/>
                <w:kern w:val="0"/>
                <w:sz w:val="24"/>
                <w:highlight w:val="none"/>
                <w:lang w:val="en-GB"/>
              </w:rPr>
            </w:pPr>
            <w:r>
              <w:rPr>
                <w:rFonts w:hint="eastAsia" w:ascii="宋体" w:hAnsi="宋体" w:cs="宋体"/>
                <w:color w:val="000000"/>
                <w:kern w:val="0"/>
                <w:sz w:val="24"/>
                <w:highlight w:val="none"/>
                <w:lang w:val="en-GB"/>
              </w:rPr>
              <w:t>类似业绩</w:t>
            </w:r>
          </w:p>
        </w:tc>
      </w:tr>
      <w:tr w14:paraId="6C439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97" w:type="dxa"/>
            <w:shd w:val="clear" w:color="auto" w:fill="auto"/>
            <w:vAlign w:val="center"/>
          </w:tcPr>
          <w:p w14:paraId="463FE027">
            <w:pPr>
              <w:widowControl/>
              <w:jc w:val="center"/>
              <w:textAlignment w:val="top"/>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6182" w:type="dxa"/>
            <w:shd w:val="clear" w:color="auto" w:fill="auto"/>
            <w:vAlign w:val="center"/>
          </w:tcPr>
          <w:p w14:paraId="33ECCECE">
            <w:pPr>
              <w:pStyle w:val="955"/>
              <w:keepNext w:val="0"/>
              <w:keepLines w:val="0"/>
              <w:suppressLineNumbers w:val="0"/>
              <w:spacing w:before="0" w:beforeAutospacing="0" w:after="0" w:afterAutospacing="0" w:line="240" w:lineRule="auto"/>
              <w:ind w:right="214" w:rightChars="0"/>
              <w:jc w:val="both"/>
              <w:rPr>
                <w:ins w:id="1" w:author="开心妈咪" w:date="2024-08-27T15:06:59Z"/>
                <w:rFonts w:hint="eastAsia" w:ascii="宋体" w:hAnsi="宋体" w:eastAsia="宋体" w:cs="宋体"/>
                <w:sz w:val="24"/>
                <w:lang w:val="zh-CN" w:eastAsia="zh-CN"/>
              </w:rPr>
            </w:pPr>
            <w:r>
              <w:rPr>
                <w:rFonts w:hint="eastAsia" w:ascii="宋体" w:hAnsi="宋体" w:cs="宋体"/>
                <w:sz w:val="24"/>
                <w:lang w:val="en-US" w:eastAsia="zh-CN"/>
              </w:rPr>
              <w:t>投标人2019</w:t>
            </w:r>
            <w:r>
              <w:rPr>
                <w:rFonts w:hint="eastAsia" w:ascii="宋体" w:hAnsi="宋体" w:cs="宋体"/>
                <w:sz w:val="24"/>
              </w:rPr>
              <w:t>年</w:t>
            </w:r>
            <w:r>
              <w:rPr>
                <w:rFonts w:hint="eastAsia" w:ascii="宋体" w:hAnsi="宋体" w:eastAsia="宋体" w:cs="宋体"/>
                <w:sz w:val="24"/>
              </w:rPr>
              <w:t>1月1日以来</w:t>
            </w:r>
            <w:r>
              <w:rPr>
                <w:rFonts w:hint="eastAsia" w:ascii="宋体" w:hAnsi="宋体" w:eastAsia="宋体" w:cs="宋体"/>
                <w:sz w:val="24"/>
                <w:lang w:val="en-US" w:eastAsia="zh-CN"/>
              </w:rPr>
              <w:t>获得过环卫类的政府部门颁发的荣誉称号或表彰的每个得</w:t>
            </w:r>
            <w:r>
              <w:rPr>
                <w:rFonts w:hint="eastAsia" w:ascii="宋体" w:hAnsi="宋体" w:cs="宋体"/>
                <w:sz w:val="24"/>
                <w:lang w:val="en-US" w:eastAsia="zh-CN"/>
              </w:rPr>
              <w:t>1</w:t>
            </w:r>
            <w:r>
              <w:rPr>
                <w:rFonts w:hint="eastAsia" w:ascii="宋体" w:hAnsi="宋体" w:eastAsia="宋体" w:cs="宋体"/>
                <w:sz w:val="24"/>
                <w:lang w:val="en-US" w:eastAsia="zh-CN"/>
              </w:rPr>
              <w:t>分，</w:t>
            </w:r>
            <w:r>
              <w:rPr>
                <w:rFonts w:hint="eastAsia" w:ascii="宋体" w:hAnsi="宋体" w:eastAsia="宋体" w:cs="宋体"/>
                <w:sz w:val="24"/>
                <w:lang w:val="zh-CN" w:eastAsia="zh-CN"/>
              </w:rPr>
              <w:t>本项最高得</w:t>
            </w:r>
            <w:r>
              <w:rPr>
                <w:rFonts w:hint="eastAsia" w:ascii="宋体" w:hAnsi="宋体" w:cs="宋体"/>
                <w:sz w:val="24"/>
                <w:lang w:val="en-US" w:eastAsia="zh-CN"/>
              </w:rPr>
              <w:t>3</w:t>
            </w:r>
            <w:r>
              <w:rPr>
                <w:rFonts w:hint="eastAsia" w:ascii="宋体" w:hAnsi="宋体" w:eastAsia="宋体" w:cs="宋体"/>
                <w:sz w:val="24"/>
                <w:lang w:val="zh-CN" w:eastAsia="zh-CN"/>
              </w:rPr>
              <w:t>分。</w:t>
            </w:r>
          </w:p>
          <w:p w14:paraId="30B2E05F">
            <w:pPr>
              <w:widowControl/>
              <w:textAlignment w:val="top"/>
              <w:rPr>
                <w:rFonts w:hint="eastAsia" w:ascii="宋体" w:hAnsi="宋体" w:cs="宋体"/>
                <w:color w:val="000000"/>
                <w:kern w:val="0"/>
                <w:sz w:val="24"/>
                <w:lang w:val="en-GB"/>
              </w:rPr>
            </w:pPr>
            <w:r>
              <w:rPr>
                <w:rFonts w:hint="eastAsia" w:ascii="宋体" w:hAnsi="宋体" w:cs="宋体"/>
                <w:sz w:val="24"/>
              </w:rPr>
              <w:t>提供政府</w:t>
            </w:r>
            <w:r>
              <w:rPr>
                <w:rFonts w:hint="eastAsia" w:ascii="宋体" w:hAnsi="宋体" w:cs="宋体"/>
                <w:sz w:val="24"/>
                <w:lang w:val="en-US" w:eastAsia="zh-CN"/>
              </w:rPr>
              <w:t>部门</w:t>
            </w:r>
            <w:r>
              <w:rPr>
                <w:rFonts w:hint="eastAsia" w:ascii="宋体" w:hAnsi="宋体" w:cs="宋体"/>
                <w:sz w:val="24"/>
              </w:rPr>
              <w:t>颁发的获奖证书或获奖文件等证明材料复印件。不接受协会、学会颁发的奖项。</w:t>
            </w:r>
          </w:p>
        </w:tc>
        <w:tc>
          <w:tcPr>
            <w:tcW w:w="495" w:type="dxa"/>
            <w:shd w:val="clear" w:color="auto" w:fill="auto"/>
            <w:vAlign w:val="center"/>
          </w:tcPr>
          <w:p w14:paraId="206ABCEC">
            <w:pPr>
              <w:pStyle w:val="2"/>
              <w:ind w:firstLine="0"/>
              <w:jc w:val="center"/>
              <w:rPr>
                <w:rFonts w:hint="default"/>
                <w:lang w:val="en-US" w:eastAsia="zh-CN"/>
              </w:rPr>
            </w:pPr>
            <w:r>
              <w:rPr>
                <w:rFonts w:hint="eastAsia" w:hAnsi="宋体" w:cs="宋体"/>
                <w:color w:val="000000"/>
                <w:kern w:val="0"/>
                <w:sz w:val="24"/>
                <w:lang w:val="en-US" w:eastAsia="zh-CN"/>
              </w:rPr>
              <w:t>3</w:t>
            </w:r>
          </w:p>
        </w:tc>
        <w:tc>
          <w:tcPr>
            <w:tcW w:w="750" w:type="dxa"/>
            <w:shd w:val="clear" w:color="auto" w:fill="auto"/>
            <w:vAlign w:val="center"/>
          </w:tcPr>
          <w:p w14:paraId="4FCA6BD3">
            <w:pPr>
              <w:widowControl/>
              <w:jc w:val="center"/>
              <w:textAlignment w:val="top"/>
              <w:rPr>
                <w:rFonts w:hint="eastAsia" w:ascii="宋体" w:hAnsi="宋体" w:cs="宋体"/>
                <w:color w:val="000000"/>
                <w:kern w:val="0"/>
                <w:sz w:val="24"/>
                <w:lang w:val="en-US" w:eastAsia="zh-CN"/>
              </w:rPr>
            </w:pPr>
            <w:r>
              <w:rPr>
                <w:rFonts w:hint="eastAsia" w:ascii="宋体" w:hAnsi="宋体" w:cs="宋体"/>
                <w:color w:val="000000"/>
                <w:kern w:val="0"/>
                <w:sz w:val="24"/>
                <w:highlight w:val="none"/>
                <w:lang w:val="en-US" w:eastAsia="zh-CN"/>
              </w:rPr>
              <w:t>客观分</w:t>
            </w:r>
          </w:p>
        </w:tc>
        <w:tc>
          <w:tcPr>
            <w:tcW w:w="1262" w:type="dxa"/>
            <w:shd w:val="clear" w:color="auto" w:fill="auto"/>
            <w:vAlign w:val="center"/>
          </w:tcPr>
          <w:p w14:paraId="6F20C2EB">
            <w:pPr>
              <w:widowControl/>
              <w:jc w:val="center"/>
              <w:textAlignment w:val="top"/>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企业荣誉</w:t>
            </w:r>
          </w:p>
        </w:tc>
      </w:tr>
      <w:tr w14:paraId="41A76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97" w:type="dxa"/>
            <w:shd w:val="clear" w:color="auto" w:fill="auto"/>
            <w:vAlign w:val="center"/>
          </w:tcPr>
          <w:p w14:paraId="59FBDB8A">
            <w:pPr>
              <w:widowControl/>
              <w:jc w:val="center"/>
              <w:textAlignment w:val="top"/>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w:t>
            </w:r>
          </w:p>
        </w:tc>
        <w:tc>
          <w:tcPr>
            <w:tcW w:w="6182" w:type="dxa"/>
            <w:shd w:val="clear" w:color="auto" w:fill="auto"/>
            <w:vAlign w:val="center"/>
          </w:tcPr>
          <w:p w14:paraId="2597389F">
            <w:pPr>
              <w:keepNext w:val="0"/>
              <w:keepLines w:val="0"/>
              <w:pageBreakBefore w:val="0"/>
              <w:widowControl/>
              <w:numPr>
                <w:ilvl w:val="0"/>
                <w:numId w:val="0"/>
              </w:numPr>
              <w:kinsoku/>
              <w:wordWrap/>
              <w:overflowPunct/>
              <w:topLinePunct w:val="0"/>
              <w:autoSpaceDE/>
              <w:autoSpaceDN/>
              <w:bidi w:val="0"/>
              <w:spacing w:line="24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kern w:val="0"/>
                <w:sz w:val="24"/>
                <w:szCs w:val="24"/>
                <w:highlight w:val="none"/>
                <w:lang w:bidi="ar"/>
              </w:rPr>
              <w:t>供应商具有有效的质量管理体系认证、环境管理体系认证、职业健康安全管理体系认证证书齐全的得</w:t>
            </w:r>
            <w:r>
              <w:rPr>
                <w:rFonts w:hint="eastAsia" w:ascii="宋体" w:hAnsi="宋体" w:eastAsia="宋体" w:cs="宋体"/>
                <w:b w:val="0"/>
                <w:bCs w:val="0"/>
                <w:kern w:val="0"/>
                <w:sz w:val="24"/>
                <w:szCs w:val="24"/>
                <w:highlight w:val="none"/>
                <w:lang w:val="en-US" w:eastAsia="zh-CN" w:bidi="ar"/>
              </w:rPr>
              <w:t>3</w:t>
            </w:r>
            <w:r>
              <w:rPr>
                <w:rFonts w:hint="eastAsia" w:ascii="宋体" w:hAnsi="宋体" w:eastAsia="宋体" w:cs="宋体"/>
                <w:b w:val="0"/>
                <w:bCs w:val="0"/>
                <w:kern w:val="0"/>
                <w:sz w:val="24"/>
                <w:szCs w:val="24"/>
                <w:highlight w:val="none"/>
                <w:lang w:bidi="ar"/>
              </w:rPr>
              <w:t>分，少一项扣</w:t>
            </w:r>
            <w:r>
              <w:rPr>
                <w:rFonts w:hint="eastAsia" w:ascii="宋体" w:hAnsi="宋体" w:eastAsia="宋体" w:cs="宋体"/>
                <w:b w:val="0"/>
                <w:bCs w:val="0"/>
                <w:kern w:val="0"/>
                <w:sz w:val="24"/>
                <w:szCs w:val="24"/>
                <w:highlight w:val="none"/>
                <w:lang w:val="en-US" w:eastAsia="zh-CN" w:bidi="ar"/>
              </w:rPr>
              <w:t>1</w:t>
            </w:r>
            <w:r>
              <w:rPr>
                <w:rFonts w:hint="eastAsia" w:ascii="宋体" w:hAnsi="宋体" w:eastAsia="宋体" w:cs="宋体"/>
                <w:b w:val="0"/>
                <w:bCs w:val="0"/>
                <w:kern w:val="0"/>
                <w:sz w:val="24"/>
                <w:szCs w:val="24"/>
                <w:highlight w:val="none"/>
                <w:lang w:bidi="ar"/>
              </w:rPr>
              <w:t>分。</w:t>
            </w:r>
          </w:p>
          <w:p w14:paraId="54A569C5">
            <w:pPr>
              <w:widowControl/>
              <w:textAlignment w:val="top"/>
              <w:rPr>
                <w:rFonts w:hint="eastAsia" w:ascii="宋体" w:hAnsi="宋体" w:cs="宋体"/>
                <w:sz w:val="24"/>
              </w:rPr>
            </w:pPr>
            <w:r>
              <w:rPr>
                <w:rFonts w:hint="eastAsia" w:ascii="宋体" w:hAnsi="宋体" w:eastAsia="宋体" w:cs="宋体"/>
                <w:b w:val="0"/>
                <w:bCs w:val="0"/>
                <w:spacing w:val="4"/>
                <w:sz w:val="24"/>
                <w:szCs w:val="24"/>
                <w:highlight w:val="none"/>
              </w:rPr>
              <w:t>注：须提供相关证书复印件加盖投标供应商公章</w:t>
            </w:r>
            <w:r>
              <w:rPr>
                <w:rFonts w:hint="eastAsia" w:ascii="宋体" w:hAnsi="宋体" w:eastAsia="宋体" w:cs="宋体"/>
                <w:b w:val="0"/>
                <w:bCs w:val="0"/>
                <w:spacing w:val="4"/>
                <w:sz w:val="24"/>
                <w:szCs w:val="24"/>
                <w:highlight w:val="none"/>
                <w:lang w:eastAsia="zh-CN"/>
              </w:rPr>
              <w:t>。</w:t>
            </w:r>
          </w:p>
        </w:tc>
        <w:tc>
          <w:tcPr>
            <w:tcW w:w="495" w:type="dxa"/>
            <w:shd w:val="clear" w:color="auto" w:fill="auto"/>
            <w:vAlign w:val="center"/>
          </w:tcPr>
          <w:p w14:paraId="761E1A99">
            <w:pPr>
              <w:widowControl/>
              <w:jc w:val="center"/>
              <w:textAlignment w:val="top"/>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w:t>
            </w:r>
          </w:p>
        </w:tc>
        <w:tc>
          <w:tcPr>
            <w:tcW w:w="750" w:type="dxa"/>
            <w:shd w:val="clear" w:color="auto" w:fill="auto"/>
            <w:vAlign w:val="center"/>
          </w:tcPr>
          <w:p w14:paraId="5528D512">
            <w:pPr>
              <w:widowControl/>
              <w:jc w:val="center"/>
              <w:textAlignment w:val="top"/>
              <w:rPr>
                <w:rFonts w:hint="eastAsia" w:ascii="宋体" w:hAnsi="宋体" w:cs="宋体"/>
                <w:color w:val="000000"/>
                <w:kern w:val="0"/>
                <w:sz w:val="24"/>
                <w:lang w:val="en-US" w:eastAsia="zh-CN"/>
              </w:rPr>
            </w:pPr>
            <w:r>
              <w:rPr>
                <w:rFonts w:hint="eastAsia" w:ascii="宋体" w:hAnsi="宋体" w:cs="宋体"/>
                <w:color w:val="000000"/>
                <w:kern w:val="0"/>
                <w:sz w:val="24"/>
                <w:highlight w:val="none"/>
                <w:lang w:val="en-US" w:eastAsia="zh-CN"/>
              </w:rPr>
              <w:t>客观分</w:t>
            </w:r>
          </w:p>
        </w:tc>
        <w:tc>
          <w:tcPr>
            <w:tcW w:w="1262" w:type="dxa"/>
            <w:shd w:val="clear" w:color="auto" w:fill="auto"/>
            <w:vAlign w:val="center"/>
          </w:tcPr>
          <w:p w14:paraId="265D8DE3">
            <w:pPr>
              <w:widowControl/>
              <w:jc w:val="center"/>
              <w:textAlignment w:val="top"/>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企业认证</w:t>
            </w:r>
          </w:p>
        </w:tc>
      </w:tr>
      <w:tr w14:paraId="676AC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97" w:type="dxa"/>
            <w:shd w:val="clear" w:color="auto" w:fill="auto"/>
            <w:vAlign w:val="center"/>
          </w:tcPr>
          <w:p w14:paraId="545FA9FB">
            <w:pPr>
              <w:widowControl/>
              <w:jc w:val="center"/>
              <w:textAlignment w:val="top"/>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6182" w:type="dxa"/>
            <w:shd w:val="clear" w:color="auto" w:fill="auto"/>
            <w:vAlign w:val="center"/>
          </w:tcPr>
          <w:p w14:paraId="307314D4">
            <w:pPr>
              <w:keepNext w:val="0"/>
              <w:keepLines w:val="0"/>
              <w:pageBreakBefore w:val="0"/>
              <w:widowControl/>
              <w:numPr>
                <w:ilvl w:val="0"/>
                <w:numId w:val="0"/>
              </w:numPr>
              <w:kinsoku/>
              <w:wordWrap/>
              <w:overflowPunct/>
              <w:topLinePunct w:val="0"/>
              <w:autoSpaceDE/>
              <w:autoSpaceDN/>
              <w:bidi w:val="0"/>
              <w:spacing w:line="240" w:lineRule="auto"/>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bidi="ar"/>
              </w:rPr>
              <w:t>根据负责本项目的服务技术团队实力情况给分。主要参考技术人员组成、相关经验履历情况、工程师证书、投标截止时间前近三个月的社保证明（或股东证明、退休证明和返聘证明）等。综合</w:t>
            </w:r>
            <w:r>
              <w:rPr>
                <w:rFonts w:hint="eastAsia" w:ascii="宋体" w:hAnsi="宋体" w:eastAsia="宋体" w:cs="宋体"/>
                <w:b w:val="0"/>
                <w:bCs w:val="0"/>
                <w:kern w:val="0"/>
                <w:sz w:val="24"/>
                <w:szCs w:val="24"/>
                <w:lang w:val="en-US" w:eastAsia="zh-CN" w:bidi="ar"/>
              </w:rPr>
              <w:t>实力强且配备人员符合项目需求得</w:t>
            </w:r>
            <w:r>
              <w:rPr>
                <w:rFonts w:hint="eastAsia" w:ascii="宋体" w:hAnsi="宋体" w:cs="宋体"/>
                <w:b w:val="0"/>
                <w:bCs w:val="0"/>
                <w:kern w:val="0"/>
                <w:sz w:val="24"/>
                <w:szCs w:val="24"/>
                <w:lang w:val="en-US" w:eastAsia="zh-CN" w:bidi="ar"/>
              </w:rPr>
              <w:t>4-5</w:t>
            </w:r>
            <w:r>
              <w:rPr>
                <w:rFonts w:hint="eastAsia" w:ascii="宋体" w:hAnsi="宋体" w:eastAsia="宋体" w:cs="宋体"/>
                <w:b w:val="0"/>
                <w:bCs w:val="0"/>
                <w:kern w:val="0"/>
                <w:sz w:val="24"/>
                <w:szCs w:val="24"/>
                <w:lang w:val="en-US" w:eastAsia="zh-CN" w:bidi="ar"/>
              </w:rPr>
              <w:t>分；综合实力较强，配备人员较符合项目需求得2-</w:t>
            </w:r>
            <w:r>
              <w:rPr>
                <w:rFonts w:hint="eastAsia" w:ascii="宋体" w:hAnsi="宋体" w:cs="宋体"/>
                <w:b w:val="0"/>
                <w:bCs w:val="0"/>
                <w:kern w:val="0"/>
                <w:sz w:val="24"/>
                <w:szCs w:val="24"/>
                <w:lang w:val="en-US" w:eastAsia="zh-CN" w:bidi="ar"/>
              </w:rPr>
              <w:t>3</w:t>
            </w:r>
            <w:r>
              <w:rPr>
                <w:rFonts w:hint="eastAsia" w:ascii="宋体" w:hAnsi="宋体" w:eastAsia="宋体" w:cs="宋体"/>
                <w:b w:val="0"/>
                <w:bCs w:val="0"/>
                <w:kern w:val="0"/>
                <w:sz w:val="24"/>
                <w:szCs w:val="24"/>
                <w:lang w:val="en-US" w:eastAsia="zh-CN" w:bidi="ar"/>
              </w:rPr>
              <w:t>.9分；综合实力差或配备人员不符合项目需求得0-1.9分。</w:t>
            </w:r>
          </w:p>
          <w:p w14:paraId="04A4C169">
            <w:pPr>
              <w:widowControl/>
              <w:textAlignment w:val="top"/>
              <w:rPr>
                <w:rFonts w:hint="eastAsia" w:ascii="宋体" w:hAnsi="宋体" w:cs="宋体"/>
                <w:color w:val="000000"/>
                <w:kern w:val="0"/>
                <w:sz w:val="24"/>
                <w:lang w:val="en-GB"/>
              </w:rPr>
            </w:pPr>
            <w:r>
              <w:rPr>
                <w:rFonts w:hint="eastAsia" w:ascii="宋体" w:hAnsi="宋体" w:cs="宋体"/>
                <w:b w:val="0"/>
                <w:bCs w:val="0"/>
                <w:kern w:val="0"/>
                <w:sz w:val="24"/>
                <w:szCs w:val="24"/>
                <w:lang w:val="en-US" w:eastAsia="zh-CN" w:bidi="ar"/>
              </w:rPr>
              <w:t>注：</w:t>
            </w:r>
            <w:r>
              <w:rPr>
                <w:rFonts w:hint="eastAsia" w:ascii="宋体" w:hAnsi="宋体" w:eastAsia="宋体" w:cs="宋体"/>
                <w:b w:val="0"/>
                <w:bCs w:val="0"/>
                <w:kern w:val="0"/>
                <w:sz w:val="24"/>
                <w:szCs w:val="24"/>
                <w:lang w:bidi="ar"/>
              </w:rPr>
              <w:t>不提供社保证明（或股东证明、退休证明和返聘证明）材料不得分。</w:t>
            </w:r>
          </w:p>
        </w:tc>
        <w:tc>
          <w:tcPr>
            <w:tcW w:w="495" w:type="dxa"/>
            <w:shd w:val="clear" w:color="auto" w:fill="auto"/>
            <w:vAlign w:val="center"/>
          </w:tcPr>
          <w:p w14:paraId="00EF8FA9">
            <w:pPr>
              <w:widowControl/>
              <w:jc w:val="center"/>
              <w:textAlignment w:val="top"/>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c>
          <w:tcPr>
            <w:tcW w:w="750" w:type="dxa"/>
            <w:shd w:val="clear" w:color="auto" w:fill="auto"/>
            <w:vAlign w:val="center"/>
          </w:tcPr>
          <w:p w14:paraId="206EBB14">
            <w:pPr>
              <w:widowControl/>
              <w:jc w:val="center"/>
              <w:textAlignment w:val="top"/>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主观分</w:t>
            </w:r>
          </w:p>
        </w:tc>
        <w:tc>
          <w:tcPr>
            <w:tcW w:w="1262" w:type="dxa"/>
            <w:shd w:val="clear" w:color="auto" w:fill="auto"/>
            <w:vAlign w:val="center"/>
          </w:tcPr>
          <w:p w14:paraId="5FD9A864">
            <w:pPr>
              <w:widowControl/>
              <w:jc w:val="center"/>
              <w:textAlignment w:val="top"/>
              <w:rPr>
                <w:rFonts w:hint="eastAsia" w:ascii="宋体" w:hAnsi="宋体" w:cs="宋体"/>
                <w:color w:val="000000"/>
                <w:kern w:val="0"/>
                <w:sz w:val="24"/>
                <w:lang w:val="en-GB"/>
              </w:rPr>
            </w:pPr>
            <w:r>
              <w:rPr>
                <w:rFonts w:hint="eastAsia" w:ascii="宋体" w:hAnsi="宋体" w:eastAsia="宋体" w:cs="宋体"/>
                <w:b w:val="0"/>
                <w:bCs w:val="0"/>
                <w:sz w:val="24"/>
                <w:szCs w:val="24"/>
              </w:rPr>
              <w:t>拟投入本项目组人员情况</w:t>
            </w:r>
          </w:p>
        </w:tc>
      </w:tr>
      <w:tr w14:paraId="52DD2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97" w:type="dxa"/>
            <w:shd w:val="clear" w:color="auto" w:fill="auto"/>
            <w:vAlign w:val="center"/>
          </w:tcPr>
          <w:p w14:paraId="688118F2">
            <w:pPr>
              <w:widowControl/>
              <w:jc w:val="center"/>
              <w:textAlignment w:val="top"/>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w:t>
            </w:r>
          </w:p>
        </w:tc>
        <w:tc>
          <w:tcPr>
            <w:tcW w:w="6182" w:type="dxa"/>
            <w:shd w:val="clear" w:color="auto" w:fill="auto"/>
            <w:vAlign w:val="center"/>
          </w:tcPr>
          <w:p w14:paraId="2F14E895">
            <w:pPr>
              <w:keepNext w:val="0"/>
              <w:keepLines w:val="0"/>
              <w:pageBreakBefore w:val="0"/>
              <w:widowControl/>
              <w:kinsoku/>
              <w:wordWrap/>
              <w:overflowPunct/>
              <w:topLinePunct w:val="0"/>
              <w:autoSpaceDE/>
              <w:autoSpaceDN/>
              <w:bidi w:val="0"/>
              <w:spacing w:line="240" w:lineRule="auto"/>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拟投入设备多且符合本项目需求得</w:t>
            </w:r>
            <w:r>
              <w:rPr>
                <w:rFonts w:hint="eastAsia" w:ascii="宋体" w:hAnsi="宋体" w:cs="宋体"/>
                <w:b w:val="0"/>
                <w:bCs w:val="0"/>
                <w:kern w:val="0"/>
                <w:sz w:val="24"/>
                <w:szCs w:val="24"/>
                <w:lang w:val="en-US" w:eastAsia="zh-CN"/>
              </w:rPr>
              <w:t>4-5</w:t>
            </w:r>
            <w:r>
              <w:rPr>
                <w:rFonts w:hint="eastAsia" w:ascii="宋体" w:hAnsi="宋体" w:eastAsia="宋体" w:cs="宋体"/>
                <w:b w:val="0"/>
                <w:bCs w:val="0"/>
                <w:kern w:val="0"/>
                <w:sz w:val="24"/>
                <w:szCs w:val="24"/>
                <w:lang w:val="en-US" w:eastAsia="zh-CN"/>
              </w:rPr>
              <w:t>分；设备较多，较符合本项目需求得2-</w:t>
            </w:r>
            <w:r>
              <w:rPr>
                <w:rFonts w:hint="eastAsia" w:ascii="宋体" w:hAnsi="宋体" w:cs="宋体"/>
                <w:b w:val="0"/>
                <w:bCs w:val="0"/>
                <w:kern w:val="0"/>
                <w:sz w:val="24"/>
                <w:szCs w:val="24"/>
                <w:lang w:val="en-US" w:eastAsia="zh-CN"/>
              </w:rPr>
              <w:t>3</w:t>
            </w:r>
            <w:r>
              <w:rPr>
                <w:rFonts w:hint="eastAsia" w:ascii="宋体" w:hAnsi="宋体" w:eastAsia="宋体" w:cs="宋体"/>
                <w:b w:val="0"/>
                <w:bCs w:val="0"/>
                <w:kern w:val="0"/>
                <w:sz w:val="24"/>
                <w:szCs w:val="24"/>
                <w:lang w:val="en-US" w:eastAsia="zh-CN"/>
              </w:rPr>
              <w:t>.9分；设备较少或不符合项目需求得0-1.9分。</w:t>
            </w:r>
          </w:p>
          <w:p w14:paraId="6A4BCFFB">
            <w:pPr>
              <w:widowControl/>
              <w:textAlignment w:val="top"/>
              <w:rPr>
                <w:rFonts w:hint="eastAsia" w:ascii="宋体" w:hAnsi="宋体" w:cs="宋体"/>
                <w:sz w:val="24"/>
              </w:rPr>
            </w:pPr>
            <w:r>
              <w:rPr>
                <w:rFonts w:hint="eastAsia" w:ascii="宋体" w:hAnsi="宋体" w:eastAsia="宋体" w:cs="宋体"/>
                <w:b w:val="0"/>
                <w:bCs w:val="0"/>
                <w:sz w:val="24"/>
                <w:szCs w:val="24"/>
                <w:lang w:bidi="ar"/>
              </w:rPr>
              <w:t>注：</w:t>
            </w:r>
            <w:r>
              <w:rPr>
                <w:rFonts w:hint="eastAsia" w:ascii="宋体" w:hAnsi="宋体" w:eastAsia="宋体" w:cs="宋体"/>
                <w:b w:val="0"/>
                <w:bCs w:val="0"/>
                <w:sz w:val="24"/>
                <w:szCs w:val="24"/>
              </w:rPr>
              <w:t>自有的单位名称必须为投标人公司名称，</w:t>
            </w:r>
            <w:r>
              <w:rPr>
                <w:rFonts w:hint="eastAsia" w:ascii="宋体" w:hAnsi="宋体" w:eastAsia="宋体" w:cs="宋体"/>
                <w:b w:val="0"/>
                <w:bCs w:val="0"/>
                <w:sz w:val="24"/>
                <w:szCs w:val="24"/>
                <w:lang w:val="en-US" w:eastAsia="zh-CN"/>
              </w:rPr>
              <w:t>提供发票及设备照片；</w:t>
            </w:r>
            <w:r>
              <w:rPr>
                <w:rFonts w:hint="eastAsia" w:ascii="宋体" w:hAnsi="宋体" w:eastAsia="宋体" w:cs="宋体"/>
                <w:b w:val="0"/>
                <w:bCs w:val="0"/>
                <w:sz w:val="24"/>
                <w:szCs w:val="24"/>
              </w:rPr>
              <w:t>租赁的提供租赁合同复印件加盖公章</w:t>
            </w:r>
            <w:r>
              <w:rPr>
                <w:rFonts w:hint="eastAsia" w:ascii="宋体" w:hAnsi="宋体" w:eastAsia="宋体" w:cs="宋体"/>
                <w:b w:val="0"/>
                <w:bCs w:val="0"/>
                <w:sz w:val="24"/>
                <w:szCs w:val="24"/>
                <w:lang w:val="en-US" w:eastAsia="zh-CN"/>
              </w:rPr>
              <w:t>及设备照片</w:t>
            </w:r>
            <w:r>
              <w:rPr>
                <w:rFonts w:hint="eastAsia" w:ascii="宋体" w:hAnsi="宋体" w:eastAsia="宋体" w:cs="宋体"/>
                <w:b w:val="0"/>
                <w:bCs w:val="0"/>
                <w:sz w:val="24"/>
                <w:szCs w:val="24"/>
                <w:lang w:eastAsia="zh-CN"/>
              </w:rPr>
              <w:t>，</w:t>
            </w:r>
            <w:r>
              <w:rPr>
                <w:rFonts w:hint="eastAsia" w:ascii="宋体" w:hAnsi="宋体" w:eastAsia="宋体" w:cs="宋体"/>
                <w:b w:val="0"/>
                <w:bCs w:val="0"/>
                <w:kern w:val="0"/>
                <w:sz w:val="24"/>
                <w:szCs w:val="24"/>
                <w:lang w:val="en-GB"/>
              </w:rPr>
              <w:t>否则不得分。</w:t>
            </w:r>
          </w:p>
        </w:tc>
        <w:tc>
          <w:tcPr>
            <w:tcW w:w="495" w:type="dxa"/>
            <w:shd w:val="clear" w:color="auto" w:fill="auto"/>
            <w:vAlign w:val="center"/>
          </w:tcPr>
          <w:p w14:paraId="00BCBB03">
            <w:pPr>
              <w:widowControl/>
              <w:jc w:val="center"/>
              <w:textAlignment w:val="top"/>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w:t>
            </w:r>
          </w:p>
        </w:tc>
        <w:tc>
          <w:tcPr>
            <w:tcW w:w="750" w:type="dxa"/>
            <w:shd w:val="clear" w:color="auto" w:fill="auto"/>
            <w:vAlign w:val="center"/>
          </w:tcPr>
          <w:p w14:paraId="5A98D808">
            <w:pPr>
              <w:widowControl/>
              <w:jc w:val="center"/>
              <w:textAlignment w:val="top"/>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主观分</w:t>
            </w:r>
          </w:p>
        </w:tc>
        <w:tc>
          <w:tcPr>
            <w:tcW w:w="1262" w:type="dxa"/>
            <w:shd w:val="clear" w:color="auto" w:fill="auto"/>
            <w:vAlign w:val="center"/>
          </w:tcPr>
          <w:p w14:paraId="4FB68B03">
            <w:pPr>
              <w:widowControl/>
              <w:jc w:val="center"/>
              <w:textAlignment w:val="top"/>
              <w:rPr>
                <w:rFonts w:hint="eastAsia" w:ascii="宋体" w:hAnsi="宋体" w:cs="宋体"/>
                <w:kern w:val="0"/>
                <w:sz w:val="24"/>
                <w:lang w:val="zh-CN"/>
              </w:rPr>
            </w:pPr>
            <w:r>
              <w:rPr>
                <w:rFonts w:hint="eastAsia" w:ascii="宋体" w:hAnsi="宋体" w:eastAsia="宋体" w:cs="宋体"/>
                <w:b w:val="0"/>
                <w:bCs w:val="0"/>
                <w:sz w:val="24"/>
                <w:szCs w:val="24"/>
              </w:rPr>
              <w:t>拟投入本项目机械设备情况</w:t>
            </w:r>
          </w:p>
        </w:tc>
      </w:tr>
      <w:tr w14:paraId="087B4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97" w:type="dxa"/>
            <w:vMerge w:val="restart"/>
            <w:shd w:val="clear" w:color="auto" w:fill="auto"/>
            <w:vAlign w:val="center"/>
          </w:tcPr>
          <w:p w14:paraId="3C492932">
            <w:pPr>
              <w:keepNext w:val="0"/>
              <w:keepLines w:val="0"/>
              <w:pageBreakBefore w:val="0"/>
              <w:widowControl/>
              <w:kinsoku/>
              <w:wordWrap/>
              <w:overflowPunct/>
              <w:topLinePunct w:val="0"/>
              <w:autoSpaceDE/>
              <w:autoSpaceDN/>
              <w:bidi w:val="0"/>
              <w:spacing w:line="24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6</w:t>
            </w:r>
          </w:p>
        </w:tc>
        <w:tc>
          <w:tcPr>
            <w:tcW w:w="6182" w:type="dxa"/>
            <w:shd w:val="clear" w:color="auto" w:fill="auto"/>
            <w:vAlign w:val="center"/>
          </w:tcPr>
          <w:p w14:paraId="70D72063">
            <w:pPr>
              <w:keepNext w:val="0"/>
              <w:keepLines w:val="0"/>
              <w:pageBreakBefore w:val="0"/>
              <w:widowControl/>
              <w:kinsoku/>
              <w:wordWrap/>
              <w:overflowPunct/>
              <w:topLinePunct w:val="0"/>
              <w:autoSpaceDE/>
              <w:autoSpaceDN/>
              <w:bidi w:val="0"/>
              <w:spacing w:line="240" w:lineRule="auto"/>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1、投标人对区内垃圾清运的理解分析全面、合理的得2-3分；基本全面合理的得1-1.9分；相对片面有欠缺的得0-0.9分。</w:t>
            </w:r>
          </w:p>
        </w:tc>
        <w:tc>
          <w:tcPr>
            <w:tcW w:w="495" w:type="dxa"/>
            <w:shd w:val="clear" w:color="auto" w:fill="auto"/>
            <w:vAlign w:val="center"/>
          </w:tcPr>
          <w:p w14:paraId="39BC6B43">
            <w:pPr>
              <w:keepNext w:val="0"/>
              <w:keepLines w:val="0"/>
              <w:pageBreakBefore w:val="0"/>
              <w:widowControl/>
              <w:kinsoku/>
              <w:wordWrap/>
              <w:overflowPunct/>
              <w:topLinePunct w:val="0"/>
              <w:autoSpaceDE/>
              <w:autoSpaceDN/>
              <w:bidi w:val="0"/>
              <w:spacing w:line="24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w:t>
            </w:r>
          </w:p>
        </w:tc>
        <w:tc>
          <w:tcPr>
            <w:tcW w:w="750" w:type="dxa"/>
            <w:vMerge w:val="restart"/>
            <w:shd w:val="clear" w:color="auto" w:fill="auto"/>
            <w:vAlign w:val="center"/>
          </w:tcPr>
          <w:p w14:paraId="41B2DB74">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主观分</w:t>
            </w:r>
          </w:p>
        </w:tc>
        <w:tc>
          <w:tcPr>
            <w:tcW w:w="1262" w:type="dxa"/>
            <w:vMerge w:val="restart"/>
            <w:shd w:val="clear" w:color="auto" w:fill="auto"/>
            <w:vAlign w:val="center"/>
          </w:tcPr>
          <w:p w14:paraId="3511612F">
            <w:pPr>
              <w:widowControl/>
              <w:jc w:val="center"/>
              <w:textAlignment w:val="top"/>
              <w:rPr>
                <w:rFonts w:hint="eastAsia" w:ascii="宋体" w:hAnsi="宋体" w:cs="宋体"/>
                <w:kern w:val="0"/>
                <w:sz w:val="24"/>
                <w:lang w:val="zh-CN"/>
              </w:rPr>
            </w:pPr>
            <w:r>
              <w:rPr>
                <w:rFonts w:hint="eastAsia" w:ascii="宋体" w:hAnsi="宋体" w:eastAsia="宋体" w:cs="宋体"/>
                <w:b w:val="0"/>
                <w:bCs w:val="0"/>
                <w:kern w:val="0"/>
                <w:sz w:val="24"/>
                <w:szCs w:val="24"/>
                <w:lang w:val="en-US" w:eastAsia="zh-CN"/>
              </w:rPr>
              <w:t>项目需求分析</w:t>
            </w:r>
          </w:p>
        </w:tc>
      </w:tr>
      <w:tr w14:paraId="65496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97" w:type="dxa"/>
            <w:vMerge w:val="continue"/>
            <w:shd w:val="clear" w:color="auto" w:fill="auto"/>
            <w:vAlign w:val="center"/>
          </w:tcPr>
          <w:p w14:paraId="546BD219">
            <w:pPr>
              <w:keepNext w:val="0"/>
              <w:keepLines w:val="0"/>
              <w:pageBreakBefore w:val="0"/>
              <w:widowControl/>
              <w:kinsoku/>
              <w:wordWrap/>
              <w:overflowPunct/>
              <w:topLinePunct w:val="0"/>
              <w:autoSpaceDE/>
              <w:autoSpaceDN/>
              <w:bidi w:val="0"/>
              <w:spacing w:line="240" w:lineRule="auto"/>
              <w:jc w:val="left"/>
              <w:rPr>
                <w:rFonts w:hint="eastAsia" w:ascii="宋体" w:hAnsi="宋体" w:eastAsia="宋体" w:cs="宋体"/>
                <w:b w:val="0"/>
                <w:bCs w:val="0"/>
                <w:kern w:val="0"/>
                <w:sz w:val="24"/>
                <w:szCs w:val="24"/>
                <w:lang w:val="en-US" w:eastAsia="zh-CN"/>
              </w:rPr>
            </w:pPr>
          </w:p>
        </w:tc>
        <w:tc>
          <w:tcPr>
            <w:tcW w:w="6182" w:type="dxa"/>
            <w:shd w:val="clear" w:color="auto" w:fill="auto"/>
            <w:vAlign w:val="center"/>
          </w:tcPr>
          <w:p w14:paraId="1A7B6101">
            <w:pPr>
              <w:keepNext w:val="0"/>
              <w:keepLines w:val="0"/>
              <w:pageBreakBefore w:val="0"/>
              <w:widowControl/>
              <w:kinsoku/>
              <w:wordWrap/>
              <w:overflowPunct/>
              <w:topLinePunct w:val="0"/>
              <w:autoSpaceDE/>
              <w:autoSpaceDN/>
              <w:bidi w:val="0"/>
              <w:spacing w:line="240" w:lineRule="auto"/>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2、投标人对区内易腐垃圾清运的分析理解全面、合理的得2-3分；基本全面合理的得1-1.9分；相对片面有欠缺的得0-0.9分。</w:t>
            </w:r>
          </w:p>
        </w:tc>
        <w:tc>
          <w:tcPr>
            <w:tcW w:w="495" w:type="dxa"/>
            <w:shd w:val="clear" w:color="auto" w:fill="auto"/>
            <w:vAlign w:val="center"/>
          </w:tcPr>
          <w:p w14:paraId="742A4E0B">
            <w:pPr>
              <w:keepNext w:val="0"/>
              <w:keepLines w:val="0"/>
              <w:pageBreakBefore w:val="0"/>
              <w:widowControl/>
              <w:kinsoku/>
              <w:wordWrap/>
              <w:overflowPunct/>
              <w:topLinePunct w:val="0"/>
              <w:autoSpaceDE/>
              <w:autoSpaceDN/>
              <w:bidi w:val="0"/>
              <w:spacing w:line="24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w:t>
            </w:r>
          </w:p>
        </w:tc>
        <w:tc>
          <w:tcPr>
            <w:tcW w:w="750" w:type="dxa"/>
            <w:vMerge w:val="continue"/>
            <w:shd w:val="clear" w:color="auto" w:fill="auto"/>
            <w:vAlign w:val="center"/>
          </w:tcPr>
          <w:p w14:paraId="09F1A898">
            <w:pPr>
              <w:keepNext w:val="0"/>
              <w:keepLines w:val="0"/>
              <w:pageBreakBefore w:val="0"/>
              <w:widowControl/>
              <w:kinsoku/>
              <w:wordWrap/>
              <w:overflowPunct/>
              <w:topLinePunct w:val="0"/>
              <w:autoSpaceDE/>
              <w:autoSpaceDN/>
              <w:bidi w:val="0"/>
              <w:spacing w:line="240" w:lineRule="auto"/>
              <w:jc w:val="left"/>
              <w:rPr>
                <w:rFonts w:hint="eastAsia" w:ascii="宋体" w:hAnsi="宋体" w:eastAsia="宋体" w:cs="宋体"/>
                <w:b w:val="0"/>
                <w:bCs w:val="0"/>
                <w:kern w:val="0"/>
                <w:sz w:val="24"/>
                <w:szCs w:val="24"/>
                <w:lang w:val="en-US" w:eastAsia="zh-CN"/>
              </w:rPr>
            </w:pPr>
          </w:p>
        </w:tc>
        <w:tc>
          <w:tcPr>
            <w:tcW w:w="1262" w:type="dxa"/>
            <w:vMerge w:val="continue"/>
            <w:shd w:val="clear" w:color="auto" w:fill="auto"/>
            <w:vAlign w:val="center"/>
          </w:tcPr>
          <w:p w14:paraId="04548E5F">
            <w:pPr>
              <w:widowControl/>
              <w:jc w:val="center"/>
              <w:textAlignment w:val="top"/>
              <w:rPr>
                <w:rFonts w:hint="eastAsia" w:ascii="仿宋" w:hAnsi="仿宋" w:eastAsia="仿宋" w:cs="仿宋"/>
                <w:b/>
                <w:bCs/>
                <w:sz w:val="24"/>
                <w:highlight w:val="none"/>
              </w:rPr>
            </w:pPr>
          </w:p>
        </w:tc>
      </w:tr>
      <w:tr w14:paraId="79055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97" w:type="dxa"/>
            <w:vMerge w:val="continue"/>
            <w:shd w:val="clear" w:color="auto" w:fill="auto"/>
            <w:vAlign w:val="center"/>
          </w:tcPr>
          <w:p w14:paraId="45256F77">
            <w:pPr>
              <w:keepNext w:val="0"/>
              <w:keepLines w:val="0"/>
              <w:pageBreakBefore w:val="0"/>
              <w:widowControl/>
              <w:kinsoku/>
              <w:wordWrap/>
              <w:overflowPunct/>
              <w:topLinePunct w:val="0"/>
              <w:autoSpaceDE/>
              <w:autoSpaceDN/>
              <w:bidi w:val="0"/>
              <w:spacing w:line="240" w:lineRule="auto"/>
              <w:jc w:val="left"/>
              <w:rPr>
                <w:rFonts w:hint="eastAsia" w:ascii="宋体" w:hAnsi="宋体" w:eastAsia="宋体" w:cs="宋体"/>
                <w:b w:val="0"/>
                <w:bCs w:val="0"/>
                <w:kern w:val="0"/>
                <w:sz w:val="24"/>
                <w:szCs w:val="24"/>
                <w:lang w:val="en-US" w:eastAsia="zh-CN"/>
              </w:rPr>
            </w:pPr>
          </w:p>
        </w:tc>
        <w:tc>
          <w:tcPr>
            <w:tcW w:w="6182" w:type="dxa"/>
            <w:shd w:val="clear" w:color="auto" w:fill="auto"/>
            <w:vAlign w:val="center"/>
          </w:tcPr>
          <w:p w14:paraId="2E5672DD">
            <w:pPr>
              <w:keepNext w:val="0"/>
              <w:keepLines w:val="0"/>
              <w:pageBreakBefore w:val="0"/>
              <w:widowControl/>
              <w:kinsoku/>
              <w:wordWrap/>
              <w:overflowPunct/>
              <w:topLinePunct w:val="0"/>
              <w:autoSpaceDE/>
              <w:autoSpaceDN/>
              <w:bidi w:val="0"/>
              <w:spacing w:line="240" w:lineRule="auto"/>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w:t>
            </w:r>
            <w:r>
              <w:rPr>
                <w:rFonts w:hint="eastAsia" w:ascii="宋体" w:hAnsi="宋体" w:cs="宋体"/>
                <w:b w:val="0"/>
                <w:bCs w:val="0"/>
                <w:kern w:val="0"/>
                <w:sz w:val="24"/>
                <w:szCs w:val="24"/>
                <w:lang w:val="en-US" w:eastAsia="zh-CN"/>
              </w:rPr>
              <w:t>、</w:t>
            </w:r>
            <w:r>
              <w:rPr>
                <w:rFonts w:hint="eastAsia" w:ascii="宋体" w:hAnsi="宋体" w:eastAsia="宋体" w:cs="宋体"/>
                <w:b w:val="0"/>
                <w:bCs w:val="0"/>
                <w:kern w:val="0"/>
                <w:sz w:val="24"/>
                <w:szCs w:val="24"/>
                <w:lang w:val="en-US" w:eastAsia="zh-CN"/>
              </w:rPr>
              <w:t>投标人对垃圾分类工作的分析理解全面、合理的得2-3分；基本全面合理的得1-1.9分；相对片面有欠缺的得0-0.9分。</w:t>
            </w:r>
          </w:p>
        </w:tc>
        <w:tc>
          <w:tcPr>
            <w:tcW w:w="495" w:type="dxa"/>
            <w:shd w:val="clear" w:color="auto" w:fill="auto"/>
            <w:vAlign w:val="center"/>
          </w:tcPr>
          <w:p w14:paraId="1E7F80A0">
            <w:pPr>
              <w:keepNext w:val="0"/>
              <w:keepLines w:val="0"/>
              <w:pageBreakBefore w:val="0"/>
              <w:widowControl/>
              <w:kinsoku/>
              <w:wordWrap/>
              <w:overflowPunct/>
              <w:topLinePunct w:val="0"/>
              <w:autoSpaceDE/>
              <w:autoSpaceDN/>
              <w:bidi w:val="0"/>
              <w:spacing w:line="24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w:t>
            </w:r>
          </w:p>
        </w:tc>
        <w:tc>
          <w:tcPr>
            <w:tcW w:w="750" w:type="dxa"/>
            <w:vMerge w:val="continue"/>
            <w:shd w:val="clear" w:color="auto" w:fill="auto"/>
            <w:vAlign w:val="center"/>
          </w:tcPr>
          <w:p w14:paraId="701901A6">
            <w:pPr>
              <w:keepNext w:val="0"/>
              <w:keepLines w:val="0"/>
              <w:pageBreakBefore w:val="0"/>
              <w:widowControl/>
              <w:kinsoku/>
              <w:wordWrap/>
              <w:overflowPunct/>
              <w:topLinePunct w:val="0"/>
              <w:autoSpaceDE/>
              <w:autoSpaceDN/>
              <w:bidi w:val="0"/>
              <w:spacing w:line="240" w:lineRule="auto"/>
              <w:jc w:val="left"/>
              <w:rPr>
                <w:rFonts w:hint="eastAsia" w:ascii="宋体" w:hAnsi="宋体" w:eastAsia="宋体" w:cs="宋体"/>
                <w:b w:val="0"/>
                <w:bCs w:val="0"/>
                <w:kern w:val="0"/>
                <w:sz w:val="24"/>
                <w:szCs w:val="24"/>
                <w:lang w:val="en-US" w:eastAsia="zh-CN"/>
              </w:rPr>
            </w:pPr>
          </w:p>
        </w:tc>
        <w:tc>
          <w:tcPr>
            <w:tcW w:w="1262" w:type="dxa"/>
            <w:vMerge w:val="continue"/>
            <w:shd w:val="clear" w:color="auto" w:fill="auto"/>
            <w:vAlign w:val="center"/>
          </w:tcPr>
          <w:p w14:paraId="23C89CFC">
            <w:pPr>
              <w:widowControl/>
              <w:jc w:val="center"/>
              <w:textAlignment w:val="top"/>
              <w:rPr>
                <w:rFonts w:hint="eastAsia" w:ascii="仿宋" w:hAnsi="仿宋" w:eastAsia="仿宋" w:cs="仿宋"/>
                <w:b/>
                <w:bCs/>
                <w:sz w:val="24"/>
                <w:highlight w:val="none"/>
              </w:rPr>
            </w:pPr>
          </w:p>
        </w:tc>
      </w:tr>
      <w:tr w14:paraId="6D739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97" w:type="dxa"/>
            <w:shd w:val="clear" w:color="auto" w:fill="auto"/>
            <w:vAlign w:val="center"/>
          </w:tcPr>
          <w:p w14:paraId="750F5364">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c>
          <w:tcPr>
            <w:tcW w:w="6182" w:type="dxa"/>
            <w:shd w:val="clear" w:color="auto" w:fill="auto"/>
            <w:vAlign w:val="center"/>
          </w:tcPr>
          <w:p w14:paraId="71636045">
            <w:pPr>
              <w:widowControl/>
              <w:jc w:val="left"/>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根据投标人针对本项目拟定的服务（作业）流程方案，包括但不限于：垃圾清运作业时间、班次安排、人员车辆配置情况，作业流程安排及质量保证。服务方案科学合理、安全严密、条理清晰、前后逻辑一致、具有实际可操作性，方案严密的得4-</w:t>
            </w:r>
            <w:r>
              <w:rPr>
                <w:rFonts w:hint="eastAsia" w:ascii="宋体" w:hAnsi="宋体" w:cs="宋体"/>
                <w:b w:val="0"/>
                <w:bCs w:val="0"/>
                <w:kern w:val="0"/>
                <w:sz w:val="24"/>
                <w:szCs w:val="24"/>
                <w:lang w:val="en-US" w:eastAsia="zh-CN"/>
              </w:rPr>
              <w:t>5</w:t>
            </w:r>
            <w:r>
              <w:rPr>
                <w:rFonts w:hint="eastAsia" w:ascii="宋体" w:hAnsi="宋体" w:eastAsia="宋体" w:cs="宋体"/>
                <w:b w:val="0"/>
                <w:bCs w:val="0"/>
                <w:kern w:val="0"/>
                <w:sz w:val="24"/>
                <w:szCs w:val="24"/>
                <w:lang w:val="en-US" w:eastAsia="zh-CN"/>
              </w:rPr>
              <w:t>分；部分内容有欠缺、方案基本合理的得2-3.9分；方案较差的得0-1.9分。</w:t>
            </w:r>
          </w:p>
        </w:tc>
        <w:tc>
          <w:tcPr>
            <w:tcW w:w="495" w:type="dxa"/>
            <w:shd w:val="clear" w:color="auto" w:fill="auto"/>
            <w:vAlign w:val="center"/>
          </w:tcPr>
          <w:p w14:paraId="046A5371">
            <w:pPr>
              <w:widowControl/>
              <w:jc w:val="center"/>
              <w:textAlignment w:val="top"/>
              <w:rPr>
                <w:rFonts w:hint="default"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5</w:t>
            </w:r>
          </w:p>
        </w:tc>
        <w:tc>
          <w:tcPr>
            <w:tcW w:w="750" w:type="dxa"/>
            <w:shd w:val="clear" w:color="auto" w:fill="auto"/>
            <w:vAlign w:val="center"/>
          </w:tcPr>
          <w:p w14:paraId="3F3D6CE7">
            <w:pPr>
              <w:widowControl/>
              <w:jc w:val="center"/>
              <w:textAlignment w:val="top"/>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主观分</w:t>
            </w:r>
          </w:p>
        </w:tc>
        <w:tc>
          <w:tcPr>
            <w:tcW w:w="1262" w:type="dxa"/>
            <w:shd w:val="clear" w:color="auto" w:fill="auto"/>
            <w:vAlign w:val="center"/>
          </w:tcPr>
          <w:p w14:paraId="6063276E">
            <w:pPr>
              <w:widowControl/>
              <w:jc w:val="center"/>
              <w:textAlignment w:val="top"/>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服务方案</w:t>
            </w:r>
          </w:p>
        </w:tc>
      </w:tr>
      <w:tr w14:paraId="6065E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97" w:type="dxa"/>
            <w:shd w:val="clear" w:color="auto" w:fill="auto"/>
            <w:vAlign w:val="center"/>
          </w:tcPr>
          <w:p w14:paraId="0EDB4273">
            <w:pPr>
              <w:widowControl/>
              <w:jc w:val="center"/>
              <w:textAlignment w:val="top"/>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c>
          <w:tcPr>
            <w:tcW w:w="6182" w:type="dxa"/>
            <w:shd w:val="clear" w:color="auto" w:fill="auto"/>
            <w:vAlign w:val="center"/>
          </w:tcPr>
          <w:p w14:paraId="1ED112C8">
            <w:pPr>
              <w:widowControl/>
              <w:jc w:val="left"/>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color w:val="auto"/>
                <w:sz w:val="24"/>
                <w:szCs w:val="24"/>
                <w:highlight w:val="none"/>
              </w:rPr>
              <w:t>根据投标人针对本项目的组织管理、组织架构、岗位设置、岗位职责以及企业内部的人事、财务、档案、安全、考核、台账制度等方案进行评分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kern w:val="0"/>
                <w:sz w:val="24"/>
                <w:szCs w:val="24"/>
                <w:lang w:val="en-US" w:eastAsia="zh-CN"/>
              </w:rPr>
              <w:t>内容完整且与项目匹配度好的得4-</w:t>
            </w:r>
            <w:r>
              <w:rPr>
                <w:rFonts w:hint="eastAsia" w:ascii="宋体" w:hAnsi="宋体" w:cs="宋体"/>
                <w:b w:val="0"/>
                <w:bCs w:val="0"/>
                <w:kern w:val="0"/>
                <w:sz w:val="24"/>
                <w:szCs w:val="24"/>
                <w:lang w:val="en-US" w:eastAsia="zh-CN"/>
              </w:rPr>
              <w:t>5</w:t>
            </w:r>
            <w:r>
              <w:rPr>
                <w:rFonts w:hint="eastAsia" w:ascii="宋体" w:hAnsi="宋体" w:eastAsia="宋体" w:cs="宋体"/>
                <w:b w:val="0"/>
                <w:bCs w:val="0"/>
                <w:kern w:val="0"/>
                <w:sz w:val="24"/>
                <w:szCs w:val="24"/>
                <w:lang w:val="en-US" w:eastAsia="zh-CN"/>
              </w:rPr>
              <w:t>分；内容基本完整且与项目匹配度较好的得</w:t>
            </w:r>
            <w:r>
              <w:rPr>
                <w:rFonts w:hint="eastAsia" w:ascii="宋体" w:hAnsi="宋体" w:cs="宋体"/>
                <w:b w:val="0"/>
                <w:bCs w:val="0"/>
                <w:kern w:val="0"/>
                <w:sz w:val="24"/>
                <w:szCs w:val="24"/>
                <w:lang w:val="en-US" w:eastAsia="zh-CN"/>
              </w:rPr>
              <w:t>2</w:t>
            </w:r>
            <w:r>
              <w:rPr>
                <w:rFonts w:hint="eastAsia" w:ascii="宋体" w:hAnsi="宋体" w:eastAsia="宋体" w:cs="宋体"/>
                <w:b w:val="0"/>
                <w:bCs w:val="0"/>
                <w:kern w:val="0"/>
                <w:sz w:val="24"/>
                <w:szCs w:val="24"/>
                <w:lang w:val="en-US" w:eastAsia="zh-CN"/>
              </w:rPr>
              <w:t>-3</w:t>
            </w:r>
            <w:r>
              <w:rPr>
                <w:rFonts w:hint="eastAsia" w:ascii="宋体" w:hAnsi="宋体" w:cs="宋体"/>
                <w:b w:val="0"/>
                <w:bCs w:val="0"/>
                <w:kern w:val="0"/>
                <w:sz w:val="24"/>
                <w:szCs w:val="24"/>
                <w:lang w:val="en-US" w:eastAsia="zh-CN"/>
              </w:rPr>
              <w:t>.9</w:t>
            </w:r>
            <w:r>
              <w:rPr>
                <w:rFonts w:hint="eastAsia" w:ascii="宋体" w:hAnsi="宋体" w:eastAsia="宋体" w:cs="宋体"/>
                <w:b w:val="0"/>
                <w:bCs w:val="0"/>
                <w:kern w:val="0"/>
                <w:sz w:val="24"/>
                <w:szCs w:val="24"/>
                <w:lang w:val="en-US" w:eastAsia="zh-CN"/>
              </w:rPr>
              <w:t>分；内容存在欠缺或与项目匹配度一般的得0-</w:t>
            </w:r>
            <w:r>
              <w:rPr>
                <w:rFonts w:hint="eastAsia" w:ascii="宋体" w:hAnsi="宋体" w:cs="宋体"/>
                <w:b w:val="0"/>
                <w:bCs w:val="0"/>
                <w:kern w:val="0"/>
                <w:sz w:val="24"/>
                <w:szCs w:val="24"/>
                <w:lang w:val="en-US" w:eastAsia="zh-CN"/>
              </w:rPr>
              <w:t>1.9</w:t>
            </w:r>
            <w:r>
              <w:rPr>
                <w:rFonts w:hint="eastAsia" w:ascii="宋体" w:hAnsi="宋体" w:eastAsia="宋体" w:cs="宋体"/>
                <w:b w:val="0"/>
                <w:bCs w:val="0"/>
                <w:kern w:val="0"/>
                <w:sz w:val="24"/>
                <w:szCs w:val="24"/>
                <w:lang w:val="en-US" w:eastAsia="zh-CN"/>
              </w:rPr>
              <w:t>分</w:t>
            </w:r>
            <w:r>
              <w:rPr>
                <w:rFonts w:hint="eastAsia" w:ascii="宋体" w:hAnsi="宋体" w:eastAsia="宋体" w:cs="宋体"/>
                <w:b w:val="0"/>
                <w:bCs w:val="0"/>
                <w:kern w:val="0"/>
                <w:sz w:val="24"/>
                <w:szCs w:val="24"/>
                <w:lang w:val="zh-CN" w:eastAsia="zh-CN"/>
              </w:rPr>
              <w:t>。</w:t>
            </w:r>
          </w:p>
        </w:tc>
        <w:tc>
          <w:tcPr>
            <w:tcW w:w="495" w:type="dxa"/>
            <w:shd w:val="clear" w:color="auto" w:fill="auto"/>
            <w:vAlign w:val="center"/>
          </w:tcPr>
          <w:p w14:paraId="37817045">
            <w:pPr>
              <w:widowControl/>
              <w:jc w:val="center"/>
              <w:textAlignment w:val="top"/>
              <w:rPr>
                <w:rFonts w:hint="default"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5</w:t>
            </w:r>
          </w:p>
        </w:tc>
        <w:tc>
          <w:tcPr>
            <w:tcW w:w="750" w:type="dxa"/>
            <w:shd w:val="clear" w:color="auto" w:fill="auto"/>
            <w:vAlign w:val="center"/>
          </w:tcPr>
          <w:p w14:paraId="2A7AEFE4">
            <w:pPr>
              <w:widowControl/>
              <w:jc w:val="center"/>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主观分</w:t>
            </w:r>
          </w:p>
        </w:tc>
        <w:tc>
          <w:tcPr>
            <w:tcW w:w="1262" w:type="dxa"/>
            <w:shd w:val="clear" w:color="auto" w:fill="auto"/>
            <w:vAlign w:val="center"/>
          </w:tcPr>
          <w:p w14:paraId="20678870">
            <w:pPr>
              <w:widowControl/>
              <w:tabs>
                <w:tab w:val="left" w:pos="1092"/>
              </w:tabs>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组织管</w:t>
            </w:r>
            <w:r>
              <w:rPr>
                <w:rFonts w:hint="eastAsia" w:ascii="宋体" w:hAnsi="宋体" w:eastAsia="宋体" w:cs="宋体"/>
                <w:b w:val="0"/>
                <w:bCs/>
                <w:color w:val="auto"/>
                <w:kern w:val="0"/>
                <w:sz w:val="24"/>
                <w:szCs w:val="24"/>
                <w:highlight w:val="none"/>
              </w:rPr>
              <w:t>理制度</w:t>
            </w:r>
          </w:p>
        </w:tc>
      </w:tr>
      <w:tr w14:paraId="4E4F9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97" w:type="dxa"/>
            <w:shd w:val="clear" w:color="auto" w:fill="auto"/>
            <w:vAlign w:val="center"/>
          </w:tcPr>
          <w:p w14:paraId="25302AE8">
            <w:pPr>
              <w:widowControl/>
              <w:jc w:val="center"/>
              <w:textAlignment w:val="top"/>
              <w:rPr>
                <w:rFonts w:hint="eastAsia" w:ascii="宋体" w:hAnsi="宋体" w:eastAsia="宋体" w:cs="宋体"/>
                <w:kern w:val="0"/>
                <w:sz w:val="24"/>
                <w:lang w:val="en-US" w:eastAsia="zh-CN"/>
              </w:rPr>
            </w:pPr>
            <w:r>
              <w:rPr>
                <w:rFonts w:hint="eastAsia" w:ascii="宋体" w:hAnsi="宋体" w:cs="宋体"/>
                <w:kern w:val="0"/>
                <w:sz w:val="24"/>
                <w:lang w:val="en-US" w:eastAsia="zh-CN"/>
              </w:rPr>
              <w:t>9</w:t>
            </w:r>
          </w:p>
        </w:tc>
        <w:tc>
          <w:tcPr>
            <w:tcW w:w="6182" w:type="dxa"/>
            <w:shd w:val="clear" w:color="auto" w:fill="auto"/>
            <w:vAlign w:val="center"/>
          </w:tcPr>
          <w:p w14:paraId="3440A537">
            <w:pPr>
              <w:widowControl/>
              <w:jc w:val="left"/>
              <w:textAlignment w:val="top"/>
              <w:rPr>
                <w:rFonts w:hint="eastAsia" w:ascii="宋体" w:hAnsi="宋体" w:eastAsia="宋体" w:cs="宋体"/>
                <w:b w:val="0"/>
                <w:bCs w:val="0"/>
                <w:kern w:val="0"/>
                <w:sz w:val="24"/>
                <w:szCs w:val="24"/>
                <w:lang w:val="en-GB" w:eastAsia="zh-CN"/>
              </w:rPr>
            </w:pPr>
            <w:r>
              <w:rPr>
                <w:rFonts w:hint="eastAsia" w:ascii="宋体" w:hAnsi="宋体" w:eastAsia="宋体" w:cs="宋体"/>
                <w:b w:val="0"/>
                <w:bCs w:val="0"/>
                <w:kern w:val="0"/>
                <w:sz w:val="24"/>
                <w:szCs w:val="24"/>
                <w:lang w:val="en-US" w:eastAsia="zh-CN"/>
              </w:rPr>
              <w:t>根据投标人对项目现状、存在的问题和垃圾清运服务的难点、要点等问题进行调查剖析，并针对性的提出克服难点和要点技术措施方案具有科学性和有效性得4-</w:t>
            </w:r>
            <w:r>
              <w:rPr>
                <w:rFonts w:hint="eastAsia" w:ascii="宋体" w:hAnsi="宋体" w:cs="宋体"/>
                <w:b w:val="0"/>
                <w:bCs w:val="0"/>
                <w:kern w:val="0"/>
                <w:sz w:val="24"/>
                <w:szCs w:val="24"/>
                <w:lang w:val="en-US" w:eastAsia="zh-CN"/>
              </w:rPr>
              <w:t>5</w:t>
            </w:r>
            <w:r>
              <w:rPr>
                <w:rFonts w:hint="eastAsia" w:ascii="宋体" w:hAnsi="宋体" w:eastAsia="宋体" w:cs="宋体"/>
                <w:b w:val="0"/>
                <w:bCs w:val="0"/>
                <w:kern w:val="0"/>
                <w:sz w:val="24"/>
                <w:szCs w:val="24"/>
                <w:lang w:val="en-US" w:eastAsia="zh-CN"/>
              </w:rPr>
              <w:t>分；部分内容有欠缺但基本科学有效的得2-3.9分；内容差的得0-1.9分。</w:t>
            </w:r>
          </w:p>
        </w:tc>
        <w:tc>
          <w:tcPr>
            <w:tcW w:w="495" w:type="dxa"/>
            <w:shd w:val="clear" w:color="auto" w:fill="auto"/>
            <w:vAlign w:val="center"/>
          </w:tcPr>
          <w:p w14:paraId="07B79596">
            <w:pPr>
              <w:widowControl/>
              <w:jc w:val="center"/>
              <w:textAlignment w:val="top"/>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5</w:t>
            </w:r>
          </w:p>
        </w:tc>
        <w:tc>
          <w:tcPr>
            <w:tcW w:w="750" w:type="dxa"/>
            <w:shd w:val="clear" w:color="auto" w:fill="auto"/>
            <w:vAlign w:val="center"/>
          </w:tcPr>
          <w:p w14:paraId="11EEE688">
            <w:pPr>
              <w:widowControl/>
              <w:jc w:val="center"/>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主观分</w:t>
            </w:r>
          </w:p>
        </w:tc>
        <w:tc>
          <w:tcPr>
            <w:tcW w:w="1262" w:type="dxa"/>
            <w:shd w:val="clear" w:color="auto" w:fill="auto"/>
            <w:vAlign w:val="center"/>
          </w:tcPr>
          <w:p w14:paraId="5DBB4723">
            <w:pPr>
              <w:widowControl/>
              <w:jc w:val="center"/>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重点、难点及相应解决措施</w:t>
            </w:r>
          </w:p>
        </w:tc>
      </w:tr>
      <w:tr w14:paraId="735C0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97" w:type="dxa"/>
            <w:shd w:val="clear" w:color="auto" w:fill="auto"/>
            <w:vAlign w:val="center"/>
          </w:tcPr>
          <w:p w14:paraId="0EEA4451">
            <w:pPr>
              <w:widowControl/>
              <w:jc w:val="center"/>
              <w:textAlignment w:val="top"/>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6182" w:type="dxa"/>
            <w:shd w:val="clear" w:color="auto" w:fill="auto"/>
            <w:vAlign w:val="center"/>
          </w:tcPr>
          <w:p w14:paraId="023AA201">
            <w:pPr>
              <w:widowControl/>
              <w:jc w:val="left"/>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平稳交接过渡方案；平稳过渡交接，制定相关的平稳过渡交接实施措施的合理性，根据提供的内容的完整性、与项目的匹配性进行评分。内容完整且与项目匹配度好的得4-</w:t>
            </w:r>
            <w:r>
              <w:rPr>
                <w:rFonts w:hint="eastAsia" w:ascii="宋体" w:hAnsi="宋体" w:cs="宋体"/>
                <w:b w:val="0"/>
                <w:bCs w:val="0"/>
                <w:kern w:val="0"/>
                <w:sz w:val="24"/>
                <w:szCs w:val="24"/>
                <w:lang w:val="en-US" w:eastAsia="zh-CN"/>
              </w:rPr>
              <w:t>5</w:t>
            </w:r>
            <w:r>
              <w:rPr>
                <w:rFonts w:hint="eastAsia" w:ascii="宋体" w:hAnsi="宋体" w:eastAsia="宋体" w:cs="宋体"/>
                <w:b w:val="0"/>
                <w:bCs w:val="0"/>
                <w:kern w:val="0"/>
                <w:sz w:val="24"/>
                <w:szCs w:val="24"/>
                <w:lang w:val="en-US" w:eastAsia="zh-CN"/>
              </w:rPr>
              <w:t>分；内容基本完整且与项目匹配度较好的得</w:t>
            </w:r>
            <w:r>
              <w:rPr>
                <w:rFonts w:hint="eastAsia" w:ascii="宋体" w:hAnsi="宋体" w:cs="宋体"/>
                <w:b w:val="0"/>
                <w:bCs w:val="0"/>
                <w:kern w:val="0"/>
                <w:sz w:val="24"/>
                <w:szCs w:val="24"/>
                <w:lang w:val="en-US" w:eastAsia="zh-CN"/>
              </w:rPr>
              <w:t>2</w:t>
            </w:r>
            <w:r>
              <w:rPr>
                <w:rFonts w:hint="eastAsia" w:ascii="宋体" w:hAnsi="宋体" w:eastAsia="宋体" w:cs="宋体"/>
                <w:b w:val="0"/>
                <w:bCs w:val="0"/>
                <w:kern w:val="0"/>
                <w:sz w:val="24"/>
                <w:szCs w:val="24"/>
                <w:lang w:val="en-US" w:eastAsia="zh-CN"/>
              </w:rPr>
              <w:t>-3</w:t>
            </w:r>
            <w:r>
              <w:rPr>
                <w:rFonts w:hint="eastAsia" w:ascii="宋体" w:hAnsi="宋体" w:cs="宋体"/>
                <w:b w:val="0"/>
                <w:bCs w:val="0"/>
                <w:kern w:val="0"/>
                <w:sz w:val="24"/>
                <w:szCs w:val="24"/>
                <w:lang w:val="en-US" w:eastAsia="zh-CN"/>
              </w:rPr>
              <w:t>.9</w:t>
            </w:r>
            <w:r>
              <w:rPr>
                <w:rFonts w:hint="eastAsia" w:ascii="宋体" w:hAnsi="宋体" w:eastAsia="宋体" w:cs="宋体"/>
                <w:b w:val="0"/>
                <w:bCs w:val="0"/>
                <w:kern w:val="0"/>
                <w:sz w:val="24"/>
                <w:szCs w:val="24"/>
                <w:lang w:val="en-US" w:eastAsia="zh-CN"/>
              </w:rPr>
              <w:t>分；内容存在欠缺或与项目匹配度一般的得0-1</w:t>
            </w:r>
            <w:r>
              <w:rPr>
                <w:rFonts w:hint="eastAsia" w:ascii="宋体" w:hAnsi="宋体" w:cs="宋体"/>
                <w:b w:val="0"/>
                <w:bCs w:val="0"/>
                <w:kern w:val="0"/>
                <w:sz w:val="24"/>
                <w:szCs w:val="24"/>
                <w:lang w:val="en-US" w:eastAsia="zh-CN"/>
              </w:rPr>
              <w:t>.9</w:t>
            </w:r>
            <w:r>
              <w:rPr>
                <w:rFonts w:hint="eastAsia" w:ascii="宋体" w:hAnsi="宋体" w:eastAsia="宋体" w:cs="宋体"/>
                <w:b w:val="0"/>
                <w:bCs w:val="0"/>
                <w:kern w:val="0"/>
                <w:sz w:val="24"/>
                <w:szCs w:val="24"/>
                <w:lang w:val="en-US" w:eastAsia="zh-CN"/>
              </w:rPr>
              <w:t>分</w:t>
            </w:r>
            <w:r>
              <w:rPr>
                <w:rFonts w:hint="eastAsia" w:ascii="宋体" w:hAnsi="宋体" w:eastAsia="宋体" w:cs="宋体"/>
                <w:b w:val="0"/>
                <w:bCs w:val="0"/>
                <w:kern w:val="0"/>
                <w:sz w:val="24"/>
                <w:szCs w:val="24"/>
                <w:lang w:val="zh-CN" w:eastAsia="zh-CN"/>
              </w:rPr>
              <w:t>。</w:t>
            </w:r>
          </w:p>
        </w:tc>
        <w:tc>
          <w:tcPr>
            <w:tcW w:w="495" w:type="dxa"/>
            <w:shd w:val="clear" w:color="auto" w:fill="auto"/>
            <w:vAlign w:val="center"/>
          </w:tcPr>
          <w:p w14:paraId="43B654A0">
            <w:pPr>
              <w:widowControl/>
              <w:jc w:val="center"/>
              <w:textAlignment w:val="top"/>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5</w:t>
            </w:r>
          </w:p>
        </w:tc>
        <w:tc>
          <w:tcPr>
            <w:tcW w:w="750" w:type="dxa"/>
            <w:shd w:val="clear" w:color="auto" w:fill="auto"/>
            <w:vAlign w:val="center"/>
          </w:tcPr>
          <w:p w14:paraId="32CBD376">
            <w:pPr>
              <w:widowControl/>
              <w:jc w:val="center"/>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主观分</w:t>
            </w:r>
          </w:p>
        </w:tc>
        <w:tc>
          <w:tcPr>
            <w:tcW w:w="1262" w:type="dxa"/>
            <w:shd w:val="clear" w:color="auto" w:fill="auto"/>
            <w:vAlign w:val="center"/>
          </w:tcPr>
          <w:p w14:paraId="10F56607">
            <w:pPr>
              <w:widowControl/>
              <w:jc w:val="center"/>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平稳交接过渡方案</w:t>
            </w:r>
          </w:p>
        </w:tc>
      </w:tr>
      <w:tr w14:paraId="0F073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97" w:type="dxa"/>
            <w:shd w:val="clear" w:color="auto" w:fill="auto"/>
            <w:vAlign w:val="center"/>
          </w:tcPr>
          <w:p w14:paraId="2FD60F54">
            <w:pPr>
              <w:widowControl/>
              <w:jc w:val="center"/>
              <w:textAlignment w:val="top"/>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6182" w:type="dxa"/>
            <w:shd w:val="clear" w:color="auto" w:fill="auto"/>
            <w:vAlign w:val="center"/>
          </w:tcPr>
          <w:p w14:paraId="59484E52">
            <w:pPr>
              <w:widowControl/>
              <w:jc w:val="left"/>
              <w:textAlignment w:val="top"/>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保证车辆安全行驶，做好车辆的日常维护，确保车况良好，车容整洁无异味；车辆或设施设备在故障期间不允许进行作业；车辆或转运站设备发生故障，不能及时维修，投标人应及时告知采购人，并采取切实有效的应急措施，调派其他车辆，确保垃圾清运及时；按规范作业，并做好劳动防护和安全防范措施，防止发生安全事故。满足要求得4-</w:t>
            </w:r>
            <w:r>
              <w:rPr>
                <w:rFonts w:hint="eastAsia" w:ascii="宋体" w:hAnsi="宋体" w:cs="宋体"/>
                <w:b w:val="0"/>
                <w:bCs w:val="0"/>
                <w:kern w:val="0"/>
                <w:sz w:val="24"/>
                <w:szCs w:val="24"/>
                <w:lang w:val="en-US" w:eastAsia="zh-CN"/>
              </w:rPr>
              <w:t>5</w:t>
            </w:r>
            <w:r>
              <w:rPr>
                <w:rFonts w:hint="eastAsia" w:ascii="宋体" w:hAnsi="宋体" w:eastAsia="宋体" w:cs="宋体"/>
                <w:b w:val="0"/>
                <w:bCs w:val="0"/>
                <w:kern w:val="0"/>
                <w:sz w:val="24"/>
                <w:szCs w:val="24"/>
                <w:lang w:val="en-US" w:eastAsia="zh-CN"/>
              </w:rPr>
              <w:t>分；部分内容有欠缺但基本满足的得2-3.9分；内容差的得0-1.9分。</w:t>
            </w:r>
          </w:p>
        </w:tc>
        <w:tc>
          <w:tcPr>
            <w:tcW w:w="495" w:type="dxa"/>
            <w:shd w:val="clear" w:color="auto" w:fill="auto"/>
            <w:vAlign w:val="center"/>
          </w:tcPr>
          <w:p w14:paraId="2ADF9467">
            <w:pPr>
              <w:widowControl/>
              <w:jc w:val="center"/>
              <w:textAlignment w:val="top"/>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5</w:t>
            </w:r>
          </w:p>
        </w:tc>
        <w:tc>
          <w:tcPr>
            <w:tcW w:w="750" w:type="dxa"/>
            <w:shd w:val="clear" w:color="auto" w:fill="auto"/>
            <w:vAlign w:val="center"/>
          </w:tcPr>
          <w:p w14:paraId="44264C47">
            <w:pPr>
              <w:widowControl/>
              <w:jc w:val="center"/>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主观分</w:t>
            </w:r>
          </w:p>
        </w:tc>
        <w:tc>
          <w:tcPr>
            <w:tcW w:w="1262" w:type="dxa"/>
            <w:shd w:val="clear" w:color="auto" w:fill="auto"/>
            <w:vAlign w:val="center"/>
          </w:tcPr>
          <w:p w14:paraId="63E038C5">
            <w:pPr>
              <w:widowControl/>
              <w:jc w:val="center"/>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安全文明措施</w:t>
            </w:r>
          </w:p>
        </w:tc>
      </w:tr>
      <w:tr w14:paraId="0D0A1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497" w:type="dxa"/>
            <w:shd w:val="clear" w:color="auto" w:fill="auto"/>
            <w:vAlign w:val="center"/>
          </w:tcPr>
          <w:p w14:paraId="71A44047">
            <w:pPr>
              <w:widowControl/>
              <w:jc w:val="left"/>
              <w:textAlignment w:val="top"/>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12</w:t>
            </w:r>
          </w:p>
        </w:tc>
        <w:tc>
          <w:tcPr>
            <w:tcW w:w="6182" w:type="dxa"/>
            <w:shd w:val="clear" w:color="auto" w:fill="auto"/>
            <w:vAlign w:val="center"/>
          </w:tcPr>
          <w:p w14:paraId="26755102">
            <w:pPr>
              <w:widowControl/>
              <w:jc w:val="left"/>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根据投标人制定的突发事件（自然灾害、事故、社会安全事件等）、重大活动（节假日、大型活动、突击检查及各类城市评比等）应急措施方案，包括出现垃圾压缩设备故障、垃圾转运车辆故障或重大创卫活动应急等方案，有非常全面的紧急情况分析，并能针对紧急应急情况作出更加科学、合理及可操作性强的应对措施的得4-</w:t>
            </w:r>
            <w:r>
              <w:rPr>
                <w:rFonts w:hint="eastAsia" w:ascii="宋体" w:hAnsi="宋体" w:cs="宋体"/>
                <w:b w:val="0"/>
                <w:bCs w:val="0"/>
                <w:kern w:val="0"/>
                <w:sz w:val="24"/>
                <w:szCs w:val="24"/>
                <w:lang w:val="en-US" w:eastAsia="zh-CN"/>
              </w:rPr>
              <w:t>5</w:t>
            </w:r>
            <w:r>
              <w:rPr>
                <w:rFonts w:hint="eastAsia" w:ascii="宋体" w:hAnsi="宋体" w:eastAsia="宋体" w:cs="宋体"/>
                <w:b w:val="0"/>
                <w:bCs w:val="0"/>
                <w:kern w:val="0"/>
                <w:sz w:val="24"/>
                <w:szCs w:val="24"/>
                <w:lang w:val="en-US" w:eastAsia="zh-CN"/>
              </w:rPr>
              <w:t>分；部分内容有欠缺但基本满足的得2-3.9分；内容差的得0-1.9分。</w:t>
            </w:r>
          </w:p>
        </w:tc>
        <w:tc>
          <w:tcPr>
            <w:tcW w:w="495" w:type="dxa"/>
            <w:shd w:val="clear" w:color="auto" w:fill="auto"/>
            <w:vAlign w:val="center"/>
          </w:tcPr>
          <w:p w14:paraId="499C2F39">
            <w:pPr>
              <w:widowControl/>
              <w:jc w:val="center"/>
              <w:textAlignment w:val="top"/>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5</w:t>
            </w:r>
          </w:p>
        </w:tc>
        <w:tc>
          <w:tcPr>
            <w:tcW w:w="750" w:type="dxa"/>
            <w:shd w:val="clear" w:color="auto" w:fill="auto"/>
            <w:vAlign w:val="center"/>
          </w:tcPr>
          <w:p w14:paraId="4750E262">
            <w:pPr>
              <w:widowControl/>
              <w:jc w:val="center"/>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主观分</w:t>
            </w:r>
          </w:p>
        </w:tc>
        <w:tc>
          <w:tcPr>
            <w:tcW w:w="1262" w:type="dxa"/>
            <w:shd w:val="clear" w:color="auto" w:fill="auto"/>
            <w:vAlign w:val="center"/>
          </w:tcPr>
          <w:p w14:paraId="2B1C1706">
            <w:pPr>
              <w:widowControl/>
              <w:jc w:val="left"/>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应急预案</w:t>
            </w:r>
          </w:p>
        </w:tc>
      </w:tr>
      <w:tr w14:paraId="4CCCF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497" w:type="dxa"/>
            <w:shd w:val="clear" w:color="auto" w:fill="auto"/>
            <w:vAlign w:val="center"/>
          </w:tcPr>
          <w:p w14:paraId="4E0C6F34">
            <w:pPr>
              <w:widowControl/>
              <w:jc w:val="left"/>
              <w:textAlignment w:val="top"/>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13</w:t>
            </w:r>
          </w:p>
        </w:tc>
        <w:tc>
          <w:tcPr>
            <w:tcW w:w="6182" w:type="dxa"/>
            <w:shd w:val="clear" w:color="auto" w:fill="auto"/>
            <w:vAlign w:val="center"/>
          </w:tcPr>
          <w:p w14:paraId="6264B132">
            <w:pPr>
              <w:widowControl/>
              <w:jc w:val="left"/>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针对易腐垃圾清运工作实际情况，能切实提出相关建设性的意见建议，并有相关应对措施方案，根据提供方案的合理性及可行性评分。安排合理、可行性强的，得4-</w:t>
            </w:r>
            <w:r>
              <w:rPr>
                <w:rFonts w:hint="eastAsia" w:ascii="宋体" w:hAnsi="宋体" w:cs="宋体"/>
                <w:b w:val="0"/>
                <w:bCs w:val="0"/>
                <w:kern w:val="0"/>
                <w:sz w:val="24"/>
                <w:szCs w:val="24"/>
                <w:lang w:val="en-US" w:eastAsia="zh-CN"/>
              </w:rPr>
              <w:t>5</w:t>
            </w:r>
            <w:r>
              <w:rPr>
                <w:rFonts w:hint="eastAsia" w:ascii="宋体" w:hAnsi="宋体" w:eastAsia="宋体" w:cs="宋体"/>
                <w:b w:val="0"/>
                <w:bCs w:val="0"/>
                <w:kern w:val="0"/>
                <w:sz w:val="24"/>
                <w:szCs w:val="24"/>
                <w:lang w:val="en-US" w:eastAsia="zh-CN"/>
              </w:rPr>
              <w:t>分；安排比较合理、可操作的，得2-3.9分；安排欠合理、操作性差的，得0-1.9分。</w:t>
            </w:r>
          </w:p>
        </w:tc>
        <w:tc>
          <w:tcPr>
            <w:tcW w:w="495" w:type="dxa"/>
            <w:shd w:val="clear" w:color="auto" w:fill="auto"/>
            <w:vAlign w:val="center"/>
          </w:tcPr>
          <w:p w14:paraId="7025B44D">
            <w:pPr>
              <w:widowControl/>
              <w:jc w:val="center"/>
              <w:textAlignment w:val="top"/>
              <w:rPr>
                <w:rFonts w:hint="default"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5</w:t>
            </w:r>
          </w:p>
        </w:tc>
        <w:tc>
          <w:tcPr>
            <w:tcW w:w="750" w:type="dxa"/>
            <w:shd w:val="clear" w:color="auto" w:fill="auto"/>
            <w:vAlign w:val="center"/>
          </w:tcPr>
          <w:p w14:paraId="2C4B01C2">
            <w:pPr>
              <w:widowControl/>
              <w:jc w:val="center"/>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主观分</w:t>
            </w:r>
          </w:p>
        </w:tc>
        <w:tc>
          <w:tcPr>
            <w:tcW w:w="1262" w:type="dxa"/>
            <w:shd w:val="clear" w:color="auto" w:fill="auto"/>
            <w:vAlign w:val="center"/>
          </w:tcPr>
          <w:p w14:paraId="4874B7E7">
            <w:pPr>
              <w:widowControl/>
              <w:jc w:val="center"/>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合理化建议和改进措施</w:t>
            </w:r>
          </w:p>
        </w:tc>
      </w:tr>
      <w:tr w14:paraId="47625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497" w:type="dxa"/>
            <w:vMerge w:val="restart"/>
            <w:shd w:val="clear" w:color="auto" w:fill="auto"/>
            <w:vAlign w:val="center"/>
          </w:tcPr>
          <w:p w14:paraId="7C87605F">
            <w:pPr>
              <w:widowControl/>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14</w:t>
            </w:r>
          </w:p>
        </w:tc>
        <w:tc>
          <w:tcPr>
            <w:tcW w:w="6182" w:type="dxa"/>
            <w:shd w:val="clear" w:color="auto" w:fill="auto"/>
            <w:vAlign w:val="center"/>
          </w:tcPr>
          <w:p w14:paraId="014FA61C">
            <w:pPr>
              <w:widowControl/>
              <w:jc w:val="left"/>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1、根据投标人针对本项目的服务承诺内容(质量保证、服从管理等方面）。每提供一项合理内容得1分，最高得2分，不提供承诺内容的不得分。</w:t>
            </w:r>
          </w:p>
        </w:tc>
        <w:tc>
          <w:tcPr>
            <w:tcW w:w="495" w:type="dxa"/>
            <w:shd w:val="clear" w:color="auto" w:fill="auto"/>
            <w:vAlign w:val="center"/>
          </w:tcPr>
          <w:p w14:paraId="4DCD2486">
            <w:pPr>
              <w:widowControl/>
              <w:jc w:val="center"/>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p>
        </w:tc>
        <w:tc>
          <w:tcPr>
            <w:tcW w:w="750" w:type="dxa"/>
            <w:vMerge w:val="restart"/>
            <w:shd w:val="clear" w:color="auto" w:fill="auto"/>
            <w:vAlign w:val="center"/>
          </w:tcPr>
          <w:p w14:paraId="2EC51CDD">
            <w:pPr>
              <w:widowControl/>
              <w:jc w:val="center"/>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主观分</w:t>
            </w:r>
          </w:p>
        </w:tc>
        <w:tc>
          <w:tcPr>
            <w:tcW w:w="1262" w:type="dxa"/>
            <w:vMerge w:val="restart"/>
            <w:shd w:val="clear" w:color="auto" w:fill="auto"/>
            <w:vAlign w:val="center"/>
          </w:tcPr>
          <w:p w14:paraId="3008AEE5">
            <w:pPr>
              <w:widowControl/>
              <w:jc w:val="center"/>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服务承诺及响应措施</w:t>
            </w:r>
          </w:p>
        </w:tc>
      </w:tr>
      <w:tr w14:paraId="7B8B0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497" w:type="dxa"/>
            <w:vMerge w:val="continue"/>
            <w:shd w:val="clear" w:color="auto" w:fill="auto"/>
            <w:vAlign w:val="center"/>
          </w:tcPr>
          <w:p w14:paraId="00DB7389">
            <w:pPr>
              <w:widowControl/>
              <w:spacing w:line="360" w:lineRule="auto"/>
              <w:jc w:val="center"/>
              <w:textAlignment w:val="center"/>
              <w:rPr>
                <w:rFonts w:hint="eastAsia" w:ascii="宋体" w:hAnsi="宋体" w:eastAsia="宋体" w:cs="宋体"/>
                <w:sz w:val="24"/>
                <w:szCs w:val="24"/>
                <w:lang w:val="en-US" w:eastAsia="zh-CN"/>
              </w:rPr>
            </w:pPr>
          </w:p>
        </w:tc>
        <w:tc>
          <w:tcPr>
            <w:tcW w:w="6182" w:type="dxa"/>
            <w:shd w:val="clear" w:color="auto" w:fill="auto"/>
            <w:vAlign w:val="center"/>
          </w:tcPr>
          <w:p w14:paraId="2421DF26">
            <w:pPr>
              <w:widowControl/>
              <w:jc w:val="left"/>
              <w:textAlignment w:val="top"/>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2、投标人提供的响应措施、服务能力及服务便捷性等安排合理、操作性强的，得4-</w:t>
            </w:r>
            <w:r>
              <w:rPr>
                <w:rFonts w:hint="eastAsia" w:ascii="宋体" w:hAnsi="宋体" w:cs="宋体"/>
                <w:b w:val="0"/>
                <w:bCs w:val="0"/>
                <w:kern w:val="0"/>
                <w:sz w:val="24"/>
                <w:szCs w:val="24"/>
                <w:lang w:val="en-US" w:eastAsia="zh-CN"/>
              </w:rPr>
              <w:t>5</w:t>
            </w:r>
            <w:r>
              <w:rPr>
                <w:rFonts w:hint="eastAsia" w:ascii="宋体" w:hAnsi="宋体" w:eastAsia="宋体" w:cs="宋体"/>
                <w:b w:val="0"/>
                <w:bCs w:val="0"/>
                <w:kern w:val="0"/>
                <w:sz w:val="24"/>
                <w:szCs w:val="24"/>
                <w:lang w:val="en-US" w:eastAsia="zh-CN"/>
              </w:rPr>
              <w:t>分；安排比较合理、可操作的，得2-3.9分；安排欠合理、操作性差的，得0-1.9分。</w:t>
            </w:r>
          </w:p>
        </w:tc>
        <w:tc>
          <w:tcPr>
            <w:tcW w:w="495" w:type="dxa"/>
            <w:shd w:val="clear" w:color="auto" w:fill="auto"/>
            <w:vAlign w:val="center"/>
          </w:tcPr>
          <w:p w14:paraId="17FFEE54">
            <w:pPr>
              <w:widowControl/>
              <w:jc w:val="center"/>
              <w:textAlignment w:val="top"/>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5</w:t>
            </w:r>
          </w:p>
        </w:tc>
        <w:tc>
          <w:tcPr>
            <w:tcW w:w="750" w:type="dxa"/>
            <w:vMerge w:val="continue"/>
            <w:shd w:val="clear" w:color="auto" w:fill="auto"/>
            <w:vAlign w:val="center"/>
          </w:tcPr>
          <w:p w14:paraId="78845A58">
            <w:pPr>
              <w:widowControl/>
              <w:jc w:val="left"/>
              <w:textAlignment w:val="top"/>
              <w:rPr>
                <w:rFonts w:hint="eastAsia" w:ascii="宋体" w:hAnsi="宋体" w:eastAsia="宋体" w:cs="宋体"/>
                <w:b w:val="0"/>
                <w:bCs w:val="0"/>
                <w:kern w:val="0"/>
                <w:sz w:val="24"/>
                <w:szCs w:val="24"/>
                <w:lang w:val="en-US" w:eastAsia="zh-CN"/>
              </w:rPr>
            </w:pPr>
          </w:p>
        </w:tc>
        <w:tc>
          <w:tcPr>
            <w:tcW w:w="1262" w:type="dxa"/>
            <w:vMerge w:val="continue"/>
            <w:shd w:val="clear" w:color="auto" w:fill="auto"/>
            <w:vAlign w:val="center"/>
          </w:tcPr>
          <w:p w14:paraId="5CB5F0FC">
            <w:pPr>
              <w:widowControl/>
              <w:jc w:val="left"/>
              <w:textAlignment w:val="top"/>
              <w:rPr>
                <w:rFonts w:hint="eastAsia" w:ascii="宋体" w:hAnsi="宋体" w:eastAsia="宋体" w:cs="宋体"/>
                <w:b w:val="0"/>
                <w:bCs w:val="0"/>
                <w:kern w:val="0"/>
                <w:sz w:val="24"/>
                <w:szCs w:val="24"/>
                <w:lang w:val="en-US" w:eastAsia="zh-CN"/>
              </w:rPr>
            </w:pPr>
          </w:p>
        </w:tc>
      </w:tr>
      <w:tr w14:paraId="09BB8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497" w:type="dxa"/>
            <w:shd w:val="clear" w:color="auto" w:fill="auto"/>
            <w:vAlign w:val="center"/>
          </w:tcPr>
          <w:p w14:paraId="29F3D0D6">
            <w:pPr>
              <w:widowControl/>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rPr>
              <w:t>15</w:t>
            </w:r>
          </w:p>
        </w:tc>
        <w:tc>
          <w:tcPr>
            <w:tcW w:w="6182" w:type="dxa"/>
            <w:shd w:val="clear" w:color="auto" w:fill="auto"/>
            <w:vAlign w:val="center"/>
          </w:tcPr>
          <w:p w14:paraId="29A23F68">
            <w:pPr>
              <w:widowControl/>
              <w:textAlignment w:val="top"/>
              <w:rPr>
                <w:rFonts w:ascii="宋体" w:hAnsi="宋体" w:cs="宋体"/>
                <w:color w:val="000000"/>
                <w:kern w:val="0"/>
                <w:sz w:val="24"/>
              </w:rPr>
            </w:pPr>
            <w:r>
              <w:rPr>
                <w:rFonts w:hint="eastAsia" w:ascii="宋体" w:hAnsi="宋体" w:cs="宋体"/>
                <w:color w:val="000000"/>
                <w:kern w:val="0"/>
                <w:sz w:val="24"/>
              </w:rPr>
              <w:t>有效投标报价的最低价作为评标基准价，其最低报价为满分；按［投标报价得分=（评标基准价/投标报价）*</w:t>
            </w:r>
            <w:r>
              <w:rPr>
                <w:rFonts w:hint="eastAsia" w:ascii="宋体" w:hAnsi="宋体" w:cs="宋体"/>
                <w:color w:val="000000"/>
                <w:kern w:val="0"/>
                <w:sz w:val="24"/>
                <w:lang w:val="en-US" w:eastAsia="zh-CN"/>
              </w:rPr>
              <w:t>30</w:t>
            </w:r>
            <w:r>
              <w:rPr>
                <w:rFonts w:hint="eastAsia" w:ascii="宋体" w:hAnsi="宋体" w:cs="宋体"/>
                <w:color w:val="000000"/>
                <w:kern w:val="0"/>
                <w:sz w:val="24"/>
              </w:rPr>
              <w:t>］的计算公式计算。评标过程中，不得去掉报价中的最高报价和最低报价。</w:t>
            </w:r>
          </w:p>
        </w:tc>
        <w:tc>
          <w:tcPr>
            <w:tcW w:w="495" w:type="dxa"/>
            <w:shd w:val="clear" w:color="auto" w:fill="auto"/>
            <w:vAlign w:val="center"/>
          </w:tcPr>
          <w:p w14:paraId="40E85D52">
            <w:pPr>
              <w:widowControl/>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rPr>
              <w:t>30</w:t>
            </w:r>
          </w:p>
        </w:tc>
        <w:tc>
          <w:tcPr>
            <w:tcW w:w="750" w:type="dxa"/>
            <w:shd w:val="clear" w:color="auto" w:fill="auto"/>
            <w:vAlign w:val="center"/>
          </w:tcPr>
          <w:p w14:paraId="6D96BC73">
            <w:pPr>
              <w:widowControl/>
              <w:spacing w:line="360" w:lineRule="auto"/>
              <w:jc w:val="center"/>
              <w:textAlignment w:val="center"/>
              <w:rPr>
                <w:rFonts w:hint="eastAsia" w:ascii="宋体" w:hAnsi="宋体" w:cs="宋体"/>
                <w:color w:val="000000"/>
                <w:kern w:val="0"/>
                <w:sz w:val="24"/>
              </w:rPr>
            </w:pPr>
          </w:p>
        </w:tc>
        <w:tc>
          <w:tcPr>
            <w:tcW w:w="1262" w:type="dxa"/>
            <w:shd w:val="clear" w:color="auto" w:fill="auto"/>
            <w:vAlign w:val="center"/>
          </w:tcPr>
          <w:p w14:paraId="795393C2">
            <w:pPr>
              <w:widowControl/>
              <w:jc w:val="center"/>
              <w:textAlignment w:val="top"/>
              <w:rPr>
                <w:rFonts w:ascii="宋体" w:hAnsi="宋体" w:cs="宋体"/>
                <w:color w:val="000000"/>
                <w:kern w:val="0"/>
                <w:sz w:val="24"/>
              </w:rPr>
            </w:pPr>
            <w:r>
              <w:rPr>
                <w:rFonts w:hint="eastAsia" w:ascii="宋体" w:hAnsi="宋体" w:cs="宋体"/>
                <w:color w:val="000000"/>
                <w:kern w:val="0"/>
                <w:sz w:val="24"/>
              </w:rPr>
              <w:t>/</w:t>
            </w:r>
          </w:p>
        </w:tc>
      </w:tr>
    </w:tbl>
    <w:p w14:paraId="70CD3496">
      <w:pPr>
        <w:pageBreakBefore w:val="0"/>
        <w:kinsoku/>
        <w:wordWrap/>
        <w:overflowPunct/>
        <w:topLinePunct w:val="0"/>
        <w:autoSpaceDE/>
        <w:autoSpaceDN/>
        <w:bidi w:val="0"/>
        <w:snapToGrid w:val="0"/>
        <w:spacing w:line="450" w:lineRule="exact"/>
        <w:textAlignment w:val="auto"/>
        <w:rPr>
          <w:rFonts w:cs="仿宋_GB2312" w:asciiTheme="minorEastAsia" w:hAnsiTheme="minorEastAsia" w:eastAsiaTheme="minorEastAsia"/>
          <w:sz w:val="24"/>
        </w:rPr>
      </w:pPr>
      <w:r>
        <w:rPr>
          <w:rFonts w:cs="Arial" w:asciiTheme="minorEastAsia" w:hAnsiTheme="minorEastAsia" w:eastAsiaTheme="minorEastAsia"/>
          <w:sz w:val="20"/>
          <w:szCs w:val="20"/>
          <w:shd w:val="clear" w:color="auto" w:fill="FFFFFF"/>
        </w:rPr>
        <w:t>*</w:t>
      </w:r>
      <w:r>
        <w:rPr>
          <w:rFonts w:hint="eastAsia" w:cs="仿宋_GB2312" w:asciiTheme="minorEastAsia" w:hAnsiTheme="minorEastAsia" w:eastAsiaTheme="minorEastAsia"/>
          <w:b/>
          <w:sz w:val="24"/>
        </w:rPr>
        <w:t>备注：</w:t>
      </w:r>
      <w:r>
        <w:rPr>
          <w:rFonts w:hint="eastAsia" w:cs="仿宋_GB2312" w:asciiTheme="minorEastAsia" w:hAnsiTheme="minorEastAsia" w:eastAsiaTheme="minorEastAsia"/>
          <w:sz w:val="24"/>
        </w:rPr>
        <w:t>投标人编制投标文件（商务技术文件部分）时，建议按此目录（序号和内容）提供评标标准相应的商务技术资料。</w:t>
      </w:r>
      <w:r>
        <w:rPr>
          <w:rFonts w:cs="仿宋_GB2312" w:asciiTheme="minorEastAsia" w:hAnsiTheme="minorEastAsia" w:eastAsiaTheme="minorEastAsia"/>
          <w:sz w:val="24"/>
        </w:rPr>
        <w:t> </w:t>
      </w:r>
    </w:p>
    <w:p w14:paraId="79464EB1">
      <w:pPr>
        <w:pStyle w:val="33"/>
        <w:pageBreakBefore w:val="0"/>
        <w:kinsoku/>
        <w:wordWrap/>
        <w:overflowPunct/>
        <w:topLinePunct w:val="0"/>
        <w:autoSpaceDE/>
        <w:autoSpaceDN/>
        <w:bidi w:val="0"/>
        <w:adjustRightInd/>
        <w:snapToGrid w:val="0"/>
        <w:spacing w:line="450" w:lineRule="exact"/>
        <w:ind w:firstLine="480" w:firstLineChars="200"/>
        <w:textAlignment w:val="auto"/>
        <w:outlineLvl w:val="0"/>
        <w:rPr>
          <w:rFonts w:cs="仿宋_GB2312" w:asciiTheme="minorEastAsia" w:hAnsiTheme="minorEastAsia" w:eastAsiaTheme="minorEastAsia"/>
          <w:snapToGrid/>
          <w:sz w:val="24"/>
          <w:szCs w:val="24"/>
        </w:rPr>
      </w:pPr>
      <w:r>
        <w:rPr>
          <w:rFonts w:hint="eastAsia" w:cs="仿宋_GB2312" w:asciiTheme="minorEastAsia" w:hAnsiTheme="minorEastAsia" w:eastAsiaTheme="minorEastAsia"/>
          <w:snapToGrid/>
          <w:sz w:val="24"/>
          <w:szCs w:val="24"/>
        </w:rPr>
        <w:t>注：1、若投标人提供的相应证书、合同等证明材料复印件不清晰难以辨认的，将不予计分。</w:t>
      </w:r>
    </w:p>
    <w:p w14:paraId="324B0A7B">
      <w:pPr>
        <w:pStyle w:val="33"/>
        <w:pageBreakBefore w:val="0"/>
        <w:kinsoku/>
        <w:wordWrap/>
        <w:overflowPunct/>
        <w:topLinePunct w:val="0"/>
        <w:autoSpaceDE/>
        <w:autoSpaceDN/>
        <w:bidi w:val="0"/>
        <w:adjustRightInd/>
        <w:snapToGrid w:val="0"/>
        <w:spacing w:line="450" w:lineRule="exact"/>
        <w:ind w:firstLine="480" w:firstLineChars="200"/>
        <w:jc w:val="left"/>
        <w:textAlignment w:val="auto"/>
        <w:outlineLvl w:val="0"/>
        <w:rPr>
          <w:rFonts w:cs="仿宋_GB2312" w:asciiTheme="minorEastAsia" w:hAnsiTheme="minorEastAsia" w:eastAsiaTheme="minorEastAsia"/>
          <w:snapToGrid/>
          <w:sz w:val="24"/>
          <w:szCs w:val="24"/>
        </w:rPr>
      </w:pPr>
      <w:bookmarkStart w:id="407" w:name="_Toc73548028"/>
      <w:r>
        <w:rPr>
          <w:rFonts w:hint="eastAsia" w:cs="仿宋_GB2312" w:asciiTheme="minorEastAsia" w:hAnsiTheme="minorEastAsia" w:eastAsiaTheme="minorEastAsia"/>
          <w:snapToGrid/>
          <w:sz w:val="24"/>
          <w:szCs w:val="24"/>
        </w:rPr>
        <w:t>2、所有文件、合同、证书、资质等需要真实有效。若发现资料作假的视为虚假投标行为，取消中标资格并上报主管部门进行后续处理。</w:t>
      </w:r>
      <w:bookmarkEnd w:id="407"/>
    </w:p>
    <w:p w14:paraId="56C54A51">
      <w:pPr>
        <w:pageBreakBefore w:val="0"/>
        <w:kinsoku/>
        <w:wordWrap/>
        <w:overflowPunct/>
        <w:topLinePunct w:val="0"/>
        <w:autoSpaceDE/>
        <w:autoSpaceDN/>
        <w:bidi w:val="0"/>
        <w:snapToGrid w:val="0"/>
        <w:spacing w:line="450" w:lineRule="exact"/>
        <w:ind w:firstLine="321" w:firstLineChars="100"/>
        <w:textAlignment w:val="auto"/>
        <w:rPr>
          <w:rFonts w:asciiTheme="minorEastAsia" w:hAnsiTheme="minorEastAsia" w:eastAsiaTheme="minorEastAsia"/>
          <w:b/>
          <w:sz w:val="28"/>
          <w:szCs w:val="28"/>
        </w:rPr>
      </w:pPr>
      <w:r>
        <w:rPr>
          <w:rFonts w:hint="eastAsia" w:cs="仿宋_GB2312" w:asciiTheme="minorEastAsia" w:hAnsiTheme="minorEastAsia" w:eastAsiaTheme="minorEastAsia"/>
          <w:b/>
          <w:sz w:val="32"/>
        </w:rPr>
        <w:t>一、评标方法</w:t>
      </w:r>
    </w:p>
    <w:p w14:paraId="0F52F3F9">
      <w:pPr>
        <w:pageBreakBefore w:val="0"/>
        <w:kinsoku/>
        <w:wordWrap/>
        <w:overflowPunct/>
        <w:topLinePunct w:val="0"/>
        <w:autoSpaceDE/>
        <w:autoSpaceDN/>
        <w:bidi w:val="0"/>
        <w:adjustRightInd/>
        <w:spacing w:line="450" w:lineRule="exact"/>
        <w:ind w:firstLine="472" w:firstLineChars="196"/>
        <w:textAlignment w:val="auto"/>
        <w:rPr>
          <w:rFonts w:cs="Arial" w:asciiTheme="minorEastAsia" w:hAnsiTheme="minorEastAsia" w:eastAsiaTheme="minorEastAsia"/>
          <w:kern w:val="0"/>
          <w:sz w:val="24"/>
        </w:rPr>
      </w:pPr>
      <w:r>
        <w:rPr>
          <w:rFonts w:cs="Arial" w:asciiTheme="minorEastAsia" w:hAnsiTheme="minorEastAsia" w:eastAsiaTheme="minorEastAsia"/>
          <w:b/>
          <w:kern w:val="0"/>
          <w:sz w:val="24"/>
        </w:rPr>
        <w:t>1.</w:t>
      </w:r>
      <w:r>
        <w:rPr>
          <w:rFonts w:hint="eastAsia" w:cs="Arial" w:asciiTheme="minorEastAsia" w:hAnsiTheme="minorEastAsia" w:eastAsiaTheme="minorEastAsia"/>
          <w:b/>
          <w:kern w:val="0"/>
          <w:sz w:val="24"/>
        </w:rPr>
        <w:t>本项目采用综合评分法。</w:t>
      </w:r>
      <w:r>
        <w:rPr>
          <w:rFonts w:hint="eastAsia" w:cs="Arial"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14:paraId="69C6DD04">
      <w:pPr>
        <w:pageBreakBefore w:val="0"/>
        <w:kinsoku/>
        <w:wordWrap/>
        <w:overflowPunct/>
        <w:topLinePunct w:val="0"/>
        <w:autoSpaceDE/>
        <w:autoSpaceDN/>
        <w:bidi w:val="0"/>
        <w:adjustRightInd/>
        <w:spacing w:line="450" w:lineRule="exact"/>
        <w:textAlignment w:val="auto"/>
        <w:rPr>
          <w:rFonts w:cs="Arial" w:asciiTheme="minorEastAsia" w:hAnsiTheme="minorEastAsia" w:eastAsiaTheme="minorEastAsia"/>
          <w:kern w:val="0"/>
          <w:sz w:val="24"/>
        </w:rPr>
      </w:pPr>
      <w:r>
        <w:rPr>
          <w:rFonts w:hint="eastAsia" w:cs="仿宋_GB2312" w:asciiTheme="minorEastAsia" w:hAnsiTheme="minorEastAsia" w:eastAsiaTheme="minorEastAsia"/>
          <w:b/>
          <w:sz w:val="32"/>
        </w:rPr>
        <w:t>二、评标标准</w:t>
      </w:r>
    </w:p>
    <w:p w14:paraId="6BC94B3E">
      <w:pPr>
        <w:pageBreakBefore w:val="0"/>
        <w:kinsoku/>
        <w:wordWrap/>
        <w:overflowPunct/>
        <w:topLinePunct w:val="0"/>
        <w:autoSpaceDE/>
        <w:autoSpaceDN/>
        <w:bidi w:val="0"/>
        <w:spacing w:line="450" w:lineRule="exact"/>
        <w:ind w:firstLine="472" w:firstLineChars="196"/>
        <w:textAlignment w:val="auto"/>
        <w:rPr>
          <w:rFonts w:cs="仿宋_GB2312" w:asciiTheme="minorEastAsia" w:hAnsiTheme="minorEastAsia" w:eastAsiaTheme="minorEastAsia"/>
          <w:b/>
          <w:sz w:val="24"/>
        </w:rPr>
      </w:pPr>
      <w:r>
        <w:rPr>
          <w:rFonts w:cs="仿宋_GB2312" w:asciiTheme="minorEastAsia" w:hAnsiTheme="minorEastAsia" w:eastAsiaTheme="minorEastAsia"/>
          <w:b/>
          <w:sz w:val="24"/>
        </w:rPr>
        <w:t>2.</w:t>
      </w:r>
      <w:r>
        <w:rPr>
          <w:rFonts w:hint="eastAsia" w:cs="仿宋_GB2312" w:asciiTheme="minorEastAsia" w:hAnsiTheme="minorEastAsia" w:eastAsiaTheme="minorEastAsia"/>
          <w:b/>
          <w:sz w:val="24"/>
        </w:rPr>
        <w:t>评标标准：</w:t>
      </w:r>
      <w:r>
        <w:rPr>
          <w:rFonts w:hint="eastAsia" w:cs="Arial" w:asciiTheme="minorEastAsia" w:hAnsiTheme="minorEastAsia" w:eastAsiaTheme="minorEastAsia"/>
          <w:kern w:val="0"/>
          <w:sz w:val="24"/>
        </w:rPr>
        <w:t>见评标办法前附表。</w:t>
      </w:r>
    </w:p>
    <w:p w14:paraId="1A3B7E4D">
      <w:pPr>
        <w:pageBreakBefore w:val="0"/>
        <w:kinsoku/>
        <w:wordWrap/>
        <w:overflowPunct/>
        <w:topLinePunct w:val="0"/>
        <w:autoSpaceDE/>
        <w:autoSpaceDN/>
        <w:bidi w:val="0"/>
        <w:spacing w:line="450" w:lineRule="exact"/>
        <w:textAlignment w:val="auto"/>
        <w:outlineLvl w:val="0"/>
        <w:rPr>
          <w:rFonts w:cs="仿宋_GB2312" w:asciiTheme="minorEastAsia" w:hAnsiTheme="minorEastAsia" w:eastAsiaTheme="minorEastAsia"/>
          <w:b/>
          <w:sz w:val="36"/>
          <w:szCs w:val="36"/>
        </w:rPr>
      </w:pPr>
      <w:bookmarkStart w:id="408" w:name="_Toc9828"/>
      <w:bookmarkStart w:id="409" w:name="_Toc92901623"/>
      <w:r>
        <w:rPr>
          <w:rFonts w:hint="eastAsia" w:cs="仿宋_GB2312" w:asciiTheme="minorEastAsia" w:hAnsiTheme="minorEastAsia" w:eastAsiaTheme="minorEastAsia"/>
          <w:b/>
          <w:sz w:val="36"/>
          <w:szCs w:val="36"/>
        </w:rPr>
        <w:t>三、评标程序</w:t>
      </w:r>
      <w:bookmarkEnd w:id="408"/>
      <w:bookmarkEnd w:id="409"/>
    </w:p>
    <w:p w14:paraId="7F9A8812">
      <w:pPr>
        <w:pageBreakBefore w:val="0"/>
        <w:kinsoku/>
        <w:wordWrap/>
        <w:overflowPunct/>
        <w:topLinePunct w:val="0"/>
        <w:autoSpaceDE/>
        <w:autoSpaceDN/>
        <w:bidi w:val="0"/>
        <w:spacing w:line="450" w:lineRule="exact"/>
        <w:ind w:firstLine="472" w:firstLineChars="196"/>
        <w:textAlignment w:val="auto"/>
        <w:rPr>
          <w:rFonts w:cs="Arial" w:asciiTheme="minorEastAsia" w:hAnsiTheme="minorEastAsia" w:eastAsiaTheme="minorEastAsia"/>
          <w:kern w:val="0"/>
          <w:sz w:val="24"/>
        </w:rPr>
      </w:pPr>
      <w:r>
        <w:rPr>
          <w:rFonts w:cs="Arial" w:asciiTheme="minorEastAsia" w:hAnsiTheme="minorEastAsia" w:eastAsiaTheme="minorEastAsia"/>
          <w:b/>
          <w:kern w:val="0"/>
          <w:sz w:val="24"/>
        </w:rPr>
        <w:t>3.1符合性审查。</w:t>
      </w:r>
      <w:r>
        <w:rPr>
          <w:rFonts w:cs="Arial" w:asciiTheme="minorEastAsia" w:hAnsiTheme="minorEastAsia" w:eastAsiaTheme="minorEastAsia"/>
          <w:kern w:val="0"/>
          <w:sz w:val="24"/>
        </w:rPr>
        <w:t>评标委员会应当对符合资格的投标人的投标文件进行符合性审查，以确定其是否满足招标文件的实质性要求。</w:t>
      </w:r>
      <w:r>
        <w:rPr>
          <w:rFonts w:hint="eastAsia" w:cs="Arial" w:asciiTheme="minorEastAsia" w:hAnsiTheme="minorEastAsia" w:eastAsiaTheme="minorEastAsia"/>
          <w:kern w:val="0"/>
          <w:sz w:val="24"/>
        </w:rPr>
        <w:t>不</w:t>
      </w:r>
      <w:r>
        <w:rPr>
          <w:rFonts w:cs="Arial" w:asciiTheme="minorEastAsia" w:hAnsiTheme="minorEastAsia" w:eastAsiaTheme="minorEastAsia"/>
          <w:kern w:val="0"/>
          <w:sz w:val="24"/>
        </w:rPr>
        <w:t>满足招标文件的实质性要求</w:t>
      </w:r>
      <w:r>
        <w:rPr>
          <w:rFonts w:hint="eastAsia" w:cs="Arial" w:asciiTheme="minorEastAsia" w:hAnsiTheme="minorEastAsia" w:eastAsiaTheme="minorEastAsia"/>
          <w:kern w:val="0"/>
          <w:sz w:val="24"/>
        </w:rPr>
        <w:t>的，投标无效。</w:t>
      </w:r>
    </w:p>
    <w:p w14:paraId="6FF64DDE">
      <w:pPr>
        <w:pageBreakBefore w:val="0"/>
        <w:kinsoku/>
        <w:wordWrap/>
        <w:overflowPunct/>
        <w:topLinePunct w:val="0"/>
        <w:autoSpaceDE/>
        <w:autoSpaceDN/>
        <w:bidi w:val="0"/>
        <w:spacing w:line="450" w:lineRule="exact"/>
        <w:ind w:firstLine="472" w:firstLineChars="196"/>
        <w:textAlignment w:val="auto"/>
        <w:rPr>
          <w:rFonts w:cs="Arial" w:asciiTheme="minorEastAsia" w:hAnsiTheme="minorEastAsia" w:eastAsiaTheme="minorEastAsia"/>
          <w:kern w:val="0"/>
          <w:sz w:val="24"/>
        </w:rPr>
      </w:pPr>
      <w:r>
        <w:rPr>
          <w:rFonts w:cs="Arial" w:asciiTheme="minorEastAsia" w:hAnsiTheme="minorEastAsia" w:eastAsiaTheme="minorEastAsia"/>
          <w:b/>
          <w:kern w:val="0"/>
          <w:sz w:val="24"/>
        </w:rPr>
        <w:t xml:space="preserve">3.2 </w:t>
      </w:r>
      <w:r>
        <w:rPr>
          <w:rFonts w:hint="eastAsia" w:cs="Arial" w:asciiTheme="minorEastAsia" w:hAnsiTheme="minorEastAsia" w:eastAsiaTheme="minorEastAsia"/>
          <w:b/>
          <w:kern w:val="0"/>
          <w:sz w:val="24"/>
        </w:rPr>
        <w:t>比较与评价。</w:t>
      </w:r>
      <w:r>
        <w:rPr>
          <w:rFonts w:cs="Arial"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14:paraId="710C14F2">
      <w:pPr>
        <w:pageBreakBefore w:val="0"/>
        <w:kinsoku/>
        <w:wordWrap/>
        <w:overflowPunct/>
        <w:topLinePunct w:val="0"/>
        <w:autoSpaceDE/>
        <w:autoSpaceDN/>
        <w:bidi w:val="0"/>
        <w:spacing w:line="450" w:lineRule="exact"/>
        <w:ind w:firstLine="472" w:firstLineChars="196"/>
        <w:textAlignment w:val="auto"/>
        <w:rPr>
          <w:rFonts w:cs="Arial" w:asciiTheme="minorEastAsia" w:hAnsiTheme="minorEastAsia" w:eastAsiaTheme="minorEastAsia"/>
          <w:kern w:val="0"/>
          <w:sz w:val="24"/>
        </w:rPr>
      </w:pPr>
      <w:r>
        <w:rPr>
          <w:rFonts w:cs="Arial" w:asciiTheme="minorEastAsia" w:hAnsiTheme="minorEastAsia" w:eastAsiaTheme="minorEastAsia"/>
          <w:b/>
          <w:kern w:val="0"/>
          <w:sz w:val="24"/>
        </w:rPr>
        <w:t>3.3汇总商务技术得分。</w:t>
      </w:r>
      <w:r>
        <w:rPr>
          <w:rFonts w:hint="eastAsia" w:cs="Arial" w:asciiTheme="minorEastAsia" w:hAnsiTheme="minorEastAsia" w:eastAsiaTheme="minorEastAsia"/>
          <w:kern w:val="0"/>
          <w:sz w:val="24"/>
        </w:rPr>
        <w:t>评标委员会各成员应当独立对每个投标人的商务和技术文件进行评价，并汇总商务技术得分情况。</w:t>
      </w:r>
    </w:p>
    <w:p w14:paraId="01596DD6">
      <w:pPr>
        <w:pageBreakBefore w:val="0"/>
        <w:kinsoku/>
        <w:wordWrap/>
        <w:overflowPunct/>
        <w:topLinePunct w:val="0"/>
        <w:autoSpaceDE/>
        <w:autoSpaceDN/>
        <w:bidi w:val="0"/>
        <w:spacing w:line="450" w:lineRule="exact"/>
        <w:ind w:firstLine="472" w:firstLineChars="196"/>
        <w:textAlignment w:val="auto"/>
        <w:rPr>
          <w:rFonts w:cs="Arial" w:asciiTheme="minorEastAsia" w:hAnsiTheme="minorEastAsia" w:eastAsiaTheme="minorEastAsia"/>
          <w:b/>
          <w:kern w:val="0"/>
          <w:sz w:val="24"/>
        </w:rPr>
      </w:pPr>
      <w:r>
        <w:rPr>
          <w:rFonts w:cs="Arial" w:asciiTheme="minorEastAsia" w:hAnsiTheme="minorEastAsia" w:eastAsiaTheme="minorEastAsia"/>
          <w:b/>
          <w:kern w:val="0"/>
          <w:sz w:val="24"/>
        </w:rPr>
        <w:t>3.4报价评审。</w:t>
      </w:r>
    </w:p>
    <w:p w14:paraId="2DEDFBC0">
      <w:pPr>
        <w:pStyle w:val="131"/>
        <w:pageBreakBefore w:val="0"/>
        <w:kinsoku/>
        <w:wordWrap/>
        <w:overflowPunct/>
        <w:topLinePunct w:val="0"/>
        <w:autoSpaceDE/>
        <w:autoSpaceDN/>
        <w:bidi w:val="0"/>
        <w:spacing w:before="0" w:line="450" w:lineRule="exact"/>
        <w:ind w:firstLine="508" w:firstLineChars="212"/>
        <w:textAlignment w:val="auto"/>
        <w:rPr>
          <w:rFonts w:cs="Arial" w:asciiTheme="minorEastAsia" w:hAnsiTheme="minorEastAsia" w:eastAsiaTheme="minorEastAsia"/>
          <w:kern w:val="0"/>
        </w:rPr>
      </w:pPr>
      <w:r>
        <w:rPr>
          <w:rFonts w:cs="Arial" w:asciiTheme="minorEastAsia" w:hAnsiTheme="minorEastAsia" w:eastAsiaTheme="minorEastAsia"/>
          <w:kern w:val="0"/>
        </w:rPr>
        <w:t>3.4.1投标文件报价出现前后不一致的，按照下列规定修正：</w:t>
      </w:r>
    </w:p>
    <w:p w14:paraId="3300024F">
      <w:pPr>
        <w:pStyle w:val="131"/>
        <w:pageBreakBefore w:val="0"/>
        <w:kinsoku/>
        <w:wordWrap/>
        <w:overflowPunct/>
        <w:topLinePunct w:val="0"/>
        <w:autoSpaceDE/>
        <w:autoSpaceDN/>
        <w:bidi w:val="0"/>
        <w:spacing w:before="0" w:line="450" w:lineRule="exact"/>
        <w:ind w:firstLine="480"/>
        <w:textAlignment w:val="auto"/>
        <w:rPr>
          <w:rFonts w:cs="仿宋" w:asciiTheme="minorEastAsia" w:hAnsiTheme="minorEastAsia" w:eastAsiaTheme="minorEastAsia"/>
          <w:kern w:val="0"/>
          <w:szCs w:val="24"/>
        </w:rPr>
      </w:pPr>
      <w:r>
        <w:rPr>
          <w:rFonts w:cs="仿宋" w:asciiTheme="minorEastAsia" w:hAnsiTheme="minorEastAsia" w:eastAsiaTheme="minorEastAsia"/>
          <w:kern w:val="0"/>
          <w:szCs w:val="24"/>
        </w:rPr>
        <w:t>3.4.1.1投标文件中开标一览表(报价表)内容与投标文件中相应内容不一致的，以开标一览表(报价表)为准;</w:t>
      </w:r>
    </w:p>
    <w:p w14:paraId="10537732">
      <w:pPr>
        <w:pStyle w:val="131"/>
        <w:pageBreakBefore w:val="0"/>
        <w:kinsoku/>
        <w:wordWrap/>
        <w:overflowPunct/>
        <w:topLinePunct w:val="0"/>
        <w:autoSpaceDE/>
        <w:autoSpaceDN/>
        <w:bidi w:val="0"/>
        <w:spacing w:before="0" w:line="450" w:lineRule="exact"/>
        <w:ind w:firstLine="480"/>
        <w:textAlignment w:val="auto"/>
        <w:rPr>
          <w:rFonts w:cs="仿宋" w:asciiTheme="minorEastAsia" w:hAnsiTheme="minorEastAsia" w:eastAsiaTheme="minorEastAsia"/>
          <w:kern w:val="0"/>
          <w:szCs w:val="24"/>
        </w:rPr>
      </w:pPr>
      <w:r>
        <w:rPr>
          <w:rFonts w:cs="仿宋" w:asciiTheme="minorEastAsia" w:hAnsiTheme="minorEastAsia" w:eastAsiaTheme="minorEastAsia"/>
          <w:kern w:val="0"/>
          <w:szCs w:val="24"/>
        </w:rPr>
        <w:t>3.4.1.2大写金额和小写金额不一致的，以大写金额为准;</w:t>
      </w:r>
    </w:p>
    <w:p w14:paraId="3A62D666">
      <w:pPr>
        <w:pStyle w:val="131"/>
        <w:pageBreakBefore w:val="0"/>
        <w:kinsoku/>
        <w:wordWrap/>
        <w:overflowPunct/>
        <w:topLinePunct w:val="0"/>
        <w:autoSpaceDE/>
        <w:autoSpaceDN/>
        <w:bidi w:val="0"/>
        <w:spacing w:before="0" w:line="450" w:lineRule="exact"/>
        <w:ind w:firstLine="480"/>
        <w:textAlignment w:val="auto"/>
        <w:rPr>
          <w:rFonts w:cs="仿宋" w:asciiTheme="minorEastAsia" w:hAnsiTheme="minorEastAsia" w:eastAsiaTheme="minorEastAsia"/>
          <w:kern w:val="0"/>
          <w:szCs w:val="24"/>
        </w:rPr>
      </w:pPr>
      <w:r>
        <w:rPr>
          <w:rFonts w:cs="仿宋" w:asciiTheme="minorEastAsia" w:hAnsiTheme="minorEastAsia" w:eastAsiaTheme="minorEastAsia"/>
          <w:kern w:val="0"/>
          <w:szCs w:val="24"/>
        </w:rPr>
        <w:t>3.4.1.3单价金额小数点或者百分比有明显错位的，以开标一览表的总价为准，并修改单价;</w:t>
      </w:r>
    </w:p>
    <w:p w14:paraId="10837911">
      <w:pPr>
        <w:pStyle w:val="131"/>
        <w:pageBreakBefore w:val="0"/>
        <w:kinsoku/>
        <w:wordWrap/>
        <w:overflowPunct/>
        <w:topLinePunct w:val="0"/>
        <w:autoSpaceDE/>
        <w:autoSpaceDN/>
        <w:bidi w:val="0"/>
        <w:spacing w:before="0" w:line="450" w:lineRule="exact"/>
        <w:ind w:firstLine="480"/>
        <w:textAlignment w:val="auto"/>
        <w:rPr>
          <w:rFonts w:cs="仿宋" w:asciiTheme="minorEastAsia" w:hAnsiTheme="minorEastAsia" w:eastAsiaTheme="minorEastAsia"/>
          <w:kern w:val="0"/>
          <w:szCs w:val="24"/>
        </w:rPr>
      </w:pPr>
      <w:r>
        <w:rPr>
          <w:rFonts w:cs="仿宋" w:asciiTheme="minorEastAsia" w:hAnsiTheme="minorEastAsia" w:eastAsiaTheme="minorEastAsia"/>
          <w:kern w:val="0"/>
          <w:szCs w:val="24"/>
        </w:rPr>
        <w:t>3.4.1.4总价金额与按单价汇总金额不一致的，以单价金额计算结果为准。</w:t>
      </w:r>
    </w:p>
    <w:p w14:paraId="55A31C4E">
      <w:pPr>
        <w:pStyle w:val="131"/>
        <w:pageBreakBefore w:val="0"/>
        <w:kinsoku/>
        <w:wordWrap/>
        <w:overflowPunct/>
        <w:topLinePunct w:val="0"/>
        <w:autoSpaceDE/>
        <w:autoSpaceDN/>
        <w:bidi w:val="0"/>
        <w:spacing w:before="0" w:line="450" w:lineRule="exact"/>
        <w:ind w:firstLine="480"/>
        <w:textAlignment w:val="auto"/>
        <w:rPr>
          <w:rFonts w:cs="仿宋" w:asciiTheme="minorEastAsia" w:hAnsiTheme="minorEastAsia" w:eastAsiaTheme="minorEastAsia"/>
          <w:kern w:val="0"/>
          <w:szCs w:val="24"/>
        </w:rPr>
      </w:pPr>
      <w:r>
        <w:rPr>
          <w:rFonts w:cs="仿宋" w:asciiTheme="minorEastAsia" w:hAnsiTheme="minorEastAsia" w:eastAsiaTheme="minorEastAsia"/>
          <w:kern w:val="0"/>
          <w:szCs w:val="24"/>
        </w:rPr>
        <w:t>3.4.1.5同时出现两种以上不一致的，按照3.4.1</w:t>
      </w:r>
      <w:r>
        <w:rPr>
          <w:rFonts w:hint="eastAsia" w:cs="仿宋" w:asciiTheme="minorEastAsia" w:hAnsiTheme="minorEastAsia" w:eastAsiaTheme="minorEastAsia"/>
          <w:kern w:val="0"/>
          <w:szCs w:val="24"/>
        </w:rPr>
        <w:t>规定的顺序修正。修正后的报价按照财政部第</w:t>
      </w:r>
      <w:r>
        <w:rPr>
          <w:rFonts w:cs="仿宋" w:asciiTheme="minorEastAsia" w:hAnsiTheme="minorEastAsia" w:eastAsiaTheme="minorEastAsia"/>
          <w:kern w:val="0"/>
          <w:szCs w:val="24"/>
        </w:rPr>
        <w:t xml:space="preserve">87号令 </w:t>
      </w:r>
      <w:r>
        <w:rPr>
          <w:rFonts w:hint="eastAsia" w:cs="仿宋" w:asciiTheme="minorEastAsia" w:hAnsiTheme="minorEastAsia" w:eastAsiaTheme="minorEastAsia"/>
          <w:kern w:val="0"/>
          <w:szCs w:val="24"/>
        </w:rPr>
        <w:t>《政府采购货物和服务招标投标管理办法》第五十一条第二款的规定经投标人确认后产生约束力。</w:t>
      </w:r>
    </w:p>
    <w:p w14:paraId="539D22BD">
      <w:pPr>
        <w:pageBreakBefore w:val="0"/>
        <w:kinsoku/>
        <w:wordWrap/>
        <w:overflowPunct/>
        <w:topLinePunct w:val="0"/>
        <w:autoSpaceDE/>
        <w:autoSpaceDN/>
        <w:bidi w:val="0"/>
        <w:snapToGrid w:val="0"/>
        <w:spacing w:line="450" w:lineRule="exact"/>
        <w:ind w:firstLine="480" w:firstLineChars="200"/>
        <w:jc w:val="left"/>
        <w:textAlignment w:val="auto"/>
        <w:rPr>
          <w:rFonts w:cs="仿宋" w:asciiTheme="minorEastAsia" w:hAnsiTheme="minorEastAsia" w:eastAsiaTheme="minorEastAsia"/>
          <w:kern w:val="0"/>
          <w:sz w:val="24"/>
        </w:rPr>
      </w:pPr>
      <w:r>
        <w:rPr>
          <w:rFonts w:cs="仿宋" w:asciiTheme="minorEastAsia" w:hAnsiTheme="minorEastAsia" w:eastAsiaTheme="minorEastAsia"/>
          <w:kern w:val="0"/>
          <w:sz w:val="24"/>
        </w:rPr>
        <w:t>3.4.2</w:t>
      </w:r>
      <w:r>
        <w:rPr>
          <w:rFonts w:hint="eastAsia" w:cs="仿宋" w:asciiTheme="minorEastAsia" w:hAnsiTheme="minorEastAsia" w:eastAsiaTheme="minorEastAsia"/>
          <w:kern w:val="0"/>
          <w:sz w:val="24"/>
        </w:rPr>
        <w:t>投标文件出现不是唯一的、有选择性投标报价的，投标无效。</w:t>
      </w:r>
    </w:p>
    <w:p w14:paraId="54FBC79D">
      <w:pPr>
        <w:pageBreakBefore w:val="0"/>
        <w:kinsoku/>
        <w:wordWrap/>
        <w:overflowPunct/>
        <w:topLinePunct w:val="0"/>
        <w:autoSpaceDE/>
        <w:autoSpaceDN/>
        <w:bidi w:val="0"/>
        <w:snapToGrid w:val="0"/>
        <w:spacing w:line="450" w:lineRule="exact"/>
        <w:ind w:firstLine="480" w:firstLineChars="200"/>
        <w:jc w:val="left"/>
        <w:textAlignment w:val="auto"/>
        <w:rPr>
          <w:rFonts w:cs="仿宋" w:asciiTheme="minorEastAsia" w:hAnsiTheme="minorEastAsia" w:eastAsiaTheme="minorEastAsia"/>
          <w:kern w:val="0"/>
          <w:sz w:val="24"/>
        </w:rPr>
      </w:pPr>
      <w:r>
        <w:rPr>
          <w:rFonts w:cs="仿宋" w:asciiTheme="minorEastAsia" w:hAnsiTheme="minorEastAsia" w:eastAsiaTheme="minorEastAsia"/>
          <w:kern w:val="0"/>
          <w:sz w:val="24"/>
        </w:rPr>
        <w:t>3.4.3</w:t>
      </w:r>
      <w:r>
        <w:rPr>
          <w:rFonts w:hint="eastAsia" w:cs="仿宋" w:asciiTheme="minorEastAsia" w:hAnsiTheme="minorEastAsia" w:eastAsiaTheme="minorEastAsia"/>
          <w:kern w:val="0"/>
          <w:sz w:val="24"/>
        </w:rPr>
        <w:t>投标报价超过招标文件中规定的预算金额或者最高限价的，投标无效。</w:t>
      </w:r>
    </w:p>
    <w:p w14:paraId="43880515">
      <w:pPr>
        <w:pStyle w:val="131"/>
        <w:pageBreakBefore w:val="0"/>
        <w:kinsoku/>
        <w:wordWrap/>
        <w:overflowPunct/>
        <w:topLinePunct w:val="0"/>
        <w:autoSpaceDE/>
        <w:autoSpaceDN/>
        <w:bidi w:val="0"/>
        <w:spacing w:before="0" w:line="450" w:lineRule="exact"/>
        <w:ind w:firstLine="480"/>
        <w:textAlignment w:val="auto"/>
        <w:rPr>
          <w:rFonts w:cs="仿宋" w:asciiTheme="minorEastAsia" w:hAnsiTheme="minorEastAsia" w:eastAsiaTheme="minorEastAsia"/>
          <w:kern w:val="0"/>
          <w:szCs w:val="24"/>
        </w:rPr>
      </w:pPr>
      <w:r>
        <w:rPr>
          <w:rFonts w:cs="仿宋" w:asciiTheme="minorEastAsia" w:hAnsiTheme="minorEastAsia" w:eastAsiaTheme="minorEastAsia"/>
          <w:kern w:val="0"/>
          <w:szCs w:val="24"/>
        </w:rPr>
        <w:t>3.4.4</w:t>
      </w:r>
      <w:r>
        <w:rPr>
          <w:rFonts w:hint="eastAsia" w:cs="仿宋" w:asciiTheme="minorEastAsia" w:hAnsiTheme="minorEastAsia" w:eastAsiaTheme="minor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cs="仿宋" w:asciiTheme="minorEastAsia" w:hAnsiTheme="minorEastAsia" w:eastAsiaTheme="minorEastAsia"/>
          <w:kern w:val="0"/>
          <w:szCs w:val="24"/>
        </w:rPr>
        <w:t>;投标人不能证明其报价合理性的，评标委员会应当将其作为无效投标处理。</w:t>
      </w:r>
    </w:p>
    <w:p w14:paraId="22D4EA32">
      <w:pPr>
        <w:pStyle w:val="131"/>
        <w:pageBreakBefore w:val="0"/>
        <w:kinsoku/>
        <w:wordWrap/>
        <w:overflowPunct/>
        <w:topLinePunct w:val="0"/>
        <w:autoSpaceDE/>
        <w:autoSpaceDN/>
        <w:bidi w:val="0"/>
        <w:spacing w:before="0" w:line="450" w:lineRule="exact"/>
        <w:ind w:firstLine="480"/>
        <w:textAlignment w:val="auto"/>
        <w:rPr>
          <w:rFonts w:cs="仿宋" w:asciiTheme="minorEastAsia" w:hAnsiTheme="minorEastAsia" w:eastAsiaTheme="minorEastAsia"/>
          <w:kern w:val="0"/>
          <w:szCs w:val="24"/>
        </w:rPr>
      </w:pPr>
      <w:r>
        <w:rPr>
          <w:rFonts w:cs="仿宋" w:asciiTheme="minorEastAsia" w:hAnsiTheme="minorEastAsia" w:eastAsiaTheme="minorEastAsia"/>
          <w:kern w:val="0"/>
          <w:szCs w:val="24"/>
        </w:rPr>
        <w:t>3.4.5</w:t>
      </w:r>
      <w:r>
        <w:rPr>
          <w:rFonts w:hint="eastAsia" w:cs="仿宋" w:asciiTheme="minorEastAsia" w:hAnsiTheme="minorEastAsia" w:eastAsiaTheme="minorEastAsia"/>
          <w:kern w:val="0"/>
          <w:szCs w:val="24"/>
        </w:rPr>
        <w:t>对于未预留份额专门面向中小企业的政府采购货物或服务项目，以及预留份额政府采购货物或服务项目中的非预留部分标项，对小型和微型企业的投标报价给予20%</w:t>
      </w:r>
      <w:r>
        <w:rPr>
          <w:rFonts w:cs="仿宋" w:asciiTheme="minorEastAsia" w:hAnsiTheme="minorEastAsia" w:eastAsiaTheme="minorEastAsia"/>
          <w:kern w:val="0"/>
          <w:szCs w:val="24"/>
        </w:rPr>
        <w:t>的扣除，用扣除后的价格参与评审。接受大中型企业与小</w:t>
      </w:r>
      <w:r>
        <w:rPr>
          <w:rFonts w:hint="eastAsia" w:cs="仿宋" w:asciiTheme="minorEastAsia" w:hAnsiTheme="minorEastAsia" w:eastAsiaTheme="minor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cs="仿宋" w:asciiTheme="minorEastAsia" w:hAnsiTheme="minorEastAsia" w:eastAsiaTheme="minorEastAsia"/>
          <w:kern w:val="0"/>
          <w:szCs w:val="24"/>
        </w:rPr>
        <w:t>30%以上的，对联合体或者大中型企业的报价给予</w:t>
      </w:r>
      <w:r>
        <w:rPr>
          <w:rFonts w:hint="eastAsia" w:cs="仿宋" w:asciiTheme="minorEastAsia" w:hAnsiTheme="minorEastAsia" w:eastAsiaTheme="minorEastAsia"/>
          <w:kern w:val="0"/>
          <w:szCs w:val="24"/>
        </w:rPr>
        <w:t>6</w:t>
      </w:r>
      <w:r>
        <w:rPr>
          <w:rFonts w:cs="仿宋" w:asciiTheme="minorEastAsia" w:hAnsiTheme="minorEastAsia" w:eastAsiaTheme="minorEastAsia"/>
          <w:kern w:val="0"/>
          <w:szCs w:val="24"/>
        </w:rPr>
        <w:t>%的扣除，用扣除后的价格参加评审。组成联合体或者接受分包的小</w:t>
      </w:r>
      <w:r>
        <w:rPr>
          <w:rFonts w:hint="eastAsia" w:cs="仿宋" w:asciiTheme="minorEastAsia" w:hAnsiTheme="minorEastAsia" w:eastAsiaTheme="minorEastAsia"/>
          <w:kern w:val="0"/>
          <w:szCs w:val="24"/>
        </w:rPr>
        <w:t>微企业与联合体内其他企业、分包企业之间存在直接控股、管理关系的，不享受价格扣除优惠政策。</w:t>
      </w:r>
    </w:p>
    <w:p w14:paraId="0D2A6CB0">
      <w:pPr>
        <w:pageBreakBefore w:val="0"/>
        <w:kinsoku/>
        <w:wordWrap/>
        <w:overflowPunct/>
        <w:topLinePunct w:val="0"/>
        <w:autoSpaceDE/>
        <w:autoSpaceDN/>
        <w:bidi w:val="0"/>
        <w:spacing w:line="450" w:lineRule="exact"/>
        <w:ind w:firstLine="482" w:firstLineChars="200"/>
        <w:textAlignment w:val="auto"/>
        <w:rPr>
          <w:rFonts w:cs="Arial" w:asciiTheme="minorEastAsia" w:hAnsiTheme="minorEastAsia" w:eastAsiaTheme="minorEastAsia"/>
          <w:kern w:val="0"/>
          <w:sz w:val="24"/>
        </w:rPr>
      </w:pPr>
      <w:r>
        <w:rPr>
          <w:rFonts w:cs="Arial" w:asciiTheme="minorEastAsia" w:hAnsiTheme="minorEastAsia" w:eastAsiaTheme="minorEastAsia"/>
          <w:b/>
          <w:kern w:val="0"/>
          <w:sz w:val="24"/>
        </w:rPr>
        <w:t>3.5</w:t>
      </w:r>
      <w:r>
        <w:rPr>
          <w:rFonts w:hint="eastAsia" w:cs="Arial" w:asciiTheme="minorEastAsia" w:hAnsiTheme="minorEastAsia" w:eastAsiaTheme="minorEastAsia"/>
          <w:b/>
          <w:kern w:val="0"/>
          <w:sz w:val="24"/>
        </w:rPr>
        <w:t>排序与推荐。</w:t>
      </w:r>
      <w:r>
        <w:rPr>
          <w:rFonts w:cs="Arial"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cs="Arial" w:asciiTheme="minorEastAsia" w:hAnsiTheme="minorEastAsia" w:eastAsiaTheme="minorEastAsia"/>
          <w:kern w:val="0"/>
          <w:sz w:val="24"/>
        </w:rPr>
        <w:t>。</w:t>
      </w:r>
    </w:p>
    <w:p w14:paraId="07E59563">
      <w:pPr>
        <w:pageBreakBefore w:val="0"/>
        <w:kinsoku/>
        <w:wordWrap/>
        <w:overflowPunct/>
        <w:topLinePunct w:val="0"/>
        <w:autoSpaceDE/>
        <w:autoSpaceDN/>
        <w:bidi w:val="0"/>
        <w:spacing w:line="450" w:lineRule="exact"/>
        <w:textAlignment w:val="auto"/>
        <w:rPr>
          <w:rFonts w:cs="Arial" w:asciiTheme="minorEastAsia" w:hAnsiTheme="minorEastAsia" w:eastAsiaTheme="minorEastAsia"/>
          <w:b/>
          <w:kern w:val="0"/>
          <w:sz w:val="24"/>
        </w:rPr>
      </w:pPr>
      <w:r>
        <w:rPr>
          <w:rFonts w:hint="eastAsia" w:cs="Arial" w:asciiTheme="minorEastAsia" w:hAnsiTheme="minorEastAsia" w:eastAsiaTheme="minorEastAsia"/>
          <w:kern w:val="0"/>
          <w:sz w:val="24"/>
        </w:rPr>
        <w:t xml:space="preserve">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FD28912">
      <w:pPr>
        <w:pageBreakBefore w:val="0"/>
        <w:kinsoku/>
        <w:wordWrap/>
        <w:overflowPunct/>
        <w:topLinePunct w:val="0"/>
        <w:autoSpaceDE/>
        <w:autoSpaceDN/>
        <w:bidi w:val="0"/>
        <w:spacing w:line="450" w:lineRule="exact"/>
        <w:ind w:firstLine="472" w:firstLineChars="196"/>
        <w:textAlignment w:val="auto"/>
        <w:rPr>
          <w:rFonts w:cs="Arial" w:asciiTheme="minorEastAsia" w:hAnsiTheme="minorEastAsia" w:eastAsiaTheme="minorEastAsia"/>
          <w:kern w:val="0"/>
          <w:sz w:val="24"/>
        </w:rPr>
      </w:pPr>
      <w:r>
        <w:rPr>
          <w:rFonts w:cs="Arial" w:asciiTheme="minorEastAsia" w:hAnsiTheme="minorEastAsia" w:eastAsiaTheme="minorEastAsia"/>
          <w:b/>
          <w:kern w:val="0"/>
          <w:sz w:val="24"/>
        </w:rPr>
        <w:t>3.6编写评标报告。</w:t>
      </w:r>
      <w:r>
        <w:rPr>
          <w:rFonts w:cs="Arial" w:asciiTheme="minorEastAsia" w:hAnsiTheme="minorEastAsia" w:eastAsiaTheme="minorEastAsia"/>
          <w:kern w:val="0"/>
          <w:sz w:val="24"/>
        </w:rPr>
        <w:t>评标委员会根据全体评标成员签字的原始评标记录和评标结果编写评标报告。</w:t>
      </w:r>
      <w:r>
        <w:rPr>
          <w:rFonts w:hint="eastAsia" w:cs="Arial" w:asciiTheme="minorEastAsia" w:hAnsiTheme="minorEastAsia" w:eastAsiaTheme="minor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1AF0CF1B">
      <w:pPr>
        <w:pageBreakBefore w:val="0"/>
        <w:widowControl/>
        <w:shd w:val="clear" w:color="auto" w:fill="FFFFFF"/>
        <w:kinsoku/>
        <w:wordWrap/>
        <w:overflowPunct/>
        <w:topLinePunct w:val="0"/>
        <w:autoSpaceDE/>
        <w:autoSpaceDN/>
        <w:bidi w:val="0"/>
        <w:adjustRightInd/>
        <w:spacing w:after="225" w:line="450" w:lineRule="exact"/>
        <w:jc w:val="left"/>
        <w:textAlignment w:val="auto"/>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四、评标中的其他事项</w:t>
      </w:r>
    </w:p>
    <w:p w14:paraId="3438D629">
      <w:pPr>
        <w:pStyle w:val="131"/>
        <w:pageBreakBefore w:val="0"/>
        <w:kinsoku/>
        <w:wordWrap/>
        <w:overflowPunct/>
        <w:topLinePunct w:val="0"/>
        <w:autoSpaceDE/>
        <w:autoSpaceDN/>
        <w:bidi w:val="0"/>
        <w:spacing w:before="0" w:line="450" w:lineRule="exact"/>
        <w:ind w:firstLine="472" w:firstLineChars="196"/>
        <w:textAlignment w:val="auto"/>
        <w:rPr>
          <w:rFonts w:cs="Arial" w:asciiTheme="minorEastAsia" w:hAnsiTheme="minorEastAsia" w:eastAsiaTheme="minorEastAsia"/>
          <w:kern w:val="0"/>
          <w:szCs w:val="24"/>
        </w:rPr>
      </w:pPr>
      <w:r>
        <w:rPr>
          <w:rFonts w:cs="Arial" w:asciiTheme="minorEastAsia" w:hAnsiTheme="minorEastAsia" w:eastAsiaTheme="minorEastAsia"/>
          <w:b/>
          <w:kern w:val="0"/>
          <w:szCs w:val="24"/>
        </w:rPr>
        <w:t>4.1</w:t>
      </w:r>
      <w:r>
        <w:rPr>
          <w:rFonts w:hint="eastAsia" w:cs="Arial" w:asciiTheme="minorEastAsia" w:hAnsiTheme="minorEastAsia" w:eastAsiaTheme="minorEastAsia"/>
          <w:b/>
          <w:kern w:val="0"/>
          <w:szCs w:val="24"/>
        </w:rPr>
        <w:t>投标人澄清、说明或者补正。</w:t>
      </w:r>
      <w:r>
        <w:rPr>
          <w:rFonts w:hint="eastAsia" w:cs="Arial"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395DF2">
      <w:pPr>
        <w:pStyle w:val="25"/>
        <w:pageBreakBefore w:val="0"/>
        <w:kinsoku/>
        <w:wordWrap/>
        <w:overflowPunct/>
        <w:topLinePunct w:val="0"/>
        <w:autoSpaceDE/>
        <w:autoSpaceDN/>
        <w:bidi w:val="0"/>
        <w:spacing w:line="450" w:lineRule="exact"/>
        <w:ind w:left="954" w:leftChars="226" w:hanging="479" w:firstLineChars="0"/>
        <w:textAlignment w:val="auto"/>
        <w:rPr>
          <w:rFonts w:cs="仿宋_GB2312" w:asciiTheme="minorEastAsia" w:hAnsiTheme="minorEastAsia" w:eastAsiaTheme="minorEastAsia"/>
          <w:szCs w:val="21"/>
        </w:rPr>
      </w:pPr>
      <w:r>
        <w:rPr>
          <w:rFonts w:cs="Arial" w:asciiTheme="minorEastAsia" w:hAnsiTheme="minorEastAsia" w:eastAsiaTheme="minorEastAsia"/>
          <w:b/>
          <w:kern w:val="0"/>
        </w:rPr>
        <w:t>4.2投标无效。</w:t>
      </w:r>
      <w:r>
        <w:rPr>
          <w:rFonts w:hint="eastAsia" w:cs="仿宋_GB2312" w:asciiTheme="minorEastAsia" w:hAnsiTheme="minorEastAsia" w:eastAsiaTheme="minorEastAsia"/>
          <w:szCs w:val="21"/>
        </w:rPr>
        <w:t>有下列情况之一的，投标无效：</w:t>
      </w:r>
    </w:p>
    <w:p w14:paraId="449B6FB2">
      <w:pPr>
        <w:pageBreakBefore w:val="0"/>
        <w:kinsoku/>
        <w:wordWrap/>
        <w:overflowPunct/>
        <w:topLinePunct w:val="0"/>
        <w:autoSpaceDE/>
        <w:autoSpaceDN/>
        <w:bidi w:val="0"/>
        <w:spacing w:line="450" w:lineRule="exact"/>
        <w:ind w:firstLine="480" w:firstLineChars="200"/>
        <w:textAlignment w:val="auto"/>
        <w:rPr>
          <w:rFonts w:cs="Arial" w:asciiTheme="minorEastAsia" w:hAnsiTheme="minorEastAsia" w:eastAsiaTheme="minorEastAsia"/>
          <w:kern w:val="0"/>
          <w:sz w:val="24"/>
        </w:rPr>
      </w:pPr>
      <w:r>
        <w:rPr>
          <w:rFonts w:cs="Arial"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14:paraId="31690CE8">
      <w:pPr>
        <w:pageBreakBefore w:val="0"/>
        <w:kinsoku/>
        <w:wordWrap/>
        <w:overflowPunct/>
        <w:topLinePunct w:val="0"/>
        <w:autoSpaceDE/>
        <w:autoSpaceDN/>
        <w:bidi w:val="0"/>
        <w:spacing w:line="450" w:lineRule="exact"/>
        <w:ind w:firstLine="480" w:firstLineChars="200"/>
        <w:textAlignment w:val="auto"/>
        <w:rPr>
          <w:rFonts w:cs="Arial" w:asciiTheme="minorEastAsia" w:hAnsiTheme="minorEastAsia" w:eastAsiaTheme="minorEastAsia"/>
          <w:kern w:val="0"/>
          <w:sz w:val="24"/>
        </w:rPr>
      </w:pPr>
      <w:r>
        <w:rPr>
          <w:rFonts w:cs="Arial" w:asciiTheme="minorEastAsia" w:hAnsiTheme="minorEastAsia" w:eastAsiaTheme="minorEastAsia"/>
          <w:kern w:val="0"/>
          <w:sz w:val="24"/>
        </w:rPr>
        <w:t>4.2.2投标文件未按照招标文件要求签署、盖章的；</w:t>
      </w:r>
    </w:p>
    <w:p w14:paraId="0134DF9D">
      <w:pPr>
        <w:pageBreakBefore w:val="0"/>
        <w:kinsoku/>
        <w:wordWrap/>
        <w:overflowPunct/>
        <w:topLinePunct w:val="0"/>
        <w:autoSpaceDE/>
        <w:autoSpaceDN/>
        <w:bidi w:val="0"/>
        <w:spacing w:line="450" w:lineRule="exact"/>
        <w:ind w:firstLine="480" w:firstLineChars="200"/>
        <w:textAlignment w:val="auto"/>
        <w:rPr>
          <w:rFonts w:cs="Arial" w:asciiTheme="minorEastAsia" w:hAnsiTheme="minorEastAsia" w:eastAsiaTheme="minorEastAsia"/>
          <w:kern w:val="0"/>
          <w:sz w:val="24"/>
        </w:rPr>
      </w:pPr>
      <w:r>
        <w:rPr>
          <w:rFonts w:cs="Arial"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cs="Arial" w:asciiTheme="minorEastAsia" w:hAnsiTheme="minorEastAsia" w:eastAsiaTheme="minorEastAsia"/>
          <w:kern w:val="0"/>
          <w:sz w:val="24"/>
        </w:rPr>
        <w:t>的；</w:t>
      </w:r>
    </w:p>
    <w:p w14:paraId="3E24F050">
      <w:pPr>
        <w:pageBreakBefore w:val="0"/>
        <w:kinsoku/>
        <w:wordWrap/>
        <w:overflowPunct/>
        <w:topLinePunct w:val="0"/>
        <w:autoSpaceDE/>
        <w:autoSpaceDN/>
        <w:bidi w:val="0"/>
        <w:spacing w:line="450" w:lineRule="exact"/>
        <w:ind w:firstLine="480" w:firstLineChars="200"/>
        <w:textAlignment w:val="auto"/>
        <w:rPr>
          <w:rFonts w:cs="Arial" w:asciiTheme="minorEastAsia" w:hAnsiTheme="minorEastAsia" w:eastAsiaTheme="minorEastAsia"/>
          <w:kern w:val="0"/>
          <w:sz w:val="24"/>
        </w:rPr>
      </w:pPr>
      <w:r>
        <w:rPr>
          <w:rFonts w:cs="Arial" w:asciiTheme="minorEastAsia" w:hAnsiTheme="minorEastAsia" w:eastAsiaTheme="minorEastAsia"/>
          <w:kern w:val="0"/>
          <w:sz w:val="24"/>
        </w:rPr>
        <w:t>4.2.4投标文件含有采购人不能接受的附加条件的；</w:t>
      </w:r>
    </w:p>
    <w:p w14:paraId="42C6D2DF">
      <w:pPr>
        <w:pageBreakBefore w:val="0"/>
        <w:kinsoku/>
        <w:wordWrap/>
        <w:overflowPunct/>
        <w:topLinePunct w:val="0"/>
        <w:autoSpaceDE/>
        <w:autoSpaceDN/>
        <w:bidi w:val="0"/>
        <w:spacing w:line="450" w:lineRule="exact"/>
        <w:ind w:firstLine="480" w:firstLineChars="200"/>
        <w:textAlignment w:val="auto"/>
        <w:rPr>
          <w:rFonts w:cs="Arial" w:asciiTheme="minorEastAsia" w:hAnsiTheme="minorEastAsia" w:eastAsiaTheme="minorEastAsia"/>
          <w:kern w:val="0"/>
          <w:sz w:val="24"/>
        </w:rPr>
      </w:pPr>
      <w:r>
        <w:rPr>
          <w:rFonts w:cs="Arial" w:asciiTheme="minorEastAsia" w:hAnsiTheme="minorEastAsia" w:eastAsiaTheme="minorEastAsia"/>
          <w:kern w:val="0"/>
          <w:sz w:val="24"/>
        </w:rPr>
        <w:t>4.2.5投标文件中承诺的投标有效期少于招标文件中载明的投标有效期的；</w:t>
      </w:r>
    </w:p>
    <w:p w14:paraId="2A88C980">
      <w:pPr>
        <w:pageBreakBefore w:val="0"/>
        <w:kinsoku/>
        <w:wordWrap/>
        <w:overflowPunct/>
        <w:topLinePunct w:val="0"/>
        <w:autoSpaceDE/>
        <w:autoSpaceDN/>
        <w:bidi w:val="0"/>
        <w:snapToGrid w:val="0"/>
        <w:spacing w:line="450" w:lineRule="exact"/>
        <w:ind w:firstLine="120" w:firstLineChars="50"/>
        <w:jc w:val="left"/>
        <w:textAlignment w:val="auto"/>
        <w:rPr>
          <w:rFonts w:cs="Arial" w:asciiTheme="minorEastAsia" w:hAnsiTheme="minorEastAsia" w:eastAsiaTheme="minorEastAsia"/>
          <w:kern w:val="0"/>
          <w:sz w:val="24"/>
        </w:rPr>
      </w:pPr>
      <w:r>
        <w:rPr>
          <w:rFonts w:cs="Arial" w:asciiTheme="minorEastAsia" w:hAnsiTheme="minorEastAsia" w:eastAsiaTheme="minorEastAsia"/>
          <w:kern w:val="0"/>
          <w:sz w:val="24"/>
        </w:rPr>
        <w:t>4.2.6投标文件出现不是唯一的、有选择性投标报价的;</w:t>
      </w:r>
    </w:p>
    <w:p w14:paraId="356AE964">
      <w:pPr>
        <w:pageBreakBefore w:val="0"/>
        <w:kinsoku/>
        <w:wordWrap/>
        <w:overflowPunct/>
        <w:topLinePunct w:val="0"/>
        <w:autoSpaceDE/>
        <w:autoSpaceDN/>
        <w:bidi w:val="0"/>
        <w:spacing w:line="450" w:lineRule="exact"/>
        <w:ind w:firstLine="480" w:firstLineChars="200"/>
        <w:textAlignment w:val="auto"/>
        <w:rPr>
          <w:rFonts w:cs="Arial" w:asciiTheme="minorEastAsia" w:hAnsiTheme="minorEastAsia" w:eastAsiaTheme="minorEastAsia"/>
          <w:kern w:val="0"/>
          <w:sz w:val="24"/>
        </w:rPr>
      </w:pPr>
      <w:r>
        <w:rPr>
          <w:rFonts w:cs="Arial" w:asciiTheme="minorEastAsia" w:hAnsiTheme="minorEastAsia" w:eastAsiaTheme="minorEastAsia"/>
          <w:kern w:val="0"/>
          <w:sz w:val="24"/>
        </w:rPr>
        <w:t>4.2.7投标报价超过招标文件中规定的预算金额或者最高限价的;</w:t>
      </w:r>
    </w:p>
    <w:p w14:paraId="4B9B06C1">
      <w:pPr>
        <w:pageBreakBefore w:val="0"/>
        <w:kinsoku/>
        <w:wordWrap/>
        <w:overflowPunct/>
        <w:topLinePunct w:val="0"/>
        <w:autoSpaceDE/>
        <w:autoSpaceDN/>
        <w:bidi w:val="0"/>
        <w:spacing w:line="450" w:lineRule="exact"/>
        <w:ind w:firstLine="480" w:firstLineChars="200"/>
        <w:textAlignment w:val="auto"/>
        <w:rPr>
          <w:rFonts w:cs="Arial" w:asciiTheme="minorEastAsia" w:hAnsiTheme="minorEastAsia" w:eastAsiaTheme="minorEastAsia"/>
          <w:kern w:val="0"/>
          <w:sz w:val="24"/>
        </w:rPr>
      </w:pPr>
      <w:r>
        <w:rPr>
          <w:rFonts w:cs="Arial"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14:paraId="54C3B8BE">
      <w:pPr>
        <w:pageBreakBefore w:val="0"/>
        <w:kinsoku/>
        <w:wordWrap/>
        <w:overflowPunct/>
        <w:topLinePunct w:val="0"/>
        <w:autoSpaceDE/>
        <w:autoSpaceDN/>
        <w:bidi w:val="0"/>
        <w:spacing w:line="450" w:lineRule="exact"/>
        <w:ind w:firstLine="480" w:firstLineChars="200"/>
        <w:textAlignment w:val="auto"/>
        <w:rPr>
          <w:rFonts w:cs="Arial" w:asciiTheme="minorEastAsia" w:hAnsiTheme="minorEastAsia" w:eastAsiaTheme="minorEastAsia"/>
          <w:kern w:val="0"/>
          <w:sz w:val="24"/>
        </w:rPr>
      </w:pPr>
      <w:r>
        <w:rPr>
          <w:rFonts w:cs="Arial" w:asciiTheme="minorEastAsia" w:hAnsiTheme="minorEastAsia" w:eastAsiaTheme="minorEastAsia"/>
          <w:kern w:val="0"/>
          <w:sz w:val="24"/>
        </w:rPr>
        <w:t>4.2.9投标人对根据修正原则修正后的报价不确认的；</w:t>
      </w:r>
    </w:p>
    <w:p w14:paraId="51C635E6">
      <w:pPr>
        <w:pageBreakBefore w:val="0"/>
        <w:kinsoku/>
        <w:wordWrap/>
        <w:overflowPunct/>
        <w:topLinePunct w:val="0"/>
        <w:autoSpaceDE/>
        <w:autoSpaceDN/>
        <w:bidi w:val="0"/>
        <w:spacing w:line="450" w:lineRule="exact"/>
        <w:ind w:firstLine="480" w:firstLineChars="200"/>
        <w:textAlignment w:val="auto"/>
        <w:rPr>
          <w:rFonts w:cs="Arial" w:asciiTheme="minorEastAsia" w:hAnsiTheme="minorEastAsia" w:eastAsiaTheme="minorEastAsia"/>
          <w:kern w:val="0"/>
          <w:sz w:val="24"/>
        </w:rPr>
      </w:pPr>
      <w:r>
        <w:rPr>
          <w:rFonts w:cs="Arial" w:asciiTheme="minorEastAsia" w:hAnsiTheme="minorEastAsia" w:eastAsiaTheme="minorEastAsia"/>
          <w:kern w:val="0"/>
          <w:sz w:val="24"/>
        </w:rPr>
        <w:t>4.2.10投标人提供虚假材料投标的；</w:t>
      </w:r>
    </w:p>
    <w:p w14:paraId="09C1F47F">
      <w:pPr>
        <w:pageBreakBefore w:val="0"/>
        <w:kinsoku/>
        <w:wordWrap/>
        <w:overflowPunct/>
        <w:topLinePunct w:val="0"/>
        <w:autoSpaceDE/>
        <w:autoSpaceDN/>
        <w:bidi w:val="0"/>
        <w:spacing w:line="450" w:lineRule="exact"/>
        <w:ind w:firstLine="240" w:firstLineChars="100"/>
        <w:textAlignment w:val="auto"/>
        <w:rPr>
          <w:rFonts w:cs="Arial" w:asciiTheme="minorEastAsia" w:hAnsiTheme="minorEastAsia" w:eastAsiaTheme="minorEastAsia"/>
          <w:kern w:val="0"/>
          <w:sz w:val="24"/>
        </w:rPr>
      </w:pPr>
      <w:r>
        <w:rPr>
          <w:rFonts w:cs="Arial" w:asciiTheme="minorEastAsia" w:hAnsiTheme="minorEastAsia" w:eastAsiaTheme="minorEastAsia"/>
          <w:kern w:val="0"/>
          <w:sz w:val="24"/>
        </w:rPr>
        <w:t xml:space="preserve">  4.2.11投标人有恶意串通、妨碍其他投标人的竞争行为、损害采购人或者其他投标人的合法权益情形的；</w:t>
      </w:r>
    </w:p>
    <w:p w14:paraId="09FF7C41">
      <w:pPr>
        <w:pageBreakBefore w:val="0"/>
        <w:kinsoku/>
        <w:wordWrap/>
        <w:overflowPunct/>
        <w:topLinePunct w:val="0"/>
        <w:autoSpaceDE/>
        <w:autoSpaceDN/>
        <w:bidi w:val="0"/>
        <w:spacing w:line="450" w:lineRule="exact"/>
        <w:ind w:firstLine="480" w:firstLineChars="200"/>
        <w:textAlignment w:val="auto"/>
        <w:rPr>
          <w:rFonts w:cs="Arial" w:asciiTheme="minorEastAsia" w:hAnsiTheme="minorEastAsia" w:eastAsiaTheme="minorEastAsia"/>
          <w:kern w:val="0"/>
          <w:sz w:val="24"/>
        </w:rPr>
      </w:pPr>
      <w:r>
        <w:rPr>
          <w:rFonts w:cs="Arial" w:asciiTheme="minorEastAsia" w:hAnsiTheme="minorEastAsia" w:eastAsiaTheme="minorEastAsia"/>
          <w:kern w:val="0"/>
          <w:sz w:val="24"/>
        </w:rPr>
        <w:t>4.2.12投标人仅提交备份投标文件，没有在电子交易平台传输递交投标文件的，投标无效；</w:t>
      </w:r>
    </w:p>
    <w:p w14:paraId="6D7AD4F1">
      <w:pPr>
        <w:pStyle w:val="5"/>
        <w:pageBreakBefore w:val="0"/>
        <w:kinsoku/>
        <w:wordWrap/>
        <w:overflowPunct/>
        <w:topLinePunct w:val="0"/>
        <w:autoSpaceDE/>
        <w:autoSpaceDN/>
        <w:bidi w:val="0"/>
        <w:spacing w:line="450" w:lineRule="exact"/>
        <w:ind w:left="862" w:leftChars="205"/>
        <w:textAlignment w:val="auto"/>
        <w:rPr>
          <w:rFonts w:cs="Arial" w:asciiTheme="minorEastAsia" w:hAnsiTheme="minorEastAsia" w:eastAsiaTheme="minorEastAsia"/>
          <w:b w:val="0"/>
          <w:bCs w:val="0"/>
          <w:kern w:val="0"/>
          <w:sz w:val="24"/>
          <w:szCs w:val="24"/>
          <w:lang w:val="en-US"/>
        </w:rPr>
      </w:pPr>
      <w:bookmarkStart w:id="410" w:name="_Toc18335"/>
      <w:bookmarkStart w:id="411" w:name="_Toc92901624"/>
      <w:r>
        <w:rPr>
          <w:rFonts w:cs="Arial" w:asciiTheme="minorEastAsia" w:hAnsiTheme="minorEastAsia" w:eastAsiaTheme="minorEastAsia"/>
          <w:b w:val="0"/>
          <w:bCs w:val="0"/>
          <w:kern w:val="0"/>
          <w:sz w:val="24"/>
          <w:szCs w:val="24"/>
          <w:lang w:val="en-US"/>
        </w:rPr>
        <w:t xml:space="preserve">4.2.13 </w:t>
      </w:r>
      <w:r>
        <w:rPr>
          <w:rFonts w:hint="eastAsia" w:cs="Arial" w:asciiTheme="minorEastAsia" w:hAnsiTheme="minorEastAsia" w:eastAsiaTheme="minorEastAsia"/>
          <w:b w:val="0"/>
          <w:bCs w:val="0"/>
          <w:kern w:val="0"/>
          <w:sz w:val="24"/>
          <w:szCs w:val="24"/>
          <w:lang w:val="en-US"/>
        </w:rPr>
        <w:t>投标文件不满足招标文件的其它实质性要求的；</w:t>
      </w:r>
      <w:bookmarkEnd w:id="410"/>
      <w:bookmarkEnd w:id="411"/>
    </w:p>
    <w:p w14:paraId="6489E3C1">
      <w:pPr>
        <w:pageBreakBefore w:val="0"/>
        <w:kinsoku/>
        <w:wordWrap/>
        <w:overflowPunct/>
        <w:topLinePunct w:val="0"/>
        <w:autoSpaceDE/>
        <w:autoSpaceDN/>
        <w:bidi w:val="0"/>
        <w:spacing w:line="450" w:lineRule="exact"/>
        <w:ind w:firstLine="480" w:firstLineChars="200"/>
        <w:textAlignment w:val="auto"/>
        <w:rPr>
          <w:rFonts w:cs="Arial" w:asciiTheme="minorEastAsia" w:hAnsiTheme="minorEastAsia" w:eastAsiaTheme="minorEastAsia"/>
          <w:kern w:val="0"/>
          <w:sz w:val="24"/>
        </w:rPr>
      </w:pPr>
      <w:r>
        <w:rPr>
          <w:rFonts w:cs="Arial" w:asciiTheme="minorEastAsia" w:hAnsiTheme="minorEastAsia" w:eastAsiaTheme="minorEastAsia"/>
          <w:kern w:val="0"/>
          <w:sz w:val="24"/>
        </w:rPr>
        <w:t>4.2.14法律、法规、规章（适用本市的）及省级以上规范性文件（适用本市的）规定的其他无效情形。</w:t>
      </w:r>
    </w:p>
    <w:p w14:paraId="03184ED2">
      <w:pPr>
        <w:pStyle w:val="25"/>
        <w:pageBreakBefore w:val="0"/>
        <w:kinsoku/>
        <w:wordWrap/>
        <w:overflowPunct/>
        <w:topLinePunct w:val="0"/>
        <w:autoSpaceDE/>
        <w:autoSpaceDN/>
        <w:bidi w:val="0"/>
        <w:snapToGrid w:val="0"/>
        <w:spacing w:line="450" w:lineRule="exact"/>
        <w:ind w:firstLine="472" w:firstLineChars="196"/>
        <w:textAlignment w:val="auto"/>
        <w:rPr>
          <w:rFonts w:cs="仿宋_GB2312" w:asciiTheme="minorEastAsia" w:hAnsiTheme="minorEastAsia" w:eastAsiaTheme="minorEastAsia"/>
        </w:rPr>
      </w:pPr>
      <w:r>
        <w:rPr>
          <w:rFonts w:cs="仿宋_GB2312" w:asciiTheme="minorEastAsia" w:hAnsiTheme="minorEastAsia" w:eastAsiaTheme="minorEastAsia"/>
          <w:b/>
        </w:rPr>
        <w:t>5.废标。</w:t>
      </w:r>
      <w:r>
        <w:rPr>
          <w:rFonts w:hint="eastAsia" w:cs="仿宋_GB2312" w:asciiTheme="minorEastAsia" w:hAnsiTheme="minorEastAsia" w:eastAsiaTheme="minorEastAsia"/>
        </w:rPr>
        <w:t>根据《中华人民共和国政府采购法》第三十六条之规定，在采购中，出现下列情形之一的，应予废标：</w:t>
      </w:r>
    </w:p>
    <w:p w14:paraId="22B10B4B">
      <w:pPr>
        <w:pStyle w:val="25"/>
        <w:pageBreakBefore w:val="0"/>
        <w:kinsoku/>
        <w:wordWrap/>
        <w:overflowPunct/>
        <w:topLinePunct w:val="0"/>
        <w:autoSpaceDE/>
        <w:autoSpaceDN/>
        <w:bidi w:val="0"/>
        <w:snapToGrid w:val="0"/>
        <w:spacing w:line="450" w:lineRule="exact"/>
        <w:textAlignment w:val="auto"/>
        <w:rPr>
          <w:rFonts w:cs="仿宋_GB2312" w:asciiTheme="minorEastAsia" w:hAnsiTheme="minorEastAsia" w:eastAsiaTheme="minorEastAsia"/>
        </w:rPr>
      </w:pPr>
      <w:r>
        <w:rPr>
          <w:rFonts w:cs="仿宋_GB2312" w:asciiTheme="minorEastAsia" w:hAnsiTheme="minorEastAsia" w:eastAsiaTheme="minorEastAsia"/>
        </w:rPr>
        <w:t>5.1符合专业条件的供应商或者对招标文件作实质响应的供应商不足3家的；</w:t>
      </w:r>
    </w:p>
    <w:p w14:paraId="77BEB9DD">
      <w:pPr>
        <w:pStyle w:val="25"/>
        <w:pageBreakBefore w:val="0"/>
        <w:kinsoku/>
        <w:wordWrap/>
        <w:overflowPunct/>
        <w:topLinePunct w:val="0"/>
        <w:autoSpaceDE/>
        <w:autoSpaceDN/>
        <w:bidi w:val="0"/>
        <w:snapToGrid w:val="0"/>
        <w:spacing w:line="450" w:lineRule="exact"/>
        <w:textAlignment w:val="auto"/>
        <w:rPr>
          <w:rFonts w:cs="仿宋_GB2312" w:asciiTheme="minorEastAsia" w:hAnsiTheme="minorEastAsia" w:eastAsiaTheme="minorEastAsia"/>
        </w:rPr>
      </w:pPr>
      <w:r>
        <w:rPr>
          <w:rFonts w:cs="仿宋_GB2312" w:asciiTheme="minorEastAsia" w:hAnsiTheme="minorEastAsia" w:eastAsiaTheme="minorEastAsia"/>
        </w:rPr>
        <w:t>5.2出现影响采购公正的违法、违规行为的；</w:t>
      </w:r>
    </w:p>
    <w:p w14:paraId="2CD6CB9B">
      <w:pPr>
        <w:pStyle w:val="25"/>
        <w:pageBreakBefore w:val="0"/>
        <w:kinsoku/>
        <w:wordWrap/>
        <w:overflowPunct/>
        <w:topLinePunct w:val="0"/>
        <w:autoSpaceDE/>
        <w:autoSpaceDN/>
        <w:bidi w:val="0"/>
        <w:snapToGrid w:val="0"/>
        <w:spacing w:line="450" w:lineRule="exact"/>
        <w:textAlignment w:val="auto"/>
        <w:rPr>
          <w:rFonts w:cs="仿宋_GB2312" w:asciiTheme="minorEastAsia" w:hAnsiTheme="minorEastAsia" w:eastAsiaTheme="minorEastAsia"/>
        </w:rPr>
      </w:pPr>
      <w:r>
        <w:rPr>
          <w:rFonts w:cs="仿宋_GB2312" w:asciiTheme="minorEastAsia" w:hAnsiTheme="minorEastAsia" w:eastAsiaTheme="minorEastAsia"/>
        </w:rPr>
        <w:t>5.3投标人的报价均超过了采购预算，采购人不能支付的；</w:t>
      </w:r>
    </w:p>
    <w:p w14:paraId="360E7B23">
      <w:pPr>
        <w:pStyle w:val="25"/>
        <w:pageBreakBefore w:val="0"/>
        <w:kinsoku/>
        <w:wordWrap/>
        <w:overflowPunct/>
        <w:topLinePunct w:val="0"/>
        <w:autoSpaceDE/>
        <w:autoSpaceDN/>
        <w:bidi w:val="0"/>
        <w:snapToGrid w:val="0"/>
        <w:spacing w:line="450" w:lineRule="exact"/>
        <w:textAlignment w:val="auto"/>
        <w:rPr>
          <w:rFonts w:cs="仿宋_GB2312" w:asciiTheme="minorEastAsia" w:hAnsiTheme="minorEastAsia" w:eastAsiaTheme="minorEastAsia"/>
        </w:rPr>
      </w:pPr>
      <w:r>
        <w:rPr>
          <w:rFonts w:cs="仿宋_GB2312" w:asciiTheme="minorEastAsia" w:hAnsiTheme="minorEastAsia" w:eastAsiaTheme="minorEastAsia"/>
        </w:rPr>
        <w:t>5.4因重大变故，采购任务取消的。</w:t>
      </w:r>
    </w:p>
    <w:p w14:paraId="2CE0DFC3">
      <w:pPr>
        <w:pStyle w:val="25"/>
        <w:pageBreakBefore w:val="0"/>
        <w:kinsoku/>
        <w:wordWrap/>
        <w:overflowPunct/>
        <w:topLinePunct w:val="0"/>
        <w:autoSpaceDE/>
        <w:autoSpaceDN/>
        <w:bidi w:val="0"/>
        <w:snapToGrid w:val="0"/>
        <w:spacing w:line="450" w:lineRule="exact"/>
        <w:textAlignment w:val="auto"/>
        <w:rPr>
          <w:rFonts w:cs="仿宋_GB2312" w:asciiTheme="minorEastAsia" w:hAnsiTheme="minorEastAsia" w:eastAsiaTheme="minorEastAsia"/>
        </w:rPr>
      </w:pPr>
      <w:r>
        <w:rPr>
          <w:rFonts w:hint="eastAsia" w:cs="仿宋_GB2312" w:asciiTheme="minorEastAsia" w:hAnsiTheme="minorEastAsia" w:eastAsiaTheme="minorEastAsia"/>
        </w:rPr>
        <w:t>废标后，采购机构应当将废标理由通知所有投标人。</w:t>
      </w:r>
    </w:p>
    <w:p w14:paraId="46FD914C">
      <w:pPr>
        <w:pStyle w:val="25"/>
        <w:pageBreakBefore w:val="0"/>
        <w:kinsoku/>
        <w:wordWrap/>
        <w:overflowPunct/>
        <w:topLinePunct w:val="0"/>
        <w:autoSpaceDE/>
        <w:autoSpaceDN/>
        <w:bidi w:val="0"/>
        <w:snapToGrid w:val="0"/>
        <w:spacing w:line="450" w:lineRule="exact"/>
        <w:ind w:firstLine="590" w:firstLineChars="245"/>
        <w:textAlignment w:val="auto"/>
        <w:rPr>
          <w:rFonts w:cs="仿宋_GB2312" w:asciiTheme="minorEastAsia" w:hAnsiTheme="minorEastAsia" w:eastAsiaTheme="minorEastAsia"/>
        </w:rPr>
      </w:pPr>
      <w:r>
        <w:rPr>
          <w:rFonts w:cs="仿宋_GB2312" w:asciiTheme="minorEastAsia" w:hAnsiTheme="minorEastAsia" w:eastAsiaTheme="minorEastAsia"/>
          <w:b/>
        </w:rPr>
        <w:t>6.修改招标文件，重新组织采购活动。</w:t>
      </w:r>
      <w:r>
        <w:rPr>
          <w:rFonts w:hint="eastAsia" w:cs="仿宋_GB2312"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A6445DE">
      <w:pPr>
        <w:pStyle w:val="25"/>
        <w:pageBreakBefore w:val="0"/>
        <w:kinsoku/>
        <w:wordWrap/>
        <w:overflowPunct/>
        <w:topLinePunct w:val="0"/>
        <w:autoSpaceDE/>
        <w:autoSpaceDN/>
        <w:bidi w:val="0"/>
        <w:snapToGrid w:val="0"/>
        <w:spacing w:line="450" w:lineRule="exact"/>
        <w:ind w:firstLine="590" w:firstLineChars="245"/>
        <w:textAlignment w:val="auto"/>
        <w:rPr>
          <w:rFonts w:cs="仿宋_GB2312" w:asciiTheme="minorEastAsia" w:hAnsiTheme="minorEastAsia" w:eastAsiaTheme="minorEastAsia"/>
        </w:rPr>
      </w:pPr>
      <w:r>
        <w:rPr>
          <w:rFonts w:hint="eastAsia" w:cs="Helvetica" w:asciiTheme="minorEastAsia" w:hAnsiTheme="minorEastAsia" w:eastAsiaTheme="minorEastAsia"/>
          <w:b/>
          <w:kern w:val="0"/>
        </w:rPr>
        <w:t>7.重新开展采购。</w:t>
      </w:r>
      <w:r>
        <w:rPr>
          <w:rFonts w:hint="eastAsia" w:cs="仿宋_GB2312" w:asciiTheme="minorEastAsia" w:hAnsiTheme="minorEastAsia" w:eastAsiaTheme="minorEastAsia"/>
        </w:rPr>
        <w:t>有政府采购法第七十一条、第七十二条规定的违法行为之一，影响或者可能影响中标、成交结果的，依照下列规定处理：</w:t>
      </w:r>
    </w:p>
    <w:p w14:paraId="73597D93">
      <w:pPr>
        <w:pStyle w:val="25"/>
        <w:pageBreakBefore w:val="0"/>
        <w:kinsoku/>
        <w:wordWrap/>
        <w:overflowPunct/>
        <w:topLinePunct w:val="0"/>
        <w:autoSpaceDE/>
        <w:autoSpaceDN/>
        <w:bidi w:val="0"/>
        <w:snapToGrid w:val="0"/>
        <w:spacing w:line="450" w:lineRule="exact"/>
        <w:ind w:firstLine="600" w:firstLineChars="250"/>
        <w:textAlignment w:val="auto"/>
        <w:rPr>
          <w:rFonts w:cs="仿宋_GB2312" w:asciiTheme="minorEastAsia" w:hAnsiTheme="minorEastAsia" w:eastAsiaTheme="minorEastAsia"/>
        </w:rPr>
      </w:pPr>
      <w:r>
        <w:rPr>
          <w:rFonts w:cs="仿宋_GB2312" w:asciiTheme="minorEastAsia" w:hAnsiTheme="minorEastAsia" w:eastAsiaTheme="minorEastAsia"/>
        </w:rPr>
        <w:t>7.1未确定中标或者中标人的，终止本次政府采购活动，重新开展政府采购</w:t>
      </w:r>
      <w:r>
        <w:rPr>
          <w:rFonts w:hint="eastAsia" w:cs="仿宋_GB2312" w:asciiTheme="minorEastAsia" w:hAnsiTheme="minorEastAsia" w:eastAsiaTheme="minorEastAsia"/>
        </w:rPr>
        <w:t>活动。</w:t>
      </w:r>
    </w:p>
    <w:p w14:paraId="24C9E6C9">
      <w:pPr>
        <w:pStyle w:val="25"/>
        <w:pageBreakBefore w:val="0"/>
        <w:kinsoku/>
        <w:wordWrap/>
        <w:overflowPunct/>
        <w:topLinePunct w:val="0"/>
        <w:autoSpaceDE/>
        <w:autoSpaceDN/>
        <w:bidi w:val="0"/>
        <w:snapToGrid w:val="0"/>
        <w:spacing w:line="450" w:lineRule="exact"/>
        <w:ind w:firstLine="600" w:firstLineChars="250"/>
        <w:textAlignment w:val="auto"/>
        <w:rPr>
          <w:rFonts w:cs="仿宋_GB2312" w:asciiTheme="minorEastAsia" w:hAnsiTheme="minorEastAsia" w:eastAsiaTheme="minorEastAsia"/>
        </w:rPr>
      </w:pPr>
      <w:r>
        <w:rPr>
          <w:rFonts w:cs="仿宋_GB2312"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14:paraId="7D800F7A">
      <w:pPr>
        <w:pStyle w:val="25"/>
        <w:pageBreakBefore w:val="0"/>
        <w:kinsoku/>
        <w:wordWrap/>
        <w:overflowPunct/>
        <w:topLinePunct w:val="0"/>
        <w:autoSpaceDE/>
        <w:autoSpaceDN/>
        <w:bidi w:val="0"/>
        <w:snapToGrid w:val="0"/>
        <w:spacing w:line="450" w:lineRule="exact"/>
        <w:ind w:firstLine="600" w:firstLineChars="250"/>
        <w:textAlignment w:val="auto"/>
        <w:rPr>
          <w:rFonts w:cs="仿宋_GB2312" w:asciiTheme="minorEastAsia" w:hAnsiTheme="minorEastAsia" w:eastAsiaTheme="minorEastAsia"/>
        </w:rPr>
      </w:pPr>
      <w:r>
        <w:rPr>
          <w:rFonts w:cs="仿宋_GB2312"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14:paraId="2265D347">
      <w:pPr>
        <w:pStyle w:val="25"/>
        <w:pageBreakBefore w:val="0"/>
        <w:kinsoku/>
        <w:wordWrap/>
        <w:overflowPunct/>
        <w:topLinePunct w:val="0"/>
        <w:autoSpaceDE/>
        <w:autoSpaceDN/>
        <w:bidi w:val="0"/>
        <w:snapToGrid w:val="0"/>
        <w:spacing w:line="450" w:lineRule="exact"/>
        <w:textAlignment w:val="auto"/>
        <w:rPr>
          <w:rFonts w:cs="仿宋_GB2312" w:asciiTheme="minorEastAsia" w:hAnsiTheme="minorEastAsia" w:eastAsiaTheme="minorEastAsia"/>
        </w:rPr>
      </w:pPr>
      <w:r>
        <w:rPr>
          <w:rFonts w:cs="仿宋_GB2312" w:asciiTheme="minorEastAsia" w:hAnsiTheme="minorEastAsia" w:eastAsiaTheme="minorEastAsia"/>
        </w:rPr>
        <w:t>7.4政府采购合同已经履行，给采购人、供应</w:t>
      </w:r>
      <w:r>
        <w:rPr>
          <w:rFonts w:hint="eastAsia" w:cs="仿宋_GB2312" w:asciiTheme="minorEastAsia" w:hAnsiTheme="minorEastAsia" w:eastAsiaTheme="minorEastAsia"/>
        </w:rPr>
        <w:t>商造成损失的，由责任人承担赔偿责任。</w:t>
      </w:r>
    </w:p>
    <w:p w14:paraId="27240892">
      <w:pPr>
        <w:pStyle w:val="25"/>
        <w:pageBreakBefore w:val="0"/>
        <w:kinsoku/>
        <w:wordWrap/>
        <w:overflowPunct/>
        <w:topLinePunct w:val="0"/>
        <w:autoSpaceDE/>
        <w:autoSpaceDN/>
        <w:bidi w:val="0"/>
        <w:snapToGrid w:val="0"/>
        <w:spacing w:line="450" w:lineRule="exact"/>
        <w:textAlignment w:val="auto"/>
      </w:pPr>
      <w:r>
        <w:rPr>
          <w:rFonts w:cs="仿宋_GB2312" w:asciiTheme="minorEastAsia" w:hAnsiTheme="minorEastAsia" w:eastAsiaTheme="minorEastAsia"/>
        </w:rPr>
        <w:t>7.5政府采购当事人有其他违反政府采购</w:t>
      </w:r>
      <w:r>
        <w:rPr>
          <w:rFonts w:hint="eastAsia" w:cs="仿宋_GB2312" w:asciiTheme="minorEastAsia" w:hAnsiTheme="minorEastAsia" w:eastAsiaTheme="minorEastAsia"/>
        </w:rPr>
        <w:t>法</w:t>
      </w:r>
      <w:r>
        <w:rPr>
          <w:rFonts w:hint="eastAsia" w:cs="Arial" w:asciiTheme="minorEastAsia" w:hAnsiTheme="minorEastAsia" w:eastAsiaTheme="minorEastAsia"/>
          <w:kern w:val="0"/>
        </w:rPr>
        <w:t>或者政府采购法实施条例等法律法规规定</w:t>
      </w:r>
      <w:r>
        <w:rPr>
          <w:rFonts w:hint="eastAsia" w:cs="仿宋_GB2312" w:asciiTheme="minorEastAsia" w:hAnsiTheme="minorEastAsia" w:eastAsiaTheme="minorEastAsia"/>
        </w:rPr>
        <w:t>的行为，经改正后仍然影响或者可能影响中标、成交结果或者依法被认定为中标、成交无效的，依照</w:t>
      </w:r>
      <w:r>
        <w:rPr>
          <w:rFonts w:cs="仿宋_GB2312" w:asciiTheme="minorEastAsia" w:hAnsiTheme="minorEastAsia" w:eastAsiaTheme="minorEastAsia"/>
        </w:rPr>
        <w:t>7.1-7.4规定处理。</w:t>
      </w:r>
      <w:bookmarkEnd w:id="23"/>
      <w:bookmarkStart w:id="412" w:name="_Toc86217003"/>
      <w:bookmarkStart w:id="413" w:name="第五部分"/>
    </w:p>
    <w:p w14:paraId="04062F7B">
      <w:pPr>
        <w:rPr>
          <w:rFonts w:hint="eastAsia"/>
        </w:rPr>
      </w:pPr>
      <w:bookmarkStart w:id="414" w:name="_Toc32299"/>
      <w:r>
        <w:rPr>
          <w:rFonts w:hint="eastAsia"/>
        </w:rPr>
        <w:br w:type="page"/>
      </w:r>
    </w:p>
    <w:p w14:paraId="2FE79182">
      <w:pPr>
        <w:pStyle w:val="4"/>
        <w:spacing w:before="48" w:after="48"/>
      </w:pPr>
      <w:r>
        <w:rPr>
          <w:rFonts w:hint="eastAsia"/>
        </w:rPr>
        <w:t>第五部分拟签订的合同文本</w:t>
      </w:r>
      <w:bookmarkEnd w:id="414"/>
    </w:p>
    <w:p w14:paraId="037CEF17">
      <w:pPr>
        <w:spacing w:line="480" w:lineRule="auto"/>
        <w:jc w:val="center"/>
        <w:rPr>
          <w:rFonts w:asciiTheme="minorEastAsia" w:hAnsiTheme="minorEastAsia" w:eastAsiaTheme="minorEastAsia"/>
          <w:b/>
          <w:sz w:val="28"/>
          <w:szCs w:val="28"/>
        </w:rPr>
      </w:pPr>
    </w:p>
    <w:p w14:paraId="2A6F0ABB">
      <w:pPr>
        <w:spacing w:line="480" w:lineRule="auto"/>
        <w:jc w:val="center"/>
        <w:rPr>
          <w:rFonts w:asciiTheme="minorEastAsia" w:hAnsiTheme="minorEastAsia" w:eastAsiaTheme="minorEastAsia"/>
          <w:b/>
          <w:sz w:val="24"/>
        </w:rPr>
      </w:pPr>
    </w:p>
    <w:p w14:paraId="6048338C">
      <w:pPr>
        <w:spacing w:line="480" w:lineRule="auto"/>
        <w:jc w:val="center"/>
        <w:rPr>
          <w:rFonts w:asciiTheme="minorEastAsia" w:hAnsiTheme="minorEastAsia" w:eastAsiaTheme="minorEastAsia"/>
          <w:b/>
          <w:sz w:val="24"/>
        </w:rPr>
      </w:pPr>
    </w:p>
    <w:p w14:paraId="3267796D">
      <w:pPr>
        <w:spacing w:line="480" w:lineRule="auto"/>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政府采购合同参考范本</w:t>
      </w:r>
    </w:p>
    <w:p w14:paraId="357C17CC">
      <w:pPr>
        <w:pStyle w:val="701"/>
        <w:rPr>
          <w:rFonts w:asciiTheme="minorEastAsia" w:hAnsiTheme="minorEastAsia" w:eastAsiaTheme="minorEastAsia"/>
          <w:szCs w:val="24"/>
        </w:rPr>
      </w:pPr>
    </w:p>
    <w:p w14:paraId="49598BC1">
      <w:pPr>
        <w:pStyle w:val="701"/>
        <w:rPr>
          <w:rFonts w:asciiTheme="minorEastAsia" w:hAnsiTheme="minorEastAsia" w:eastAsiaTheme="minorEastAsia"/>
          <w:szCs w:val="24"/>
        </w:rPr>
      </w:pPr>
    </w:p>
    <w:p w14:paraId="26D0BA6A">
      <w:pPr>
        <w:pStyle w:val="701"/>
        <w:jc w:val="center"/>
        <w:rPr>
          <w:rFonts w:asciiTheme="minorEastAsia" w:hAnsiTheme="minorEastAsia" w:eastAsiaTheme="minorEastAsia"/>
          <w:szCs w:val="24"/>
        </w:rPr>
      </w:pPr>
    </w:p>
    <w:p w14:paraId="107271F8">
      <w:pPr>
        <w:pStyle w:val="701"/>
        <w:ind w:firstLine="2843" w:firstLineChars="1180"/>
        <w:rPr>
          <w:rFonts w:ascii="宋体" w:hAnsi="宋体" w:cs="宋体"/>
          <w:b/>
          <w:szCs w:val="24"/>
        </w:rPr>
      </w:pPr>
      <w:r>
        <w:rPr>
          <w:rFonts w:hint="eastAsia" w:ascii="宋体" w:hAnsi="宋体" w:cs="宋体"/>
          <w:b/>
          <w:szCs w:val="24"/>
        </w:rPr>
        <w:t>第一部分 合同书</w:t>
      </w:r>
    </w:p>
    <w:p w14:paraId="097AE131">
      <w:pPr>
        <w:spacing w:before="120" w:line="22" w:lineRule="atLeast"/>
        <w:rPr>
          <w:rFonts w:ascii="宋体" w:hAnsi="宋体" w:cs="宋体"/>
          <w:sz w:val="24"/>
        </w:rPr>
      </w:pPr>
    </w:p>
    <w:p w14:paraId="5E818BE9">
      <w:pPr>
        <w:pStyle w:val="5"/>
        <w:spacing w:before="120" w:line="22" w:lineRule="atLeast"/>
        <w:rPr>
          <w:rFonts w:ascii="宋体" w:hAnsi="宋体" w:cs="宋体"/>
          <w:sz w:val="24"/>
        </w:rPr>
      </w:pPr>
    </w:p>
    <w:p w14:paraId="60698EB0">
      <w:pPr>
        <w:spacing w:before="120" w:line="22" w:lineRule="atLeast"/>
        <w:ind w:left="960"/>
        <w:rPr>
          <w:rFonts w:ascii="宋体" w:hAnsi="宋体" w:cs="宋体"/>
          <w:sz w:val="24"/>
        </w:rPr>
      </w:pPr>
      <w:r>
        <w:rPr>
          <w:rFonts w:hint="eastAsia" w:ascii="宋体" w:hAnsi="宋体" w:cs="宋体"/>
          <w:sz w:val="24"/>
        </w:rPr>
        <w:t>项目名称：</w:t>
      </w:r>
    </w:p>
    <w:p w14:paraId="43AF6723">
      <w:pPr>
        <w:pStyle w:val="598"/>
        <w:spacing w:before="120" w:line="22" w:lineRule="atLeast"/>
        <w:rPr>
          <w:rFonts w:ascii="宋体" w:hAnsi="宋体" w:eastAsia="宋体" w:cs="宋体"/>
          <w:szCs w:val="24"/>
        </w:rPr>
      </w:pPr>
    </w:p>
    <w:p w14:paraId="09A972D6">
      <w:pPr>
        <w:pStyle w:val="598"/>
        <w:spacing w:before="120" w:line="22" w:lineRule="atLeast"/>
        <w:rPr>
          <w:rFonts w:ascii="宋体" w:hAnsi="宋体" w:eastAsia="宋体" w:cs="宋体"/>
          <w:szCs w:val="24"/>
        </w:rPr>
      </w:pPr>
    </w:p>
    <w:p w14:paraId="2B3ED271">
      <w:pPr>
        <w:rPr>
          <w:rFonts w:ascii="宋体" w:hAnsi="宋体" w:cs="宋体"/>
          <w:sz w:val="24"/>
        </w:rPr>
      </w:pPr>
    </w:p>
    <w:p w14:paraId="404410D6">
      <w:pPr>
        <w:spacing w:before="120" w:line="22" w:lineRule="atLeast"/>
        <w:ind w:left="960"/>
        <w:rPr>
          <w:rFonts w:ascii="宋体" w:hAnsi="宋体" w:cs="宋体"/>
          <w:sz w:val="24"/>
          <w:u w:val="single"/>
        </w:rPr>
      </w:pPr>
      <w:r>
        <w:rPr>
          <w:rFonts w:hint="eastAsia" w:ascii="宋体" w:hAnsi="宋体" w:cs="宋体"/>
          <w:sz w:val="24"/>
        </w:rPr>
        <w:t>甲方：</w:t>
      </w:r>
    </w:p>
    <w:p w14:paraId="562D12FC">
      <w:pPr>
        <w:spacing w:before="120" w:line="22" w:lineRule="atLeast"/>
        <w:rPr>
          <w:rFonts w:ascii="宋体" w:hAnsi="宋体" w:cs="宋体"/>
          <w:sz w:val="24"/>
        </w:rPr>
      </w:pPr>
    </w:p>
    <w:p w14:paraId="57875F88">
      <w:pPr>
        <w:spacing w:before="120" w:line="22" w:lineRule="atLeast"/>
        <w:ind w:left="960"/>
        <w:rPr>
          <w:rFonts w:ascii="宋体" w:hAnsi="宋体" w:cs="宋体"/>
          <w:sz w:val="24"/>
          <w:u w:val="single"/>
        </w:rPr>
      </w:pPr>
      <w:r>
        <w:rPr>
          <w:rFonts w:hint="eastAsia" w:ascii="宋体" w:hAnsi="宋体" w:cs="宋体"/>
          <w:sz w:val="24"/>
        </w:rPr>
        <w:t>乙方：</w:t>
      </w:r>
    </w:p>
    <w:p w14:paraId="49B62A1A">
      <w:pPr>
        <w:spacing w:before="120" w:line="22" w:lineRule="atLeast"/>
        <w:rPr>
          <w:rFonts w:ascii="宋体" w:hAnsi="宋体" w:cs="宋体"/>
          <w:sz w:val="24"/>
        </w:rPr>
      </w:pPr>
    </w:p>
    <w:p w14:paraId="706B3402">
      <w:pPr>
        <w:spacing w:before="120" w:line="22" w:lineRule="atLeast"/>
        <w:ind w:firstLine="960" w:firstLineChars="400"/>
        <w:rPr>
          <w:rFonts w:ascii="宋体" w:hAnsi="宋体" w:cs="宋体"/>
          <w:sz w:val="24"/>
          <w:u w:val="single"/>
        </w:rPr>
      </w:pPr>
      <w:r>
        <w:rPr>
          <w:rFonts w:hint="eastAsia" w:ascii="宋体" w:hAnsi="宋体" w:cs="宋体"/>
          <w:sz w:val="24"/>
        </w:rPr>
        <w:t>签订地：</w:t>
      </w:r>
    </w:p>
    <w:p w14:paraId="59F5E7D3">
      <w:pPr>
        <w:spacing w:before="120" w:line="22" w:lineRule="atLeast"/>
        <w:rPr>
          <w:rFonts w:ascii="宋体" w:hAnsi="宋体" w:cs="宋体"/>
          <w:sz w:val="24"/>
        </w:rPr>
      </w:pPr>
    </w:p>
    <w:p w14:paraId="668F6881">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14:paraId="6081AE7F">
      <w:pPr>
        <w:widowControl/>
        <w:jc w:val="left"/>
        <w:rPr>
          <w:rFonts w:ascii="宋体" w:hAnsi="宋体" w:cs="宋体"/>
          <w:kern w:val="0"/>
          <w:sz w:val="24"/>
        </w:rPr>
        <w:sectPr>
          <w:pgSz w:w="11907" w:h="16840"/>
          <w:pgMar w:top="1474" w:right="1814" w:bottom="1474" w:left="1814" w:header="851" w:footer="851" w:gutter="0"/>
          <w:cols w:space="720" w:num="1"/>
        </w:sectPr>
      </w:pPr>
    </w:p>
    <w:p w14:paraId="662F8C50">
      <w:pPr>
        <w:spacing w:line="560" w:lineRule="exact"/>
        <w:ind w:firstLine="480" w:firstLineChars="200"/>
        <w:rPr>
          <w:rFonts w:ascii="宋体" w:hAnsi="宋体"/>
          <w:sz w:val="24"/>
        </w:rPr>
      </w:pPr>
      <w:r>
        <w:rPr>
          <w:rFonts w:hint="eastAsia" w:ascii="宋体" w:hAnsi="宋体"/>
          <w:sz w:val="24"/>
          <w:lang w:val="zh-CN"/>
        </w:rPr>
        <w:t>年月日</w:t>
      </w:r>
      <w:r>
        <w:rPr>
          <w:rFonts w:hint="eastAsia" w:ascii="宋体" w:hAnsi="宋体"/>
          <w:sz w:val="24"/>
        </w:rPr>
        <w:t>，</w:t>
      </w:r>
      <w:r>
        <w:rPr>
          <w:rFonts w:ascii="宋体" w:hAnsi="宋体"/>
          <w:sz w:val="24"/>
          <w:u w:val="single"/>
        </w:rPr>
        <w:t xml:space="preserve">   （采购人名称）   </w:t>
      </w:r>
      <w:r>
        <w:rPr>
          <w:rFonts w:hint="eastAsia" w:ascii="宋体" w:hAnsi="宋体"/>
          <w:sz w:val="24"/>
        </w:rPr>
        <w:t>以</w:t>
      </w:r>
      <w:r>
        <w:rPr>
          <w:rFonts w:ascii="宋体" w:hAnsi="宋体"/>
          <w:sz w:val="24"/>
          <w:u w:val="single"/>
        </w:rPr>
        <w:t xml:space="preserve">   （采购方式）  </w:t>
      </w:r>
      <w:r>
        <w:rPr>
          <w:rFonts w:hint="eastAsia" w:ascii="宋体" w:hAnsi="宋体"/>
          <w:sz w:val="24"/>
        </w:rPr>
        <w:t>对</w:t>
      </w:r>
      <w:r>
        <w:rPr>
          <w:rFonts w:ascii="宋体" w:hAnsi="宋体"/>
          <w:sz w:val="24"/>
          <w:u w:val="single"/>
        </w:rPr>
        <w:t xml:space="preserve">   （同前</w:t>
      </w:r>
      <w:r>
        <w:rPr>
          <w:rFonts w:hint="eastAsia" w:ascii="宋体" w:hAnsi="宋体"/>
          <w:sz w:val="24"/>
          <w:u w:val="single"/>
        </w:rPr>
        <w:t>页项目名称）</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（中标供应商名称） </w:t>
      </w:r>
      <w:r>
        <w:rPr>
          <w:rFonts w:hint="eastAsia" w:ascii="宋体" w:hAnsi="宋体"/>
          <w:sz w:val="24"/>
        </w:rPr>
        <w:t>为该项目中标供应商。现于中标通知书发出之日起三十日内，按照采购文件确定的事项签订本合同。</w:t>
      </w:r>
    </w:p>
    <w:p w14:paraId="42B6D13D">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（采购人名称）   </w:t>
      </w:r>
      <w:r>
        <w:rPr>
          <w:rFonts w:ascii="宋体" w:hAnsi="宋体"/>
          <w:sz w:val="24"/>
          <w:lang w:val="zh-CN"/>
        </w:rPr>
        <w:t>(以下简称：甲方)和</w:t>
      </w:r>
      <w:r>
        <w:rPr>
          <w:rFonts w:ascii="宋体" w:hAnsi="宋体"/>
          <w:sz w:val="24"/>
          <w:u w:val="single"/>
        </w:rPr>
        <w:t xml:space="preserve">   （中标供应商名称）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3B397940">
      <w:pPr>
        <w:spacing w:line="560" w:lineRule="exact"/>
        <w:ind w:firstLine="482" w:firstLineChars="200"/>
        <w:outlineLvl w:val="0"/>
        <w:rPr>
          <w:rFonts w:ascii="宋体" w:hAnsi="宋体"/>
          <w:sz w:val="24"/>
        </w:rPr>
      </w:pPr>
      <w:bookmarkStart w:id="415" w:name="_Toc22967"/>
      <w:bookmarkStart w:id="416" w:name="_Toc19273"/>
      <w:bookmarkStart w:id="417" w:name="_Toc15367"/>
      <w:bookmarkStart w:id="418" w:name="_Toc20421"/>
      <w:bookmarkStart w:id="419" w:name="_Toc23681"/>
      <w:bookmarkStart w:id="420" w:name="_Toc28855"/>
      <w:r>
        <w:rPr>
          <w:rFonts w:ascii="宋体" w:hAnsi="宋体"/>
          <w:b/>
          <w:sz w:val="24"/>
        </w:rPr>
        <w:t xml:space="preserve">1.1 </w:t>
      </w:r>
      <w:r>
        <w:rPr>
          <w:rFonts w:hint="eastAsia" w:ascii="宋体" w:hAnsi="宋体"/>
          <w:b/>
          <w:sz w:val="24"/>
        </w:rPr>
        <w:t>合同组成部分</w:t>
      </w:r>
      <w:bookmarkEnd w:id="415"/>
      <w:bookmarkEnd w:id="416"/>
      <w:bookmarkEnd w:id="417"/>
      <w:bookmarkEnd w:id="418"/>
      <w:bookmarkEnd w:id="419"/>
      <w:bookmarkEnd w:id="420"/>
    </w:p>
    <w:p w14:paraId="00147E7C">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AED1027">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4F5BEAD2">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中标通知书；</w:t>
      </w:r>
    </w:p>
    <w:p w14:paraId="207983C4">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投标文件（含澄清或者说明文件）；</w:t>
      </w:r>
    </w:p>
    <w:p w14:paraId="43BD4F5F">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招标文件（含澄清或者修改文件）；</w:t>
      </w:r>
    </w:p>
    <w:p w14:paraId="0F25AC7D">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B0AE44A">
      <w:pPr>
        <w:spacing w:line="560" w:lineRule="exact"/>
        <w:ind w:firstLine="482" w:firstLineChars="200"/>
        <w:outlineLvl w:val="0"/>
        <w:rPr>
          <w:rFonts w:ascii="宋体" w:hAnsi="宋体"/>
          <w:b/>
          <w:sz w:val="24"/>
        </w:rPr>
      </w:pPr>
      <w:bookmarkStart w:id="421" w:name="_Toc2918"/>
      <w:bookmarkStart w:id="422" w:name="_Toc6311"/>
      <w:bookmarkStart w:id="423" w:name="_Toc6773"/>
      <w:bookmarkStart w:id="424" w:name="_Toc2432"/>
      <w:bookmarkStart w:id="425" w:name="_Toc18585"/>
      <w:bookmarkStart w:id="426" w:name="_Toc22185"/>
      <w:r>
        <w:rPr>
          <w:rFonts w:ascii="宋体" w:hAnsi="宋体"/>
          <w:b/>
          <w:sz w:val="24"/>
        </w:rPr>
        <w:t xml:space="preserve">1.2 </w:t>
      </w:r>
      <w:r>
        <w:rPr>
          <w:rFonts w:hint="eastAsia" w:ascii="宋体" w:hAnsi="宋体"/>
          <w:b/>
          <w:sz w:val="24"/>
        </w:rPr>
        <w:t>标的</w:t>
      </w:r>
      <w:bookmarkEnd w:id="421"/>
      <w:bookmarkEnd w:id="422"/>
      <w:bookmarkEnd w:id="423"/>
      <w:bookmarkEnd w:id="424"/>
      <w:bookmarkEnd w:id="425"/>
      <w:bookmarkEnd w:id="426"/>
    </w:p>
    <w:p w14:paraId="445E6D4A">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标的</w:t>
      </w:r>
      <w:r>
        <w:rPr>
          <w:rFonts w:ascii="宋体" w:hAnsi="宋体"/>
          <w:sz w:val="24"/>
        </w:rPr>
        <w:t>名称：</w:t>
      </w:r>
      <w:r>
        <w:rPr>
          <w:rFonts w:hint="eastAsia" w:ascii="宋体" w:hAnsi="宋体"/>
          <w:sz w:val="24"/>
        </w:rPr>
        <w:t>；</w:t>
      </w:r>
    </w:p>
    <w:p w14:paraId="18C66C2E">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标的</w:t>
      </w:r>
      <w:r>
        <w:rPr>
          <w:rFonts w:ascii="宋体" w:hAnsi="宋体"/>
          <w:sz w:val="24"/>
        </w:rPr>
        <w:t>数量：</w:t>
      </w:r>
      <w:r>
        <w:rPr>
          <w:rFonts w:hint="eastAsia" w:ascii="宋体" w:hAnsi="宋体"/>
          <w:sz w:val="24"/>
        </w:rPr>
        <w:t>；</w:t>
      </w:r>
    </w:p>
    <w:p w14:paraId="02B99670">
      <w:pPr>
        <w:spacing w:line="560" w:lineRule="exact"/>
        <w:ind w:firstLine="480" w:firstLineChars="200"/>
        <w:rPr>
          <w:rFonts w:ascii="宋体" w:hAnsi="宋体"/>
          <w:sz w:val="24"/>
        </w:rPr>
      </w:pPr>
      <w:r>
        <w:rPr>
          <w:rFonts w:ascii="宋体" w:hAnsi="宋体"/>
          <w:sz w:val="24"/>
        </w:rPr>
        <w:t xml:space="preserve">1.2.3 </w:t>
      </w:r>
      <w:r>
        <w:rPr>
          <w:rFonts w:hint="eastAsia" w:ascii="宋体" w:hAnsi="宋体"/>
          <w:sz w:val="24"/>
        </w:rPr>
        <w:t>标的质量：</w:t>
      </w:r>
      <w:r>
        <w:rPr>
          <w:rFonts w:ascii="宋体" w:hAnsi="宋体"/>
          <w:sz w:val="24"/>
          <w:u w:val="single"/>
        </w:rPr>
        <w:t xml:space="preserve">　　　　　　　　　                      　      </w:t>
      </w:r>
      <w:r>
        <w:rPr>
          <w:rFonts w:hint="eastAsia" w:ascii="宋体" w:hAnsi="宋体"/>
          <w:sz w:val="24"/>
        </w:rPr>
        <w:t>。</w:t>
      </w:r>
    </w:p>
    <w:p w14:paraId="2A074154">
      <w:pPr>
        <w:spacing w:line="560" w:lineRule="exact"/>
        <w:ind w:firstLine="482" w:firstLineChars="200"/>
        <w:outlineLvl w:val="0"/>
        <w:rPr>
          <w:rFonts w:ascii="宋体" w:hAnsi="宋体"/>
          <w:b/>
          <w:sz w:val="24"/>
        </w:rPr>
      </w:pPr>
      <w:bookmarkStart w:id="427" w:name="_Toc179"/>
      <w:bookmarkStart w:id="428" w:name="_Toc4929"/>
      <w:bookmarkStart w:id="429" w:name="_Toc1386"/>
      <w:bookmarkStart w:id="430" w:name="_Toc5635"/>
      <w:bookmarkStart w:id="431" w:name="_Toc13918"/>
      <w:bookmarkStart w:id="432" w:name="_Toc21124"/>
      <w:r>
        <w:rPr>
          <w:rFonts w:ascii="宋体" w:hAnsi="宋体"/>
          <w:b/>
          <w:sz w:val="24"/>
        </w:rPr>
        <w:t>1.3 价款</w:t>
      </w:r>
      <w:bookmarkEnd w:id="427"/>
      <w:bookmarkEnd w:id="428"/>
      <w:bookmarkEnd w:id="429"/>
      <w:bookmarkEnd w:id="430"/>
      <w:bookmarkEnd w:id="431"/>
      <w:bookmarkEnd w:id="432"/>
    </w:p>
    <w:p w14:paraId="3D832E2D">
      <w:pPr>
        <w:spacing w:line="560" w:lineRule="exact"/>
        <w:ind w:firstLine="480" w:firstLineChars="200"/>
        <w:rPr>
          <w:rFonts w:ascii="宋体" w:hAnsi="宋体"/>
          <w:sz w:val="24"/>
        </w:rPr>
      </w:pPr>
      <w:r>
        <w:rPr>
          <w:rFonts w:ascii="宋体" w:hAnsi="宋体"/>
          <w:sz w:val="24"/>
        </w:rPr>
        <w:t>本合同总价为</w:t>
      </w:r>
      <w:r>
        <w:rPr>
          <w:rFonts w:hint="eastAsia" w:ascii="宋体" w:hAnsi="宋体"/>
          <w:sz w:val="24"/>
        </w:rPr>
        <w:t>：￥</w:t>
      </w:r>
      <w:r>
        <w:rPr>
          <w:rFonts w:ascii="宋体" w:hAnsi="宋体"/>
          <w:sz w:val="24"/>
        </w:rPr>
        <w:t>元</w:t>
      </w:r>
      <w:r>
        <w:rPr>
          <w:rFonts w:hint="eastAsia" w:ascii="宋体" w:hAnsi="宋体"/>
          <w:sz w:val="24"/>
        </w:rPr>
        <w:t>（大写：元人民币）</w:t>
      </w:r>
      <w:r>
        <w:rPr>
          <w:rFonts w:ascii="宋体" w:hAnsi="宋体"/>
          <w:sz w:val="24"/>
        </w:rPr>
        <w:t>。</w:t>
      </w:r>
    </w:p>
    <w:p w14:paraId="05CBCFD3">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769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14:paraId="15EEA02A">
            <w:pPr>
              <w:pStyle w:val="320"/>
              <w:spacing w:line="560" w:lineRule="exact"/>
              <w:jc w:val="center"/>
              <w:rPr>
                <w:rFonts w:hAnsi="宋体"/>
                <w:sz w:val="24"/>
                <w:szCs w:val="24"/>
              </w:rPr>
            </w:pPr>
            <w:r>
              <w:rPr>
                <w:rFonts w:hAnsi="宋体"/>
                <w:sz w:val="24"/>
                <w:szCs w:val="24"/>
              </w:rPr>
              <w:t>序号</w:t>
            </w:r>
          </w:p>
        </w:tc>
        <w:tc>
          <w:tcPr>
            <w:tcW w:w="3402" w:type="dxa"/>
            <w:noWrap/>
            <w:vAlign w:val="center"/>
          </w:tcPr>
          <w:p w14:paraId="276FC94A">
            <w:pPr>
              <w:pStyle w:val="320"/>
              <w:spacing w:line="560" w:lineRule="exact"/>
              <w:ind w:firstLine="200"/>
              <w:jc w:val="center"/>
              <w:rPr>
                <w:rFonts w:hAnsi="宋体"/>
                <w:sz w:val="24"/>
                <w:szCs w:val="24"/>
              </w:rPr>
            </w:pPr>
            <w:r>
              <w:rPr>
                <w:rFonts w:hint="eastAsia" w:hAnsi="宋体"/>
                <w:sz w:val="24"/>
                <w:szCs w:val="24"/>
              </w:rPr>
              <w:t>分项名称</w:t>
            </w:r>
          </w:p>
        </w:tc>
        <w:tc>
          <w:tcPr>
            <w:tcW w:w="2552" w:type="dxa"/>
            <w:noWrap/>
            <w:vAlign w:val="center"/>
          </w:tcPr>
          <w:p w14:paraId="7F7531E5">
            <w:pPr>
              <w:pStyle w:val="320"/>
              <w:spacing w:line="560" w:lineRule="exact"/>
              <w:jc w:val="center"/>
              <w:rPr>
                <w:rFonts w:hAnsi="宋体"/>
                <w:sz w:val="24"/>
                <w:szCs w:val="24"/>
              </w:rPr>
            </w:pPr>
            <w:r>
              <w:rPr>
                <w:rFonts w:hAnsi="宋体"/>
                <w:sz w:val="24"/>
                <w:szCs w:val="24"/>
              </w:rPr>
              <w:t>分项价格</w:t>
            </w:r>
          </w:p>
        </w:tc>
      </w:tr>
      <w:tr w14:paraId="58AC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14:paraId="4314F700">
            <w:pPr>
              <w:pStyle w:val="320"/>
              <w:spacing w:line="560" w:lineRule="exact"/>
              <w:ind w:firstLine="200"/>
              <w:jc w:val="center"/>
              <w:rPr>
                <w:rFonts w:hAnsi="宋体"/>
                <w:sz w:val="24"/>
                <w:szCs w:val="24"/>
              </w:rPr>
            </w:pPr>
          </w:p>
        </w:tc>
        <w:tc>
          <w:tcPr>
            <w:tcW w:w="3402" w:type="dxa"/>
            <w:noWrap/>
            <w:vAlign w:val="center"/>
          </w:tcPr>
          <w:p w14:paraId="6C0035DB">
            <w:pPr>
              <w:pStyle w:val="320"/>
              <w:spacing w:line="560" w:lineRule="exact"/>
              <w:ind w:firstLine="200"/>
              <w:jc w:val="center"/>
              <w:rPr>
                <w:rFonts w:hAnsi="宋体"/>
                <w:sz w:val="24"/>
                <w:szCs w:val="24"/>
              </w:rPr>
            </w:pPr>
          </w:p>
        </w:tc>
        <w:tc>
          <w:tcPr>
            <w:tcW w:w="2552" w:type="dxa"/>
            <w:noWrap/>
            <w:vAlign w:val="center"/>
          </w:tcPr>
          <w:p w14:paraId="146F6B69">
            <w:pPr>
              <w:pStyle w:val="320"/>
              <w:spacing w:line="560" w:lineRule="exact"/>
              <w:ind w:firstLine="200"/>
              <w:jc w:val="center"/>
              <w:rPr>
                <w:rFonts w:hAnsi="宋体"/>
                <w:sz w:val="24"/>
                <w:szCs w:val="24"/>
              </w:rPr>
            </w:pPr>
          </w:p>
        </w:tc>
      </w:tr>
      <w:tr w14:paraId="66E4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14:paraId="6F824CEE">
            <w:pPr>
              <w:pStyle w:val="320"/>
              <w:spacing w:line="560" w:lineRule="exact"/>
              <w:ind w:firstLine="200"/>
              <w:jc w:val="center"/>
              <w:rPr>
                <w:rFonts w:hAnsi="宋体"/>
                <w:sz w:val="24"/>
                <w:szCs w:val="24"/>
              </w:rPr>
            </w:pPr>
          </w:p>
        </w:tc>
        <w:tc>
          <w:tcPr>
            <w:tcW w:w="3402" w:type="dxa"/>
            <w:noWrap/>
            <w:vAlign w:val="center"/>
          </w:tcPr>
          <w:p w14:paraId="27629156">
            <w:pPr>
              <w:pStyle w:val="320"/>
              <w:spacing w:line="560" w:lineRule="exact"/>
              <w:ind w:firstLine="200"/>
              <w:jc w:val="center"/>
              <w:rPr>
                <w:rFonts w:hAnsi="宋体"/>
                <w:sz w:val="24"/>
                <w:szCs w:val="24"/>
              </w:rPr>
            </w:pPr>
          </w:p>
        </w:tc>
        <w:tc>
          <w:tcPr>
            <w:tcW w:w="2552" w:type="dxa"/>
            <w:noWrap/>
            <w:vAlign w:val="center"/>
          </w:tcPr>
          <w:p w14:paraId="14C20538">
            <w:pPr>
              <w:pStyle w:val="320"/>
              <w:spacing w:line="560" w:lineRule="exact"/>
              <w:ind w:firstLine="200"/>
              <w:jc w:val="center"/>
              <w:rPr>
                <w:rFonts w:hAnsi="宋体"/>
                <w:sz w:val="24"/>
                <w:szCs w:val="24"/>
              </w:rPr>
            </w:pPr>
          </w:p>
        </w:tc>
      </w:tr>
      <w:tr w14:paraId="18C2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14:paraId="233479E8">
            <w:pPr>
              <w:pStyle w:val="320"/>
              <w:spacing w:line="560" w:lineRule="exact"/>
              <w:ind w:firstLine="200"/>
              <w:jc w:val="center"/>
              <w:rPr>
                <w:rFonts w:hAnsi="宋体"/>
                <w:sz w:val="24"/>
                <w:szCs w:val="24"/>
              </w:rPr>
            </w:pPr>
          </w:p>
        </w:tc>
        <w:tc>
          <w:tcPr>
            <w:tcW w:w="3402" w:type="dxa"/>
            <w:noWrap/>
            <w:vAlign w:val="center"/>
          </w:tcPr>
          <w:p w14:paraId="45753CE5">
            <w:pPr>
              <w:pStyle w:val="320"/>
              <w:spacing w:line="560" w:lineRule="exact"/>
              <w:ind w:firstLine="200"/>
              <w:jc w:val="center"/>
              <w:rPr>
                <w:rFonts w:hAnsi="宋体"/>
                <w:sz w:val="24"/>
                <w:szCs w:val="24"/>
              </w:rPr>
            </w:pPr>
          </w:p>
        </w:tc>
        <w:tc>
          <w:tcPr>
            <w:tcW w:w="2552" w:type="dxa"/>
            <w:noWrap/>
            <w:vAlign w:val="center"/>
          </w:tcPr>
          <w:p w14:paraId="686EBE1E">
            <w:pPr>
              <w:pStyle w:val="320"/>
              <w:spacing w:line="560" w:lineRule="exact"/>
              <w:ind w:firstLine="200"/>
              <w:jc w:val="center"/>
              <w:rPr>
                <w:rFonts w:hAnsi="宋体"/>
                <w:sz w:val="24"/>
                <w:szCs w:val="24"/>
              </w:rPr>
            </w:pPr>
          </w:p>
        </w:tc>
      </w:tr>
      <w:tr w14:paraId="6EDF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14:paraId="061FE983">
            <w:pPr>
              <w:pStyle w:val="320"/>
              <w:spacing w:line="560" w:lineRule="exact"/>
              <w:ind w:firstLine="200"/>
              <w:jc w:val="center"/>
              <w:rPr>
                <w:rFonts w:hAnsi="宋体"/>
                <w:sz w:val="24"/>
                <w:szCs w:val="24"/>
              </w:rPr>
            </w:pPr>
          </w:p>
        </w:tc>
        <w:tc>
          <w:tcPr>
            <w:tcW w:w="3402" w:type="dxa"/>
            <w:noWrap/>
            <w:vAlign w:val="center"/>
          </w:tcPr>
          <w:p w14:paraId="3BE86E9E">
            <w:pPr>
              <w:pStyle w:val="320"/>
              <w:spacing w:line="560" w:lineRule="exact"/>
              <w:ind w:firstLine="200"/>
              <w:jc w:val="center"/>
              <w:rPr>
                <w:rFonts w:hAnsi="宋体"/>
                <w:sz w:val="24"/>
                <w:szCs w:val="24"/>
              </w:rPr>
            </w:pPr>
          </w:p>
        </w:tc>
        <w:tc>
          <w:tcPr>
            <w:tcW w:w="2552" w:type="dxa"/>
            <w:noWrap/>
            <w:vAlign w:val="center"/>
          </w:tcPr>
          <w:p w14:paraId="6C663672">
            <w:pPr>
              <w:pStyle w:val="320"/>
              <w:spacing w:line="560" w:lineRule="exact"/>
              <w:ind w:firstLine="200"/>
              <w:jc w:val="center"/>
              <w:rPr>
                <w:rFonts w:hAnsi="宋体"/>
                <w:sz w:val="24"/>
                <w:szCs w:val="24"/>
              </w:rPr>
            </w:pPr>
          </w:p>
        </w:tc>
      </w:tr>
      <w:tr w14:paraId="1CBC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ign w:val="center"/>
          </w:tcPr>
          <w:p w14:paraId="08337637">
            <w:pPr>
              <w:pStyle w:val="320"/>
              <w:spacing w:line="560" w:lineRule="exact"/>
              <w:ind w:firstLine="200"/>
              <w:jc w:val="center"/>
              <w:rPr>
                <w:rFonts w:hAnsi="宋体"/>
                <w:sz w:val="24"/>
                <w:szCs w:val="24"/>
              </w:rPr>
            </w:pPr>
            <w:r>
              <w:rPr>
                <w:rFonts w:hint="eastAsia" w:hAnsi="宋体"/>
                <w:sz w:val="24"/>
                <w:szCs w:val="24"/>
              </w:rPr>
              <w:t>总价</w:t>
            </w:r>
          </w:p>
        </w:tc>
        <w:tc>
          <w:tcPr>
            <w:tcW w:w="2552" w:type="dxa"/>
            <w:noWrap/>
            <w:vAlign w:val="center"/>
          </w:tcPr>
          <w:p w14:paraId="417FF144">
            <w:pPr>
              <w:pStyle w:val="320"/>
              <w:spacing w:line="560" w:lineRule="exact"/>
              <w:ind w:firstLine="200"/>
              <w:jc w:val="center"/>
              <w:rPr>
                <w:rFonts w:hAnsi="宋体"/>
                <w:sz w:val="24"/>
                <w:szCs w:val="24"/>
              </w:rPr>
            </w:pPr>
          </w:p>
        </w:tc>
      </w:tr>
    </w:tbl>
    <w:p w14:paraId="52617736">
      <w:pPr>
        <w:spacing w:line="560" w:lineRule="exact"/>
        <w:ind w:firstLine="482" w:firstLineChars="200"/>
        <w:outlineLvl w:val="0"/>
        <w:rPr>
          <w:rFonts w:ascii="宋体" w:hAnsi="宋体"/>
          <w:b/>
          <w:sz w:val="24"/>
        </w:rPr>
      </w:pPr>
      <w:bookmarkStart w:id="433" w:name="_Toc3654"/>
      <w:bookmarkStart w:id="434" w:name="_Toc30158"/>
      <w:bookmarkStart w:id="435" w:name="_Toc14993"/>
      <w:bookmarkStart w:id="436" w:name="_Toc30506"/>
      <w:bookmarkStart w:id="437" w:name="_Toc26916"/>
      <w:bookmarkStart w:id="438" w:name="_Toc24056"/>
      <w:r>
        <w:rPr>
          <w:rFonts w:ascii="宋体" w:hAnsi="宋体"/>
          <w:b/>
          <w:sz w:val="24"/>
        </w:rPr>
        <w:t>1.4 付款方式和发票开具方式</w:t>
      </w:r>
      <w:bookmarkEnd w:id="433"/>
      <w:bookmarkEnd w:id="434"/>
      <w:bookmarkEnd w:id="435"/>
      <w:bookmarkEnd w:id="436"/>
      <w:bookmarkEnd w:id="437"/>
      <w:bookmarkEnd w:id="438"/>
    </w:p>
    <w:p w14:paraId="1C1FD6B1">
      <w:pPr>
        <w:pStyle w:val="958"/>
        <w:spacing w:before="0" w:beforeAutospacing="0" w:after="0" w:afterAutospacing="0" w:line="360" w:lineRule="auto"/>
        <w:ind w:firstLine="480"/>
        <w:rPr>
          <w:rFonts w:cs="Times New Roman"/>
        </w:rPr>
      </w:pPr>
      <w:r>
        <w:rPr>
          <w:rFonts w:cs="Times New Roman"/>
        </w:rPr>
        <w:t>1.4.1</w:t>
      </w:r>
      <w:r>
        <w:rPr>
          <w:rFonts w:hint="eastAsia" w:cs="Times New Roman"/>
        </w:rPr>
        <w:t>甲方应严格履行合同，及时组织验收，验收合格后及时将合同款支付完毕。对于满足合同约定支付条件的，甲方自收到发票后</w:t>
      </w:r>
      <w:r>
        <w:rPr>
          <w:rFonts w:cs="Times New Roman"/>
        </w:rPr>
        <w:t>5个工作日内将资金支付到合同约定的乙方账户，有条件的甲方可以即时支付。甲方不得以机构变动、人员更替、政策调整、单位放假等为由延迟付款。</w:t>
      </w:r>
    </w:p>
    <w:p w14:paraId="1C81111A">
      <w:pPr>
        <w:spacing w:line="560" w:lineRule="exact"/>
        <w:ind w:firstLine="480" w:firstLineChars="200"/>
        <w:outlineLvl w:val="0"/>
        <w:rPr>
          <w:rFonts w:ascii="宋体" w:hAnsi="宋体"/>
          <w:sz w:val="24"/>
        </w:rPr>
      </w:pPr>
      <w:bookmarkStart w:id="439" w:name="_Toc1341"/>
      <w:r>
        <w:rPr>
          <w:rFonts w:ascii="宋体" w:hAnsi="宋体"/>
          <w:sz w:val="24"/>
        </w:rPr>
        <w:t>1.4.</w:t>
      </w:r>
      <w:r>
        <w:rPr>
          <w:rFonts w:hint="eastAsia" w:ascii="宋体" w:hAnsi="宋体"/>
          <w:sz w:val="24"/>
          <w:lang w:val="en-US" w:eastAsia="zh-CN"/>
        </w:rPr>
        <w:t>2</w:t>
      </w:r>
      <w:r>
        <w:rPr>
          <w:rFonts w:ascii="宋体" w:hAnsi="宋体"/>
          <w:sz w:val="24"/>
        </w:rPr>
        <w:t>资金支付的方式、时间和条件详见</w:t>
      </w:r>
      <w:r>
        <w:rPr>
          <w:rFonts w:hint="eastAsia" w:ascii="宋体" w:hAnsi="宋体"/>
          <w:b/>
          <w:i/>
          <w:sz w:val="24"/>
          <w:u w:val="single"/>
        </w:rPr>
        <w:t>合同专用条款</w:t>
      </w:r>
      <w:r>
        <w:rPr>
          <w:rFonts w:hint="eastAsia" w:ascii="宋体" w:hAnsi="宋体"/>
          <w:sz w:val="24"/>
        </w:rPr>
        <w:t>。</w:t>
      </w:r>
      <w:bookmarkEnd w:id="439"/>
    </w:p>
    <w:p w14:paraId="15B51D5B">
      <w:pPr>
        <w:spacing w:line="560" w:lineRule="exact"/>
        <w:ind w:firstLine="480" w:firstLineChars="200"/>
        <w:outlineLvl w:val="0"/>
        <w:rPr>
          <w:rFonts w:ascii="宋体" w:hAnsi="宋体"/>
          <w:sz w:val="24"/>
        </w:rPr>
      </w:pPr>
      <w:bookmarkStart w:id="440" w:name="_Toc31517"/>
      <w:r>
        <w:rPr>
          <w:rFonts w:ascii="宋体" w:hAnsi="宋体"/>
          <w:sz w:val="24"/>
        </w:rPr>
        <w:t>1.4.</w:t>
      </w:r>
      <w:r>
        <w:rPr>
          <w:rFonts w:hint="eastAsia" w:ascii="宋体" w:hAnsi="宋体"/>
          <w:sz w:val="24"/>
          <w:lang w:val="en-US" w:eastAsia="zh-CN"/>
        </w:rPr>
        <w:t>3</w:t>
      </w:r>
      <w:r>
        <w:rPr>
          <w:rFonts w:hint="eastAsia" w:ascii="宋体" w:hAnsi="宋体"/>
          <w:sz w:val="24"/>
        </w:rPr>
        <w:t>乙方</w:t>
      </w:r>
      <w:r>
        <w:rPr>
          <w:rFonts w:ascii="宋体" w:hAnsi="宋体"/>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宋体" w:hAnsi="宋体"/>
          <w:sz w:val="24"/>
        </w:rPr>
        <w:t>杭财采监〔</w:t>
      </w:r>
      <w:r>
        <w:rPr>
          <w:rFonts w:ascii="宋体" w:hAnsi="宋体"/>
          <w:sz w:val="24"/>
        </w:rPr>
        <w:t>2021〕17号）。</w:t>
      </w:r>
      <w:bookmarkEnd w:id="440"/>
    </w:p>
    <w:p w14:paraId="7A53982F">
      <w:pPr>
        <w:spacing w:line="560" w:lineRule="exact"/>
        <w:ind w:firstLine="482" w:firstLineChars="200"/>
        <w:outlineLvl w:val="0"/>
        <w:rPr>
          <w:rFonts w:ascii="宋体" w:hAnsi="宋体"/>
          <w:b/>
          <w:sz w:val="24"/>
        </w:rPr>
      </w:pPr>
      <w:bookmarkStart w:id="441" w:name="_Toc31421"/>
      <w:bookmarkStart w:id="442" w:name="_Toc7071"/>
      <w:bookmarkStart w:id="443" w:name="_Toc4760"/>
      <w:bookmarkStart w:id="444" w:name="_Toc8772"/>
      <w:bookmarkStart w:id="445" w:name="_Toc3625"/>
      <w:bookmarkStart w:id="446" w:name="_Toc11108"/>
      <w:r>
        <w:rPr>
          <w:rFonts w:ascii="宋体" w:hAnsi="宋体"/>
          <w:b/>
          <w:sz w:val="24"/>
        </w:rPr>
        <w:t>1.5 履行期限</w:t>
      </w:r>
      <w:r>
        <w:rPr>
          <w:rFonts w:hint="eastAsia" w:ascii="宋体" w:hAnsi="宋体"/>
          <w:b/>
          <w:sz w:val="24"/>
        </w:rPr>
        <w:t>、地点和方式</w:t>
      </w:r>
      <w:bookmarkEnd w:id="441"/>
      <w:bookmarkEnd w:id="442"/>
      <w:bookmarkEnd w:id="443"/>
      <w:bookmarkEnd w:id="444"/>
      <w:bookmarkEnd w:id="445"/>
      <w:bookmarkEnd w:id="446"/>
    </w:p>
    <w:p w14:paraId="27429C56">
      <w:pPr>
        <w:spacing w:line="560" w:lineRule="exact"/>
        <w:ind w:firstLine="480" w:firstLineChars="200"/>
        <w:rPr>
          <w:rFonts w:ascii="宋体" w:hAnsi="宋体"/>
          <w:sz w:val="24"/>
          <w:u w:val="single"/>
        </w:rPr>
      </w:pPr>
      <w:r>
        <w:rPr>
          <w:rFonts w:ascii="宋体" w:hAnsi="宋体"/>
          <w:sz w:val="24"/>
        </w:rPr>
        <w:t xml:space="preserve">1.5.1 </w:t>
      </w:r>
      <w:r>
        <w:rPr>
          <w:rFonts w:hint="eastAsia" w:ascii="宋体" w:hAnsi="宋体"/>
          <w:sz w:val="24"/>
        </w:rPr>
        <w:t>履行期限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627DC585">
      <w:pPr>
        <w:spacing w:line="560" w:lineRule="exact"/>
        <w:ind w:firstLine="480" w:firstLineChars="200"/>
        <w:rPr>
          <w:rFonts w:ascii="宋体" w:hAnsi="宋体"/>
          <w:sz w:val="24"/>
        </w:rPr>
      </w:pPr>
      <w:r>
        <w:rPr>
          <w:rFonts w:ascii="宋体" w:hAnsi="宋体"/>
          <w:sz w:val="24"/>
        </w:rPr>
        <w:t xml:space="preserve">1.5.2 </w:t>
      </w:r>
      <w:r>
        <w:rPr>
          <w:rFonts w:hint="eastAsia" w:ascii="宋体" w:hAnsi="宋体"/>
          <w:sz w:val="24"/>
        </w:rPr>
        <w:t>履行地点</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2DA33F85">
      <w:pPr>
        <w:spacing w:line="560" w:lineRule="exact"/>
        <w:ind w:firstLine="480" w:firstLineChars="200"/>
        <w:rPr>
          <w:rFonts w:ascii="宋体" w:hAnsi="宋体"/>
          <w:sz w:val="24"/>
        </w:rPr>
      </w:pPr>
      <w:r>
        <w:rPr>
          <w:rFonts w:ascii="宋体" w:hAnsi="宋体"/>
          <w:sz w:val="24"/>
        </w:rPr>
        <w:t xml:space="preserve">1.5.3 </w:t>
      </w:r>
      <w:r>
        <w:rPr>
          <w:rFonts w:hint="eastAsia" w:ascii="宋体" w:hAnsi="宋体"/>
          <w:sz w:val="24"/>
        </w:rPr>
        <w:t>履行方式：</w:t>
      </w:r>
      <w:r>
        <w:rPr>
          <w:rFonts w:hint="eastAsia" w:ascii="宋体" w:hAnsi="宋体"/>
          <w:b/>
          <w:i/>
          <w:sz w:val="24"/>
          <w:u w:val="single"/>
        </w:rPr>
        <w:t>合同专用条款</w:t>
      </w:r>
      <w:r>
        <w:rPr>
          <w:rFonts w:hint="eastAsia" w:ascii="宋体" w:hAnsi="宋体"/>
          <w:sz w:val="24"/>
        </w:rPr>
        <w:t>。</w:t>
      </w:r>
    </w:p>
    <w:p w14:paraId="0EBADCC4">
      <w:pPr>
        <w:spacing w:line="560" w:lineRule="exact"/>
        <w:ind w:firstLine="482" w:firstLineChars="200"/>
        <w:outlineLvl w:val="0"/>
        <w:rPr>
          <w:rFonts w:ascii="宋体" w:hAnsi="宋体"/>
          <w:sz w:val="24"/>
          <w:u w:val="single"/>
        </w:rPr>
      </w:pPr>
      <w:bookmarkStart w:id="447" w:name="_Toc3079"/>
      <w:bookmarkStart w:id="448" w:name="_Toc2375"/>
      <w:bookmarkStart w:id="449" w:name="_Toc5698"/>
      <w:bookmarkStart w:id="450" w:name="_Toc24662"/>
      <w:bookmarkStart w:id="451" w:name="_Toc8586"/>
      <w:bookmarkStart w:id="452" w:name="_Toc9255"/>
      <w:r>
        <w:rPr>
          <w:rFonts w:ascii="宋体" w:hAnsi="宋体"/>
          <w:b/>
          <w:sz w:val="24"/>
        </w:rPr>
        <w:t xml:space="preserve">1.6 </w:t>
      </w:r>
      <w:r>
        <w:rPr>
          <w:rFonts w:hint="eastAsia" w:ascii="宋体" w:hAnsi="宋体"/>
          <w:b/>
          <w:sz w:val="24"/>
        </w:rPr>
        <w:t>违约责任</w:t>
      </w:r>
      <w:bookmarkEnd w:id="447"/>
      <w:bookmarkEnd w:id="448"/>
      <w:bookmarkEnd w:id="449"/>
      <w:bookmarkEnd w:id="450"/>
      <w:bookmarkEnd w:id="451"/>
      <w:bookmarkEnd w:id="452"/>
    </w:p>
    <w:p w14:paraId="2AD0F19E">
      <w:pPr>
        <w:spacing w:line="560" w:lineRule="exact"/>
        <w:ind w:firstLine="480" w:firstLineChars="200"/>
        <w:rPr>
          <w:rFonts w:ascii="宋体" w:hAnsi="宋体"/>
          <w:sz w:val="24"/>
        </w:rPr>
      </w:pPr>
      <w:r>
        <w:rPr>
          <w:rFonts w:ascii="宋体" w:hAnsi="宋体"/>
          <w:sz w:val="24"/>
        </w:rPr>
        <w:t>1.6.1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履行</w:t>
      </w:r>
      <w:r>
        <w:rPr>
          <w:rFonts w:ascii="宋体" w:hAnsi="宋体"/>
          <w:sz w:val="24"/>
        </w:rPr>
        <w:t>，那么甲方可要求乙方支付违约金</w:t>
      </w:r>
      <w:r>
        <w:rPr>
          <w:rFonts w:hint="eastAsia" w:ascii="宋体" w:hAnsi="宋体"/>
          <w:sz w:val="24"/>
        </w:rPr>
        <w:t>，</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ascii="宋体" w:hAnsi="宋体"/>
          <w:sz w:val="24"/>
          <w:u w:val="single"/>
        </w:rPr>
        <w:t xml:space="preserve"> 0.05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39E77807">
      <w:pPr>
        <w:spacing w:line="560" w:lineRule="exact"/>
        <w:ind w:firstLine="480" w:firstLineChars="200"/>
        <w:rPr>
          <w:rFonts w:ascii="宋体" w:hAnsi="宋体"/>
          <w:sz w:val="24"/>
        </w:rPr>
      </w:pPr>
      <w:r>
        <w:rPr>
          <w:rFonts w:ascii="宋体" w:hAnsi="宋体"/>
          <w:sz w:val="24"/>
        </w:rPr>
        <w:t>1.6.</w:t>
      </w:r>
      <w:r>
        <w:rPr>
          <w:rFonts w:hint="eastAsia" w:ascii="宋体" w:hAnsi="宋体"/>
          <w:sz w:val="24"/>
        </w:rPr>
        <w:t>2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F9675FF">
      <w:pPr>
        <w:spacing w:line="560" w:lineRule="exact"/>
        <w:ind w:firstLine="480" w:firstLineChars="200"/>
        <w:rPr>
          <w:rFonts w:ascii="宋体" w:hAnsi="宋体"/>
          <w:sz w:val="24"/>
        </w:rPr>
      </w:pPr>
      <w:r>
        <w:rPr>
          <w:rFonts w:ascii="宋体" w:hAnsi="宋体"/>
          <w:sz w:val="24"/>
        </w:rPr>
        <w:t>1.6.</w:t>
      </w:r>
      <w:r>
        <w:rPr>
          <w:rFonts w:hint="eastAsia" w:ascii="宋体" w:hAnsi="宋体"/>
          <w:sz w:val="24"/>
        </w:rPr>
        <w:t>3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3BC7A1F">
      <w:pPr>
        <w:spacing w:line="560" w:lineRule="exact"/>
        <w:ind w:firstLine="480" w:firstLineChars="200"/>
        <w:rPr>
          <w:rFonts w:ascii="宋体" w:hAnsi="宋体"/>
          <w:sz w:val="24"/>
        </w:rPr>
      </w:pPr>
      <w:r>
        <w:rPr>
          <w:rFonts w:ascii="宋体" w:hAnsi="宋体"/>
          <w:sz w:val="24"/>
        </w:rPr>
        <w:t>1.6.</w:t>
      </w:r>
      <w:r>
        <w:rPr>
          <w:rFonts w:hint="eastAsia" w:ascii="宋体" w:hAnsi="宋体"/>
          <w:sz w:val="24"/>
        </w:rPr>
        <w:t>4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76D0560">
      <w:pPr>
        <w:spacing w:line="560" w:lineRule="exact"/>
        <w:ind w:firstLine="480" w:firstLineChars="200"/>
        <w:rPr>
          <w:rFonts w:ascii="宋体" w:hAnsi="宋体"/>
          <w:sz w:val="24"/>
        </w:rPr>
      </w:pPr>
      <w:r>
        <w:rPr>
          <w:rFonts w:ascii="宋体" w:hAnsi="宋体"/>
          <w:sz w:val="24"/>
        </w:rPr>
        <w:t>1.6.</w:t>
      </w:r>
      <w:r>
        <w:rPr>
          <w:rFonts w:hint="eastAsia" w:ascii="宋体" w:hAnsi="宋体"/>
          <w:sz w:val="24"/>
        </w:rPr>
        <w:t>5如果出现采购监督管理部门在处理投诉事项期间，书面通知甲方暂停采购活动的情形，或者询问或质疑事项可能影响中标结果的，导致甲方中止履行合同的情形，均不视为甲方违约；</w:t>
      </w:r>
    </w:p>
    <w:p w14:paraId="1610096C">
      <w:pPr>
        <w:spacing w:line="560" w:lineRule="exact"/>
        <w:ind w:left="-420" w:leftChars="-200" w:right="-420" w:rightChars="-200" w:firstLine="720" w:firstLineChars="300"/>
        <w:rPr>
          <w:rFonts w:ascii="宋体" w:hAnsi="宋体"/>
        </w:rPr>
      </w:pPr>
      <w:r>
        <w:rPr>
          <w:rFonts w:ascii="宋体" w:hAnsi="宋体"/>
          <w:sz w:val="24"/>
        </w:rPr>
        <w:t>1.6.</w:t>
      </w:r>
      <w:r>
        <w:rPr>
          <w:rFonts w:hint="eastAsia" w:ascii="宋体" w:hAnsi="宋体"/>
          <w:sz w:val="24"/>
        </w:rPr>
        <w:t>6</w:t>
      </w:r>
      <w:r>
        <w:rPr>
          <w:rFonts w:ascii="宋体" w:hAnsi="宋体"/>
          <w:sz w:val="24"/>
        </w:rPr>
        <w:t>违约责任</w:t>
      </w:r>
      <w:r>
        <w:rPr>
          <w:rFonts w:hint="eastAsia" w:ascii="宋体" w:hAnsi="宋体"/>
          <w:b/>
          <w:i/>
          <w:sz w:val="24"/>
          <w:u w:val="single"/>
        </w:rPr>
        <w:t>合同专用条款</w:t>
      </w:r>
      <w:r>
        <w:rPr>
          <w:rFonts w:hint="eastAsia" w:ascii="宋体" w:hAnsi="宋体"/>
          <w:sz w:val="24"/>
        </w:rPr>
        <w:t>另有约定的，从其约定。</w:t>
      </w:r>
    </w:p>
    <w:p w14:paraId="36000D64">
      <w:pPr>
        <w:spacing w:line="560" w:lineRule="exact"/>
        <w:ind w:firstLine="482" w:firstLineChars="200"/>
        <w:outlineLvl w:val="0"/>
        <w:rPr>
          <w:rFonts w:ascii="宋体" w:hAnsi="宋体"/>
          <w:b/>
          <w:sz w:val="24"/>
        </w:rPr>
      </w:pPr>
      <w:bookmarkStart w:id="453" w:name="_Toc15131"/>
      <w:bookmarkStart w:id="454" w:name="_Toc30329"/>
      <w:bookmarkStart w:id="455" w:name="_Toc26807"/>
      <w:bookmarkStart w:id="456" w:name="_Toc9497"/>
      <w:bookmarkStart w:id="457" w:name="_Toc32454"/>
      <w:bookmarkStart w:id="458" w:name="_Toc18683"/>
      <w:r>
        <w:rPr>
          <w:rFonts w:ascii="宋体" w:hAnsi="宋体"/>
          <w:b/>
          <w:sz w:val="24"/>
        </w:rPr>
        <w:t xml:space="preserve">1.7 </w:t>
      </w:r>
      <w:r>
        <w:rPr>
          <w:rFonts w:hint="eastAsia" w:ascii="宋体" w:hAnsi="宋体"/>
          <w:b/>
          <w:sz w:val="24"/>
        </w:rPr>
        <w:t>合同</w:t>
      </w:r>
      <w:r>
        <w:rPr>
          <w:rFonts w:ascii="宋体" w:hAnsi="宋体"/>
          <w:b/>
          <w:sz w:val="24"/>
        </w:rPr>
        <w:t>争议的解决</w:t>
      </w:r>
      <w:bookmarkEnd w:id="453"/>
      <w:bookmarkEnd w:id="454"/>
      <w:bookmarkEnd w:id="455"/>
      <w:bookmarkEnd w:id="456"/>
      <w:bookmarkEnd w:id="457"/>
      <w:bookmarkEnd w:id="458"/>
    </w:p>
    <w:p w14:paraId="6D905820">
      <w:pPr>
        <w:spacing w:line="560" w:lineRule="exact"/>
        <w:ind w:left="-61" w:leftChars="-29" w:right="-420" w:rightChars="-200" w:firstLine="240" w:firstLineChars="100"/>
        <w:rPr>
          <w:rFonts w:ascii="宋体" w:hAnsi="宋体"/>
          <w:sz w:val="24"/>
        </w:rPr>
      </w:pPr>
      <w:r>
        <w:rPr>
          <w:rFonts w:hint="eastAsia" w:ascii="宋体" w:hAnsi="宋体"/>
          <w:sz w:val="24"/>
        </w:rPr>
        <w:t>本合同履行过程中发生的任何争议，双方当事人均可通过和解或者调解解决；不愿和解、调解或者和解、调解不成的，可以选择以下第</w:t>
      </w:r>
      <w:r>
        <w:rPr>
          <w:rFonts w:ascii="宋体" w:hAnsi="宋体"/>
          <w:b/>
          <w:i/>
          <w:sz w:val="24"/>
          <w:u w:val="single"/>
        </w:rPr>
        <w:t xml:space="preserve"> </w:t>
      </w:r>
      <w:r>
        <w:rPr>
          <w:rFonts w:hint="eastAsia" w:ascii="宋体" w:hAnsi="宋体"/>
          <w:b/>
          <w:i/>
          <w:sz w:val="24"/>
          <w:u w:val="single"/>
          <w:lang w:val="en-US" w:eastAsia="zh-CN"/>
        </w:rPr>
        <w:t>1.7.2</w:t>
      </w:r>
      <w:r>
        <w:rPr>
          <w:rFonts w:ascii="宋体" w:hAnsi="宋体"/>
          <w:b/>
          <w:i/>
          <w:sz w:val="24"/>
          <w:u w:val="single"/>
        </w:rPr>
        <w:t xml:space="preserve">  </w:t>
      </w:r>
      <w:r>
        <w:rPr>
          <w:rFonts w:hint="eastAsia" w:ascii="宋体" w:hAnsi="宋体"/>
          <w:sz w:val="24"/>
        </w:rPr>
        <w:t>条款规定的方式解决：</w:t>
      </w:r>
    </w:p>
    <w:p w14:paraId="6E598DAF">
      <w:pPr>
        <w:spacing w:line="560" w:lineRule="exact"/>
        <w:ind w:left="-420" w:leftChars="-200" w:right="-420" w:rightChars="-200" w:firstLine="600" w:firstLineChars="250"/>
        <w:rPr>
          <w:rFonts w:ascii="宋体" w:hAnsi="宋体"/>
          <w:sz w:val="24"/>
        </w:rPr>
      </w:pPr>
      <w:r>
        <w:rPr>
          <w:rFonts w:ascii="宋体" w:hAnsi="宋体"/>
          <w:sz w:val="24"/>
        </w:rPr>
        <w:t xml:space="preserve">1.7.1 </w:t>
      </w:r>
      <w:r>
        <w:rPr>
          <w:rFonts w:hint="eastAsia" w:ascii="宋体" w:hAnsi="宋体"/>
          <w:sz w:val="24"/>
        </w:rPr>
        <w:t>将争议提交</w:t>
      </w:r>
      <w:r>
        <w:rPr>
          <w:rFonts w:hint="eastAsia" w:ascii="宋体" w:hAnsi="宋体"/>
          <w:b/>
          <w:i/>
          <w:sz w:val="24"/>
          <w:u w:val="single"/>
          <w:lang w:val="en-US" w:eastAsia="zh-CN"/>
        </w:rPr>
        <w:t xml:space="preserve">      </w:t>
      </w:r>
      <w:r>
        <w:rPr>
          <w:rFonts w:hint="eastAsia" w:ascii="宋体" w:hAnsi="宋体"/>
          <w:sz w:val="24"/>
        </w:rPr>
        <w:t>仲裁委员会依申请仲裁时其现行有效的仲裁规则裁决；</w:t>
      </w:r>
    </w:p>
    <w:p w14:paraId="4230B930">
      <w:pPr>
        <w:spacing w:line="560" w:lineRule="exact"/>
        <w:ind w:left="-420" w:leftChars="-200" w:right="-420" w:rightChars="-200" w:firstLine="600" w:firstLineChars="250"/>
        <w:rPr>
          <w:rFonts w:ascii="宋体" w:hAnsi="宋体"/>
          <w:sz w:val="24"/>
        </w:rPr>
      </w:pPr>
      <w:r>
        <w:rPr>
          <w:rFonts w:ascii="宋体" w:hAnsi="宋体"/>
          <w:sz w:val="24"/>
        </w:rPr>
        <w:t xml:space="preserve">1.7.2 </w:t>
      </w:r>
      <w:r>
        <w:rPr>
          <w:rFonts w:hint="eastAsia" w:ascii="宋体" w:hAnsi="宋体"/>
          <w:sz w:val="24"/>
        </w:rPr>
        <w:t>向</w:t>
      </w:r>
      <w:r>
        <w:rPr>
          <w:rFonts w:hint="eastAsia" w:ascii="宋体" w:hAnsi="宋体"/>
          <w:b/>
          <w:i/>
          <w:sz w:val="24"/>
          <w:u w:val="single"/>
          <w:lang w:val="en-US" w:eastAsia="zh-CN"/>
        </w:rPr>
        <w:t>桐庐县</w:t>
      </w:r>
      <w:r>
        <w:rPr>
          <w:rFonts w:hint="eastAsia" w:ascii="宋体" w:hAnsi="宋体"/>
          <w:sz w:val="24"/>
        </w:rPr>
        <w:t>人民法院起诉。</w:t>
      </w:r>
    </w:p>
    <w:p w14:paraId="416D9EA1">
      <w:pPr>
        <w:spacing w:line="560" w:lineRule="exact"/>
        <w:ind w:firstLine="241" w:firstLineChars="100"/>
        <w:outlineLvl w:val="0"/>
        <w:rPr>
          <w:rFonts w:ascii="宋体" w:hAnsi="宋体"/>
          <w:b/>
          <w:sz w:val="24"/>
        </w:rPr>
      </w:pPr>
      <w:bookmarkStart w:id="459" w:name="_Toc12273"/>
      <w:bookmarkStart w:id="460" w:name="_Toc23784"/>
      <w:bookmarkStart w:id="461" w:name="_Toc16417"/>
      <w:bookmarkStart w:id="462" w:name="_Toc15827"/>
      <w:bookmarkStart w:id="463" w:name="_Toc22665"/>
      <w:bookmarkStart w:id="464" w:name="_Toc26227"/>
      <w:r>
        <w:rPr>
          <w:rFonts w:ascii="宋体" w:hAnsi="宋体"/>
          <w:b/>
          <w:sz w:val="24"/>
        </w:rPr>
        <w:t>1.8 合同生效</w:t>
      </w:r>
      <w:bookmarkEnd w:id="459"/>
      <w:bookmarkEnd w:id="460"/>
      <w:bookmarkEnd w:id="461"/>
      <w:bookmarkEnd w:id="462"/>
      <w:bookmarkEnd w:id="463"/>
      <w:bookmarkEnd w:id="464"/>
    </w:p>
    <w:p w14:paraId="46478B1B">
      <w:pPr>
        <w:spacing w:line="560" w:lineRule="exact"/>
        <w:ind w:firstLine="480" w:firstLineChars="200"/>
        <w:rPr>
          <w:rFonts w:ascii="宋体" w:hAnsi="宋体"/>
          <w:b/>
          <w:sz w:val="24"/>
        </w:rPr>
      </w:pPr>
      <w:r>
        <w:rPr>
          <w:rFonts w:ascii="宋体" w:hAnsi="宋体"/>
          <w:sz w:val="24"/>
        </w:rPr>
        <w:t>本合同自</w:t>
      </w:r>
      <w:r>
        <w:rPr>
          <w:rFonts w:hint="eastAsia" w:ascii="宋体" w:hAnsi="宋体"/>
          <w:sz w:val="24"/>
        </w:rPr>
        <w:t>双方当事人盖章或者签字时</w:t>
      </w:r>
      <w:r>
        <w:rPr>
          <w:rFonts w:ascii="宋体" w:hAnsi="宋体"/>
          <w:sz w:val="24"/>
        </w:rPr>
        <w:t>生效。</w:t>
      </w:r>
    </w:p>
    <w:p w14:paraId="2A712B5B">
      <w:pPr>
        <w:autoSpaceDE w:val="0"/>
        <w:autoSpaceDN w:val="0"/>
        <w:spacing w:line="560" w:lineRule="exact"/>
        <w:rPr>
          <w:rFonts w:ascii="宋体" w:hAnsi="宋体"/>
          <w:sz w:val="24"/>
          <w:lang w:val="zh-CN"/>
        </w:rPr>
      </w:pPr>
    </w:p>
    <w:p w14:paraId="376D6829">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hint="eastAsia" w:ascii="宋体" w:hAnsi="宋体"/>
          <w:sz w:val="24"/>
          <w:lang w:val="en-US" w:eastAsia="zh-CN"/>
        </w:rPr>
        <w:t xml:space="preserve">                                 </w:t>
      </w:r>
      <w:r>
        <w:rPr>
          <w:rFonts w:ascii="宋体" w:hAnsi="宋体"/>
          <w:b/>
          <w:sz w:val="24"/>
          <w:lang w:val="zh-CN"/>
        </w:rPr>
        <w:t>乙方</w:t>
      </w:r>
      <w:r>
        <w:rPr>
          <w:rFonts w:hint="eastAsia" w:ascii="宋体" w:hAnsi="宋体"/>
          <w:sz w:val="24"/>
          <w:lang w:val="zh-CN"/>
        </w:rPr>
        <w:t>：</w:t>
      </w:r>
    </w:p>
    <w:p w14:paraId="3D16FB52">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hint="eastAsia" w:ascii="宋体" w:hAnsi="宋体"/>
          <w:sz w:val="24"/>
          <w:lang w:val="en-US" w:eastAsia="zh-CN"/>
        </w:rPr>
        <w:t xml:space="preserve">                     </w:t>
      </w:r>
      <w:r>
        <w:rPr>
          <w:rFonts w:hint="eastAsia" w:ascii="宋体" w:hAnsi="宋体"/>
          <w:sz w:val="24"/>
          <w:lang w:val="zh-CN"/>
        </w:rPr>
        <w:t>统一社会信用代码：</w:t>
      </w:r>
    </w:p>
    <w:p w14:paraId="44A9FB1F">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hint="eastAsia" w:ascii="宋体" w:hAnsi="宋体"/>
          <w:sz w:val="24"/>
          <w:lang w:val="en-US" w:eastAsia="zh-CN"/>
        </w:rPr>
        <w:t xml:space="preserve">                           </w:t>
      </w:r>
      <w:r>
        <w:rPr>
          <w:rFonts w:hint="eastAsia" w:ascii="宋体" w:hAnsi="宋体"/>
          <w:sz w:val="24"/>
          <w:lang w:val="zh-CN"/>
        </w:rPr>
        <w:t>法定代表人或</w:t>
      </w:r>
    </w:p>
    <w:p w14:paraId="0BAFFABA">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689B4C8E">
      <w:pPr>
        <w:autoSpaceDE w:val="0"/>
        <w:autoSpaceDN w:val="0"/>
        <w:spacing w:line="560" w:lineRule="exact"/>
        <w:rPr>
          <w:rFonts w:ascii="宋体" w:hAnsi="宋体"/>
          <w:sz w:val="24"/>
          <w:lang w:val="zh-CN"/>
        </w:rPr>
      </w:pPr>
      <w:r>
        <w:rPr>
          <w:rFonts w:hint="eastAsia" w:ascii="宋体" w:hAnsi="宋体"/>
          <w:sz w:val="24"/>
          <w:lang w:val="zh-CN"/>
        </w:rPr>
        <w:t>联系人：</w:t>
      </w:r>
      <w:r>
        <w:rPr>
          <w:rFonts w:hint="eastAsia" w:ascii="宋体" w:hAnsi="宋体"/>
          <w:sz w:val="24"/>
          <w:lang w:val="en-US" w:eastAsia="zh-CN"/>
        </w:rPr>
        <w:t xml:space="preserve">                               </w:t>
      </w:r>
      <w:r>
        <w:rPr>
          <w:rFonts w:hint="eastAsia" w:ascii="宋体" w:hAnsi="宋体"/>
          <w:sz w:val="24"/>
          <w:lang w:val="zh-CN"/>
        </w:rPr>
        <w:t>联系人：</w:t>
      </w:r>
    </w:p>
    <w:p w14:paraId="1CC0A60B">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5EE2C07F">
      <w:pPr>
        <w:autoSpaceDE w:val="0"/>
        <w:autoSpaceDN w:val="0"/>
        <w:spacing w:line="560" w:lineRule="exact"/>
        <w:rPr>
          <w:rFonts w:ascii="宋体" w:hAnsi="宋体"/>
          <w:sz w:val="24"/>
        </w:rPr>
      </w:pPr>
      <w:r>
        <w:rPr>
          <w:rFonts w:hint="eastAsia" w:ascii="宋体" w:hAnsi="宋体"/>
          <w:sz w:val="24"/>
          <w:lang w:val="zh-CN"/>
        </w:rPr>
        <w:t>电子邮箱：</w:t>
      </w:r>
      <w:r>
        <w:rPr>
          <w:rFonts w:hint="eastAsia" w:ascii="宋体" w:hAnsi="宋体"/>
          <w:sz w:val="24"/>
          <w:lang w:val="en-US" w:eastAsia="zh-CN"/>
        </w:rPr>
        <w:t xml:space="preserve">                             </w:t>
      </w:r>
      <w:r>
        <w:rPr>
          <w:rFonts w:hint="eastAsia" w:ascii="宋体" w:hAnsi="宋体"/>
          <w:sz w:val="24"/>
          <w:lang w:val="zh-CN"/>
        </w:rPr>
        <w:t>电子邮箱：</w:t>
      </w:r>
    </w:p>
    <w:p w14:paraId="568CA956">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53BE3F6B">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5B8C61E0">
      <w:pPr>
        <w:autoSpaceDE w:val="0"/>
        <w:autoSpaceDN w:val="0"/>
        <w:spacing w:line="560" w:lineRule="exact"/>
        <w:rPr>
          <w:rFonts w:ascii="宋体" w:hAnsi="宋体"/>
          <w:sz w:val="24"/>
        </w:rPr>
      </w:pPr>
      <w:r>
        <w:rPr>
          <w:rFonts w:hint="eastAsia" w:ascii="宋体" w:hAnsi="宋体"/>
          <w:sz w:val="24"/>
        </w:rPr>
        <w:t>开户账号：</w:t>
      </w:r>
      <w:r>
        <w:rPr>
          <w:rFonts w:hint="eastAsia" w:ascii="宋体" w:hAnsi="宋体"/>
          <w:sz w:val="24"/>
          <w:lang w:val="en-US" w:eastAsia="zh-CN"/>
        </w:rPr>
        <w:t xml:space="preserve">                             </w:t>
      </w:r>
      <w:r>
        <w:rPr>
          <w:rFonts w:hint="eastAsia" w:ascii="宋体" w:hAnsi="宋体"/>
          <w:sz w:val="24"/>
        </w:rPr>
        <w:t>开户账号：</w:t>
      </w:r>
    </w:p>
    <w:p w14:paraId="6C0D4446">
      <w:pPr>
        <w:rPr>
          <w:rFonts w:ascii="宋体" w:hAnsi="宋体"/>
          <w:b/>
        </w:rPr>
      </w:pPr>
      <w:r>
        <w:rPr>
          <w:rFonts w:hint="eastAsia" w:ascii="宋体" w:hAnsi="宋体"/>
          <w:b/>
        </w:rPr>
        <w:br w:type="page"/>
      </w:r>
    </w:p>
    <w:p w14:paraId="018F3E38">
      <w:pPr>
        <w:autoSpaceDE w:val="0"/>
        <w:autoSpaceDN w:val="0"/>
        <w:spacing w:line="560" w:lineRule="exact"/>
        <w:jc w:val="center"/>
        <w:rPr>
          <w:rFonts w:ascii="宋体" w:hAnsi="宋体"/>
          <w:b/>
        </w:rPr>
      </w:pPr>
      <w:r>
        <w:rPr>
          <w:rFonts w:hint="eastAsia" w:ascii="宋体" w:hAnsi="宋体"/>
          <w:b/>
        </w:rPr>
        <w:t>第二部分合同一般条款</w:t>
      </w:r>
    </w:p>
    <w:p w14:paraId="1E09B3FF">
      <w:pPr>
        <w:snapToGrid w:val="0"/>
        <w:spacing w:line="360" w:lineRule="auto"/>
        <w:ind w:firstLine="482" w:firstLineChars="200"/>
        <w:outlineLvl w:val="0"/>
        <w:rPr>
          <w:rFonts w:ascii="宋体" w:hAnsi="宋体"/>
          <w:b/>
          <w:sz w:val="24"/>
        </w:rPr>
      </w:pPr>
      <w:bookmarkStart w:id="465" w:name="_Toc14021"/>
      <w:bookmarkStart w:id="466" w:name="_Toc15759"/>
      <w:bookmarkStart w:id="467" w:name="_Toc5228"/>
      <w:bookmarkStart w:id="468" w:name="_Toc25079"/>
      <w:bookmarkStart w:id="469" w:name="_Toc31297"/>
      <w:bookmarkStart w:id="470" w:name="_Toc19680"/>
      <w:r>
        <w:rPr>
          <w:rFonts w:ascii="宋体" w:hAnsi="宋体"/>
          <w:b/>
          <w:sz w:val="24"/>
        </w:rPr>
        <w:t>2.1 定义</w:t>
      </w:r>
      <w:bookmarkEnd w:id="465"/>
      <w:bookmarkEnd w:id="466"/>
      <w:bookmarkEnd w:id="467"/>
      <w:bookmarkEnd w:id="468"/>
      <w:bookmarkEnd w:id="469"/>
      <w:bookmarkEnd w:id="470"/>
    </w:p>
    <w:p w14:paraId="2430444A">
      <w:pPr>
        <w:snapToGrid w:val="0"/>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2530B52A">
      <w:pPr>
        <w:snapToGrid w:val="0"/>
        <w:spacing w:line="360" w:lineRule="auto"/>
        <w:ind w:firstLine="480" w:firstLineChars="200"/>
        <w:rPr>
          <w:rFonts w:ascii="宋体" w:hAnsi="宋体"/>
          <w:sz w:val="24"/>
        </w:rPr>
      </w:pPr>
      <w:r>
        <w:rPr>
          <w:rFonts w:ascii="宋体" w:hAnsi="宋体"/>
          <w:sz w:val="24"/>
        </w:rPr>
        <w:t>2.1.1 “合同”系指采购人和中标供应商签订的载明双方当事人所达成的协议，并包括所有的附件、附录和构成合同的其他文件。</w:t>
      </w:r>
    </w:p>
    <w:p w14:paraId="5706E328">
      <w:pPr>
        <w:snapToGrid w:val="0"/>
        <w:spacing w:line="360" w:lineRule="auto"/>
        <w:ind w:firstLine="480" w:firstLineChars="200"/>
        <w:rPr>
          <w:rFonts w:ascii="宋体" w:hAnsi="宋体"/>
          <w:sz w:val="24"/>
        </w:rPr>
      </w:pPr>
      <w:r>
        <w:rPr>
          <w:rFonts w:ascii="宋体" w:hAnsi="宋体"/>
          <w:sz w:val="24"/>
        </w:rPr>
        <w:t>2.1.2 “合同价”系指根据合同约定，中标供应商在完全履行合同义务后</w:t>
      </w:r>
      <w:r>
        <w:rPr>
          <w:rFonts w:hint="eastAsia" w:ascii="宋体" w:hAnsi="宋体"/>
          <w:sz w:val="24"/>
        </w:rPr>
        <w:t>，</w:t>
      </w:r>
      <w:r>
        <w:rPr>
          <w:rFonts w:ascii="宋体" w:hAnsi="宋体"/>
          <w:sz w:val="24"/>
        </w:rPr>
        <w:t>采购人应支付给中标供应商的价格。</w:t>
      </w:r>
    </w:p>
    <w:p w14:paraId="20722C13">
      <w:pPr>
        <w:snapToGrid w:val="0"/>
        <w:spacing w:line="360" w:lineRule="auto"/>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sz w:val="24"/>
        </w:rPr>
        <w:t>中标供应商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51D00FB6">
      <w:pPr>
        <w:snapToGrid w:val="0"/>
        <w:spacing w:line="360" w:lineRule="auto"/>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sz w:val="24"/>
        </w:rPr>
        <w:t>中标供应商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1D7D0799">
      <w:pPr>
        <w:snapToGrid w:val="0"/>
        <w:spacing w:line="360" w:lineRule="auto"/>
        <w:ind w:firstLine="480" w:firstLineChars="200"/>
        <w:rPr>
          <w:rFonts w:ascii="宋体" w:hAnsi="宋体"/>
          <w:sz w:val="24"/>
        </w:rPr>
      </w:pPr>
      <w:r>
        <w:rPr>
          <w:rFonts w:ascii="宋体" w:hAnsi="宋体"/>
          <w:sz w:val="24"/>
        </w:rPr>
        <w:t>2.1.5 “乙方”系指根据合同约定提供服务的中标供应商</w:t>
      </w:r>
      <w:r>
        <w:rPr>
          <w:rFonts w:hint="eastAsia" w:ascii="宋体" w:hAnsi="宋体"/>
          <w:sz w:val="24"/>
        </w:rPr>
        <w:t>；两个以上的自然人、法人或者其他组织组成一个联合体，以一个供应商的身份共同参加采购的，联合体各方均应为乙方或者与乙方相同地位的合同当事人，并就合同约定的事项对甲方承担连带责任。</w:t>
      </w:r>
    </w:p>
    <w:p w14:paraId="061E22C3">
      <w:pPr>
        <w:snapToGrid w:val="0"/>
        <w:spacing w:line="360" w:lineRule="auto"/>
        <w:ind w:firstLine="480" w:firstLineChars="200"/>
        <w:rPr>
          <w:rFonts w:ascii="宋体" w:hAnsi="宋体"/>
          <w:sz w:val="24"/>
        </w:rPr>
      </w:pPr>
      <w:r>
        <w:rPr>
          <w:rFonts w:ascii="宋体" w:hAnsi="宋体"/>
          <w:sz w:val="24"/>
        </w:rPr>
        <w:t>2.1.6 “现场”系指合同约定提供服务的地点。</w:t>
      </w:r>
    </w:p>
    <w:p w14:paraId="612F3359">
      <w:pPr>
        <w:snapToGrid w:val="0"/>
        <w:spacing w:line="360" w:lineRule="auto"/>
        <w:ind w:firstLine="482" w:firstLineChars="200"/>
        <w:outlineLvl w:val="0"/>
        <w:rPr>
          <w:rFonts w:ascii="宋体" w:hAnsi="宋体"/>
          <w:b/>
          <w:sz w:val="24"/>
        </w:rPr>
      </w:pPr>
      <w:bookmarkStart w:id="471" w:name="_Toc27138"/>
      <w:bookmarkStart w:id="472" w:name="_Toc19539"/>
      <w:bookmarkStart w:id="473" w:name="_Toc23289"/>
      <w:bookmarkStart w:id="474" w:name="_Toc3769"/>
      <w:bookmarkStart w:id="475" w:name="_Toc16752"/>
      <w:bookmarkStart w:id="476" w:name="_Toc31402"/>
      <w:r>
        <w:rPr>
          <w:rFonts w:ascii="宋体" w:hAnsi="宋体"/>
          <w:b/>
          <w:sz w:val="24"/>
        </w:rPr>
        <w:t>2.2 技术规范</w:t>
      </w:r>
      <w:bookmarkEnd w:id="471"/>
      <w:bookmarkEnd w:id="472"/>
      <w:bookmarkEnd w:id="473"/>
      <w:bookmarkEnd w:id="474"/>
      <w:bookmarkEnd w:id="475"/>
      <w:bookmarkEnd w:id="476"/>
    </w:p>
    <w:p w14:paraId="7B24920D">
      <w:pPr>
        <w:snapToGrid w:val="0"/>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239A9FD7">
      <w:pPr>
        <w:snapToGrid w:val="0"/>
        <w:spacing w:line="360" w:lineRule="auto"/>
        <w:ind w:firstLine="482" w:firstLineChars="200"/>
        <w:outlineLvl w:val="0"/>
        <w:rPr>
          <w:rFonts w:ascii="宋体" w:hAnsi="宋体"/>
          <w:b/>
          <w:sz w:val="24"/>
        </w:rPr>
      </w:pPr>
      <w:bookmarkStart w:id="477" w:name="_Toc12412"/>
      <w:bookmarkStart w:id="478" w:name="_Toc22470"/>
      <w:bookmarkStart w:id="479" w:name="_Toc4133"/>
      <w:bookmarkStart w:id="480" w:name="_Toc13673"/>
      <w:bookmarkStart w:id="481" w:name="_Toc27945"/>
      <w:bookmarkStart w:id="482" w:name="_Toc9161"/>
      <w:r>
        <w:rPr>
          <w:rFonts w:ascii="宋体" w:hAnsi="宋体"/>
          <w:b/>
          <w:sz w:val="24"/>
        </w:rPr>
        <w:t>2.3 知识产权</w:t>
      </w:r>
      <w:bookmarkEnd w:id="477"/>
      <w:bookmarkEnd w:id="478"/>
      <w:bookmarkEnd w:id="479"/>
      <w:bookmarkEnd w:id="480"/>
      <w:bookmarkEnd w:id="481"/>
      <w:bookmarkEnd w:id="482"/>
    </w:p>
    <w:p w14:paraId="4DF1F99D">
      <w:pPr>
        <w:snapToGrid w:val="0"/>
        <w:spacing w:line="360" w:lineRule="auto"/>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w:t>
      </w:r>
    </w:p>
    <w:p w14:paraId="722CEC64">
      <w:pPr>
        <w:snapToGrid w:val="0"/>
        <w:spacing w:line="360" w:lineRule="auto"/>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153646D9">
      <w:pPr>
        <w:snapToGrid w:val="0"/>
        <w:spacing w:line="360" w:lineRule="auto"/>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3BC298EE">
      <w:pPr>
        <w:snapToGrid w:val="0"/>
        <w:spacing w:line="360" w:lineRule="auto"/>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6B30EC70">
      <w:pPr>
        <w:snapToGrid w:val="0"/>
        <w:spacing w:line="360" w:lineRule="auto"/>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819B22B">
      <w:pPr>
        <w:snapToGrid w:val="0"/>
        <w:spacing w:line="360" w:lineRule="auto"/>
        <w:ind w:firstLine="482" w:firstLineChars="200"/>
        <w:outlineLvl w:val="0"/>
        <w:rPr>
          <w:rFonts w:ascii="宋体" w:hAnsi="宋体"/>
          <w:b/>
          <w:sz w:val="24"/>
        </w:rPr>
      </w:pPr>
      <w:bookmarkStart w:id="483" w:name="_Toc22011"/>
      <w:bookmarkStart w:id="484" w:name="_Toc31233"/>
      <w:bookmarkStart w:id="485" w:name="_Toc15447"/>
      <w:bookmarkStart w:id="486" w:name="_Toc26555"/>
      <w:bookmarkStart w:id="487" w:name="_Toc25615"/>
      <w:bookmarkStart w:id="488" w:name="_Toc32670"/>
      <w:r>
        <w:rPr>
          <w:rFonts w:ascii="宋体" w:hAnsi="宋体"/>
          <w:b/>
          <w:sz w:val="24"/>
        </w:rPr>
        <w:t>2.5 结算方式和付款条件</w:t>
      </w:r>
      <w:bookmarkEnd w:id="483"/>
      <w:bookmarkEnd w:id="484"/>
      <w:bookmarkEnd w:id="485"/>
      <w:bookmarkEnd w:id="486"/>
      <w:bookmarkEnd w:id="487"/>
      <w:bookmarkEnd w:id="488"/>
    </w:p>
    <w:p w14:paraId="0BAB9A23">
      <w:pPr>
        <w:snapToGrid w:val="0"/>
        <w:spacing w:line="360" w:lineRule="auto"/>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C49BE0C">
      <w:pPr>
        <w:snapToGrid w:val="0"/>
        <w:spacing w:line="360" w:lineRule="auto"/>
        <w:ind w:firstLine="482" w:firstLineChars="200"/>
        <w:outlineLvl w:val="0"/>
        <w:rPr>
          <w:rFonts w:ascii="宋体" w:hAnsi="宋体"/>
          <w:b/>
          <w:sz w:val="24"/>
        </w:rPr>
      </w:pPr>
      <w:bookmarkStart w:id="489" w:name="_Toc13154"/>
      <w:bookmarkStart w:id="490" w:name="_Toc30507"/>
      <w:bookmarkStart w:id="491" w:name="_Toc16163"/>
      <w:bookmarkStart w:id="492" w:name="_Toc13467"/>
      <w:bookmarkStart w:id="493" w:name="_Toc29098"/>
      <w:bookmarkStart w:id="494" w:name="_Toc18990"/>
      <w:r>
        <w:rPr>
          <w:rFonts w:ascii="宋体" w:hAnsi="宋体"/>
          <w:b/>
          <w:sz w:val="24"/>
        </w:rPr>
        <w:t>2.6 技术资料和保密义务</w:t>
      </w:r>
      <w:bookmarkEnd w:id="489"/>
      <w:bookmarkEnd w:id="490"/>
      <w:bookmarkEnd w:id="491"/>
      <w:bookmarkEnd w:id="492"/>
      <w:bookmarkEnd w:id="493"/>
      <w:bookmarkEnd w:id="494"/>
    </w:p>
    <w:p w14:paraId="630C9621">
      <w:pPr>
        <w:snapToGrid w:val="0"/>
        <w:spacing w:line="360" w:lineRule="auto"/>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675B6A63">
      <w:pPr>
        <w:snapToGrid w:val="0"/>
        <w:spacing w:line="360" w:lineRule="auto"/>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5DA06294">
      <w:pPr>
        <w:snapToGrid w:val="0"/>
        <w:spacing w:line="360" w:lineRule="auto"/>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BA1FB40">
      <w:pPr>
        <w:snapToGrid w:val="0"/>
        <w:spacing w:line="360" w:lineRule="auto"/>
        <w:ind w:firstLine="482" w:firstLineChars="200"/>
        <w:outlineLvl w:val="0"/>
        <w:rPr>
          <w:rFonts w:ascii="宋体" w:hAnsi="宋体"/>
          <w:b/>
          <w:sz w:val="24"/>
        </w:rPr>
      </w:pPr>
      <w:bookmarkStart w:id="495" w:name="_Toc19069"/>
      <w:bookmarkStart w:id="496" w:name="_Toc22499"/>
      <w:r>
        <w:rPr>
          <w:rFonts w:ascii="宋体" w:hAnsi="宋体"/>
          <w:b/>
          <w:sz w:val="24"/>
        </w:rPr>
        <w:t xml:space="preserve">2.7 </w:t>
      </w:r>
      <w:r>
        <w:rPr>
          <w:rFonts w:hint="eastAsia" w:ascii="宋体" w:hAnsi="宋体"/>
          <w:b/>
          <w:sz w:val="24"/>
        </w:rPr>
        <w:t>质量保证</w:t>
      </w:r>
      <w:bookmarkEnd w:id="495"/>
      <w:bookmarkEnd w:id="496"/>
    </w:p>
    <w:p w14:paraId="639D32DE">
      <w:pPr>
        <w:snapToGrid w:val="0"/>
        <w:spacing w:line="360" w:lineRule="auto"/>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90ACCFA">
      <w:pPr>
        <w:snapToGrid w:val="0"/>
        <w:spacing w:line="360" w:lineRule="auto"/>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DA97E09">
      <w:pPr>
        <w:snapToGrid w:val="0"/>
        <w:spacing w:line="360" w:lineRule="auto"/>
        <w:ind w:firstLine="482" w:firstLineChars="200"/>
        <w:outlineLvl w:val="0"/>
        <w:rPr>
          <w:rFonts w:ascii="宋体" w:hAnsi="宋体"/>
          <w:b/>
          <w:sz w:val="24"/>
        </w:rPr>
      </w:pPr>
      <w:bookmarkStart w:id="497" w:name="_Toc22267"/>
      <w:bookmarkStart w:id="498" w:name="_Toc17607"/>
      <w:r>
        <w:rPr>
          <w:rFonts w:ascii="宋体" w:hAnsi="宋体"/>
          <w:b/>
          <w:sz w:val="24"/>
        </w:rPr>
        <w:t xml:space="preserve">2.8 </w:t>
      </w:r>
      <w:r>
        <w:rPr>
          <w:rFonts w:hint="eastAsia" w:ascii="宋体" w:hAnsi="宋体"/>
          <w:b/>
          <w:sz w:val="24"/>
        </w:rPr>
        <w:t>延迟履行</w:t>
      </w:r>
      <w:bookmarkEnd w:id="497"/>
      <w:bookmarkEnd w:id="498"/>
    </w:p>
    <w:p w14:paraId="2CEEC964">
      <w:pPr>
        <w:snapToGrid w:val="0"/>
        <w:spacing w:line="360" w:lineRule="auto"/>
        <w:ind w:firstLine="480" w:firstLineChars="200"/>
        <w:rPr>
          <w:rFonts w:ascii="宋体" w:hAnsi="宋体"/>
          <w:sz w:val="24"/>
        </w:rPr>
      </w:pPr>
      <w:r>
        <w:rPr>
          <w:rFonts w:ascii="宋体" w:hAnsi="宋体"/>
          <w:sz w:val="24"/>
        </w:rPr>
        <w:t>在合同履行过程中，如果乙方遇到不能按时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56745B8">
      <w:pPr>
        <w:snapToGrid w:val="0"/>
        <w:spacing w:line="360" w:lineRule="auto"/>
        <w:ind w:firstLine="482" w:firstLineChars="200"/>
        <w:outlineLvl w:val="0"/>
        <w:rPr>
          <w:rFonts w:ascii="宋体" w:hAnsi="宋体"/>
          <w:b/>
          <w:sz w:val="24"/>
        </w:rPr>
      </w:pPr>
      <w:bookmarkStart w:id="499" w:name="_Toc31075"/>
      <w:bookmarkStart w:id="500" w:name="_Toc10611"/>
      <w:r>
        <w:rPr>
          <w:rFonts w:ascii="宋体" w:hAnsi="宋体"/>
          <w:b/>
          <w:sz w:val="24"/>
        </w:rPr>
        <w:t xml:space="preserve">2.9 </w:t>
      </w:r>
      <w:r>
        <w:rPr>
          <w:rFonts w:hint="eastAsia" w:ascii="宋体" w:hAnsi="宋体"/>
          <w:b/>
          <w:sz w:val="24"/>
        </w:rPr>
        <w:t>合同变更</w:t>
      </w:r>
      <w:bookmarkEnd w:id="499"/>
      <w:bookmarkEnd w:id="500"/>
    </w:p>
    <w:p w14:paraId="5774E388">
      <w:pPr>
        <w:snapToGrid w:val="0"/>
        <w:spacing w:line="360" w:lineRule="auto"/>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1B67F35A">
      <w:pPr>
        <w:snapToGrid w:val="0"/>
        <w:spacing w:line="360" w:lineRule="auto"/>
        <w:ind w:firstLine="482" w:firstLineChars="200"/>
        <w:outlineLvl w:val="0"/>
        <w:rPr>
          <w:rFonts w:ascii="宋体" w:hAnsi="宋体"/>
          <w:b/>
          <w:sz w:val="24"/>
        </w:rPr>
      </w:pPr>
      <w:bookmarkStart w:id="501" w:name="_Toc23368"/>
      <w:bookmarkStart w:id="502" w:name="_Toc10663"/>
      <w:bookmarkStart w:id="503" w:name="_Toc7147"/>
      <w:bookmarkStart w:id="504" w:name="_Toc26689"/>
      <w:bookmarkStart w:id="505" w:name="_Toc21830"/>
      <w:bookmarkStart w:id="506" w:name="_Toc42"/>
      <w:r>
        <w:rPr>
          <w:rFonts w:ascii="宋体" w:hAnsi="宋体"/>
          <w:b/>
          <w:sz w:val="24"/>
        </w:rPr>
        <w:t>2.10 合同转让和分包</w:t>
      </w:r>
      <w:bookmarkEnd w:id="501"/>
      <w:bookmarkEnd w:id="502"/>
      <w:bookmarkEnd w:id="503"/>
      <w:bookmarkEnd w:id="504"/>
      <w:bookmarkEnd w:id="505"/>
      <w:bookmarkEnd w:id="506"/>
    </w:p>
    <w:p w14:paraId="43E24D6E">
      <w:pPr>
        <w:snapToGrid w:val="0"/>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5B7DBC2C">
      <w:pPr>
        <w:snapToGrid w:val="0"/>
        <w:spacing w:line="360" w:lineRule="auto"/>
        <w:ind w:firstLine="482" w:firstLineChars="200"/>
        <w:outlineLvl w:val="0"/>
        <w:rPr>
          <w:rFonts w:ascii="宋体" w:hAnsi="宋体"/>
          <w:b/>
          <w:sz w:val="24"/>
        </w:rPr>
      </w:pPr>
      <w:bookmarkStart w:id="507" w:name="_Toc32494"/>
      <w:bookmarkStart w:id="508" w:name="_Toc25571"/>
      <w:bookmarkStart w:id="509" w:name="_Toc26633"/>
      <w:bookmarkStart w:id="510" w:name="_Toc7343"/>
      <w:bookmarkStart w:id="511" w:name="_Toc14371"/>
      <w:bookmarkStart w:id="512" w:name="_Toc4720"/>
      <w:r>
        <w:rPr>
          <w:rFonts w:ascii="宋体" w:hAnsi="宋体"/>
          <w:b/>
          <w:sz w:val="24"/>
        </w:rPr>
        <w:t>2.11 不可抗力</w:t>
      </w:r>
      <w:bookmarkEnd w:id="507"/>
      <w:bookmarkEnd w:id="508"/>
      <w:bookmarkEnd w:id="509"/>
      <w:bookmarkEnd w:id="510"/>
      <w:bookmarkEnd w:id="511"/>
      <w:bookmarkEnd w:id="512"/>
    </w:p>
    <w:p w14:paraId="048ACECF">
      <w:pPr>
        <w:snapToGrid w:val="0"/>
        <w:spacing w:line="360" w:lineRule="auto"/>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0929E7ED">
      <w:pPr>
        <w:snapToGrid w:val="0"/>
        <w:spacing w:line="360" w:lineRule="auto"/>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5CC28219">
      <w:pPr>
        <w:snapToGrid w:val="0"/>
        <w:spacing w:line="360" w:lineRule="auto"/>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w:t>
      </w:r>
      <w:r>
        <w:rPr>
          <w:rFonts w:hint="eastAsia" w:ascii="宋体" w:hAnsi="宋体"/>
          <w:sz w:val="24"/>
          <w:lang w:eastAsia="zh-CN"/>
        </w:rPr>
        <w:t>的</w:t>
      </w:r>
      <w:r>
        <w:rPr>
          <w:rFonts w:ascii="宋体" w:hAnsi="宋体"/>
          <w:sz w:val="24"/>
        </w:rPr>
        <w:t>时间内以书面形式变更合同</w:t>
      </w:r>
      <w:r>
        <w:rPr>
          <w:rFonts w:hint="eastAsia" w:ascii="宋体" w:hAnsi="宋体"/>
          <w:sz w:val="24"/>
        </w:rPr>
        <w:t>；</w:t>
      </w:r>
    </w:p>
    <w:p w14:paraId="3EBAD76C">
      <w:pPr>
        <w:snapToGrid w:val="0"/>
        <w:spacing w:line="360" w:lineRule="auto"/>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b/>
          <w:i/>
          <w:sz w:val="24"/>
          <w:u w:val="single"/>
          <w:lang w:val="en-US" w:eastAsia="zh-CN"/>
        </w:rPr>
        <w:t>15日内</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b/>
          <w:i/>
          <w:sz w:val="24"/>
          <w:u w:val="single"/>
          <w:lang w:val="en-US" w:eastAsia="zh-CN"/>
        </w:rPr>
        <w:t>15日内</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24EC025E">
      <w:pPr>
        <w:snapToGrid w:val="0"/>
        <w:spacing w:line="360" w:lineRule="auto"/>
        <w:ind w:firstLine="482" w:firstLineChars="200"/>
        <w:outlineLvl w:val="0"/>
        <w:rPr>
          <w:rFonts w:ascii="宋体" w:hAnsi="宋体"/>
          <w:b/>
          <w:sz w:val="24"/>
        </w:rPr>
      </w:pPr>
      <w:bookmarkStart w:id="513" w:name="_Toc25783"/>
      <w:bookmarkStart w:id="514" w:name="_Toc24465"/>
      <w:bookmarkStart w:id="515" w:name="_Toc14115"/>
      <w:bookmarkStart w:id="516" w:name="_Toc23854"/>
      <w:bookmarkStart w:id="517" w:name="_Toc3638"/>
      <w:bookmarkStart w:id="518" w:name="_Toc9466"/>
      <w:r>
        <w:rPr>
          <w:rFonts w:ascii="宋体" w:hAnsi="宋体"/>
          <w:b/>
          <w:sz w:val="24"/>
        </w:rPr>
        <w:t>2.12 税费</w:t>
      </w:r>
      <w:bookmarkEnd w:id="513"/>
      <w:bookmarkEnd w:id="514"/>
      <w:bookmarkEnd w:id="515"/>
      <w:bookmarkEnd w:id="516"/>
      <w:bookmarkEnd w:id="517"/>
      <w:bookmarkEnd w:id="518"/>
    </w:p>
    <w:p w14:paraId="4169DFD3">
      <w:pPr>
        <w:snapToGrid w:val="0"/>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2226B3BD">
      <w:pPr>
        <w:snapToGrid w:val="0"/>
        <w:spacing w:line="360" w:lineRule="auto"/>
        <w:ind w:firstLine="482" w:firstLineChars="200"/>
        <w:outlineLvl w:val="0"/>
        <w:rPr>
          <w:rFonts w:ascii="宋体" w:hAnsi="宋体"/>
          <w:b/>
          <w:sz w:val="24"/>
        </w:rPr>
      </w:pPr>
      <w:bookmarkStart w:id="519" w:name="_Toc24896"/>
      <w:bookmarkStart w:id="520" w:name="_Toc30105"/>
      <w:bookmarkStart w:id="521" w:name="_Toc25525"/>
      <w:bookmarkStart w:id="522" w:name="_Toc26883"/>
      <w:bookmarkStart w:id="523" w:name="_Toc14814"/>
      <w:bookmarkStart w:id="524" w:name="_Toc7315"/>
      <w:r>
        <w:rPr>
          <w:rFonts w:ascii="宋体" w:hAnsi="宋体"/>
          <w:b/>
          <w:sz w:val="24"/>
        </w:rPr>
        <w:t>2.13 乙方破产</w:t>
      </w:r>
      <w:bookmarkEnd w:id="519"/>
      <w:bookmarkEnd w:id="520"/>
      <w:bookmarkEnd w:id="521"/>
      <w:bookmarkEnd w:id="522"/>
      <w:bookmarkEnd w:id="523"/>
      <w:bookmarkEnd w:id="524"/>
    </w:p>
    <w:p w14:paraId="12A5F9AB">
      <w:pPr>
        <w:snapToGrid w:val="0"/>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537940C8">
      <w:pPr>
        <w:snapToGrid w:val="0"/>
        <w:spacing w:line="360" w:lineRule="auto"/>
        <w:ind w:firstLine="482" w:firstLineChars="200"/>
        <w:outlineLvl w:val="0"/>
        <w:rPr>
          <w:rFonts w:ascii="宋体" w:hAnsi="宋体"/>
          <w:b/>
          <w:sz w:val="24"/>
        </w:rPr>
      </w:pPr>
      <w:bookmarkStart w:id="525" w:name="_Toc3628"/>
      <w:bookmarkStart w:id="526" w:name="_Toc2016"/>
      <w:bookmarkStart w:id="527" w:name="_Toc23323"/>
      <w:bookmarkStart w:id="528" w:name="_Toc1123"/>
      <w:r>
        <w:rPr>
          <w:rFonts w:ascii="宋体" w:hAnsi="宋体"/>
          <w:b/>
          <w:sz w:val="24"/>
        </w:rPr>
        <w:t>2.14 合同中止、终止</w:t>
      </w:r>
      <w:bookmarkEnd w:id="525"/>
      <w:bookmarkEnd w:id="526"/>
      <w:bookmarkEnd w:id="527"/>
      <w:bookmarkEnd w:id="528"/>
    </w:p>
    <w:p w14:paraId="060C8C3C">
      <w:pPr>
        <w:snapToGrid w:val="0"/>
        <w:spacing w:line="360" w:lineRule="auto"/>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5CB956A0">
      <w:pPr>
        <w:snapToGrid w:val="0"/>
        <w:spacing w:line="360" w:lineRule="auto"/>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5B309120">
      <w:pPr>
        <w:snapToGrid w:val="0"/>
        <w:spacing w:line="360" w:lineRule="auto"/>
        <w:ind w:firstLine="482" w:firstLineChars="200"/>
        <w:outlineLvl w:val="0"/>
        <w:rPr>
          <w:rFonts w:ascii="宋体" w:hAnsi="宋体"/>
          <w:b/>
          <w:sz w:val="24"/>
        </w:rPr>
      </w:pPr>
      <w:bookmarkStart w:id="529" w:name="_Toc17363"/>
      <w:bookmarkStart w:id="530" w:name="_Toc1969"/>
      <w:bookmarkStart w:id="531" w:name="_Toc32417"/>
      <w:bookmarkStart w:id="532" w:name="_Toc14525"/>
      <w:r>
        <w:rPr>
          <w:rFonts w:ascii="宋体" w:hAnsi="宋体"/>
          <w:b/>
          <w:sz w:val="24"/>
        </w:rPr>
        <w:t>2.15 检验和验收</w:t>
      </w:r>
      <w:bookmarkEnd w:id="529"/>
      <w:bookmarkEnd w:id="530"/>
      <w:bookmarkEnd w:id="531"/>
      <w:bookmarkEnd w:id="532"/>
    </w:p>
    <w:p w14:paraId="390FB12F">
      <w:pPr>
        <w:tabs>
          <w:tab w:val="left" w:pos="360"/>
          <w:tab w:val="left" w:pos="540"/>
          <w:tab w:val="left" w:pos="1080"/>
        </w:tabs>
        <w:snapToGrid w:val="0"/>
        <w:spacing w:line="360" w:lineRule="auto"/>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1E85A53F">
      <w:pPr>
        <w:tabs>
          <w:tab w:val="left" w:pos="360"/>
          <w:tab w:val="left" w:pos="540"/>
          <w:tab w:val="left" w:pos="1080"/>
        </w:tabs>
        <w:snapToGrid w:val="0"/>
        <w:spacing w:line="360" w:lineRule="auto"/>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F810949">
      <w:pPr>
        <w:tabs>
          <w:tab w:val="left" w:pos="360"/>
          <w:tab w:val="left" w:pos="540"/>
          <w:tab w:val="left" w:pos="1080"/>
        </w:tabs>
        <w:snapToGrid w:val="0"/>
        <w:spacing w:line="360" w:lineRule="auto"/>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09C74FA8">
      <w:pPr>
        <w:snapToGrid w:val="0"/>
        <w:spacing w:line="360" w:lineRule="auto"/>
        <w:ind w:firstLine="482" w:firstLineChars="200"/>
        <w:outlineLvl w:val="0"/>
        <w:rPr>
          <w:rFonts w:ascii="宋体" w:hAnsi="宋体"/>
          <w:b/>
          <w:sz w:val="24"/>
        </w:rPr>
      </w:pPr>
      <w:bookmarkStart w:id="533" w:name="_Toc9808"/>
      <w:bookmarkStart w:id="534" w:name="_Toc25198"/>
      <w:bookmarkStart w:id="535" w:name="_Toc2308"/>
      <w:bookmarkStart w:id="536" w:name="_Toc12666"/>
      <w:bookmarkStart w:id="537" w:name="_Toc31892"/>
      <w:bookmarkStart w:id="538" w:name="_Toc12867"/>
      <w:r>
        <w:rPr>
          <w:rFonts w:ascii="宋体" w:hAnsi="宋体"/>
          <w:b/>
          <w:sz w:val="24"/>
        </w:rPr>
        <w:t>2.16 通知和送达</w:t>
      </w:r>
      <w:bookmarkEnd w:id="533"/>
      <w:bookmarkEnd w:id="534"/>
      <w:bookmarkEnd w:id="535"/>
      <w:bookmarkEnd w:id="536"/>
      <w:bookmarkEnd w:id="537"/>
      <w:bookmarkEnd w:id="538"/>
    </w:p>
    <w:p w14:paraId="2E0F4950">
      <w:pPr>
        <w:snapToGrid w:val="0"/>
        <w:spacing w:line="360" w:lineRule="auto"/>
        <w:ind w:firstLine="480" w:firstLineChars="200"/>
        <w:rPr>
          <w:rFonts w:ascii="宋体" w:hAnsi="宋体"/>
          <w:sz w:val="24"/>
        </w:rPr>
      </w:pPr>
      <w:bookmarkStart w:id="539" w:name="_Toc27674"/>
      <w:bookmarkStart w:id="540" w:name="_Toc18401"/>
      <w:r>
        <w:rPr>
          <w:rFonts w:ascii="宋体" w:hAnsi="宋体"/>
          <w:sz w:val="24"/>
        </w:rPr>
        <w:t>2.17.1</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8ADAAF4">
      <w:pPr>
        <w:snapToGrid w:val="0"/>
        <w:spacing w:line="360" w:lineRule="auto"/>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39"/>
      <w:bookmarkEnd w:id="540"/>
    </w:p>
    <w:p w14:paraId="03B2F7D9">
      <w:pPr>
        <w:snapToGrid w:val="0"/>
        <w:spacing w:line="360" w:lineRule="auto"/>
        <w:ind w:firstLine="482" w:firstLineChars="200"/>
        <w:outlineLvl w:val="0"/>
        <w:rPr>
          <w:rFonts w:ascii="宋体" w:hAnsi="宋体"/>
          <w:b/>
          <w:sz w:val="24"/>
        </w:rPr>
      </w:pPr>
      <w:bookmarkStart w:id="541" w:name="_Toc28906"/>
      <w:bookmarkStart w:id="542" w:name="_Toc20808"/>
      <w:bookmarkStart w:id="543" w:name="_Toc27644"/>
      <w:bookmarkStart w:id="544" w:name="_Toc12254"/>
      <w:bookmarkStart w:id="545" w:name="_Toc2127"/>
      <w:bookmarkStart w:id="546"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41"/>
      <w:bookmarkEnd w:id="542"/>
      <w:bookmarkEnd w:id="543"/>
      <w:bookmarkEnd w:id="544"/>
      <w:bookmarkEnd w:id="545"/>
      <w:bookmarkEnd w:id="546"/>
    </w:p>
    <w:p w14:paraId="10F78041">
      <w:pPr>
        <w:snapToGrid w:val="0"/>
        <w:spacing w:line="360" w:lineRule="auto"/>
        <w:ind w:firstLine="480" w:firstLineChars="200"/>
        <w:rPr>
          <w:rFonts w:ascii="宋体" w:hAnsi="宋体"/>
          <w:sz w:val="24"/>
        </w:rPr>
      </w:pPr>
      <w:r>
        <w:rPr>
          <w:rFonts w:ascii="宋体" w:hAnsi="宋体"/>
          <w:sz w:val="24"/>
        </w:rPr>
        <w:t>2.17.1 合同使用汉语</w:t>
      </w:r>
      <w:r>
        <w:rPr>
          <w:rFonts w:hint="eastAsia" w:ascii="宋体" w:hAnsi="宋体"/>
          <w:sz w:val="24"/>
          <w:lang w:eastAsia="zh-CN"/>
        </w:rPr>
        <w:t>书写</w:t>
      </w:r>
      <w:r>
        <w:rPr>
          <w:rFonts w:hint="eastAsia" w:ascii="宋体" w:hAnsi="宋体"/>
          <w:sz w:val="24"/>
        </w:rPr>
        <w:t>、</w:t>
      </w:r>
      <w:r>
        <w:rPr>
          <w:rFonts w:ascii="宋体" w:hAnsi="宋体"/>
          <w:sz w:val="24"/>
        </w:rPr>
        <w:t>变更和解释</w:t>
      </w:r>
      <w:r>
        <w:rPr>
          <w:rFonts w:hint="eastAsia" w:ascii="宋体" w:hAnsi="宋体"/>
          <w:sz w:val="24"/>
        </w:rPr>
        <w:t>；</w:t>
      </w:r>
    </w:p>
    <w:p w14:paraId="56C674D3">
      <w:pPr>
        <w:snapToGrid w:val="0"/>
        <w:spacing w:line="360" w:lineRule="auto"/>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B3228DE">
      <w:pPr>
        <w:snapToGrid w:val="0"/>
        <w:spacing w:line="360" w:lineRule="auto"/>
        <w:ind w:firstLine="482" w:firstLineChars="200"/>
        <w:outlineLvl w:val="0"/>
        <w:rPr>
          <w:rFonts w:ascii="宋体" w:hAnsi="宋体"/>
          <w:b/>
          <w:sz w:val="24"/>
        </w:rPr>
      </w:pPr>
      <w:bookmarkStart w:id="547" w:name="_Toc1492"/>
      <w:bookmarkStart w:id="548" w:name="_Toc22266"/>
      <w:bookmarkStart w:id="549" w:name="_Toc27127"/>
      <w:bookmarkStart w:id="550" w:name="_Toc30096"/>
      <w:bookmarkStart w:id="551" w:name="_Toc29572"/>
      <w:bookmarkStart w:id="552" w:name="_Toc27403"/>
      <w:r>
        <w:rPr>
          <w:rFonts w:ascii="宋体" w:hAnsi="宋体"/>
          <w:b/>
          <w:sz w:val="24"/>
        </w:rPr>
        <w:t>2.18 履约保证金</w:t>
      </w:r>
      <w:bookmarkEnd w:id="547"/>
      <w:bookmarkEnd w:id="548"/>
      <w:bookmarkEnd w:id="549"/>
      <w:bookmarkEnd w:id="550"/>
      <w:bookmarkEnd w:id="551"/>
      <w:bookmarkEnd w:id="552"/>
    </w:p>
    <w:p w14:paraId="5DDD0D67">
      <w:pPr>
        <w:snapToGri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本项目不设置履约保证金</w:t>
      </w:r>
    </w:p>
    <w:p w14:paraId="5CBBA87A">
      <w:pPr>
        <w:snapToGrid w:val="0"/>
        <w:spacing w:line="360" w:lineRule="auto"/>
        <w:ind w:firstLine="482" w:firstLineChars="200"/>
        <w:rPr>
          <w:rFonts w:ascii="宋体" w:hAnsi="宋体"/>
          <w:b/>
          <w:sz w:val="24"/>
        </w:rPr>
      </w:pPr>
      <w:r>
        <w:rPr>
          <w:rFonts w:ascii="宋体" w:hAnsi="宋体"/>
          <w:b/>
          <w:sz w:val="24"/>
        </w:rPr>
        <w:t>2.20合同份数</w:t>
      </w:r>
    </w:p>
    <w:p w14:paraId="3D8AB404">
      <w:pPr>
        <w:snapToGrid w:val="0"/>
        <w:spacing w:line="360" w:lineRule="auto"/>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hint="eastAsia" w:ascii="宋体" w:hAnsi="宋体"/>
          <w:b/>
          <w:i/>
          <w:sz w:val="24"/>
          <w:u w:val="single"/>
          <w:lang w:val="en-US" w:eastAsia="zh-CN"/>
        </w:rPr>
        <w:t>约定为准</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13739A6">
      <w:pPr>
        <w:pStyle w:val="701"/>
        <w:spacing w:line="560" w:lineRule="exact"/>
        <w:ind w:firstLine="482"/>
        <w:jc w:val="center"/>
        <w:rPr>
          <w:rFonts w:ascii="宋体" w:hAnsi="宋体" w:cs="宋体"/>
          <w:b/>
          <w:szCs w:val="24"/>
        </w:rPr>
      </w:pPr>
      <w:bookmarkStart w:id="553" w:name="_Toc331685784"/>
      <w:bookmarkEnd w:id="553"/>
    </w:p>
    <w:p w14:paraId="58CD6535">
      <w:pPr>
        <w:pStyle w:val="701"/>
        <w:spacing w:line="560" w:lineRule="exact"/>
        <w:ind w:left="0" w:leftChars="0" w:firstLine="0" w:firstLineChars="0"/>
        <w:rPr>
          <w:rFonts w:ascii="宋体" w:hAnsi="宋体" w:cs="宋体"/>
          <w:b/>
          <w:szCs w:val="24"/>
        </w:rPr>
      </w:pPr>
    </w:p>
    <w:p w14:paraId="040F6AF0">
      <w:pPr>
        <w:rPr>
          <w:rFonts w:ascii="宋体" w:hAnsi="宋体" w:cs="宋体"/>
          <w:b/>
        </w:rPr>
      </w:pPr>
      <w:r>
        <w:rPr>
          <w:rFonts w:hint="eastAsia" w:ascii="宋体" w:hAnsi="宋体" w:cs="宋体"/>
          <w:b/>
        </w:rPr>
        <w:br w:type="page"/>
      </w:r>
    </w:p>
    <w:p w14:paraId="7EBA482D">
      <w:pPr>
        <w:pStyle w:val="701"/>
        <w:spacing w:line="560" w:lineRule="exact"/>
        <w:ind w:left="0" w:leftChars="0" w:firstLine="0" w:firstLineChars="0"/>
        <w:jc w:val="center"/>
        <w:rPr>
          <w:rFonts w:ascii="宋体" w:hAnsi="宋体" w:cs="宋体"/>
          <w:b/>
          <w:szCs w:val="24"/>
        </w:rPr>
      </w:pPr>
      <w:r>
        <w:rPr>
          <w:rFonts w:hint="eastAsia" w:ascii="宋体" w:hAnsi="宋体" w:cs="宋体"/>
          <w:b/>
          <w:szCs w:val="24"/>
        </w:rPr>
        <w:t>第三部分  合同专用条款</w:t>
      </w:r>
    </w:p>
    <w:p w14:paraId="7932826C">
      <w:pPr>
        <w:spacing w:line="360" w:lineRule="auto"/>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21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673"/>
      </w:tblGrid>
      <w:tr w14:paraId="19029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46" w:type="pct"/>
            <w:tcBorders>
              <w:left w:val="single" w:color="auto" w:sz="4" w:space="0"/>
            </w:tcBorders>
            <w:noWrap/>
            <w:vAlign w:val="center"/>
          </w:tcPr>
          <w:p w14:paraId="0CDEB49C">
            <w:pPr>
              <w:keepNext w:val="0"/>
              <w:keepLines w:val="0"/>
              <w:pageBreakBefore w:val="0"/>
              <w:widowControl w:val="0"/>
              <w:kinsoku/>
              <w:wordWrap/>
              <w:overflowPunct/>
              <w:topLinePunct w:val="0"/>
              <w:bidi w:val="0"/>
              <w:adjustRightInd w:val="0"/>
              <w:spacing w:line="360" w:lineRule="auto"/>
              <w:jc w:val="center"/>
              <w:textAlignment w:val="auto"/>
              <w:rPr>
                <w:rFonts w:ascii="宋体" w:hAnsi="宋体" w:cs="宋体"/>
                <w:b/>
                <w:sz w:val="24"/>
              </w:rPr>
            </w:pPr>
            <w:r>
              <w:rPr>
                <w:rFonts w:hint="eastAsia" w:ascii="宋体" w:hAnsi="宋体" w:cs="宋体"/>
                <w:b/>
                <w:sz w:val="24"/>
              </w:rPr>
              <w:t>条款号</w:t>
            </w:r>
          </w:p>
        </w:tc>
        <w:tc>
          <w:tcPr>
            <w:tcW w:w="4553" w:type="pct"/>
            <w:noWrap/>
            <w:vAlign w:val="center"/>
          </w:tcPr>
          <w:p w14:paraId="53C86BEA">
            <w:pPr>
              <w:keepNext w:val="0"/>
              <w:keepLines w:val="0"/>
              <w:pageBreakBefore w:val="0"/>
              <w:widowControl w:val="0"/>
              <w:kinsoku/>
              <w:wordWrap/>
              <w:overflowPunct/>
              <w:topLinePunct w:val="0"/>
              <w:bidi w:val="0"/>
              <w:adjustRightInd w:val="0"/>
              <w:spacing w:line="360" w:lineRule="auto"/>
              <w:jc w:val="center"/>
              <w:textAlignment w:val="auto"/>
              <w:rPr>
                <w:rFonts w:ascii="宋体" w:hAnsi="宋体" w:cs="宋体"/>
                <w:b/>
                <w:sz w:val="24"/>
              </w:rPr>
            </w:pPr>
            <w:r>
              <w:rPr>
                <w:rFonts w:hint="eastAsia" w:ascii="宋体" w:hAnsi="宋体" w:cs="宋体"/>
                <w:b/>
                <w:sz w:val="24"/>
              </w:rPr>
              <w:t>约定内容</w:t>
            </w:r>
          </w:p>
        </w:tc>
      </w:tr>
      <w:tr w14:paraId="092A6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6" w:type="pct"/>
            <w:tcBorders>
              <w:left w:val="single" w:color="auto" w:sz="4" w:space="0"/>
            </w:tcBorders>
            <w:noWrap/>
            <w:vAlign w:val="center"/>
          </w:tcPr>
          <w:p w14:paraId="53D4F729">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sz w:val="24"/>
                <w:lang w:eastAsia="zh-CN"/>
              </w:rPr>
            </w:pPr>
            <w:r>
              <w:rPr>
                <w:rFonts w:hint="eastAsia" w:ascii="宋体" w:hAnsi="宋体" w:cs="宋体"/>
                <w:sz w:val="24"/>
              </w:rPr>
              <w:t>1.4.</w:t>
            </w:r>
            <w:r>
              <w:rPr>
                <w:rFonts w:hint="eastAsia" w:ascii="宋体" w:hAnsi="宋体" w:cs="宋体"/>
                <w:sz w:val="24"/>
                <w:lang w:val="en-US" w:eastAsia="zh-CN"/>
              </w:rPr>
              <w:t>2</w:t>
            </w:r>
          </w:p>
        </w:tc>
        <w:tc>
          <w:tcPr>
            <w:tcW w:w="4553" w:type="pct"/>
            <w:noWrap/>
            <w:vAlign w:val="center"/>
          </w:tcPr>
          <w:p w14:paraId="111DF0F2">
            <w:pPr>
              <w:keepNext w:val="0"/>
              <w:keepLines w:val="0"/>
              <w:pageBreakBefore w:val="0"/>
              <w:widowControl w:val="0"/>
              <w:kinsoku/>
              <w:wordWrap/>
              <w:overflowPunct/>
              <w:topLinePunct/>
              <w:bidi w:val="0"/>
              <w:adjustRightInd w:val="0"/>
              <w:spacing w:line="360" w:lineRule="auto"/>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本项目不支付预付款，按时结算。每三个月结算一次，以运达垃圾处置点的实际处置数量乘以单价为准。具体如下：</w:t>
            </w:r>
          </w:p>
          <w:p w14:paraId="61A2EE43">
            <w:pPr>
              <w:keepNext w:val="0"/>
              <w:keepLines w:val="0"/>
              <w:pageBreakBefore w:val="0"/>
              <w:widowControl w:val="0"/>
              <w:kinsoku/>
              <w:wordWrap/>
              <w:overflowPunct/>
              <w:topLinePunct/>
              <w:bidi w:val="0"/>
              <w:adjustRightInd w:val="0"/>
              <w:spacing w:line="360" w:lineRule="auto"/>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（1）支付</w:t>
            </w:r>
            <w:r>
              <w:rPr>
                <w:rFonts w:hint="eastAsia" w:ascii="宋体" w:hAnsi="宋体" w:cs="宋体"/>
                <w:snapToGrid w:val="0"/>
                <w:kern w:val="2"/>
                <w:sz w:val="24"/>
                <w:szCs w:val="24"/>
                <w:lang w:val="en-US" w:eastAsia="zh-CN" w:bidi="ar-SA"/>
              </w:rPr>
              <w:t>单据</w:t>
            </w:r>
            <w:r>
              <w:rPr>
                <w:rFonts w:hint="eastAsia" w:ascii="宋体" w:hAnsi="宋体" w:eastAsia="宋体" w:cs="宋体"/>
                <w:snapToGrid w:val="0"/>
                <w:kern w:val="2"/>
                <w:sz w:val="24"/>
                <w:szCs w:val="24"/>
                <w:lang w:val="en-US" w:eastAsia="zh-CN" w:bidi="ar-SA"/>
              </w:rPr>
              <w:t>：乙方在每个月结束后五个工作日内，向甲方提供月易腐垃圾收集运输处理费结算单；经甲方要求，乙方应提供所有证明记录和资料以便甲方核实；</w:t>
            </w:r>
          </w:p>
          <w:p w14:paraId="1214C6F9">
            <w:pPr>
              <w:keepNext w:val="0"/>
              <w:keepLines w:val="0"/>
              <w:pageBreakBefore w:val="0"/>
              <w:widowControl w:val="0"/>
              <w:kinsoku/>
              <w:wordWrap/>
              <w:overflowPunct/>
              <w:topLinePunct/>
              <w:bidi w:val="0"/>
              <w:adjustRightInd w:val="0"/>
              <w:spacing w:line="360" w:lineRule="auto"/>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（2）支付</w:t>
            </w:r>
            <w:r>
              <w:rPr>
                <w:rFonts w:hint="eastAsia" w:ascii="宋体" w:hAnsi="宋体" w:cs="宋体"/>
                <w:snapToGrid w:val="0"/>
                <w:kern w:val="2"/>
                <w:sz w:val="24"/>
                <w:szCs w:val="24"/>
                <w:lang w:val="en-US" w:eastAsia="zh-CN" w:bidi="ar-SA"/>
              </w:rPr>
              <w:t>时间</w:t>
            </w:r>
            <w:r>
              <w:rPr>
                <w:rFonts w:hint="eastAsia" w:ascii="宋体" w:hAnsi="宋体" w:eastAsia="宋体" w:cs="宋体"/>
                <w:snapToGrid w:val="0"/>
                <w:kern w:val="2"/>
                <w:sz w:val="24"/>
                <w:szCs w:val="24"/>
                <w:lang w:val="en-US" w:eastAsia="zh-CN" w:bidi="ar-SA"/>
              </w:rPr>
              <w:t>：每季度末，乙方提供当季的每月台账资料，经甲方根据核算确认后，按实际收运处置的数量支付当季收运处置费。</w:t>
            </w:r>
          </w:p>
        </w:tc>
      </w:tr>
      <w:tr w14:paraId="5E0D5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6" w:type="pct"/>
            <w:tcBorders>
              <w:left w:val="single" w:color="auto" w:sz="4" w:space="0"/>
            </w:tcBorders>
            <w:noWrap/>
            <w:vAlign w:val="center"/>
          </w:tcPr>
          <w:p w14:paraId="107C966F">
            <w:pPr>
              <w:keepNext w:val="0"/>
              <w:keepLines w:val="0"/>
              <w:pageBreakBefore w:val="0"/>
              <w:widowControl w:val="0"/>
              <w:kinsoku/>
              <w:wordWrap/>
              <w:overflowPunct/>
              <w:topLinePunct w:val="0"/>
              <w:bidi w:val="0"/>
              <w:adjustRightInd w:val="0"/>
              <w:spacing w:line="360" w:lineRule="auto"/>
              <w:textAlignment w:val="auto"/>
              <w:rPr>
                <w:rFonts w:ascii="宋体" w:hAnsi="宋体" w:cs="宋体"/>
                <w:sz w:val="24"/>
              </w:rPr>
            </w:pPr>
            <w:r>
              <w:rPr>
                <w:rFonts w:hint="eastAsia" w:ascii="宋体" w:hAnsi="宋体" w:cs="宋体"/>
                <w:sz w:val="24"/>
              </w:rPr>
              <w:t xml:space="preserve">1.5.1 </w:t>
            </w:r>
          </w:p>
        </w:tc>
        <w:tc>
          <w:tcPr>
            <w:tcW w:w="4553" w:type="pct"/>
            <w:noWrap/>
            <w:vAlign w:val="center"/>
          </w:tcPr>
          <w:p w14:paraId="150E3405">
            <w:pPr>
              <w:keepNext w:val="0"/>
              <w:keepLines w:val="0"/>
              <w:pageBreakBefore w:val="0"/>
              <w:widowControl w:val="0"/>
              <w:kinsoku/>
              <w:wordWrap/>
              <w:overflowPunct/>
              <w:autoSpaceDE w:val="0"/>
              <w:autoSpaceDN w:val="0"/>
              <w:bidi w:val="0"/>
              <w:adjustRightInd w:val="0"/>
              <w:spacing w:line="360" w:lineRule="auto"/>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color w:val="auto"/>
                <w:sz w:val="24"/>
                <w:szCs w:val="24"/>
              </w:rPr>
              <w:t>本项目服务期为实际处置之日起一年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或</w:t>
            </w:r>
            <w:bookmarkStart w:id="584" w:name="_GoBack"/>
            <w:bookmarkEnd w:id="584"/>
            <w:r>
              <w:rPr>
                <w:rFonts w:hint="eastAsia" w:ascii="宋体" w:hAnsi="宋体" w:eastAsia="宋体" w:cs="宋体"/>
                <w:color w:val="auto"/>
                <w:sz w:val="24"/>
                <w:szCs w:val="24"/>
                <w:lang w:val="en-US" w:eastAsia="zh-CN"/>
              </w:rPr>
              <w:t>累计服务费用达到80万元，合同终止</w:t>
            </w:r>
            <w:r>
              <w:rPr>
                <w:rFonts w:hint="eastAsia" w:ascii="宋体" w:hAnsi="宋体" w:eastAsia="宋体" w:cs="宋体"/>
                <w:color w:val="auto"/>
                <w:sz w:val="24"/>
                <w:szCs w:val="24"/>
              </w:rPr>
              <w:t>。</w:t>
            </w:r>
          </w:p>
        </w:tc>
      </w:tr>
      <w:tr w14:paraId="46E81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6" w:type="pct"/>
            <w:tcBorders>
              <w:left w:val="single" w:color="auto" w:sz="4" w:space="0"/>
            </w:tcBorders>
            <w:noWrap/>
            <w:vAlign w:val="center"/>
          </w:tcPr>
          <w:p w14:paraId="66879331">
            <w:pPr>
              <w:keepNext w:val="0"/>
              <w:keepLines w:val="0"/>
              <w:pageBreakBefore w:val="0"/>
              <w:widowControl w:val="0"/>
              <w:kinsoku/>
              <w:wordWrap/>
              <w:overflowPunct/>
              <w:topLinePunct w:val="0"/>
              <w:bidi w:val="0"/>
              <w:adjustRightInd w:val="0"/>
              <w:spacing w:line="360" w:lineRule="auto"/>
              <w:textAlignment w:val="auto"/>
              <w:rPr>
                <w:rFonts w:ascii="宋体" w:hAnsi="宋体" w:cs="宋体"/>
                <w:sz w:val="24"/>
              </w:rPr>
            </w:pPr>
            <w:r>
              <w:rPr>
                <w:rFonts w:hint="eastAsia" w:ascii="宋体" w:hAnsi="宋体" w:cs="宋体"/>
                <w:sz w:val="24"/>
              </w:rPr>
              <w:t>1.5.2</w:t>
            </w:r>
          </w:p>
        </w:tc>
        <w:tc>
          <w:tcPr>
            <w:tcW w:w="4553" w:type="pct"/>
            <w:noWrap/>
            <w:vAlign w:val="center"/>
          </w:tcPr>
          <w:p w14:paraId="4390B82A">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sz w:val="24"/>
                <w:lang w:eastAsia="zh-CN"/>
              </w:rPr>
            </w:pPr>
            <w:r>
              <w:rPr>
                <w:rFonts w:hint="eastAsia" w:ascii="宋体" w:hAnsi="宋体" w:cs="宋体"/>
                <w:sz w:val="24"/>
              </w:rPr>
              <w:t>桐庐县富春江镇</w:t>
            </w:r>
            <w:r>
              <w:rPr>
                <w:rFonts w:hint="eastAsia" w:ascii="宋体" w:hAnsi="宋体" w:cs="宋体"/>
                <w:sz w:val="24"/>
                <w:lang w:eastAsia="zh-CN"/>
              </w:rPr>
              <w:t>。</w:t>
            </w:r>
          </w:p>
        </w:tc>
      </w:tr>
      <w:tr w14:paraId="123C3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6" w:type="pct"/>
            <w:tcBorders>
              <w:left w:val="single" w:color="auto" w:sz="4" w:space="0"/>
            </w:tcBorders>
            <w:noWrap/>
            <w:vAlign w:val="center"/>
          </w:tcPr>
          <w:p w14:paraId="67BD5591">
            <w:pPr>
              <w:keepNext w:val="0"/>
              <w:keepLines w:val="0"/>
              <w:pageBreakBefore w:val="0"/>
              <w:widowControl w:val="0"/>
              <w:kinsoku/>
              <w:wordWrap/>
              <w:overflowPunct/>
              <w:topLinePunct w:val="0"/>
              <w:bidi w:val="0"/>
              <w:adjustRightInd w:val="0"/>
              <w:spacing w:line="360" w:lineRule="auto"/>
              <w:textAlignment w:val="auto"/>
              <w:rPr>
                <w:rFonts w:ascii="宋体" w:hAnsi="宋体" w:cs="宋体"/>
                <w:sz w:val="24"/>
              </w:rPr>
            </w:pPr>
            <w:r>
              <w:rPr>
                <w:rFonts w:hint="eastAsia" w:ascii="宋体" w:hAnsi="宋体" w:cs="宋体"/>
                <w:sz w:val="24"/>
              </w:rPr>
              <w:t xml:space="preserve">1.5.3 </w:t>
            </w:r>
          </w:p>
        </w:tc>
        <w:tc>
          <w:tcPr>
            <w:tcW w:w="4553" w:type="pct"/>
            <w:noWrap/>
            <w:vAlign w:val="center"/>
          </w:tcPr>
          <w:p w14:paraId="771451A4">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sz w:val="24"/>
                <w:lang w:eastAsia="zh-CN"/>
              </w:rPr>
            </w:pPr>
            <w:r>
              <w:rPr>
                <w:rFonts w:hint="eastAsia" w:ascii="宋体" w:hAnsi="宋体" w:cs="宋体"/>
                <w:sz w:val="24"/>
              </w:rPr>
              <w:t>按项目服务要求提供服务</w:t>
            </w:r>
            <w:r>
              <w:rPr>
                <w:rFonts w:hint="eastAsia" w:ascii="宋体" w:hAnsi="宋体" w:cs="宋体"/>
                <w:sz w:val="24"/>
                <w:lang w:eastAsia="zh-CN"/>
              </w:rPr>
              <w:t>。</w:t>
            </w:r>
          </w:p>
        </w:tc>
      </w:tr>
      <w:tr w14:paraId="5CE54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6" w:type="pct"/>
            <w:tcBorders>
              <w:left w:val="single" w:color="auto" w:sz="4" w:space="0"/>
            </w:tcBorders>
            <w:noWrap/>
            <w:vAlign w:val="center"/>
          </w:tcPr>
          <w:p w14:paraId="2FAC5F59">
            <w:pPr>
              <w:keepNext w:val="0"/>
              <w:keepLines w:val="0"/>
              <w:pageBreakBefore w:val="0"/>
              <w:widowControl w:val="0"/>
              <w:kinsoku/>
              <w:wordWrap/>
              <w:overflowPunct/>
              <w:topLinePunct w:val="0"/>
              <w:bidi w:val="0"/>
              <w:adjustRightInd w:val="0"/>
              <w:spacing w:line="360" w:lineRule="auto"/>
              <w:textAlignment w:val="auto"/>
              <w:rPr>
                <w:rFonts w:ascii="宋体" w:hAnsi="宋体" w:cs="宋体"/>
                <w:sz w:val="24"/>
              </w:rPr>
            </w:pPr>
            <w:r>
              <w:rPr>
                <w:rFonts w:hint="eastAsia" w:ascii="宋体" w:hAnsi="宋体" w:cs="宋体"/>
                <w:sz w:val="24"/>
              </w:rPr>
              <w:t>1.6.6</w:t>
            </w:r>
          </w:p>
        </w:tc>
        <w:tc>
          <w:tcPr>
            <w:tcW w:w="4553" w:type="pct"/>
            <w:noWrap/>
            <w:vAlign w:val="center"/>
          </w:tcPr>
          <w:p w14:paraId="32E56C74">
            <w:pPr>
              <w:keepNext w:val="0"/>
              <w:keepLines w:val="0"/>
              <w:pageBreakBefore w:val="0"/>
              <w:widowControl w:val="0"/>
              <w:kinsoku/>
              <w:wordWrap/>
              <w:overflowPunct/>
              <w:topLinePunct w:val="0"/>
              <w:bidi w:val="0"/>
              <w:adjustRightInd w:val="0"/>
              <w:snapToGrid w:val="0"/>
              <w:spacing w:line="360" w:lineRule="auto"/>
              <w:textAlignment w:val="auto"/>
              <w:rPr>
                <w:rFonts w:hint="eastAsia" w:ascii="Calibri" w:hAnsi="Calibri" w:eastAsia="宋体"/>
                <w:sz w:val="24"/>
                <w:lang w:eastAsia="zh-CN"/>
              </w:rPr>
            </w:pPr>
            <w:r>
              <w:rPr>
                <w:rFonts w:hint="eastAsia" w:ascii="Calibri" w:hAnsi="Calibri"/>
                <w:sz w:val="24"/>
              </w:rPr>
              <w:t>详见采购需求</w:t>
            </w:r>
            <w:r>
              <w:rPr>
                <w:rFonts w:hint="eastAsia" w:ascii="Calibri" w:hAnsi="Calibri"/>
                <w:sz w:val="24"/>
                <w:lang w:eastAsia="zh-CN"/>
              </w:rPr>
              <w:t>。</w:t>
            </w:r>
          </w:p>
        </w:tc>
      </w:tr>
      <w:tr w14:paraId="6DA47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6" w:type="pct"/>
            <w:tcBorders>
              <w:left w:val="single" w:color="auto" w:sz="4" w:space="0"/>
            </w:tcBorders>
            <w:noWrap/>
            <w:vAlign w:val="center"/>
          </w:tcPr>
          <w:p w14:paraId="0D8D0DAE">
            <w:pPr>
              <w:keepNext w:val="0"/>
              <w:keepLines w:val="0"/>
              <w:pageBreakBefore w:val="0"/>
              <w:widowControl w:val="0"/>
              <w:kinsoku/>
              <w:wordWrap/>
              <w:overflowPunct/>
              <w:topLinePunct w:val="0"/>
              <w:bidi w:val="0"/>
              <w:adjustRightInd w:val="0"/>
              <w:spacing w:line="360" w:lineRule="auto"/>
              <w:textAlignment w:val="auto"/>
              <w:rPr>
                <w:rFonts w:ascii="宋体" w:hAnsi="宋体" w:cs="宋体"/>
                <w:sz w:val="24"/>
              </w:rPr>
            </w:pPr>
            <w:r>
              <w:rPr>
                <w:rFonts w:hint="eastAsia" w:ascii="宋体" w:hAnsi="宋体" w:cs="宋体"/>
                <w:sz w:val="24"/>
              </w:rPr>
              <w:t>2.3.2</w:t>
            </w:r>
          </w:p>
        </w:tc>
        <w:tc>
          <w:tcPr>
            <w:tcW w:w="4553" w:type="pct"/>
            <w:noWrap/>
            <w:vAlign w:val="center"/>
          </w:tcPr>
          <w:p w14:paraId="5106EC6C">
            <w:pPr>
              <w:keepNext w:val="0"/>
              <w:keepLines w:val="0"/>
              <w:pageBreakBefore w:val="0"/>
              <w:widowControl w:val="0"/>
              <w:kinsoku/>
              <w:wordWrap/>
              <w:overflowPunct/>
              <w:topLinePunct w:val="0"/>
              <w:bidi w:val="0"/>
              <w:adjustRightInd w:val="0"/>
              <w:spacing w:line="360" w:lineRule="auto"/>
              <w:ind w:left="-420" w:leftChars="-200" w:right="-420" w:rightChars="-200" w:firstLine="480" w:firstLineChars="200"/>
              <w:textAlignment w:val="auto"/>
              <w:rPr>
                <w:rFonts w:ascii="宋体" w:hAnsi="宋体" w:cs="宋体"/>
                <w:sz w:val="24"/>
              </w:rPr>
            </w:pPr>
            <w:r>
              <w:rPr>
                <w:rFonts w:hint="eastAsia" w:ascii="宋体" w:hAnsi="宋体" w:cs="宋体"/>
                <w:sz w:val="24"/>
              </w:rPr>
              <w:t>合同涉及技术成果和收益归采购人所有。</w:t>
            </w:r>
          </w:p>
        </w:tc>
      </w:tr>
      <w:tr w14:paraId="26068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6" w:type="pct"/>
            <w:tcBorders>
              <w:left w:val="single" w:color="auto" w:sz="4" w:space="0"/>
            </w:tcBorders>
            <w:noWrap/>
            <w:vAlign w:val="center"/>
          </w:tcPr>
          <w:p w14:paraId="52439938">
            <w:pPr>
              <w:keepNext w:val="0"/>
              <w:keepLines w:val="0"/>
              <w:pageBreakBefore w:val="0"/>
              <w:widowControl w:val="0"/>
              <w:kinsoku/>
              <w:wordWrap/>
              <w:overflowPunct/>
              <w:topLinePunct w:val="0"/>
              <w:bidi w:val="0"/>
              <w:adjustRightInd w:val="0"/>
              <w:spacing w:line="360" w:lineRule="auto"/>
              <w:textAlignment w:val="auto"/>
              <w:rPr>
                <w:rFonts w:ascii="宋体" w:hAnsi="宋体" w:cs="宋体"/>
                <w:sz w:val="24"/>
              </w:rPr>
            </w:pPr>
            <w:r>
              <w:rPr>
                <w:rFonts w:hint="eastAsia" w:ascii="宋体" w:hAnsi="宋体" w:cs="宋体"/>
                <w:sz w:val="24"/>
              </w:rPr>
              <w:t>2.</w:t>
            </w:r>
            <w:r>
              <w:rPr>
                <w:rFonts w:ascii="宋体" w:hAnsi="宋体" w:cs="宋体"/>
                <w:sz w:val="24"/>
              </w:rPr>
              <w:t>5</w:t>
            </w:r>
          </w:p>
        </w:tc>
        <w:tc>
          <w:tcPr>
            <w:tcW w:w="4553" w:type="pct"/>
            <w:noWrap/>
            <w:vAlign w:val="center"/>
          </w:tcPr>
          <w:p w14:paraId="734DFCB1">
            <w:pPr>
              <w:keepNext w:val="0"/>
              <w:keepLines w:val="0"/>
              <w:pageBreakBefore w:val="0"/>
              <w:widowControl w:val="0"/>
              <w:kinsoku/>
              <w:wordWrap/>
              <w:overflowPunct/>
              <w:topLinePunct w:val="0"/>
              <w:bidi w:val="0"/>
              <w:adjustRightInd w:val="0"/>
              <w:spacing w:line="360" w:lineRule="auto"/>
              <w:ind w:left="-420" w:leftChars="-200" w:right="-420" w:rightChars="-200" w:firstLine="480" w:firstLineChars="200"/>
              <w:textAlignment w:val="auto"/>
              <w:rPr>
                <w:rFonts w:ascii="宋体" w:hAnsi="宋体" w:cs="宋体"/>
                <w:sz w:val="24"/>
              </w:rPr>
            </w:pPr>
            <w:r>
              <w:rPr>
                <w:rFonts w:hint="eastAsia" w:ascii="宋体" w:hAnsi="宋体" w:cs="宋体"/>
                <w:sz w:val="24"/>
              </w:rPr>
              <w:t>详见1.4.3</w:t>
            </w:r>
          </w:p>
        </w:tc>
      </w:tr>
      <w:tr w14:paraId="50A7B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6" w:type="pct"/>
            <w:tcBorders>
              <w:left w:val="single" w:color="auto" w:sz="4" w:space="0"/>
            </w:tcBorders>
            <w:noWrap/>
            <w:vAlign w:val="center"/>
          </w:tcPr>
          <w:p w14:paraId="31E6E486">
            <w:pPr>
              <w:keepNext w:val="0"/>
              <w:keepLines w:val="0"/>
              <w:pageBreakBefore w:val="0"/>
              <w:widowControl w:val="0"/>
              <w:kinsoku/>
              <w:wordWrap/>
              <w:overflowPunct/>
              <w:topLinePunct w:val="0"/>
              <w:bidi w:val="0"/>
              <w:adjustRightInd w:val="0"/>
              <w:spacing w:line="360" w:lineRule="auto"/>
              <w:textAlignment w:val="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553" w:type="pct"/>
            <w:noWrap/>
            <w:vAlign w:val="center"/>
          </w:tcPr>
          <w:p w14:paraId="31859649">
            <w:pPr>
              <w:keepNext w:val="0"/>
              <w:keepLines w:val="0"/>
              <w:pageBreakBefore w:val="0"/>
              <w:widowControl w:val="0"/>
              <w:kinsoku/>
              <w:wordWrap/>
              <w:overflowPunct/>
              <w:topLinePunct w:val="0"/>
              <w:bidi w:val="0"/>
              <w:adjustRightInd w:val="0"/>
              <w:spacing w:line="360" w:lineRule="auto"/>
              <w:textAlignment w:val="auto"/>
              <w:rPr>
                <w:rFonts w:ascii="宋体" w:hAnsi="宋体" w:cs="宋体"/>
                <w:sz w:val="24"/>
              </w:rPr>
            </w:pPr>
            <w:r>
              <w:rPr>
                <w:rFonts w:hint="eastAsia" w:ascii="宋体" w:hAnsi="宋体"/>
                <w:sz w:val="24"/>
              </w:rPr>
              <w:t>因</w:t>
            </w:r>
            <w:r>
              <w:rPr>
                <w:rFonts w:ascii="宋体" w:hAnsi="宋体"/>
                <w:sz w:val="24"/>
              </w:rPr>
              <w:t>不可抗力致使合同有变更必要的，双方当事人应在</w:t>
            </w:r>
            <w:r>
              <w:rPr>
                <w:rFonts w:hint="eastAsia" w:ascii="宋体" w:hAnsi="宋体"/>
                <w:sz w:val="24"/>
              </w:rPr>
              <w:t>30天</w:t>
            </w:r>
            <w:r>
              <w:rPr>
                <w:rFonts w:ascii="宋体" w:hAnsi="宋体"/>
                <w:sz w:val="24"/>
              </w:rPr>
              <w:t>内以书面形式变更合同</w:t>
            </w:r>
            <w:r>
              <w:rPr>
                <w:rFonts w:hint="eastAsia" w:ascii="宋体" w:hAnsi="宋体"/>
                <w:sz w:val="24"/>
              </w:rPr>
              <w:t>。</w:t>
            </w:r>
          </w:p>
        </w:tc>
      </w:tr>
      <w:tr w14:paraId="269EB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6" w:type="pct"/>
            <w:tcBorders>
              <w:left w:val="single" w:color="auto" w:sz="4" w:space="0"/>
            </w:tcBorders>
            <w:noWrap/>
            <w:vAlign w:val="center"/>
          </w:tcPr>
          <w:p w14:paraId="18061382">
            <w:pPr>
              <w:keepNext w:val="0"/>
              <w:keepLines w:val="0"/>
              <w:pageBreakBefore w:val="0"/>
              <w:widowControl w:val="0"/>
              <w:kinsoku/>
              <w:wordWrap/>
              <w:overflowPunct/>
              <w:topLinePunct w:val="0"/>
              <w:bidi w:val="0"/>
              <w:adjustRightInd w:val="0"/>
              <w:spacing w:line="360" w:lineRule="auto"/>
              <w:textAlignment w:val="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53" w:type="pct"/>
            <w:noWrap/>
            <w:vAlign w:val="center"/>
          </w:tcPr>
          <w:p w14:paraId="454354C8">
            <w:pPr>
              <w:keepNext w:val="0"/>
              <w:keepLines w:val="0"/>
              <w:pageBreakBefore w:val="0"/>
              <w:widowControl w:val="0"/>
              <w:kinsoku/>
              <w:wordWrap/>
              <w:overflowPunct/>
              <w:topLinePunct w:val="0"/>
              <w:bidi w:val="0"/>
              <w:adjustRightInd w:val="0"/>
              <w:spacing w:line="360" w:lineRule="auto"/>
              <w:textAlignment w:val="auto"/>
              <w:rPr>
                <w:rFonts w:ascii="宋体" w:hAnsi="宋体" w:cs="宋体"/>
                <w:sz w:val="24"/>
              </w:rPr>
            </w:pPr>
            <w:r>
              <w:rPr>
                <w:rFonts w:hint="eastAsia" w:ascii="宋体" w:hAnsi="宋体"/>
                <w:sz w:val="24"/>
              </w:rPr>
              <w:t>乙方按采购人要求</w:t>
            </w:r>
            <w:r>
              <w:rPr>
                <w:rFonts w:ascii="宋体" w:hAnsi="宋体"/>
                <w:sz w:val="24"/>
              </w:rPr>
              <w:t>定期提交服务报告</w:t>
            </w:r>
            <w:r>
              <w:rPr>
                <w:rFonts w:hint="eastAsia" w:ascii="宋体" w:hAnsi="宋体"/>
                <w:sz w:val="24"/>
              </w:rPr>
              <w:t>，甲方按照相关规定进行</w:t>
            </w:r>
            <w:r>
              <w:rPr>
                <w:rFonts w:ascii="宋体" w:hAnsi="宋体"/>
                <w:sz w:val="24"/>
              </w:rPr>
              <w:t>验收</w:t>
            </w:r>
            <w:r>
              <w:rPr>
                <w:rFonts w:hint="eastAsia" w:ascii="宋体" w:hAnsi="宋体"/>
                <w:sz w:val="24"/>
              </w:rPr>
              <w:t>。</w:t>
            </w:r>
          </w:p>
        </w:tc>
      </w:tr>
      <w:tr w14:paraId="0A02B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6" w:type="pct"/>
            <w:tcBorders>
              <w:left w:val="single" w:color="auto" w:sz="4" w:space="0"/>
            </w:tcBorders>
            <w:noWrap/>
            <w:vAlign w:val="center"/>
          </w:tcPr>
          <w:p w14:paraId="688A2455">
            <w:pPr>
              <w:keepNext w:val="0"/>
              <w:keepLines w:val="0"/>
              <w:pageBreakBefore w:val="0"/>
              <w:widowControl w:val="0"/>
              <w:kinsoku/>
              <w:wordWrap/>
              <w:overflowPunct/>
              <w:topLinePunct w:val="0"/>
              <w:bidi w:val="0"/>
              <w:adjustRightInd w:val="0"/>
              <w:spacing w:line="360" w:lineRule="auto"/>
              <w:textAlignment w:val="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53" w:type="pct"/>
            <w:noWrap/>
            <w:vAlign w:val="center"/>
          </w:tcPr>
          <w:p w14:paraId="579795B8">
            <w:pPr>
              <w:keepNext w:val="0"/>
              <w:keepLines w:val="0"/>
              <w:pageBreakBefore w:val="0"/>
              <w:widowControl w:val="0"/>
              <w:kinsoku/>
              <w:wordWrap/>
              <w:overflowPunct/>
              <w:topLinePunct w:val="0"/>
              <w:bidi w:val="0"/>
              <w:adjustRightInd w:val="0"/>
              <w:spacing w:line="360" w:lineRule="auto"/>
              <w:textAlignment w:val="auto"/>
              <w:rPr>
                <w:rFonts w:ascii="宋体" w:hAnsi="宋体" w:cs="宋体"/>
                <w:sz w:val="24"/>
              </w:rPr>
            </w:pPr>
            <w:r>
              <w:rPr>
                <w:rFonts w:hint="eastAsia" w:ascii="宋体" w:hAnsi="宋体" w:cs="宋体"/>
                <w:sz w:val="24"/>
              </w:rPr>
              <w:t>按相关标准进行</w:t>
            </w:r>
          </w:p>
        </w:tc>
      </w:tr>
      <w:tr w14:paraId="41587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46" w:type="pct"/>
            <w:tcBorders>
              <w:left w:val="single" w:color="auto" w:sz="4" w:space="0"/>
            </w:tcBorders>
            <w:noWrap/>
          </w:tcPr>
          <w:p w14:paraId="2B5F2CB3">
            <w:pPr>
              <w:keepNext w:val="0"/>
              <w:keepLines w:val="0"/>
              <w:pageBreakBefore w:val="0"/>
              <w:widowControl w:val="0"/>
              <w:kinsoku/>
              <w:wordWrap/>
              <w:overflowPunct/>
              <w:topLinePunct w:val="0"/>
              <w:bidi w:val="0"/>
              <w:adjustRightInd w:val="0"/>
              <w:spacing w:line="360" w:lineRule="auto"/>
              <w:textAlignment w:val="auto"/>
              <w:rPr>
                <w:rFonts w:ascii="宋体" w:hAnsi="宋体" w:cs="宋体"/>
                <w:sz w:val="24"/>
              </w:rPr>
            </w:pPr>
            <w:r>
              <w:rPr>
                <w:rFonts w:hint="eastAsia" w:ascii="宋体" w:hAnsi="宋体" w:cs="宋体"/>
                <w:sz w:val="24"/>
              </w:rPr>
              <w:t>2.20</w:t>
            </w:r>
          </w:p>
        </w:tc>
        <w:tc>
          <w:tcPr>
            <w:tcW w:w="4553" w:type="pct"/>
            <w:noWrap/>
          </w:tcPr>
          <w:p w14:paraId="02A05624">
            <w:pPr>
              <w:keepNext w:val="0"/>
              <w:keepLines w:val="0"/>
              <w:pageBreakBefore w:val="0"/>
              <w:widowControl w:val="0"/>
              <w:kinsoku/>
              <w:wordWrap/>
              <w:overflowPunct/>
              <w:topLinePunct w:val="0"/>
              <w:bidi w:val="0"/>
              <w:adjustRightInd w:val="0"/>
              <w:spacing w:line="360" w:lineRule="auto"/>
              <w:textAlignment w:val="auto"/>
              <w:rPr>
                <w:rFonts w:ascii="宋体" w:hAnsi="宋体" w:cs="宋体"/>
                <w:sz w:val="24"/>
              </w:rPr>
            </w:pPr>
            <w:r>
              <w:rPr>
                <w:rFonts w:hint="eastAsia" w:ascii="宋体" w:hAnsi="宋体" w:cs="宋体"/>
                <w:sz w:val="24"/>
              </w:rPr>
              <w:t>一式六份，甲、乙双方各执两份。其余由代理机构移交各部门。</w:t>
            </w:r>
          </w:p>
        </w:tc>
      </w:tr>
    </w:tbl>
    <w:p w14:paraId="2DB9BD70">
      <w:r>
        <w:rPr>
          <w:rFonts w:hint="eastAsia"/>
        </w:rPr>
        <w:br w:type="page"/>
      </w:r>
    </w:p>
    <w:p w14:paraId="4A3C069B">
      <w:pPr>
        <w:spacing w:line="440" w:lineRule="exact"/>
        <w:jc w:val="center"/>
        <w:rPr>
          <w:rFonts w:ascii="宋体" w:hAnsi="宋体"/>
          <w:b/>
          <w:sz w:val="28"/>
          <w:szCs w:val="28"/>
        </w:rPr>
      </w:pPr>
      <w:bookmarkStart w:id="554" w:name="_Toc26953"/>
      <w:r>
        <w:rPr>
          <w:rFonts w:hint="eastAsia" w:ascii="宋体" w:hAnsi="宋体"/>
          <w:b/>
          <w:sz w:val="28"/>
          <w:szCs w:val="28"/>
        </w:rPr>
        <w:t>廉政责任书</w:t>
      </w:r>
    </w:p>
    <w:p w14:paraId="17287A7B">
      <w:pPr>
        <w:spacing w:line="440" w:lineRule="exact"/>
        <w:rPr>
          <w:rFonts w:ascii="宋体" w:hAnsi="宋体"/>
          <w:b/>
          <w:sz w:val="28"/>
          <w:szCs w:val="28"/>
        </w:rPr>
      </w:pPr>
    </w:p>
    <w:p w14:paraId="1B194B0B">
      <w:pPr>
        <w:spacing w:line="480" w:lineRule="exact"/>
        <w:rPr>
          <w:rFonts w:ascii="宋体" w:hAnsi="宋体" w:cs="仿宋"/>
          <w:sz w:val="24"/>
        </w:rPr>
      </w:pPr>
      <w:r>
        <w:rPr>
          <w:rFonts w:hint="eastAsia" w:ascii="宋体" w:hAnsi="宋体" w:cs="仿宋"/>
          <w:sz w:val="24"/>
        </w:rPr>
        <w:t>为进一步加强小额公共资源交易的廉政建设，特订立如下合同。</w:t>
      </w:r>
    </w:p>
    <w:p w14:paraId="4BAE527A">
      <w:pPr>
        <w:spacing w:line="480" w:lineRule="exact"/>
        <w:ind w:firstLine="480" w:firstLineChars="200"/>
        <w:rPr>
          <w:rFonts w:ascii="宋体" w:hAnsi="宋体" w:cs="仿宋"/>
          <w:sz w:val="24"/>
        </w:rPr>
      </w:pPr>
      <w:r>
        <w:rPr>
          <w:rFonts w:hint="eastAsia" w:ascii="宋体" w:hAnsi="宋体" w:cs="仿宋"/>
          <w:sz w:val="24"/>
        </w:rPr>
        <w:t>一、甲、乙双方的权利和义务</w:t>
      </w:r>
    </w:p>
    <w:p w14:paraId="3D9CAE2C">
      <w:pPr>
        <w:spacing w:line="480" w:lineRule="exact"/>
        <w:ind w:firstLine="480" w:firstLineChars="200"/>
        <w:rPr>
          <w:rFonts w:ascii="宋体" w:hAnsi="宋体" w:cs="仿宋"/>
          <w:sz w:val="24"/>
        </w:rPr>
      </w:pPr>
      <w:r>
        <w:rPr>
          <w:rFonts w:hint="eastAsia" w:ascii="宋体" w:hAnsi="宋体" w:cs="仿宋"/>
          <w:sz w:val="24"/>
        </w:rPr>
        <w:t>1、甲乙双方应严格遵守党的政策规定和国家有关法律法规。</w:t>
      </w:r>
    </w:p>
    <w:p w14:paraId="7325276A">
      <w:pPr>
        <w:spacing w:line="480" w:lineRule="exact"/>
        <w:ind w:firstLine="480" w:firstLineChars="200"/>
        <w:rPr>
          <w:rFonts w:ascii="宋体" w:hAnsi="宋体" w:cs="仿宋"/>
          <w:sz w:val="24"/>
        </w:rPr>
      </w:pPr>
      <w:r>
        <w:rPr>
          <w:rFonts w:hint="eastAsia" w:ascii="宋体" w:hAnsi="宋体" w:cs="仿宋"/>
          <w:sz w:val="24"/>
        </w:rPr>
        <w:t>2、甲乙双方应严格执行项目的合同文件，自觉按合同办事。</w:t>
      </w:r>
    </w:p>
    <w:p w14:paraId="389F24ED">
      <w:pPr>
        <w:spacing w:line="480" w:lineRule="exact"/>
        <w:ind w:firstLine="464" w:firstLineChars="200"/>
        <w:rPr>
          <w:rFonts w:ascii="宋体" w:hAnsi="宋体" w:cs="仿宋"/>
          <w:sz w:val="24"/>
        </w:rPr>
      </w:pPr>
      <w:r>
        <w:rPr>
          <w:rFonts w:hint="eastAsia" w:ascii="宋体" w:hAnsi="宋体" w:cs="仿宋"/>
          <w:spacing w:val="-4"/>
          <w:sz w:val="24"/>
        </w:rPr>
        <w:t>3、甲乙双方的业务活动应坚持公开、公平、公正、诚信、透明的原则</w:t>
      </w:r>
      <w:r>
        <w:rPr>
          <w:rFonts w:hint="eastAsia" w:ascii="宋体" w:hAnsi="宋体" w:cs="仿宋"/>
          <w:sz w:val="24"/>
        </w:rPr>
        <w:t>。</w:t>
      </w:r>
    </w:p>
    <w:p w14:paraId="58C9D522">
      <w:pPr>
        <w:spacing w:line="480" w:lineRule="exact"/>
        <w:ind w:firstLine="480" w:firstLineChars="200"/>
        <w:rPr>
          <w:rFonts w:ascii="宋体" w:hAnsi="宋体" w:cs="仿宋"/>
          <w:sz w:val="24"/>
        </w:rPr>
      </w:pPr>
      <w:r>
        <w:rPr>
          <w:rFonts w:hint="eastAsia" w:ascii="宋体" w:hAnsi="宋体" w:cs="仿宋"/>
          <w:sz w:val="24"/>
        </w:rPr>
        <w:t>4、甲乙双方不得以任何理由向对方工作人员行贿或馈赠礼金、有价证券、贵重礼品。不得在对方报销任何应由个人支付的费用。</w:t>
      </w:r>
    </w:p>
    <w:p w14:paraId="7F6FA3BF">
      <w:pPr>
        <w:spacing w:line="480" w:lineRule="exact"/>
        <w:ind w:firstLine="480" w:firstLineChars="200"/>
        <w:rPr>
          <w:rFonts w:ascii="宋体" w:hAnsi="宋体" w:cs="仿宋"/>
          <w:sz w:val="24"/>
        </w:rPr>
      </w:pPr>
      <w:r>
        <w:rPr>
          <w:rFonts w:hint="eastAsia" w:ascii="宋体" w:hAnsi="宋体" w:cs="仿宋"/>
          <w:sz w:val="24"/>
        </w:rPr>
        <w:t>5、甲乙双方不得以任何理由违反廉洁自律的有关规定。</w:t>
      </w:r>
    </w:p>
    <w:p w14:paraId="10022645">
      <w:pPr>
        <w:spacing w:line="480" w:lineRule="exact"/>
        <w:ind w:firstLine="480" w:firstLineChars="200"/>
        <w:rPr>
          <w:rFonts w:ascii="宋体" w:hAnsi="宋体" w:cs="仿宋"/>
          <w:sz w:val="24"/>
        </w:rPr>
      </w:pPr>
      <w:r>
        <w:rPr>
          <w:rFonts w:hint="eastAsia" w:ascii="宋体" w:hAnsi="宋体" w:cs="仿宋"/>
          <w:sz w:val="24"/>
        </w:rPr>
        <w:t>6、甲乙双方发现对方严重违反本合同条款的行为，有及时提醒对方、向其上级有关部门举报、建议给予处理并要求告知处理结果的权利。</w:t>
      </w:r>
    </w:p>
    <w:p w14:paraId="1D6AB9C5">
      <w:pPr>
        <w:spacing w:line="480" w:lineRule="exact"/>
        <w:ind w:firstLine="480" w:firstLineChars="200"/>
        <w:rPr>
          <w:rFonts w:ascii="宋体" w:hAnsi="宋体" w:cs="仿宋"/>
          <w:sz w:val="24"/>
        </w:rPr>
      </w:pPr>
      <w:r>
        <w:rPr>
          <w:rFonts w:hint="eastAsia" w:ascii="宋体" w:hAnsi="宋体" w:cs="仿宋"/>
          <w:sz w:val="24"/>
        </w:rPr>
        <w:t>二、违约责任</w:t>
      </w:r>
    </w:p>
    <w:p w14:paraId="4D9918E2">
      <w:pPr>
        <w:spacing w:line="480" w:lineRule="exact"/>
        <w:ind w:firstLine="480" w:firstLineChars="200"/>
        <w:rPr>
          <w:rFonts w:ascii="宋体" w:hAnsi="宋体" w:cs="仿宋"/>
          <w:sz w:val="24"/>
        </w:rPr>
      </w:pPr>
      <w:r>
        <w:rPr>
          <w:rFonts w:hint="eastAsia" w:ascii="宋体" w:hAnsi="宋体" w:cs="仿宋"/>
          <w:sz w:val="24"/>
        </w:rPr>
        <w:t>1、甲、乙双方及其工作人员违反本合同有关规定的，按管理权限，依据有关规定给予经济处罚或追究党纪政纪责任；涉嫌犯罪的，移交司法机关追究刑事责任；给双方单位造成经济损失的，应予以赔偿。</w:t>
      </w:r>
    </w:p>
    <w:p w14:paraId="4C57CD3B">
      <w:pPr>
        <w:spacing w:line="480" w:lineRule="exact"/>
        <w:ind w:firstLine="480" w:firstLineChars="200"/>
        <w:rPr>
          <w:rFonts w:ascii="宋体" w:hAnsi="宋体" w:cs="仿宋"/>
          <w:sz w:val="24"/>
        </w:rPr>
      </w:pPr>
      <w:r>
        <w:rPr>
          <w:rFonts w:hint="eastAsia" w:ascii="宋体" w:hAnsi="宋体" w:cs="仿宋"/>
          <w:sz w:val="24"/>
        </w:rPr>
        <w:t>2、</w:t>
      </w:r>
      <w:r>
        <w:rPr>
          <w:rFonts w:hint="eastAsia" w:ascii="宋体" w:hAnsi="宋体" w:cs="宋体"/>
          <w:sz w:val="24"/>
        </w:rPr>
        <w:t>一式六份，甲、乙双方各执两份。其余由代理机构移交各部门。</w:t>
      </w:r>
    </w:p>
    <w:p w14:paraId="6B5F872B">
      <w:pPr>
        <w:spacing w:line="480" w:lineRule="exact"/>
        <w:rPr>
          <w:rFonts w:ascii="宋体" w:hAnsi="宋体" w:cs="仿宋"/>
          <w:sz w:val="24"/>
        </w:rPr>
      </w:pPr>
    </w:p>
    <w:p w14:paraId="26BAA9B5">
      <w:pPr>
        <w:spacing w:line="480" w:lineRule="exact"/>
        <w:rPr>
          <w:rFonts w:hint="eastAsia" w:ascii="宋体" w:hAnsi="宋体" w:cs="仿宋"/>
          <w:sz w:val="24"/>
        </w:rPr>
      </w:pPr>
      <w:r>
        <w:rPr>
          <w:rFonts w:hint="eastAsia" w:ascii="宋体" w:hAnsi="宋体" w:cs="仿宋"/>
          <w:sz w:val="24"/>
        </w:rPr>
        <w:t>甲方单位（盖章）：                            乙方单位（盖章）：</w:t>
      </w:r>
    </w:p>
    <w:p w14:paraId="6772D3BE">
      <w:pPr>
        <w:spacing w:line="480" w:lineRule="exact"/>
        <w:rPr>
          <w:rFonts w:hint="eastAsia" w:ascii="宋体" w:hAnsi="宋体" w:cs="仿宋"/>
          <w:sz w:val="24"/>
        </w:rPr>
      </w:pPr>
    </w:p>
    <w:p w14:paraId="6C0D37B0">
      <w:pPr>
        <w:pStyle w:val="43"/>
      </w:pPr>
    </w:p>
    <w:p w14:paraId="5305C98C">
      <w:pPr>
        <w:pStyle w:val="43"/>
      </w:pPr>
    </w:p>
    <w:p w14:paraId="782F7120">
      <w:pPr>
        <w:spacing w:line="420" w:lineRule="auto"/>
        <w:rPr>
          <w:rFonts w:ascii="宋体" w:hAnsi="宋体"/>
          <w:sz w:val="24"/>
        </w:rPr>
      </w:pPr>
      <w:r>
        <w:rPr>
          <w:rFonts w:ascii="宋体" w:hAnsi="宋体"/>
          <w:sz w:val="24"/>
        </w:rPr>
        <w:t>法定代表人或其委托代理人</w:t>
      </w:r>
      <w:r>
        <w:rPr>
          <w:rFonts w:hint="eastAsia" w:ascii="宋体" w:hAnsi="宋体"/>
          <w:sz w:val="24"/>
        </w:rPr>
        <w:t>：</w:t>
      </w:r>
      <w:r>
        <w:rPr>
          <w:rFonts w:hint="eastAsia" w:ascii="宋体" w:hAnsi="宋体"/>
          <w:sz w:val="24"/>
          <w:lang w:val="en-US" w:eastAsia="zh-CN"/>
        </w:rPr>
        <w:t xml:space="preserve">            </w:t>
      </w:r>
      <w:r>
        <w:rPr>
          <w:rFonts w:ascii="宋体" w:hAnsi="宋体"/>
          <w:sz w:val="24"/>
        </w:rPr>
        <w:t>法定代表人或其委托代理人</w:t>
      </w:r>
      <w:r>
        <w:rPr>
          <w:rFonts w:hint="eastAsia" w:ascii="宋体" w:hAnsi="宋体"/>
          <w:sz w:val="24"/>
        </w:rPr>
        <w:t>：</w:t>
      </w:r>
    </w:p>
    <w:p w14:paraId="217870C4">
      <w:pPr>
        <w:spacing w:line="420" w:lineRule="auto"/>
        <w:rPr>
          <w:rFonts w:ascii="宋体" w:hAnsi="宋体"/>
          <w:snapToGrid w:val="0"/>
          <w:sz w:val="24"/>
        </w:rPr>
      </w:pPr>
    </w:p>
    <w:p w14:paraId="0D308740">
      <w:pPr>
        <w:pStyle w:val="43"/>
        <w:rPr>
          <w:rFonts w:ascii="宋体" w:hAnsi="宋体"/>
          <w:snapToGrid w:val="0"/>
          <w:sz w:val="24"/>
        </w:rPr>
      </w:pPr>
    </w:p>
    <w:p w14:paraId="7F3FD73C"/>
    <w:p w14:paraId="32D8659B">
      <w:pPr>
        <w:tabs>
          <w:tab w:val="right" w:leader="middleDot" w:pos="7938"/>
        </w:tabs>
        <w:spacing w:line="420" w:lineRule="auto"/>
        <w:ind w:firstLine="1920" w:firstLineChars="800"/>
        <w:rPr>
          <w:rFonts w:ascii="宋体" w:hAnsi="宋体" w:cs="宋体"/>
          <w:b/>
          <w:color w:val="000000"/>
          <w:sz w:val="24"/>
        </w:rPr>
      </w:pPr>
      <w:r>
        <w:rPr>
          <w:rFonts w:ascii="宋体" w:hAnsi="宋体"/>
          <w:snapToGrid w:val="0"/>
          <w:kern w:val="0"/>
          <w:sz w:val="24"/>
        </w:rPr>
        <w:t>年</w:t>
      </w:r>
      <w:r>
        <w:rPr>
          <w:rFonts w:hint="eastAsia" w:ascii="宋体" w:hAnsi="宋体"/>
          <w:snapToGrid w:val="0"/>
          <w:kern w:val="0"/>
          <w:sz w:val="24"/>
          <w:lang w:val="en-US" w:eastAsia="zh-CN"/>
        </w:rPr>
        <w:t xml:space="preserve">  </w:t>
      </w:r>
      <w:r>
        <w:rPr>
          <w:rFonts w:ascii="宋体" w:hAnsi="宋体"/>
          <w:snapToGrid w:val="0"/>
          <w:kern w:val="0"/>
          <w:sz w:val="24"/>
        </w:rPr>
        <w:t>月</w:t>
      </w:r>
      <w:r>
        <w:rPr>
          <w:rFonts w:hint="eastAsia" w:ascii="宋体" w:hAnsi="宋体"/>
          <w:snapToGrid w:val="0"/>
          <w:kern w:val="0"/>
          <w:sz w:val="24"/>
          <w:lang w:val="en-US" w:eastAsia="zh-CN"/>
        </w:rPr>
        <w:t xml:space="preserve">  </w:t>
      </w:r>
      <w:r>
        <w:rPr>
          <w:rFonts w:ascii="宋体" w:hAnsi="宋体"/>
          <w:snapToGrid w:val="0"/>
          <w:kern w:val="0"/>
          <w:sz w:val="24"/>
        </w:rPr>
        <w:t xml:space="preserve">日        </w:t>
      </w:r>
      <w:r>
        <w:rPr>
          <w:rFonts w:hint="eastAsia" w:ascii="宋体" w:hAnsi="宋体"/>
          <w:snapToGrid w:val="0"/>
          <w:kern w:val="0"/>
          <w:sz w:val="24"/>
          <w:lang w:val="en-US" w:eastAsia="zh-CN"/>
        </w:rPr>
        <w:t xml:space="preserve">                              </w:t>
      </w:r>
      <w:r>
        <w:rPr>
          <w:rFonts w:ascii="宋体" w:hAnsi="宋体"/>
          <w:snapToGrid w:val="0"/>
          <w:kern w:val="0"/>
          <w:sz w:val="24"/>
        </w:rPr>
        <w:t>年</w:t>
      </w:r>
      <w:r>
        <w:rPr>
          <w:rFonts w:hint="eastAsia" w:ascii="宋体" w:hAnsi="宋体"/>
          <w:snapToGrid w:val="0"/>
          <w:kern w:val="0"/>
          <w:sz w:val="24"/>
          <w:lang w:val="en-US" w:eastAsia="zh-CN"/>
        </w:rPr>
        <w:t xml:space="preserve">  </w:t>
      </w:r>
      <w:r>
        <w:rPr>
          <w:rFonts w:ascii="宋体" w:hAnsi="宋体"/>
          <w:snapToGrid w:val="0"/>
          <w:kern w:val="0"/>
          <w:sz w:val="24"/>
        </w:rPr>
        <w:t>月</w:t>
      </w:r>
      <w:r>
        <w:rPr>
          <w:rFonts w:hint="eastAsia" w:ascii="宋体" w:hAnsi="宋体"/>
          <w:snapToGrid w:val="0"/>
          <w:kern w:val="0"/>
          <w:sz w:val="24"/>
          <w:lang w:val="en-US" w:eastAsia="zh-CN"/>
        </w:rPr>
        <w:t xml:space="preserve">  </w:t>
      </w:r>
      <w:r>
        <w:rPr>
          <w:rFonts w:ascii="宋体" w:hAnsi="宋体"/>
          <w:snapToGrid w:val="0"/>
          <w:kern w:val="0"/>
          <w:sz w:val="24"/>
        </w:rPr>
        <w:t>日</w:t>
      </w:r>
    </w:p>
    <w:p w14:paraId="20230B9A">
      <w:pPr>
        <w:pStyle w:val="5"/>
        <w:rPr>
          <w:lang w:val="en-US"/>
        </w:rPr>
      </w:pPr>
    </w:p>
    <w:p w14:paraId="24EA9025"/>
    <w:p w14:paraId="7D962722">
      <w:r>
        <w:rPr>
          <w:rFonts w:hint="eastAsia"/>
        </w:rPr>
        <w:br w:type="page"/>
      </w:r>
    </w:p>
    <w:p w14:paraId="1BBC45C7">
      <w:pPr>
        <w:pStyle w:val="4"/>
        <w:spacing w:before="48" w:after="48"/>
      </w:pPr>
      <w:r>
        <w:rPr>
          <w:rFonts w:hint="eastAsia"/>
        </w:rPr>
        <w:t>第六部分</w:t>
      </w:r>
      <w:bookmarkEnd w:id="412"/>
      <w:bookmarkEnd w:id="413"/>
      <w:r>
        <w:rPr>
          <w:rFonts w:hint="eastAsia"/>
        </w:rPr>
        <w:t xml:space="preserve"> 应提交的有关格式范例</w:t>
      </w:r>
      <w:bookmarkEnd w:id="554"/>
    </w:p>
    <w:p w14:paraId="6A84A970">
      <w:pPr>
        <w:spacing w:line="360" w:lineRule="auto"/>
        <w:jc w:val="center"/>
        <w:outlineLvl w:val="0"/>
        <w:rPr>
          <w:rFonts w:cs="仿宋_GB2312" w:asciiTheme="minorEastAsia" w:hAnsiTheme="minorEastAsia" w:eastAsiaTheme="minorEastAsia"/>
          <w:b/>
          <w:kern w:val="0"/>
          <w:sz w:val="36"/>
          <w:szCs w:val="36"/>
        </w:rPr>
      </w:pPr>
    </w:p>
    <w:p w14:paraId="1979E858">
      <w:pPr>
        <w:spacing w:line="360" w:lineRule="auto"/>
        <w:jc w:val="center"/>
        <w:outlineLvl w:val="0"/>
        <w:rPr>
          <w:rFonts w:cs="仿宋_GB2312" w:asciiTheme="minorEastAsia" w:hAnsiTheme="minorEastAsia" w:eastAsiaTheme="minorEastAsia"/>
          <w:b/>
          <w:kern w:val="0"/>
          <w:sz w:val="36"/>
          <w:szCs w:val="36"/>
        </w:rPr>
      </w:pPr>
      <w:bookmarkStart w:id="555" w:name="_Toc92901660"/>
      <w:bookmarkStart w:id="556" w:name="_Toc9085"/>
      <w:r>
        <w:rPr>
          <w:rFonts w:hint="eastAsia" w:cs="仿宋_GB2312" w:asciiTheme="minorEastAsia" w:hAnsiTheme="minorEastAsia" w:eastAsiaTheme="minorEastAsia"/>
          <w:b/>
          <w:kern w:val="0"/>
          <w:sz w:val="36"/>
          <w:szCs w:val="36"/>
        </w:rPr>
        <w:t>资格文件部分</w:t>
      </w:r>
      <w:bookmarkEnd w:id="555"/>
      <w:bookmarkEnd w:id="556"/>
    </w:p>
    <w:p w14:paraId="5BD5D5DC">
      <w:pPr>
        <w:spacing w:line="360" w:lineRule="auto"/>
        <w:jc w:val="center"/>
        <w:outlineLvl w:val="0"/>
        <w:rPr>
          <w:rFonts w:cs="仿宋_GB2312" w:asciiTheme="minorEastAsia" w:hAnsiTheme="minorEastAsia" w:eastAsiaTheme="minorEastAsia"/>
          <w:b/>
          <w:kern w:val="0"/>
          <w:sz w:val="36"/>
          <w:szCs w:val="36"/>
        </w:rPr>
      </w:pPr>
      <w:bookmarkStart w:id="557" w:name="_Toc7499"/>
      <w:bookmarkStart w:id="558" w:name="_Toc92901661"/>
      <w:r>
        <w:rPr>
          <w:rFonts w:hint="eastAsia" w:cs="仿宋_GB2312" w:asciiTheme="minorEastAsia" w:hAnsiTheme="minorEastAsia" w:eastAsiaTheme="minorEastAsia"/>
          <w:b/>
          <w:kern w:val="0"/>
          <w:sz w:val="36"/>
          <w:szCs w:val="36"/>
        </w:rPr>
        <w:t>目录</w:t>
      </w:r>
      <w:bookmarkEnd w:id="557"/>
      <w:bookmarkEnd w:id="558"/>
    </w:p>
    <w:p w14:paraId="1A453095">
      <w:pPr>
        <w:spacing w:line="360" w:lineRule="auto"/>
        <w:jc w:val="center"/>
        <w:outlineLvl w:val="0"/>
        <w:rPr>
          <w:rFonts w:cs="仿宋_GB2312" w:asciiTheme="minorEastAsia" w:hAnsiTheme="minorEastAsia" w:eastAsiaTheme="minorEastAsia"/>
          <w:b/>
          <w:kern w:val="0"/>
          <w:sz w:val="36"/>
          <w:szCs w:val="36"/>
        </w:rPr>
      </w:pPr>
    </w:p>
    <w:p w14:paraId="29A4620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1E2C8C0">
      <w:pPr>
        <w:snapToGrid w:val="0"/>
        <w:spacing w:line="360" w:lineRule="auto"/>
        <w:rPr>
          <w:rFonts w:ascii="宋体" w:hAnsi="宋体" w:cs="宋体"/>
          <w:sz w:val="24"/>
        </w:rPr>
      </w:pPr>
      <w:r>
        <w:rPr>
          <w:rFonts w:hint="eastAsia" w:ascii="宋体" w:hAnsi="宋体" w:cs="宋体"/>
          <w:snapToGrid w:val="0"/>
          <w:kern w:val="28"/>
          <w:sz w:val="24"/>
          <w:szCs w:val="20"/>
        </w:rPr>
        <w:t>（2）</w:t>
      </w:r>
      <w:r>
        <w:rPr>
          <w:rFonts w:hint="eastAsia" w:ascii="宋体" w:hAnsi="宋体" w:cs="宋体"/>
          <w:snapToGrid w:val="0"/>
          <w:kern w:val="28"/>
          <w:sz w:val="24"/>
          <w:szCs w:val="20"/>
          <w:lang w:val="en-US" w:eastAsia="zh-CN"/>
        </w:rPr>
        <w:t>营业执照</w:t>
      </w:r>
      <w:r>
        <w:rPr>
          <w:rFonts w:hint="eastAsia" w:ascii="宋体" w:hAnsi="宋体" w:cs="宋体"/>
          <w:sz w:val="24"/>
        </w:rPr>
        <w:t>………………………………………………………………（页码）</w:t>
      </w:r>
    </w:p>
    <w:p w14:paraId="253344A1">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8B27AE3">
      <w:pPr>
        <w:spacing w:line="360" w:lineRule="auto"/>
        <w:ind w:firstLine="480" w:firstLineChars="200"/>
        <w:rPr>
          <w:rFonts w:cs="仿宋_GB2312" w:asciiTheme="minorEastAsia" w:hAnsiTheme="minorEastAsia" w:eastAsiaTheme="minorEastAsia"/>
          <w:sz w:val="24"/>
        </w:rPr>
      </w:pPr>
    </w:p>
    <w:p w14:paraId="055F8610">
      <w:pPr>
        <w:snapToGrid w:val="0"/>
        <w:spacing w:line="360" w:lineRule="auto"/>
        <w:ind w:right="480"/>
        <w:jc w:val="center"/>
        <w:rPr>
          <w:rFonts w:cs="仿宋_GB2312" w:asciiTheme="minorEastAsia" w:hAnsiTheme="minorEastAsia" w:eastAsiaTheme="minorEastAsia"/>
          <w:b/>
          <w:kern w:val="0"/>
          <w:sz w:val="32"/>
          <w:szCs w:val="32"/>
        </w:rPr>
      </w:pPr>
      <w:r>
        <w:rPr>
          <w:rFonts w:cs="仿宋_GB2312" w:asciiTheme="minorEastAsia" w:hAnsiTheme="minorEastAsia" w:eastAsiaTheme="minorEastAsia"/>
          <w:kern w:val="0"/>
          <w:sz w:val="24"/>
        </w:rPr>
        <w:br w:type="page"/>
      </w:r>
      <w:r>
        <w:rPr>
          <w:rFonts w:cs="仿宋_GB2312" w:asciiTheme="minorEastAsia" w:hAnsiTheme="minorEastAsia" w:eastAsiaTheme="minorEastAsia"/>
          <w:b/>
          <w:kern w:val="0"/>
          <w:sz w:val="32"/>
          <w:szCs w:val="32"/>
        </w:rPr>
        <w:t xml:space="preserve">  一、 符合参加政府采购活动应当具备的一般条件的承诺函</w:t>
      </w:r>
    </w:p>
    <w:p w14:paraId="7FD9F484">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3094DA00">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我方参与</w:t>
      </w:r>
      <w:r>
        <w:rPr>
          <w:rFonts w:hint="eastAsia" w:cs="仿宋_GB2312" w:asciiTheme="minorEastAsia" w:hAnsiTheme="minorEastAsia" w:eastAsiaTheme="minorEastAsia"/>
          <w:sz w:val="24"/>
          <w:lang w:eastAsia="zh-CN"/>
        </w:rPr>
        <w:t>2024年富春江镇易腐垃圾清运处置采购项目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HBCG-TL2024045</w:t>
      </w:r>
      <w:r>
        <w:rPr>
          <w:rFonts w:hint="eastAsia" w:asciiTheme="minorEastAsia" w:hAnsiTheme="minorEastAsia" w:eastAsiaTheme="minorEastAsia"/>
          <w:sz w:val="24"/>
        </w:rPr>
        <w:t>）</w:t>
      </w:r>
      <w:r>
        <w:rPr>
          <w:rFonts w:hint="eastAsia" w:cs="仿宋_GB2312" w:asciiTheme="minorEastAsia" w:hAnsiTheme="minorEastAsia" w:eastAsiaTheme="minorEastAsia"/>
          <w:sz w:val="24"/>
        </w:rPr>
        <w:t>】政府采购活动，郑重承诺：</w:t>
      </w:r>
    </w:p>
    <w:p w14:paraId="4A83D24B">
      <w:pPr>
        <w:snapToGrid w:val="0"/>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rPr>
        <w:t>（一）具备《中华人民共和国政府采购法》第二十二条第一款规定的条件：</w:t>
      </w:r>
    </w:p>
    <w:p w14:paraId="56142688">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具有独立承担民事责任的能力；</w:t>
      </w:r>
    </w:p>
    <w:p w14:paraId="33530E0C">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 xml:space="preserve">具有良好的商业信誉和健全的财务会计制度； </w:t>
      </w:r>
    </w:p>
    <w:p w14:paraId="12E27579">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具有履行合同所必需的设备和专业技术能力；</w:t>
      </w:r>
    </w:p>
    <w:p w14:paraId="2654B66C">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有依法缴纳税收和社会保障资金的良好记录；</w:t>
      </w:r>
    </w:p>
    <w:p w14:paraId="37F4A6D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参加政府采购活动前三年内，在经营活动中没有重大违法记录；</w:t>
      </w:r>
    </w:p>
    <w:p w14:paraId="2F2E4ED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具有法律、行政法规规定的其他条件。</w:t>
      </w:r>
    </w:p>
    <w:p w14:paraId="1B53FE61">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（二）未被信用中国（</w:t>
      </w:r>
      <w:r>
        <w:rPr>
          <w:rFonts w:asciiTheme="minorEastAsia" w:hAnsiTheme="minorEastAsia" w:eastAsiaTheme="minorEastAsia"/>
          <w:sz w:val="24"/>
        </w:rPr>
        <w:t>www.creditchina.gov.cn)、中国政府采购网（www.ccgp.gov.cn）列入失信被执行人、重大税收违法案件当事人名单、政府采购严重违法失信行为记录名单。</w:t>
      </w:r>
    </w:p>
    <w:p w14:paraId="1E3800E1">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（三）不存在以下情况：</w:t>
      </w:r>
    </w:p>
    <w:p w14:paraId="7E959C01">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单位负责人为同一人或者存在直接控股、管理关系的不同供应商参加同一合同项下的政府采购活动的；</w:t>
      </w:r>
    </w:p>
    <w:p w14:paraId="1B70EAD0">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r>
        <w:rPr>
          <w:rFonts w:cs="仿宋_GB2312" w:asciiTheme="minorEastAsia" w:hAnsiTheme="minorEastAsia" w:eastAsiaTheme="minorEastAsia"/>
          <w:sz w:val="24"/>
        </w:rPr>
        <w:t>为采购项目提供整体设计、规范编制或者项目管理、监理、检测等服务后再参加该采购项目的其他采购活动的。</w:t>
      </w:r>
    </w:p>
    <w:p w14:paraId="3997156C">
      <w:pPr>
        <w:snapToGrid w:val="0"/>
        <w:spacing w:line="360" w:lineRule="auto"/>
        <w:ind w:firstLine="480" w:firstLineChars="200"/>
        <w:rPr>
          <w:rFonts w:cs="仿宋_GB2312" w:asciiTheme="minorEastAsia" w:hAnsiTheme="minorEastAsia" w:eastAsiaTheme="minorEastAsia"/>
          <w:sz w:val="24"/>
        </w:rPr>
      </w:pPr>
    </w:p>
    <w:p w14:paraId="43339185">
      <w:pPr>
        <w:snapToGrid w:val="0"/>
        <w:spacing w:line="360" w:lineRule="auto"/>
        <w:ind w:firstLine="480" w:firstLineChars="200"/>
        <w:rPr>
          <w:rFonts w:cs="仿宋_GB2312" w:asciiTheme="minorEastAsia" w:hAnsiTheme="minorEastAsia" w:eastAsiaTheme="minorEastAsia"/>
          <w:sz w:val="24"/>
        </w:rPr>
      </w:pPr>
    </w:p>
    <w:p w14:paraId="43590199">
      <w:pPr>
        <w:snapToGrid w:val="0"/>
        <w:spacing w:line="360" w:lineRule="auto"/>
        <w:ind w:firstLine="480" w:firstLineChars="200"/>
        <w:rPr>
          <w:rFonts w:cs="仿宋_GB2312" w:asciiTheme="minorEastAsia" w:hAnsiTheme="minorEastAsia" w:eastAsiaTheme="minorEastAsia"/>
          <w:sz w:val="24"/>
        </w:rPr>
      </w:pPr>
    </w:p>
    <w:p w14:paraId="32D5EC46">
      <w:pPr>
        <w:snapToGrid w:val="0"/>
        <w:spacing w:line="360" w:lineRule="auto"/>
        <w:ind w:firstLine="5520" w:firstLineChars="23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14:paraId="7D3A336B">
      <w:pPr>
        <w:snapToGrid w:val="0"/>
        <w:spacing w:line="360" w:lineRule="auto"/>
        <w:ind w:firstLine="5520" w:firstLineChars="2300"/>
        <w:rPr>
          <w:rFonts w:cs="仿宋_GB2312" w:asciiTheme="minorEastAsia" w:hAnsiTheme="minorEastAsia" w:eastAsiaTheme="minorEastAsia"/>
          <w:kern w:val="0"/>
          <w:sz w:val="24"/>
          <w:lang w:val="zh-CN"/>
        </w:rPr>
      </w:pPr>
    </w:p>
    <w:p w14:paraId="0C97B67D">
      <w:pPr>
        <w:snapToGrid w:val="0"/>
        <w:spacing w:line="360" w:lineRule="auto"/>
        <w:ind w:firstLine="5520" w:firstLineChars="2300"/>
        <w:rPr>
          <w:rFonts w:cs="仿宋_GB2312" w:asciiTheme="minorEastAsia" w:hAnsiTheme="minorEastAsia" w:eastAsiaTheme="minorEastAsia"/>
          <w:kern w:val="0"/>
          <w:sz w:val="24"/>
          <w:lang w:val="zh-CN"/>
        </w:rPr>
      </w:pPr>
    </w:p>
    <w:p w14:paraId="70B75402">
      <w:pPr>
        <w:snapToGrid w:val="0"/>
        <w:spacing w:line="360" w:lineRule="auto"/>
        <w:jc w:val="righ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   日</w:t>
      </w:r>
    </w:p>
    <w:p w14:paraId="331EACF7">
      <w:pPr>
        <w:snapToGrid w:val="0"/>
        <w:spacing w:line="360" w:lineRule="auto"/>
        <w:ind w:right="480"/>
        <w:jc w:val="center"/>
        <w:rPr>
          <w:rFonts w:cs="仿宋_GB2312" w:asciiTheme="minorEastAsia" w:hAnsiTheme="minorEastAsia" w:eastAsiaTheme="minorEastAsia"/>
          <w:b/>
          <w:kern w:val="0"/>
          <w:sz w:val="32"/>
          <w:szCs w:val="32"/>
        </w:rPr>
      </w:pPr>
    </w:p>
    <w:p w14:paraId="6F838437">
      <w:pPr>
        <w:rPr>
          <w:rFonts w:ascii="宋体" w:hAnsi="宋体" w:cs="宋体"/>
          <w:b/>
          <w:kern w:val="0"/>
          <w:sz w:val="32"/>
          <w:szCs w:val="32"/>
        </w:rPr>
      </w:pPr>
    </w:p>
    <w:p w14:paraId="072F8596">
      <w:pPr>
        <w:widowControl/>
        <w:spacing w:line="360" w:lineRule="auto"/>
        <w:jc w:val="center"/>
        <w:rPr>
          <w:rFonts w:hint="eastAsia" w:ascii="宋体" w:hAnsi="宋体" w:cs="宋体"/>
          <w:b/>
          <w:kern w:val="0"/>
          <w:sz w:val="32"/>
          <w:szCs w:val="32"/>
        </w:rPr>
      </w:pPr>
    </w:p>
    <w:p w14:paraId="4BB73406">
      <w:pPr>
        <w:pStyle w:val="80"/>
        <w:ind w:left="0" w:leftChars="0" w:firstLine="0" w:firstLineChars="0"/>
        <w:jc w:val="both"/>
        <w:rPr>
          <w:rFonts w:hint="eastAsia" w:ascii="宋体" w:hAnsi="宋体" w:eastAsia="宋体" w:cs="宋体"/>
          <w:b/>
          <w:kern w:val="0"/>
          <w:sz w:val="32"/>
          <w:szCs w:val="32"/>
          <w:lang w:val="zh-CN" w:eastAsia="zh-CN" w:bidi="ar-SA"/>
        </w:rPr>
      </w:pPr>
      <w:r>
        <w:rPr>
          <w:rFonts w:hint="eastAsia" w:ascii="宋体" w:hAnsi="宋体" w:eastAsia="宋体" w:cs="宋体"/>
          <w:b/>
          <w:kern w:val="0"/>
          <w:sz w:val="32"/>
          <w:szCs w:val="32"/>
          <w:lang w:val="en-US" w:eastAsia="zh-CN" w:bidi="ar-SA"/>
        </w:rPr>
        <w:t>二、提供有效的营业执照复印件并加盖公司公章；事业单位的，则提供有效的《事业单位法人证书》副本复印件并加盖单位公章。</w:t>
      </w:r>
    </w:p>
    <w:p w14:paraId="13CAF2BB">
      <w:pPr>
        <w:widowControl/>
        <w:spacing w:line="360" w:lineRule="auto"/>
        <w:jc w:val="left"/>
        <w:rPr>
          <w:rFonts w:ascii="宋体" w:hAnsi="宋体" w:cs="宋体"/>
          <w:b/>
          <w:sz w:val="24"/>
        </w:rPr>
      </w:pPr>
    </w:p>
    <w:p w14:paraId="260892CC">
      <w:pPr>
        <w:widowControl/>
        <w:spacing w:line="360" w:lineRule="auto"/>
        <w:ind w:firstLine="480"/>
        <w:jc w:val="left"/>
        <w:rPr>
          <w:rFonts w:ascii="宋体" w:hAnsi="宋体" w:cs="宋体"/>
          <w:sz w:val="24"/>
        </w:rPr>
      </w:pPr>
    </w:p>
    <w:p w14:paraId="1594646B">
      <w:pPr>
        <w:pStyle w:val="5"/>
        <w:rPr>
          <w:rFonts w:ascii="宋体" w:hAnsi="宋体" w:cs="宋体"/>
          <w:sz w:val="24"/>
        </w:rPr>
      </w:pPr>
    </w:p>
    <w:p w14:paraId="560CFA57"/>
    <w:p w14:paraId="361A53A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945F3C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8D24A2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57EBF6B9">
      <w:pPr>
        <w:widowControl/>
        <w:spacing w:line="360" w:lineRule="auto"/>
        <w:ind w:firstLine="480"/>
        <w:jc w:val="left"/>
        <w:rPr>
          <w:rFonts w:ascii="宋体" w:hAnsi="宋体" w:cs="宋体"/>
          <w:sz w:val="24"/>
        </w:rPr>
      </w:pPr>
    </w:p>
    <w:p w14:paraId="4D572C04">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3B6405B5">
      <w:pPr>
        <w:snapToGrid w:val="0"/>
        <w:spacing w:before="50" w:after="50" w:line="360" w:lineRule="auto"/>
        <w:jc w:val="center"/>
        <w:rPr>
          <w:rFonts w:ascii="宋体" w:hAnsi="宋体" w:cs="宋体"/>
          <w:sz w:val="24"/>
        </w:rPr>
      </w:pPr>
    </w:p>
    <w:p w14:paraId="1E309063">
      <w:pPr>
        <w:numPr>
          <w:ilvl w:val="0"/>
          <w:numId w:val="2"/>
        </w:numPr>
        <w:snapToGrid w:val="0"/>
        <w:spacing w:line="360" w:lineRule="auto"/>
        <w:ind w:right="480"/>
        <w:jc w:val="left"/>
        <w:rPr>
          <w:rFonts w:ascii="宋体" w:hAnsi="宋体" w:cs="宋体"/>
          <w:sz w:val="24"/>
        </w:rPr>
      </w:pP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），分包意向协议中中小企业合同金额应当达到招标公告载明的比例；如果供应商本身提供所有标的均由中小企业承接的，视同符合了资格条件，无需再向中小企业分包，无需提供分包意向协议。</w:t>
      </w:r>
    </w:p>
    <w:p w14:paraId="034FA35F">
      <w:pPr>
        <w:pStyle w:val="5"/>
        <w:ind w:left="0" w:firstLine="0"/>
      </w:pPr>
    </w:p>
    <w:p w14:paraId="3607BECB">
      <w:pPr>
        <w:jc w:val="center"/>
        <w:rPr>
          <w:rFonts w:cs="仿宋_GB2312" w:asciiTheme="minorEastAsia" w:hAnsiTheme="minorEastAsia" w:eastAsiaTheme="minorEastAsia"/>
          <w:b/>
          <w:kern w:val="0"/>
          <w:sz w:val="36"/>
          <w:szCs w:val="36"/>
        </w:rPr>
      </w:pPr>
    </w:p>
    <w:p w14:paraId="363F005F">
      <w:pPr>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br w:type="page"/>
      </w:r>
      <w:r>
        <w:rPr>
          <w:rFonts w:hint="eastAsia" w:cs="仿宋_GB2312" w:asciiTheme="minorEastAsia" w:hAnsiTheme="minorEastAsia" w:eastAsiaTheme="minorEastAsia"/>
          <w:b/>
          <w:kern w:val="0"/>
          <w:sz w:val="36"/>
          <w:szCs w:val="36"/>
        </w:rPr>
        <w:t>商务技术文件部分</w:t>
      </w:r>
    </w:p>
    <w:p w14:paraId="635F2CCA">
      <w:pPr>
        <w:spacing w:line="360" w:lineRule="auto"/>
        <w:jc w:val="center"/>
        <w:outlineLvl w:val="0"/>
        <w:rPr>
          <w:rFonts w:cs="仿宋_GB2312" w:asciiTheme="minorEastAsia" w:hAnsiTheme="minorEastAsia" w:eastAsiaTheme="minorEastAsia"/>
          <w:b/>
          <w:kern w:val="0"/>
          <w:sz w:val="24"/>
        </w:rPr>
      </w:pPr>
    </w:p>
    <w:p w14:paraId="64832223">
      <w:pPr>
        <w:spacing w:line="360" w:lineRule="auto"/>
        <w:jc w:val="center"/>
        <w:outlineLvl w:val="0"/>
        <w:rPr>
          <w:rFonts w:cs="仿宋_GB2312" w:asciiTheme="minorEastAsia" w:hAnsiTheme="minorEastAsia" w:eastAsiaTheme="minorEastAsia"/>
          <w:b/>
          <w:kern w:val="0"/>
          <w:sz w:val="28"/>
          <w:szCs w:val="28"/>
        </w:rPr>
      </w:pPr>
      <w:bookmarkStart w:id="559" w:name="_Toc92901662"/>
      <w:bookmarkStart w:id="560" w:name="_Toc1491"/>
      <w:r>
        <w:rPr>
          <w:rFonts w:hint="eastAsia" w:cs="仿宋_GB2312" w:asciiTheme="minorEastAsia" w:hAnsiTheme="minorEastAsia" w:eastAsiaTheme="minorEastAsia"/>
          <w:b/>
          <w:kern w:val="0"/>
          <w:sz w:val="28"/>
          <w:szCs w:val="28"/>
        </w:rPr>
        <w:t>目录</w:t>
      </w:r>
      <w:bookmarkEnd w:id="559"/>
      <w:bookmarkEnd w:id="560"/>
    </w:p>
    <w:p w14:paraId="6912EAF7">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1）投标函</w:t>
      </w:r>
      <w:r>
        <w:rPr>
          <w:rFonts w:hint="eastAsia" w:cs="仿宋_GB2312" w:asciiTheme="minorEastAsia" w:hAnsiTheme="minorEastAsia" w:eastAsiaTheme="minorEastAsia"/>
        </w:rPr>
        <w:t>…………………………………………………………………………………（页码）</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2）授权委托书或法定代表人（单位负责人、自然人本人）身份证明</w:t>
      </w:r>
      <w:r>
        <w:rPr>
          <w:rFonts w:hint="eastAsia" w:cs="仿宋_GB2312" w:asciiTheme="minorEastAsia" w:hAnsiTheme="minorEastAsia" w:eastAsiaTheme="minorEastAsia"/>
        </w:rPr>
        <w:t>………（页码）</w:t>
      </w:r>
    </w:p>
    <w:p w14:paraId="463D7B19">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3）联合协议</w:t>
      </w:r>
      <w:r>
        <w:rPr>
          <w:rFonts w:hint="eastAsia" w:cs="仿宋_GB2312" w:asciiTheme="minorEastAsia" w:hAnsiTheme="minorEastAsia" w:eastAsiaTheme="minorEastAsia"/>
        </w:rPr>
        <w:t>………………………………………………………………………………（页码）</w:t>
      </w:r>
    </w:p>
    <w:p w14:paraId="158864F5">
      <w:pPr>
        <w:snapToGrid w:val="0"/>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4）分包意向协议</w:t>
      </w:r>
      <w:r>
        <w:rPr>
          <w:rFonts w:hint="eastAsia" w:cs="仿宋_GB2312" w:asciiTheme="minorEastAsia" w:hAnsiTheme="minorEastAsia" w:eastAsiaTheme="minorEastAsia"/>
        </w:rPr>
        <w:t>…………………………………………………………………………（页码）</w:t>
      </w:r>
    </w:p>
    <w:p w14:paraId="453D68DD">
      <w:pPr>
        <w:snapToGrid w:val="0"/>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5）符合性审查资料</w:t>
      </w:r>
      <w:r>
        <w:rPr>
          <w:rFonts w:hint="eastAsia" w:cs="仿宋_GB2312" w:asciiTheme="minorEastAsia" w:hAnsiTheme="minorEastAsia" w:eastAsiaTheme="minorEastAsia"/>
        </w:rPr>
        <w:t>………………………………………………………………………（页码）</w:t>
      </w:r>
    </w:p>
    <w:p w14:paraId="5555D381">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6）评标标准相应的商务技术资料</w:t>
      </w:r>
      <w:r>
        <w:rPr>
          <w:rFonts w:hint="eastAsia" w:cs="仿宋_GB2312" w:asciiTheme="minorEastAsia" w:hAnsiTheme="minorEastAsia" w:eastAsiaTheme="minorEastAsia"/>
        </w:rPr>
        <w:t>…………………………</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rPr>
        <w:t>……………（页码）</w:t>
      </w:r>
    </w:p>
    <w:p w14:paraId="451C61C7">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7）商务技术偏离表</w:t>
      </w:r>
      <w:r>
        <w:rPr>
          <w:rFonts w:hint="eastAsia" w:cs="仿宋_GB2312" w:asciiTheme="minorEastAsia" w:hAnsiTheme="minorEastAsia" w:eastAsiaTheme="minorEastAsia"/>
        </w:rPr>
        <w:t>………………………………………………………………………（页码）</w:t>
      </w:r>
    </w:p>
    <w:p w14:paraId="1BF65D11">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lang w:val="zh-CN"/>
        </w:rPr>
        <w:t>（</w:t>
      </w:r>
      <w:r>
        <w:rPr>
          <w:rFonts w:cs="仿宋_GB2312" w:asciiTheme="minorEastAsia" w:hAnsiTheme="minorEastAsia" w:eastAsiaTheme="minorEastAsia"/>
          <w:sz w:val="24"/>
        </w:rPr>
        <w:t>8</w:t>
      </w:r>
      <w:r>
        <w:rPr>
          <w:rFonts w:hint="eastAsia" w:cs="仿宋_GB2312" w:asciiTheme="minorEastAsia" w:hAnsiTheme="minorEastAsia" w:eastAsiaTheme="minorEastAsia"/>
          <w:sz w:val="24"/>
          <w:lang w:val="zh-CN"/>
        </w:rPr>
        <w:t>）政府采购供应商廉洁自律承诺书</w:t>
      </w:r>
      <w:r>
        <w:rPr>
          <w:rFonts w:hint="eastAsia" w:cs="仿宋_GB2312" w:asciiTheme="minorEastAsia" w:hAnsiTheme="minorEastAsia" w:eastAsiaTheme="minorEastAsia"/>
        </w:rPr>
        <w:t>…………………………………………………（页码）</w:t>
      </w:r>
    </w:p>
    <w:p w14:paraId="47977468">
      <w:pPr>
        <w:snapToGrid w:val="0"/>
        <w:spacing w:line="360" w:lineRule="auto"/>
        <w:jc w:val="center"/>
        <w:rPr>
          <w:rFonts w:cs="仿宋_GB2312" w:asciiTheme="minorEastAsia" w:hAnsiTheme="minorEastAsia" w:eastAsiaTheme="minorEastAsia"/>
          <w:b/>
          <w:kern w:val="0"/>
          <w:sz w:val="32"/>
          <w:szCs w:val="32"/>
          <w:lang w:val="zh-CN"/>
        </w:rPr>
      </w:pPr>
    </w:p>
    <w:p w14:paraId="09B67B0C">
      <w:pPr>
        <w:snapToGrid w:val="0"/>
        <w:spacing w:line="360" w:lineRule="auto"/>
        <w:jc w:val="center"/>
        <w:rPr>
          <w:rFonts w:cs="仿宋_GB2312" w:asciiTheme="minorEastAsia" w:hAnsiTheme="minorEastAsia" w:eastAsiaTheme="minorEastAsia"/>
          <w:b/>
          <w:kern w:val="0"/>
          <w:sz w:val="32"/>
          <w:szCs w:val="32"/>
          <w:lang w:val="zh-CN"/>
        </w:rPr>
      </w:pPr>
    </w:p>
    <w:p w14:paraId="278B532A">
      <w:pPr>
        <w:snapToGrid w:val="0"/>
        <w:spacing w:line="360" w:lineRule="auto"/>
        <w:jc w:val="center"/>
        <w:rPr>
          <w:rFonts w:cs="仿宋_GB2312" w:asciiTheme="minorEastAsia" w:hAnsiTheme="minorEastAsia" w:eastAsiaTheme="minorEastAsia"/>
          <w:b/>
          <w:kern w:val="0"/>
          <w:sz w:val="32"/>
          <w:szCs w:val="32"/>
          <w:lang w:val="zh-CN"/>
        </w:rPr>
      </w:pPr>
    </w:p>
    <w:p w14:paraId="6278FC45">
      <w:pPr>
        <w:snapToGrid w:val="0"/>
        <w:spacing w:line="360" w:lineRule="auto"/>
        <w:jc w:val="center"/>
        <w:rPr>
          <w:rFonts w:cs="仿宋_GB2312" w:asciiTheme="minorEastAsia" w:hAnsiTheme="minorEastAsia" w:eastAsiaTheme="minorEastAsia"/>
          <w:b/>
          <w:kern w:val="0"/>
          <w:sz w:val="32"/>
          <w:szCs w:val="32"/>
          <w:lang w:val="zh-CN"/>
        </w:rPr>
      </w:pPr>
    </w:p>
    <w:p w14:paraId="5E798DEC">
      <w:pPr>
        <w:snapToGrid w:val="0"/>
        <w:spacing w:line="360" w:lineRule="auto"/>
        <w:jc w:val="center"/>
        <w:rPr>
          <w:rFonts w:cs="仿宋_GB2312" w:asciiTheme="minorEastAsia" w:hAnsiTheme="minorEastAsia" w:eastAsiaTheme="minorEastAsia"/>
          <w:b/>
          <w:kern w:val="0"/>
          <w:sz w:val="32"/>
          <w:szCs w:val="32"/>
          <w:lang w:val="zh-CN"/>
        </w:rPr>
      </w:pPr>
    </w:p>
    <w:p w14:paraId="356E1893">
      <w:pPr>
        <w:snapToGrid w:val="0"/>
        <w:spacing w:line="360" w:lineRule="auto"/>
        <w:jc w:val="center"/>
        <w:outlineLvl w:val="0"/>
        <w:rPr>
          <w:rFonts w:cs="仿宋_GB2312" w:asciiTheme="minorEastAsia" w:hAnsiTheme="minorEastAsia" w:eastAsiaTheme="minorEastAsia"/>
          <w:b/>
          <w:kern w:val="0"/>
          <w:sz w:val="32"/>
          <w:szCs w:val="32"/>
        </w:rPr>
      </w:pPr>
    </w:p>
    <w:p w14:paraId="248C0E35">
      <w:pPr>
        <w:snapToGrid w:val="0"/>
        <w:spacing w:line="360" w:lineRule="auto"/>
        <w:jc w:val="center"/>
        <w:outlineLvl w:val="0"/>
        <w:rPr>
          <w:rFonts w:cs="仿宋_GB2312" w:asciiTheme="minorEastAsia" w:hAnsiTheme="minorEastAsia" w:eastAsiaTheme="minorEastAsia"/>
          <w:b/>
          <w:kern w:val="0"/>
          <w:sz w:val="32"/>
          <w:szCs w:val="32"/>
        </w:rPr>
      </w:pPr>
    </w:p>
    <w:p w14:paraId="36E1B55E">
      <w:pPr>
        <w:rPr>
          <w:rFonts w:asciiTheme="minorEastAsia" w:hAnsiTheme="minorEastAsia" w:eastAsiaTheme="minorEastAsia"/>
        </w:rPr>
      </w:pPr>
    </w:p>
    <w:p w14:paraId="0130E373">
      <w:pPr>
        <w:snapToGrid w:val="0"/>
        <w:spacing w:line="360" w:lineRule="auto"/>
        <w:jc w:val="center"/>
        <w:outlineLvl w:val="0"/>
        <w:rPr>
          <w:rFonts w:cs="仿宋_GB2312" w:asciiTheme="minorEastAsia" w:hAnsiTheme="minorEastAsia" w:eastAsiaTheme="minorEastAsia"/>
          <w:b/>
          <w:kern w:val="0"/>
          <w:sz w:val="32"/>
          <w:szCs w:val="32"/>
        </w:rPr>
      </w:pPr>
    </w:p>
    <w:p w14:paraId="7363A59C">
      <w:pPr>
        <w:snapToGrid w:val="0"/>
        <w:spacing w:line="360" w:lineRule="auto"/>
        <w:jc w:val="center"/>
        <w:outlineLvl w:val="0"/>
        <w:rPr>
          <w:rFonts w:cs="仿宋_GB2312" w:asciiTheme="minorEastAsia" w:hAnsiTheme="minorEastAsia" w:eastAsiaTheme="minorEastAsia"/>
          <w:b/>
          <w:kern w:val="0"/>
          <w:sz w:val="32"/>
          <w:szCs w:val="32"/>
        </w:rPr>
      </w:pPr>
    </w:p>
    <w:p w14:paraId="6635FD0E">
      <w:pPr>
        <w:snapToGrid w:val="0"/>
        <w:spacing w:line="360" w:lineRule="auto"/>
        <w:jc w:val="center"/>
        <w:outlineLvl w:val="0"/>
        <w:rPr>
          <w:rFonts w:cs="仿宋_GB2312" w:asciiTheme="minorEastAsia" w:hAnsiTheme="minorEastAsia" w:eastAsiaTheme="minorEastAsia"/>
          <w:b/>
          <w:kern w:val="0"/>
          <w:sz w:val="32"/>
          <w:szCs w:val="32"/>
        </w:rPr>
      </w:pPr>
    </w:p>
    <w:p w14:paraId="1F535DB0">
      <w:pPr>
        <w:snapToGrid w:val="0"/>
        <w:spacing w:line="360" w:lineRule="auto"/>
        <w:jc w:val="center"/>
        <w:outlineLvl w:val="0"/>
        <w:rPr>
          <w:rFonts w:cs="仿宋_GB2312" w:asciiTheme="minorEastAsia" w:hAnsiTheme="minorEastAsia" w:eastAsiaTheme="minorEastAsia"/>
          <w:b/>
          <w:kern w:val="0"/>
          <w:sz w:val="32"/>
          <w:szCs w:val="32"/>
        </w:rPr>
      </w:pPr>
    </w:p>
    <w:p w14:paraId="7D0016CA">
      <w:pPr>
        <w:snapToGrid w:val="0"/>
        <w:spacing w:line="360" w:lineRule="auto"/>
        <w:jc w:val="center"/>
        <w:outlineLvl w:val="0"/>
        <w:rPr>
          <w:rFonts w:cs="仿宋_GB2312" w:asciiTheme="minorEastAsia" w:hAnsiTheme="minorEastAsia" w:eastAsiaTheme="minorEastAsia"/>
          <w:b/>
          <w:kern w:val="0"/>
          <w:sz w:val="32"/>
          <w:szCs w:val="32"/>
        </w:rPr>
      </w:pPr>
    </w:p>
    <w:p w14:paraId="5D81DCD8">
      <w:pPr>
        <w:snapToGrid w:val="0"/>
        <w:spacing w:line="360" w:lineRule="auto"/>
        <w:jc w:val="center"/>
        <w:outlineLvl w:val="0"/>
        <w:rPr>
          <w:rFonts w:cs="仿宋_GB2312" w:asciiTheme="minorEastAsia" w:hAnsiTheme="minorEastAsia" w:eastAsiaTheme="minorEastAsia"/>
          <w:b/>
          <w:kern w:val="0"/>
          <w:sz w:val="32"/>
          <w:szCs w:val="32"/>
        </w:rPr>
      </w:pPr>
    </w:p>
    <w:p w14:paraId="7DE0ED8A">
      <w:pPr>
        <w:snapToGrid w:val="0"/>
        <w:spacing w:line="300" w:lineRule="auto"/>
        <w:jc w:val="center"/>
        <w:outlineLvl w:val="0"/>
        <w:rPr>
          <w:rFonts w:cs="仿宋_GB2312" w:asciiTheme="minorEastAsia" w:hAnsiTheme="minorEastAsia" w:eastAsiaTheme="minorEastAsia"/>
          <w:b/>
          <w:sz w:val="32"/>
          <w:szCs w:val="32"/>
        </w:rPr>
      </w:pPr>
      <w:bookmarkStart w:id="561" w:name="_Toc92901663"/>
      <w:bookmarkStart w:id="562" w:name="_Toc7380"/>
      <w:r>
        <w:rPr>
          <w:rFonts w:hint="eastAsia" w:cs="仿宋_GB2312" w:asciiTheme="minorEastAsia" w:hAnsiTheme="minorEastAsia" w:eastAsiaTheme="minorEastAsia"/>
          <w:b/>
          <w:kern w:val="0"/>
          <w:sz w:val="32"/>
          <w:szCs w:val="32"/>
        </w:rPr>
        <w:t>一、投标</w:t>
      </w:r>
      <w:r>
        <w:rPr>
          <w:rFonts w:hint="eastAsia" w:cs="仿宋_GB2312" w:asciiTheme="minorEastAsia" w:hAnsiTheme="minorEastAsia" w:eastAsiaTheme="minorEastAsia"/>
          <w:b/>
          <w:sz w:val="32"/>
          <w:szCs w:val="32"/>
        </w:rPr>
        <w:t>函</w:t>
      </w:r>
      <w:bookmarkEnd w:id="561"/>
      <w:bookmarkEnd w:id="562"/>
    </w:p>
    <w:p w14:paraId="2D349FEE">
      <w:pPr>
        <w:snapToGrid w:val="0"/>
        <w:spacing w:line="30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3EAD2586">
      <w:pPr>
        <w:snapToGrid w:val="0"/>
        <w:spacing w:line="30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我方参加你方组织的</w:t>
      </w:r>
      <w:r>
        <w:rPr>
          <w:rFonts w:hint="eastAsia" w:cs="仿宋_GB2312" w:asciiTheme="minorEastAsia" w:hAnsiTheme="minorEastAsia" w:eastAsiaTheme="minorEastAsia"/>
          <w:sz w:val="24"/>
          <w:u w:val="single"/>
        </w:rPr>
        <w:t>（项目名称）</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rPr>
        <w:t>（）</w:t>
      </w:r>
      <w:r>
        <w:rPr>
          <w:rFonts w:hint="eastAsia" w:cs="仿宋_GB2312" w:asciiTheme="minorEastAsia" w:hAnsiTheme="minorEastAsia" w:eastAsiaTheme="minorEastAsia"/>
          <w:sz w:val="24"/>
        </w:rPr>
        <w:t>】招标的有关活动，并对此项目进行投标。为此：</w:t>
      </w:r>
    </w:p>
    <w:p w14:paraId="1F03C0F9">
      <w:pPr>
        <w:snapToGrid w:val="0"/>
        <w:spacing w:line="30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1、我方承诺投标有效期从提交投标文件的截止之日起</w:t>
      </w:r>
      <w:r>
        <w:rPr>
          <w:rFonts w:hint="eastAsia" w:cs="仿宋_GB2312" w:asciiTheme="minorEastAsia" w:hAnsiTheme="minorEastAsia" w:eastAsiaTheme="minorEastAsia"/>
          <w:sz w:val="24"/>
          <w:u w:val="single"/>
          <w:lang w:val="en-US" w:eastAsia="zh-CN"/>
        </w:rPr>
        <w:t xml:space="preserve">   </w:t>
      </w:r>
      <w:r>
        <w:rPr>
          <w:rFonts w:hint="eastAsia" w:cs="仿宋_GB2312" w:asciiTheme="minorEastAsia" w:hAnsiTheme="minorEastAsia" w:eastAsiaTheme="minorEastAsia"/>
          <w:sz w:val="24"/>
        </w:rPr>
        <w:t>天（不少于</w:t>
      </w:r>
      <w:r>
        <w:rPr>
          <w:rFonts w:cs="仿宋_GB2312" w:asciiTheme="minorEastAsia" w:hAnsiTheme="minorEastAsia" w:eastAsiaTheme="minorEastAsia"/>
          <w:sz w:val="24"/>
        </w:rPr>
        <w:t>90天）</w:t>
      </w:r>
      <w:r>
        <w:rPr>
          <w:rFonts w:hint="eastAsia" w:asciiTheme="minorEastAsia" w:hAnsiTheme="minorEastAsia" w:eastAsiaTheme="minorEastAsia"/>
        </w:rPr>
        <w:t>，</w:t>
      </w:r>
      <w:r>
        <w:rPr>
          <w:rFonts w:hint="eastAsia" w:cs="仿宋_GB2312" w:asciiTheme="minorEastAsia" w:hAnsiTheme="minorEastAsia" w:eastAsiaTheme="minorEastAsia"/>
          <w:sz w:val="24"/>
        </w:rPr>
        <w:t>本投标文件在投标有效期满之前均具有约束力。</w:t>
      </w:r>
    </w:p>
    <w:p w14:paraId="27B425ED">
      <w:pPr>
        <w:snapToGrid w:val="0"/>
        <w:spacing w:line="30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2、我方的投标文件包括以下内容：</w:t>
      </w:r>
    </w:p>
    <w:p w14:paraId="0E0EFA5F">
      <w:pPr>
        <w:snapToGrid w:val="0"/>
        <w:spacing w:line="30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2.1资格文件：</w:t>
      </w:r>
    </w:p>
    <w:p w14:paraId="06826DAE">
      <w:pPr>
        <w:snapToGrid w:val="0"/>
        <w:spacing w:line="30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2.1.1</w:t>
      </w:r>
      <w:r>
        <w:rPr>
          <w:rFonts w:hint="eastAsia" w:cs="仿宋_GB2312" w:asciiTheme="minorEastAsia" w:hAnsiTheme="minorEastAsia" w:eastAsiaTheme="minorEastAsia"/>
          <w:sz w:val="24"/>
        </w:rPr>
        <w:t>承诺函；</w:t>
      </w:r>
    </w:p>
    <w:p w14:paraId="774958CE">
      <w:pPr>
        <w:snapToGrid w:val="0"/>
        <w:spacing w:line="30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2.1.2</w:t>
      </w:r>
      <w:r>
        <w:rPr>
          <w:rFonts w:hint="eastAsia" w:cs="仿宋_GB2312" w:asciiTheme="minorEastAsia" w:hAnsiTheme="minorEastAsia" w:eastAsiaTheme="minorEastAsia"/>
          <w:sz w:val="24"/>
          <w:lang w:val="en-US" w:eastAsia="zh-CN"/>
        </w:rPr>
        <w:t>营业执照</w:t>
      </w:r>
      <w:r>
        <w:rPr>
          <w:rFonts w:hint="eastAsia" w:cs="仿宋_GB2312" w:asciiTheme="minorEastAsia" w:hAnsiTheme="minorEastAsia" w:eastAsiaTheme="minorEastAsia"/>
          <w:sz w:val="24"/>
        </w:rPr>
        <w:t>；</w:t>
      </w:r>
    </w:p>
    <w:p w14:paraId="3E516FC8">
      <w:pPr>
        <w:snapToGrid w:val="0"/>
        <w:spacing w:line="30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2.1.3落实政府采购政策需满足的资格要求</w:t>
      </w:r>
      <w:r>
        <w:rPr>
          <w:rFonts w:hint="eastAsia" w:cs="仿宋_GB2312" w:asciiTheme="minorEastAsia" w:hAnsiTheme="minorEastAsia" w:eastAsiaTheme="minorEastAsia"/>
          <w:sz w:val="24"/>
        </w:rPr>
        <w:t>；</w:t>
      </w:r>
    </w:p>
    <w:p w14:paraId="76B24482">
      <w:pPr>
        <w:snapToGrid w:val="0"/>
        <w:spacing w:line="300" w:lineRule="auto"/>
        <w:ind w:left="210" w:leftChars="100"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商务技术</w:t>
      </w:r>
      <w:r>
        <w:rPr>
          <w:rFonts w:hint="eastAsia" w:cs="仿宋_GB2312" w:asciiTheme="minorEastAsia" w:hAnsiTheme="minorEastAsia" w:eastAsiaTheme="minorEastAsia"/>
          <w:sz w:val="24"/>
          <w:lang w:val="zh-CN"/>
        </w:rPr>
        <w:t>文件：</w:t>
      </w:r>
    </w:p>
    <w:p w14:paraId="3C5609D3">
      <w:pPr>
        <w:snapToGrid w:val="0"/>
        <w:spacing w:line="30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2.2.1投标函；</w:t>
      </w:r>
    </w:p>
    <w:p w14:paraId="70C5E17C">
      <w:pPr>
        <w:snapToGrid w:val="0"/>
        <w:spacing w:line="30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2.2.2授权委托书或法定代表人（单位负责人）身份证明；</w:t>
      </w:r>
    </w:p>
    <w:p w14:paraId="4DD39166">
      <w:pPr>
        <w:snapToGrid w:val="0"/>
        <w:spacing w:line="30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2.2.3联合协议</w:t>
      </w:r>
      <w:r>
        <w:rPr>
          <w:rFonts w:hint="eastAsia" w:cs="仿宋_GB2312" w:asciiTheme="minorEastAsia" w:hAnsiTheme="minorEastAsia" w:eastAsiaTheme="minorEastAsia"/>
          <w:sz w:val="24"/>
        </w:rPr>
        <w:t>（如果有）；</w:t>
      </w:r>
    </w:p>
    <w:p w14:paraId="75B2C3B4">
      <w:pPr>
        <w:snapToGrid w:val="0"/>
        <w:spacing w:line="30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2.2.4分包意向协议</w:t>
      </w:r>
      <w:r>
        <w:rPr>
          <w:rFonts w:hint="eastAsia" w:cs="仿宋_GB2312" w:asciiTheme="minorEastAsia" w:hAnsiTheme="minorEastAsia" w:eastAsiaTheme="minorEastAsia"/>
          <w:sz w:val="24"/>
        </w:rPr>
        <w:t>（如果有）；</w:t>
      </w:r>
    </w:p>
    <w:p w14:paraId="5CB517C7">
      <w:pPr>
        <w:snapToGrid w:val="0"/>
        <w:spacing w:line="30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2.2.5符合性审查资料；</w:t>
      </w:r>
    </w:p>
    <w:p w14:paraId="416B1BE6">
      <w:pPr>
        <w:snapToGrid w:val="0"/>
        <w:spacing w:line="30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2.2.6评标标准相应的商务技术资料；</w:t>
      </w:r>
    </w:p>
    <w:p w14:paraId="26745617">
      <w:pPr>
        <w:snapToGrid w:val="0"/>
        <w:spacing w:line="30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2.2.7商务技术偏离表；</w:t>
      </w:r>
    </w:p>
    <w:p w14:paraId="081C9EE0">
      <w:pPr>
        <w:snapToGrid w:val="0"/>
        <w:spacing w:line="300" w:lineRule="auto"/>
        <w:ind w:left="420" w:leftChars="200"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8</w:t>
      </w:r>
      <w:r>
        <w:rPr>
          <w:rFonts w:hint="eastAsia" w:cs="仿宋_GB2312" w:asciiTheme="minorEastAsia" w:hAnsiTheme="minorEastAsia" w:eastAsiaTheme="minorEastAsia"/>
          <w:sz w:val="24"/>
          <w:lang w:val="zh-CN"/>
        </w:rPr>
        <w:t>政府采购供应商廉洁自律承诺书；</w:t>
      </w:r>
    </w:p>
    <w:p w14:paraId="6912C165">
      <w:pPr>
        <w:snapToGrid w:val="0"/>
        <w:spacing w:line="30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3报价文件</w:t>
      </w:r>
    </w:p>
    <w:p w14:paraId="1E30540C">
      <w:pPr>
        <w:snapToGrid w:val="0"/>
        <w:spacing w:line="30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2.3.1开标一览表（报价表）；</w:t>
      </w:r>
    </w:p>
    <w:p w14:paraId="5DF67855">
      <w:pPr>
        <w:snapToGrid w:val="0"/>
        <w:spacing w:line="30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2.3.2中小企业声明函</w:t>
      </w:r>
      <w:r>
        <w:rPr>
          <w:rFonts w:hint="eastAsia" w:cs="仿宋_GB2312" w:asciiTheme="minorEastAsia" w:hAnsiTheme="minorEastAsia" w:eastAsiaTheme="minorEastAsia"/>
          <w:sz w:val="24"/>
        </w:rPr>
        <w:t>（如果有）。</w:t>
      </w:r>
    </w:p>
    <w:p w14:paraId="7089F032">
      <w:pPr>
        <w:snapToGrid w:val="0"/>
        <w:spacing w:line="30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3、我方承诺除商务技术偏离表列出的偏离外，我方响应招标文件的全部要求。</w:t>
      </w:r>
    </w:p>
    <w:p w14:paraId="2F2A5EC6">
      <w:pPr>
        <w:snapToGrid w:val="0"/>
        <w:spacing w:line="30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4、如我方中标，我方承诺：</w:t>
      </w:r>
    </w:p>
    <w:p w14:paraId="384D2536">
      <w:pPr>
        <w:snapToGrid w:val="0"/>
        <w:spacing w:line="30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4.1在收到中标通知书后，在中标通知书规定的期限内与你方签订合同； </w:t>
      </w:r>
    </w:p>
    <w:p w14:paraId="1AA81D46">
      <w:pPr>
        <w:snapToGrid w:val="0"/>
        <w:spacing w:line="30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4.2在签订合同时不向你方提出附加条件； </w:t>
      </w:r>
    </w:p>
    <w:p w14:paraId="4F54ED9A">
      <w:pPr>
        <w:snapToGrid w:val="0"/>
        <w:spacing w:line="30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4.</w:t>
      </w:r>
      <w:r>
        <w:rPr>
          <w:rFonts w:hint="eastAsia" w:cs="仿宋_GB2312" w:asciiTheme="minorEastAsia" w:hAnsiTheme="minorEastAsia" w:eastAsiaTheme="minorEastAsia"/>
          <w:sz w:val="24"/>
        </w:rPr>
        <w:t>3</w:t>
      </w:r>
      <w:r>
        <w:rPr>
          <w:rFonts w:cs="仿宋_GB2312" w:asciiTheme="minorEastAsia" w:hAnsiTheme="minorEastAsia" w:eastAsiaTheme="minorEastAsia"/>
          <w:sz w:val="24"/>
        </w:rPr>
        <w:t xml:space="preserve">在合同约定的期限内完成合同规定的全部义务。 </w:t>
      </w:r>
    </w:p>
    <w:p w14:paraId="14E86F96">
      <w:pPr>
        <w:snapToGrid w:val="0"/>
        <w:spacing w:line="30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5、其他补充说明:</w:t>
      </w:r>
      <w:r>
        <w:rPr>
          <w:rFonts w:hint="eastAsia" w:cs="仿宋_GB2312" w:asciiTheme="minorEastAsia" w:hAnsiTheme="minorEastAsia" w:eastAsiaTheme="minorEastAsia"/>
          <w:sz w:val="24"/>
        </w:rPr>
        <w:t>。</w:t>
      </w:r>
    </w:p>
    <w:p w14:paraId="274936B9">
      <w:pPr>
        <w:spacing w:line="300" w:lineRule="auto"/>
        <w:ind w:firstLine="4560" w:firstLineChars="19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投标人名称（电子签名）：</w:t>
      </w:r>
    </w:p>
    <w:p w14:paraId="5E06B471">
      <w:pPr>
        <w:spacing w:line="300" w:lineRule="auto"/>
        <w:ind w:firstLine="4560" w:firstLineChars="1900"/>
        <w:rPr>
          <w:rFonts w:hint="eastAsia" w:cs="仿宋_GB2312" w:asciiTheme="minorEastAsia" w:hAnsiTheme="minorEastAsia" w:eastAsiaTheme="minorEastAsia"/>
          <w:sz w:val="24"/>
        </w:rPr>
      </w:pPr>
    </w:p>
    <w:p w14:paraId="5442BA2A">
      <w:pPr>
        <w:spacing w:line="30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w:t>
      </w:r>
      <w:r>
        <w:rPr>
          <w:rFonts w:hint="eastAsia" w:cs="仿宋_GB2312" w:asciiTheme="minorEastAsia" w:hAnsiTheme="minorEastAsia" w:eastAsiaTheme="minorEastAsia"/>
          <w:sz w:val="24"/>
          <w:lang w:val="en-US" w:eastAsia="zh-CN"/>
        </w:rPr>
        <w:t xml:space="preserve">                                            </w:t>
      </w:r>
      <w:r>
        <w:rPr>
          <w:rFonts w:cs="仿宋_GB2312" w:asciiTheme="minorEastAsia" w:hAnsiTheme="minorEastAsia" w:eastAsiaTheme="minorEastAsia"/>
          <w:sz w:val="24"/>
        </w:rPr>
        <w:t>日期：  年   月   日</w:t>
      </w:r>
    </w:p>
    <w:p w14:paraId="40587738">
      <w:pPr>
        <w:snapToGrid w:val="0"/>
        <w:spacing w:line="360" w:lineRule="auto"/>
        <w:ind w:left="420" w:leftChars="200" w:firstLine="4200" w:firstLineChars="1750"/>
        <w:rPr>
          <w:rFonts w:cs="仿宋_GB2312" w:asciiTheme="minorEastAsia" w:hAnsiTheme="minorEastAsia" w:eastAsiaTheme="minorEastAsia"/>
          <w:kern w:val="0"/>
          <w:sz w:val="24"/>
          <w:u w:val="single"/>
          <w:lang w:val="zh-CN"/>
        </w:rPr>
      </w:pPr>
    </w:p>
    <w:p w14:paraId="584E2447">
      <w:pPr>
        <w:jc w:val="both"/>
        <w:rPr>
          <w:rFonts w:cs="仿宋_GB2312" w:asciiTheme="minorEastAsia" w:hAnsiTheme="minorEastAsia" w:eastAsiaTheme="minorEastAsia"/>
          <w:b/>
          <w:kern w:val="0"/>
          <w:sz w:val="32"/>
          <w:szCs w:val="32"/>
          <w:lang w:val="zh-CN"/>
        </w:rPr>
      </w:pPr>
    </w:p>
    <w:p w14:paraId="47D3D0F9">
      <w:pPr>
        <w:jc w:val="center"/>
        <w:rPr>
          <w:rFonts w:cs="仿宋_GB2312" w:asciiTheme="minorEastAsia" w:hAnsiTheme="minorEastAsia" w:eastAsiaTheme="minorEastAsia"/>
          <w:b/>
          <w:kern w:val="0"/>
          <w:sz w:val="32"/>
          <w:szCs w:val="32"/>
          <w:lang w:val="zh-CN"/>
        </w:rPr>
      </w:pPr>
    </w:p>
    <w:p w14:paraId="207BF387">
      <w:pPr>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二、授权委托书或法定代表人（单位负责人、自然人本人）身份证明</w:t>
      </w:r>
    </w:p>
    <w:p w14:paraId="00E98A19">
      <w:pPr>
        <w:snapToGrid w:val="0"/>
        <w:spacing w:line="360" w:lineRule="auto"/>
        <w:rPr>
          <w:rFonts w:cs="仿宋_GB2312" w:asciiTheme="minorEastAsia" w:hAnsiTheme="minorEastAsia" w:eastAsiaTheme="minorEastAsia"/>
          <w:sz w:val="24"/>
        </w:rPr>
      </w:pPr>
    </w:p>
    <w:p w14:paraId="7DDE4617">
      <w:pPr>
        <w:snapToGrid w:val="0"/>
        <w:spacing w:line="360" w:lineRule="auto"/>
        <w:ind w:firstLine="2872" w:firstLineChars="894"/>
        <w:rPr>
          <w:rFonts w:asciiTheme="minorEastAsia" w:hAnsiTheme="minorEastAsia" w:eastAsiaTheme="minorEastAsia"/>
        </w:rPr>
      </w:pPr>
      <w:r>
        <w:rPr>
          <w:rFonts w:hint="eastAsia" w:cs="仿宋_GB2312" w:asciiTheme="minorEastAsia" w:hAnsiTheme="minorEastAsia" w:eastAsiaTheme="minorEastAsia"/>
          <w:b/>
          <w:kern w:val="0"/>
          <w:sz w:val="32"/>
          <w:szCs w:val="32"/>
          <w:lang w:val="zh-CN"/>
        </w:rPr>
        <w:t>授权委托书（适用于非联合体投标）</w:t>
      </w:r>
    </w:p>
    <w:p w14:paraId="0A02365B">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5586CB02">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现</w:t>
      </w:r>
      <w:r>
        <w:rPr>
          <w:rFonts w:hint="eastAsia" w:cs="仿宋_GB2312"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rPr>
        <w:t>（项目名称）【招标编号：</w:t>
      </w:r>
      <w:r>
        <w:rPr>
          <w:rFonts w:hint="eastAsia" w:asciiTheme="minorEastAsia" w:hAnsiTheme="minorEastAsia" w:eastAsiaTheme="minorEastAsia"/>
          <w:sz w:val="24"/>
        </w:rPr>
        <w:t>（）</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政府采购投标的一切事项，其法律后果由我方承担。</w:t>
      </w:r>
    </w:p>
    <w:p w14:paraId="121D9A97">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委托期限</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自年月日起至年月日止。</w:t>
      </w:r>
    </w:p>
    <w:p w14:paraId="38ABF173">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特此告知。</w:t>
      </w:r>
    </w:p>
    <w:p w14:paraId="51E6F6BF">
      <w:pPr>
        <w:snapToGrid w:val="0"/>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lang w:val="zh-CN"/>
        </w:rPr>
        <w:t xml:space="preserve">                                                 投标人名称(电子签名)：</w:t>
      </w:r>
    </w:p>
    <w:p w14:paraId="2C9BF6EB">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签发日期：  年  月   日</w:t>
      </w:r>
    </w:p>
    <w:p w14:paraId="619C257C">
      <w:pPr>
        <w:snapToGrid w:val="0"/>
        <w:spacing w:line="360" w:lineRule="auto"/>
        <w:rPr>
          <w:rFonts w:cs="仿宋_GB2312" w:asciiTheme="minorEastAsia" w:hAnsiTheme="minorEastAsia" w:eastAsiaTheme="minorEastAsia"/>
          <w:sz w:val="24"/>
        </w:rPr>
      </w:pPr>
    </w:p>
    <w:p w14:paraId="64602755">
      <w:pPr>
        <w:snapToGrid w:val="0"/>
        <w:spacing w:line="360" w:lineRule="auto"/>
        <w:rPr>
          <w:rFonts w:cs="仿宋_GB2312" w:asciiTheme="minorEastAsia" w:hAnsiTheme="minorEastAsia" w:eastAsiaTheme="minorEastAsia"/>
          <w:sz w:val="24"/>
        </w:rPr>
      </w:pPr>
    </w:p>
    <w:p w14:paraId="36EA4DF9">
      <w:pPr>
        <w:snapToGrid w:val="0"/>
        <w:spacing w:line="360" w:lineRule="auto"/>
        <w:rPr>
          <w:rFonts w:cs="仿宋_GB2312" w:asciiTheme="minorEastAsia" w:hAnsiTheme="minorEastAsia" w:eastAsiaTheme="minorEastAsia"/>
          <w:sz w:val="24"/>
        </w:rPr>
      </w:pPr>
    </w:p>
    <w:p w14:paraId="6CE0EDF1">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授权委托书（适用于联合体投标）</w:t>
      </w:r>
    </w:p>
    <w:p w14:paraId="72549E45">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7905E13C">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现</w:t>
      </w:r>
      <w:r>
        <w:rPr>
          <w:rFonts w:hint="eastAsia" w:cs="仿宋_GB2312"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rPr>
        <w:t>（项目名称）【招标编号：</w:t>
      </w:r>
      <w:r>
        <w:rPr>
          <w:rFonts w:hint="eastAsia" w:asciiTheme="minorEastAsia" w:hAnsiTheme="minorEastAsia" w:eastAsiaTheme="minorEastAsia"/>
          <w:sz w:val="24"/>
        </w:rPr>
        <w:t>（）</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政府采购投标的一切事项，其法律后果由我方承担。</w:t>
      </w:r>
    </w:p>
    <w:p w14:paraId="2E61A1FC">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委托期限</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自年月日起至年月日止。</w:t>
      </w:r>
    </w:p>
    <w:p w14:paraId="37613355">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特此告知。</w:t>
      </w:r>
    </w:p>
    <w:p w14:paraId="31083D41">
      <w:pPr>
        <w:jc w:val="center"/>
        <w:rPr>
          <w:rFonts w:cs="仿宋_GB2312" w:asciiTheme="minorEastAsia" w:hAnsiTheme="minorEastAsia" w:eastAsiaTheme="minorEastAsia"/>
          <w:b/>
          <w:kern w:val="0"/>
          <w:sz w:val="32"/>
          <w:szCs w:val="32"/>
        </w:rPr>
      </w:pPr>
    </w:p>
    <w:p w14:paraId="6E70A628">
      <w:pPr>
        <w:rPr>
          <w:rFonts w:asciiTheme="minorEastAsia" w:hAnsiTheme="minorEastAsia" w:eastAsiaTheme="minorEastAsia"/>
        </w:rPr>
      </w:pPr>
    </w:p>
    <w:p w14:paraId="6492072E">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14:paraId="0DF95995">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14:paraId="5BF7685D">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14:paraId="130A1EB2">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14:paraId="2B031820">
      <w:pPr>
        <w:autoSpaceDE w:val="0"/>
        <w:autoSpaceDN w:val="0"/>
        <w:spacing w:line="360" w:lineRule="auto"/>
        <w:jc w:val="center"/>
        <w:rPr>
          <w:rFonts w:cs="仿宋_GB2312" w:asciiTheme="minorEastAsia" w:hAnsiTheme="minorEastAsia" w:eastAsiaTheme="minorEastAsia"/>
          <w:b/>
          <w:kern w:val="0"/>
          <w:sz w:val="32"/>
          <w:szCs w:val="32"/>
          <w:lang w:val="zh-CN"/>
        </w:rPr>
      </w:pPr>
    </w:p>
    <w:p w14:paraId="7FA05A0F">
      <w:pPr>
        <w:autoSpaceDE w:val="0"/>
        <w:autoSpaceDN w:val="0"/>
        <w:spacing w:line="360" w:lineRule="auto"/>
        <w:jc w:val="center"/>
        <w:rPr>
          <w:rFonts w:cs="仿宋_GB2312" w:asciiTheme="minorEastAsia" w:hAnsiTheme="minorEastAsia" w:eastAsiaTheme="minorEastAsia"/>
          <w:b/>
          <w:kern w:val="0"/>
          <w:sz w:val="32"/>
          <w:szCs w:val="32"/>
          <w:lang w:val="zh-CN"/>
        </w:rPr>
      </w:pPr>
    </w:p>
    <w:p w14:paraId="2E36804E">
      <w:pPr>
        <w:autoSpaceDE w:val="0"/>
        <w:autoSpaceDN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kern w:val="0"/>
          <w:sz w:val="32"/>
          <w:szCs w:val="32"/>
          <w:lang w:val="zh-CN"/>
        </w:rPr>
        <w:t>法定代表人、单位负责人或自然人本人</w:t>
      </w:r>
      <w:r>
        <w:rPr>
          <w:rFonts w:hint="eastAsia" w:cs="仿宋_GB2312" w:asciiTheme="minorEastAsia" w:hAnsiTheme="minorEastAsia" w:eastAsiaTheme="minorEastAsia"/>
          <w:b/>
          <w:sz w:val="30"/>
          <w:szCs w:val="30"/>
        </w:rPr>
        <w:t>的身份证明（适用于法定代表人、单位负责人或者自然人本人代表投标人参加投标）</w:t>
      </w:r>
    </w:p>
    <w:p w14:paraId="23A4F66C">
      <w:pPr>
        <w:pStyle w:val="14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407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D64D872">
            <w:pPr>
              <w:pStyle w:val="149"/>
              <w:adjustRightInd w:val="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正面：反面：</w:t>
            </w:r>
          </w:p>
          <w:p w14:paraId="4711B6DF">
            <w:pPr>
              <w:pStyle w:val="149"/>
              <w:adjustRightInd w:val="0"/>
              <w:spacing w:line="360" w:lineRule="auto"/>
              <w:rPr>
                <w:rFonts w:asciiTheme="minorEastAsia" w:hAnsiTheme="minorEastAsia" w:eastAsiaTheme="minorEastAsia"/>
                <w:bCs/>
                <w:sz w:val="24"/>
              </w:rPr>
            </w:pPr>
          </w:p>
        </w:tc>
      </w:tr>
    </w:tbl>
    <w:p w14:paraId="176B30C2">
      <w:pPr>
        <w:snapToGrid w:val="0"/>
        <w:spacing w:line="360" w:lineRule="auto"/>
        <w:ind w:firstLine="576"/>
        <w:jc w:val="center"/>
        <w:rPr>
          <w:rFonts w:cs="仿宋_GB2312" w:asciiTheme="minorEastAsia" w:hAnsiTheme="minorEastAsia" w:eastAsiaTheme="minorEastAsia"/>
          <w:kern w:val="0"/>
          <w:sz w:val="24"/>
          <w:lang w:val="zh-CN"/>
        </w:rPr>
      </w:pPr>
    </w:p>
    <w:p w14:paraId="77609281">
      <w:pPr>
        <w:snapToGrid w:val="0"/>
        <w:spacing w:line="360" w:lineRule="auto"/>
        <w:ind w:firstLine="576"/>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投标人名称(电子签名)：                              </w:t>
      </w:r>
    </w:p>
    <w:p w14:paraId="19698D40">
      <w:pPr>
        <w:spacing w:line="360" w:lineRule="auto"/>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14:paraId="1A896E87">
      <w:pPr>
        <w:jc w:val="center"/>
        <w:rPr>
          <w:rFonts w:cs="仿宋_GB2312" w:asciiTheme="minorEastAsia" w:hAnsiTheme="minorEastAsia" w:eastAsiaTheme="minorEastAsia"/>
          <w:b/>
          <w:kern w:val="0"/>
          <w:sz w:val="32"/>
          <w:szCs w:val="32"/>
        </w:rPr>
      </w:pPr>
    </w:p>
    <w:p w14:paraId="5BDA82B7">
      <w:pPr>
        <w:jc w:val="center"/>
        <w:rPr>
          <w:rFonts w:cs="仿宋_GB2312" w:asciiTheme="minorEastAsia" w:hAnsiTheme="minorEastAsia" w:eastAsiaTheme="minorEastAsia"/>
          <w:b/>
          <w:kern w:val="0"/>
          <w:sz w:val="32"/>
          <w:szCs w:val="32"/>
        </w:rPr>
      </w:pPr>
    </w:p>
    <w:p w14:paraId="5C932258">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14:paraId="088DE410">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D1AEAB4">
      <w:pPr>
        <w:jc w:val="center"/>
        <w:rPr>
          <w:rFonts w:cs="仿宋_GB2312" w:asciiTheme="minorEastAsia" w:hAnsiTheme="minorEastAsia" w:eastAsiaTheme="minorEastAsia"/>
          <w:b/>
          <w:kern w:val="0"/>
          <w:sz w:val="32"/>
          <w:szCs w:val="32"/>
        </w:rPr>
      </w:pPr>
    </w:p>
    <w:p w14:paraId="1A79E21A">
      <w:pPr>
        <w:jc w:val="center"/>
        <w:rPr>
          <w:rFonts w:cs="仿宋_GB2312" w:asciiTheme="minorEastAsia" w:hAnsiTheme="minorEastAsia" w:eastAsiaTheme="minorEastAsia"/>
          <w:b/>
          <w:kern w:val="0"/>
          <w:sz w:val="32"/>
          <w:szCs w:val="32"/>
        </w:rPr>
      </w:pPr>
    </w:p>
    <w:p w14:paraId="2006AD4E">
      <w:pPr>
        <w:jc w:val="center"/>
        <w:rPr>
          <w:rFonts w:cs="仿宋_GB2312" w:asciiTheme="minorEastAsia" w:hAnsiTheme="minorEastAsia" w:eastAsiaTheme="minorEastAsia"/>
          <w:b/>
          <w:kern w:val="0"/>
          <w:sz w:val="32"/>
          <w:szCs w:val="32"/>
        </w:rPr>
      </w:pPr>
    </w:p>
    <w:p w14:paraId="41E6E632">
      <w:pPr>
        <w:jc w:val="center"/>
        <w:rPr>
          <w:rFonts w:cs="仿宋_GB2312" w:asciiTheme="minorEastAsia" w:hAnsiTheme="minorEastAsia" w:eastAsiaTheme="minorEastAsia"/>
          <w:b/>
          <w:kern w:val="0"/>
          <w:sz w:val="32"/>
          <w:szCs w:val="32"/>
        </w:rPr>
      </w:pPr>
    </w:p>
    <w:p w14:paraId="31B494B8">
      <w:pPr>
        <w:jc w:val="center"/>
        <w:rPr>
          <w:rFonts w:cs="仿宋_GB2312" w:asciiTheme="minorEastAsia" w:hAnsiTheme="minorEastAsia" w:eastAsiaTheme="minorEastAsia"/>
          <w:b/>
          <w:kern w:val="0"/>
          <w:sz w:val="32"/>
          <w:szCs w:val="32"/>
        </w:rPr>
      </w:pPr>
    </w:p>
    <w:p w14:paraId="560E7E51">
      <w:pPr>
        <w:jc w:val="center"/>
        <w:rPr>
          <w:rFonts w:cs="仿宋_GB2312" w:asciiTheme="minorEastAsia" w:hAnsiTheme="minorEastAsia" w:eastAsiaTheme="minorEastAsia"/>
          <w:b/>
          <w:kern w:val="0"/>
          <w:sz w:val="32"/>
          <w:szCs w:val="32"/>
        </w:rPr>
      </w:pPr>
    </w:p>
    <w:p w14:paraId="0430BF87">
      <w:pPr>
        <w:jc w:val="center"/>
        <w:rPr>
          <w:rFonts w:hint="eastAsia" w:cs="仿宋_GB2312" w:asciiTheme="minorEastAsia" w:hAnsiTheme="minorEastAsia" w:eastAsiaTheme="minorEastAsia"/>
          <w:b/>
          <w:kern w:val="0"/>
          <w:sz w:val="32"/>
          <w:szCs w:val="32"/>
        </w:rPr>
      </w:pPr>
    </w:p>
    <w:p w14:paraId="1FA92E17">
      <w:pPr>
        <w:jc w:val="center"/>
        <w:rPr>
          <w:rFonts w:hint="eastAsia" w:cs="仿宋_GB2312" w:asciiTheme="minorEastAsia" w:hAnsiTheme="minorEastAsia" w:eastAsiaTheme="minorEastAsia"/>
          <w:b/>
          <w:kern w:val="0"/>
          <w:sz w:val="32"/>
          <w:szCs w:val="32"/>
        </w:rPr>
      </w:pPr>
    </w:p>
    <w:p w14:paraId="54EB8488">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四、符合性审查资料</w:t>
      </w:r>
    </w:p>
    <w:p w14:paraId="239F99B6">
      <w:pPr>
        <w:jc w:val="center"/>
        <w:rPr>
          <w:rFonts w:cs="仿宋_GB2312" w:asciiTheme="minorEastAsia" w:hAnsiTheme="minorEastAsia" w:eastAsia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685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3AC188F">
            <w:pPr>
              <w:snapToGrid w:val="0"/>
              <w:spacing w:line="240" w:lineRule="atLeast"/>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4991" w:type="dxa"/>
            <w:vAlign w:val="center"/>
          </w:tcPr>
          <w:p w14:paraId="0BDAF191">
            <w:pPr>
              <w:snapToGrid w:val="0"/>
              <w:spacing w:line="240" w:lineRule="atLeast"/>
              <w:jc w:val="center"/>
              <w:rPr>
                <w:rFonts w:asciiTheme="minorEastAsia" w:hAnsiTheme="minorEastAsia" w:eastAsiaTheme="minorEastAsia"/>
                <w:b/>
                <w:sz w:val="24"/>
              </w:rPr>
            </w:pPr>
            <w:r>
              <w:rPr>
                <w:rFonts w:hint="eastAsia" w:asciiTheme="minorEastAsia" w:hAnsiTheme="minorEastAsia" w:eastAsiaTheme="minorEastAsia"/>
                <w:b/>
                <w:sz w:val="24"/>
              </w:rPr>
              <w:t>实质性要求</w:t>
            </w:r>
          </w:p>
        </w:tc>
        <w:tc>
          <w:tcPr>
            <w:tcW w:w="2551" w:type="dxa"/>
            <w:vAlign w:val="center"/>
          </w:tcPr>
          <w:p w14:paraId="692E6877">
            <w:pPr>
              <w:snapToGrid w:val="0"/>
              <w:spacing w:line="240" w:lineRule="atLeast"/>
              <w:jc w:val="center"/>
              <w:rPr>
                <w:rFonts w:asciiTheme="minorEastAsia" w:hAnsiTheme="minorEastAsia" w:eastAsiaTheme="minorEastAsia"/>
                <w:b/>
                <w:sz w:val="24"/>
              </w:rPr>
            </w:pPr>
            <w:r>
              <w:rPr>
                <w:rFonts w:hint="eastAsia" w:asciiTheme="minorEastAsia" w:hAnsiTheme="minorEastAsia" w:eastAsiaTheme="minorEastAsia"/>
                <w:b/>
                <w:sz w:val="24"/>
              </w:rPr>
              <w:t>需要提供的符合性审查资料</w:t>
            </w:r>
          </w:p>
        </w:tc>
        <w:tc>
          <w:tcPr>
            <w:tcW w:w="1418" w:type="dxa"/>
            <w:vAlign w:val="center"/>
          </w:tcPr>
          <w:p w14:paraId="4890997D">
            <w:pPr>
              <w:snapToGrid w:val="0"/>
              <w:spacing w:line="240" w:lineRule="atLeast"/>
              <w:jc w:val="center"/>
              <w:rPr>
                <w:rFonts w:asciiTheme="minorEastAsia" w:hAnsiTheme="minorEastAsia" w:eastAsiaTheme="minorEastAsia"/>
                <w:b/>
                <w:sz w:val="24"/>
              </w:rPr>
            </w:pPr>
            <w:r>
              <w:rPr>
                <w:rFonts w:hint="eastAsia" w:asciiTheme="minorEastAsia" w:hAnsiTheme="minorEastAsia" w:eastAsiaTheme="minorEastAsia"/>
                <w:b/>
                <w:sz w:val="24"/>
              </w:rPr>
              <w:t>投标文件中的</w:t>
            </w:r>
          </w:p>
          <w:p w14:paraId="15E5BC20">
            <w:pPr>
              <w:snapToGrid w:val="0"/>
              <w:spacing w:line="240" w:lineRule="atLeast"/>
              <w:jc w:val="center"/>
              <w:rPr>
                <w:rFonts w:asciiTheme="minorEastAsia" w:hAnsiTheme="minorEastAsia" w:eastAsiaTheme="minorEastAsia"/>
                <w:b/>
                <w:sz w:val="24"/>
              </w:rPr>
            </w:pPr>
            <w:r>
              <w:rPr>
                <w:rFonts w:hint="eastAsia" w:asciiTheme="minorEastAsia" w:hAnsiTheme="minorEastAsia" w:eastAsiaTheme="minorEastAsia"/>
                <w:b/>
                <w:sz w:val="24"/>
              </w:rPr>
              <w:t>页码位置</w:t>
            </w:r>
          </w:p>
        </w:tc>
      </w:tr>
      <w:tr w14:paraId="60F2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BF0F09">
            <w:pPr>
              <w:jc w:val="center"/>
              <w:rPr>
                <w:rFonts w:asciiTheme="minorEastAsia" w:hAnsiTheme="minorEastAsia" w:eastAsiaTheme="minorEastAsia"/>
                <w:sz w:val="24"/>
              </w:rPr>
            </w:pPr>
            <w:r>
              <w:rPr>
                <w:rFonts w:asciiTheme="minorEastAsia" w:hAnsiTheme="minorEastAsia" w:eastAsiaTheme="minorEastAsia"/>
                <w:sz w:val="24"/>
              </w:rPr>
              <w:t>1</w:t>
            </w:r>
          </w:p>
        </w:tc>
        <w:tc>
          <w:tcPr>
            <w:tcW w:w="4991" w:type="dxa"/>
          </w:tcPr>
          <w:p w14:paraId="4FD0540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投标文件按照招标文件要求签署、盖章。</w:t>
            </w:r>
          </w:p>
        </w:tc>
        <w:tc>
          <w:tcPr>
            <w:tcW w:w="2551" w:type="dxa"/>
            <w:vAlign w:val="center"/>
          </w:tcPr>
          <w:p w14:paraId="3F91517B">
            <w:pPr>
              <w:rPr>
                <w:rFonts w:asciiTheme="minorEastAsia" w:hAnsiTheme="minorEastAsia" w:eastAsiaTheme="minorEastAsia"/>
                <w:sz w:val="24"/>
              </w:rPr>
            </w:pPr>
            <w:r>
              <w:rPr>
                <w:rFonts w:hint="eastAsia" w:asciiTheme="minorEastAsia" w:hAnsiTheme="minorEastAsia" w:eastAsiaTheme="minorEastAsia"/>
                <w:sz w:val="24"/>
              </w:rPr>
              <w:t>需要使用电子签名或者签字盖章的投标文件的组成部分</w:t>
            </w:r>
          </w:p>
        </w:tc>
        <w:tc>
          <w:tcPr>
            <w:tcW w:w="1418" w:type="dxa"/>
          </w:tcPr>
          <w:p w14:paraId="6A008E90">
            <w:pP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w:t>
            </w:r>
          </w:p>
          <w:p w14:paraId="04A1C4E5">
            <w:pPr>
              <w:rPr>
                <w:rFonts w:asciiTheme="minorEastAsia" w:hAnsiTheme="minorEastAsia" w:eastAsiaTheme="minorEastAsia"/>
              </w:rPr>
            </w:pPr>
            <w:r>
              <w:rPr>
                <w:rFonts w:hint="eastAsia" w:cs="仿宋_GB2312" w:asciiTheme="minorEastAsia" w:hAnsiTheme="minorEastAsia" w:eastAsiaTheme="minorEastAsia"/>
                <w:sz w:val="24"/>
              </w:rPr>
              <w:t>第页</w:t>
            </w:r>
          </w:p>
        </w:tc>
      </w:tr>
      <w:tr w14:paraId="3F33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574B81">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991" w:type="dxa"/>
          </w:tcPr>
          <w:p w14:paraId="170DD725">
            <w:pPr>
              <w:spacing w:line="360" w:lineRule="auto"/>
              <w:rPr>
                <w:rFonts w:cs="仿宋_GB2312" w:asciiTheme="minorEastAsia" w:hAnsiTheme="minorEastAsia" w:eastAsiaTheme="minorEastAsia"/>
                <w:sz w:val="24"/>
              </w:rPr>
            </w:pPr>
            <w:r>
              <w:rPr>
                <w:rFonts w:hint="eastAsia" w:asciiTheme="minorEastAsia" w:hAnsiTheme="minorEastAsia" w:eastAsiaTheme="minorEastAsia"/>
                <w:sz w:val="24"/>
              </w:rPr>
              <w:t>投标文件中承诺的投标有效期不少于招标文件中载明的投标有效期。</w:t>
            </w:r>
          </w:p>
        </w:tc>
        <w:tc>
          <w:tcPr>
            <w:tcW w:w="2551" w:type="dxa"/>
            <w:vAlign w:val="center"/>
          </w:tcPr>
          <w:p w14:paraId="5A4E24DE">
            <w:pPr>
              <w:rPr>
                <w:rFonts w:asciiTheme="minorEastAsia" w:hAnsiTheme="minorEastAsia" w:eastAsiaTheme="minorEastAsia"/>
                <w:sz w:val="24"/>
              </w:rPr>
            </w:pPr>
            <w:r>
              <w:rPr>
                <w:rFonts w:hint="eastAsia" w:asciiTheme="minorEastAsia" w:hAnsiTheme="minorEastAsia" w:eastAsiaTheme="minorEastAsia"/>
                <w:sz w:val="24"/>
              </w:rPr>
              <w:t>投标函</w:t>
            </w:r>
          </w:p>
        </w:tc>
        <w:tc>
          <w:tcPr>
            <w:tcW w:w="1418" w:type="dxa"/>
          </w:tcPr>
          <w:p w14:paraId="796E2670">
            <w:pPr>
              <w:rPr>
                <w:rFonts w:asciiTheme="minorEastAsia" w:hAnsiTheme="minorEastAsia" w:eastAsiaTheme="minorEastAsia"/>
              </w:rPr>
            </w:pPr>
            <w:r>
              <w:rPr>
                <w:rFonts w:hint="eastAsia" w:cs="仿宋_GB2312" w:asciiTheme="minorEastAsia" w:hAnsiTheme="minorEastAsia" w:eastAsiaTheme="minorEastAsia"/>
                <w:sz w:val="24"/>
              </w:rPr>
              <w:t>见投标文件第页</w:t>
            </w:r>
          </w:p>
        </w:tc>
      </w:tr>
      <w:tr w14:paraId="51D5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E4EF2C">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4991" w:type="dxa"/>
          </w:tcPr>
          <w:p w14:paraId="0DB50E93">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投标文件满足招标文件的其它实质性要求。</w:t>
            </w:r>
          </w:p>
        </w:tc>
        <w:tc>
          <w:tcPr>
            <w:tcW w:w="2551" w:type="dxa"/>
            <w:vAlign w:val="center"/>
          </w:tcPr>
          <w:p w14:paraId="0554BCF9">
            <w:pPr>
              <w:rPr>
                <w:rFonts w:asciiTheme="minorEastAsia" w:hAnsiTheme="minorEastAsia" w:eastAsiaTheme="minorEastAsia"/>
                <w:sz w:val="24"/>
              </w:rPr>
            </w:pPr>
            <w:r>
              <w:rPr>
                <w:rFonts w:hint="eastAsia" w:cs="仿宋_GB2312" w:asciiTheme="minorEastAsia" w:hAnsiTheme="minorEastAsia" w:eastAsiaTheme="minorEastAsia"/>
                <w:kern w:val="0"/>
                <w:sz w:val="24"/>
              </w:rPr>
              <w:t>招标文件其它实质性要求相应的材料（“▲”系指实质性要求条款，招标文件无其它实质性要求的，无需提供）</w:t>
            </w:r>
          </w:p>
        </w:tc>
        <w:tc>
          <w:tcPr>
            <w:tcW w:w="1418" w:type="dxa"/>
          </w:tcPr>
          <w:p w14:paraId="05ACF09E">
            <w:pPr>
              <w:rPr>
                <w:rFonts w:asciiTheme="minorEastAsia" w:hAnsiTheme="minorEastAsia" w:eastAsiaTheme="minorEastAsia"/>
              </w:rPr>
            </w:pPr>
            <w:r>
              <w:rPr>
                <w:rFonts w:hint="eastAsia" w:cs="仿宋_GB2312" w:asciiTheme="minorEastAsia" w:hAnsiTheme="minorEastAsia" w:eastAsiaTheme="minorEastAsia"/>
                <w:sz w:val="24"/>
              </w:rPr>
              <w:t>见投标文件第页</w:t>
            </w:r>
          </w:p>
        </w:tc>
      </w:tr>
    </w:tbl>
    <w:p w14:paraId="5FD9A362">
      <w:pPr>
        <w:jc w:val="center"/>
        <w:rPr>
          <w:rFonts w:cs="仿宋_GB2312" w:asciiTheme="minorEastAsia" w:hAnsiTheme="minorEastAsia" w:eastAsiaTheme="minorEastAsia"/>
          <w:b/>
          <w:kern w:val="0"/>
          <w:sz w:val="32"/>
          <w:szCs w:val="32"/>
        </w:rPr>
      </w:pPr>
    </w:p>
    <w:p w14:paraId="569CA90D">
      <w:pPr>
        <w:jc w:val="center"/>
        <w:rPr>
          <w:rFonts w:cs="仿宋_GB2312" w:asciiTheme="minorEastAsia" w:hAnsiTheme="minorEastAsia" w:eastAsiaTheme="minorEastAsia"/>
          <w:b/>
          <w:kern w:val="0"/>
          <w:sz w:val="32"/>
          <w:szCs w:val="32"/>
        </w:rPr>
      </w:pPr>
    </w:p>
    <w:p w14:paraId="43E86CC7">
      <w:pPr>
        <w:jc w:val="center"/>
        <w:rPr>
          <w:rFonts w:cs="仿宋_GB2312" w:asciiTheme="minorEastAsia" w:hAnsiTheme="minorEastAsia" w:eastAsiaTheme="minorEastAsia"/>
          <w:b/>
          <w:kern w:val="0"/>
          <w:sz w:val="32"/>
          <w:szCs w:val="32"/>
        </w:rPr>
      </w:pPr>
    </w:p>
    <w:p w14:paraId="171C030A">
      <w:pPr>
        <w:jc w:val="center"/>
        <w:rPr>
          <w:rFonts w:cs="仿宋_GB2312" w:asciiTheme="minorEastAsia" w:hAnsiTheme="minorEastAsia" w:eastAsiaTheme="minorEastAsia"/>
          <w:b/>
          <w:kern w:val="0"/>
          <w:sz w:val="32"/>
          <w:szCs w:val="32"/>
        </w:rPr>
      </w:pPr>
    </w:p>
    <w:p w14:paraId="40A0FC65">
      <w:pPr>
        <w:jc w:val="center"/>
        <w:rPr>
          <w:rFonts w:cs="仿宋_GB2312" w:asciiTheme="minorEastAsia" w:hAnsiTheme="minorEastAsia" w:eastAsiaTheme="minorEastAsia"/>
          <w:b/>
          <w:kern w:val="0"/>
          <w:sz w:val="32"/>
          <w:szCs w:val="32"/>
        </w:rPr>
      </w:pPr>
    </w:p>
    <w:p w14:paraId="43F62559">
      <w:pPr>
        <w:jc w:val="center"/>
        <w:rPr>
          <w:rFonts w:cs="仿宋_GB2312" w:asciiTheme="minorEastAsia" w:hAnsiTheme="minorEastAsia" w:eastAsiaTheme="minorEastAsia"/>
          <w:b/>
          <w:kern w:val="0"/>
          <w:sz w:val="32"/>
          <w:szCs w:val="32"/>
        </w:rPr>
      </w:pPr>
    </w:p>
    <w:p w14:paraId="147E0390">
      <w:pPr>
        <w:jc w:val="center"/>
        <w:rPr>
          <w:rFonts w:asciiTheme="minorEastAsia" w:hAnsiTheme="minorEastAsia" w:eastAsiaTheme="minorEastAsia"/>
        </w:rPr>
      </w:pPr>
      <w:r>
        <w:rPr>
          <w:rFonts w:hint="eastAsia" w:cs="仿宋_GB2312" w:asciiTheme="minorEastAsia" w:hAnsiTheme="minorEastAsia" w:eastAsiaTheme="minorEastAsia"/>
          <w:b/>
          <w:kern w:val="0"/>
          <w:sz w:val="32"/>
          <w:szCs w:val="32"/>
        </w:rPr>
        <w:t>五、评标标准相应的商务技术资料</w:t>
      </w:r>
    </w:p>
    <w:p w14:paraId="24B89840">
      <w:pPr>
        <w:snapToGrid w:val="0"/>
        <w:spacing w:line="360" w:lineRule="auto"/>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（按招标文件第四部分评标办法前附表中“投标文件中评标标准相应的商务技术资料目录”提供资料）</w:t>
      </w:r>
    </w:p>
    <w:p w14:paraId="3A6FC07B">
      <w:pPr>
        <w:jc w:val="center"/>
        <w:rPr>
          <w:rFonts w:cs="仿宋_GB2312" w:asciiTheme="minorEastAsia" w:hAnsiTheme="minorEastAsia" w:eastAsiaTheme="minorEastAsia"/>
          <w:b/>
          <w:kern w:val="0"/>
          <w:sz w:val="32"/>
          <w:szCs w:val="32"/>
        </w:rPr>
      </w:pPr>
    </w:p>
    <w:p w14:paraId="76D073B3">
      <w:pPr>
        <w:jc w:val="center"/>
        <w:rPr>
          <w:rFonts w:cs="仿宋_GB2312" w:asciiTheme="minorEastAsia" w:hAnsiTheme="minorEastAsia" w:eastAsiaTheme="minorEastAsia"/>
          <w:b/>
          <w:kern w:val="0"/>
          <w:sz w:val="32"/>
          <w:szCs w:val="32"/>
        </w:rPr>
      </w:pPr>
    </w:p>
    <w:p w14:paraId="3F801E3B">
      <w:pPr>
        <w:jc w:val="center"/>
        <w:rPr>
          <w:rFonts w:cs="仿宋_GB2312" w:asciiTheme="minorEastAsia" w:hAnsiTheme="minorEastAsia" w:eastAsiaTheme="minorEastAsia"/>
          <w:b/>
          <w:kern w:val="0"/>
          <w:sz w:val="32"/>
          <w:szCs w:val="32"/>
        </w:rPr>
      </w:pPr>
    </w:p>
    <w:p w14:paraId="7BB73B9D">
      <w:pPr>
        <w:jc w:val="center"/>
        <w:rPr>
          <w:rFonts w:cs="仿宋_GB2312" w:asciiTheme="minorEastAsia" w:hAnsiTheme="minorEastAsia" w:eastAsiaTheme="minorEastAsia"/>
          <w:b/>
          <w:kern w:val="0"/>
          <w:sz w:val="32"/>
          <w:szCs w:val="32"/>
        </w:rPr>
      </w:pPr>
    </w:p>
    <w:p w14:paraId="59DD5862">
      <w:pPr>
        <w:jc w:val="center"/>
        <w:rPr>
          <w:rFonts w:cs="仿宋_GB2312" w:asciiTheme="minorEastAsia" w:hAnsiTheme="minorEastAsia" w:eastAsiaTheme="minorEastAsia"/>
          <w:b/>
          <w:kern w:val="0"/>
          <w:sz w:val="32"/>
          <w:szCs w:val="32"/>
        </w:rPr>
      </w:pPr>
    </w:p>
    <w:p w14:paraId="12557CA3">
      <w:pPr>
        <w:jc w:val="center"/>
        <w:rPr>
          <w:rFonts w:cs="仿宋_GB2312" w:asciiTheme="minorEastAsia" w:hAnsiTheme="minorEastAsia" w:eastAsiaTheme="minorEastAsia"/>
          <w:b/>
          <w:kern w:val="0"/>
          <w:sz w:val="32"/>
          <w:szCs w:val="32"/>
        </w:rPr>
      </w:pPr>
    </w:p>
    <w:p w14:paraId="390E7A9A">
      <w:pPr>
        <w:jc w:val="center"/>
        <w:rPr>
          <w:rFonts w:cs="仿宋_GB2312" w:asciiTheme="minorEastAsia" w:hAnsiTheme="minorEastAsia" w:eastAsiaTheme="minorEastAsia"/>
          <w:b/>
          <w:kern w:val="0"/>
          <w:sz w:val="32"/>
          <w:szCs w:val="32"/>
        </w:rPr>
      </w:pPr>
    </w:p>
    <w:p w14:paraId="58DB92D8">
      <w:pPr>
        <w:jc w:val="center"/>
        <w:rPr>
          <w:rFonts w:cs="仿宋_GB2312" w:asciiTheme="minorEastAsia" w:hAnsiTheme="minorEastAsia" w:eastAsiaTheme="minorEastAsia"/>
          <w:b/>
          <w:kern w:val="0"/>
          <w:sz w:val="32"/>
          <w:szCs w:val="32"/>
        </w:rPr>
      </w:pPr>
    </w:p>
    <w:p w14:paraId="7EC2DE56">
      <w:pPr>
        <w:jc w:val="center"/>
        <w:rPr>
          <w:rFonts w:cs="仿宋_GB2312" w:asciiTheme="minorEastAsia" w:hAnsiTheme="minorEastAsia" w:eastAsiaTheme="minorEastAsia"/>
          <w:b/>
          <w:kern w:val="0"/>
          <w:sz w:val="32"/>
          <w:szCs w:val="32"/>
        </w:rPr>
      </w:pPr>
    </w:p>
    <w:p w14:paraId="2BBD3319">
      <w:pPr>
        <w:jc w:val="center"/>
        <w:rPr>
          <w:rFonts w:cs="仿宋_GB2312" w:asciiTheme="minorEastAsia" w:hAnsiTheme="minorEastAsia" w:eastAsiaTheme="minorEastAsia"/>
          <w:b/>
          <w:kern w:val="0"/>
          <w:sz w:val="32"/>
          <w:szCs w:val="32"/>
        </w:rPr>
      </w:pPr>
    </w:p>
    <w:p w14:paraId="229FC802">
      <w:pPr>
        <w:rPr>
          <w:rFonts w:cs="仿宋_GB2312" w:asciiTheme="minorEastAsia" w:hAnsiTheme="minorEastAsia" w:eastAsiaTheme="minorEastAsia"/>
          <w:b/>
          <w:kern w:val="0"/>
          <w:sz w:val="32"/>
          <w:szCs w:val="32"/>
        </w:rPr>
      </w:pPr>
    </w:p>
    <w:p w14:paraId="50B844AD">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C23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F6A54F">
            <w:pPr>
              <w:jc w:val="center"/>
              <w:rPr>
                <w:rFonts w:asciiTheme="minorEastAsia" w:hAnsiTheme="minorEastAsia" w:eastAsiaTheme="minorEastAsia"/>
                <w:b/>
                <w:bCs/>
                <w:sz w:val="24"/>
              </w:rPr>
            </w:pPr>
            <w:r>
              <w:rPr>
                <w:rFonts w:hint="eastAsia" w:asciiTheme="minorEastAsia" w:hAnsiTheme="minorEastAsia" w:eastAsiaTheme="minorEastAsia"/>
                <w:b/>
                <w:bCs/>
                <w:sz w:val="24"/>
              </w:rPr>
              <w:t>序号</w:t>
            </w:r>
          </w:p>
        </w:tc>
        <w:tc>
          <w:tcPr>
            <w:tcW w:w="3683" w:type="dxa"/>
          </w:tcPr>
          <w:p w14:paraId="0664E18D">
            <w:pPr>
              <w:jc w:val="center"/>
              <w:rPr>
                <w:rFonts w:asciiTheme="minorEastAsia" w:hAnsiTheme="minorEastAsia" w:eastAsiaTheme="minorEastAsia"/>
                <w:b/>
                <w:bCs/>
                <w:sz w:val="24"/>
              </w:rPr>
            </w:pPr>
            <w:r>
              <w:rPr>
                <w:rFonts w:hint="eastAsia" w:asciiTheme="minorEastAsia" w:hAnsiTheme="minorEastAsia" w:eastAsiaTheme="minorEastAsia"/>
                <w:b/>
                <w:bCs/>
                <w:sz w:val="24"/>
              </w:rPr>
              <w:t>招标文件章节及具体内容</w:t>
            </w:r>
          </w:p>
        </w:tc>
        <w:tc>
          <w:tcPr>
            <w:tcW w:w="3546" w:type="dxa"/>
          </w:tcPr>
          <w:p w14:paraId="4BF33506">
            <w:pPr>
              <w:jc w:val="center"/>
              <w:rPr>
                <w:rFonts w:asciiTheme="minorEastAsia" w:hAnsiTheme="minorEastAsia" w:eastAsiaTheme="minorEastAsia"/>
                <w:b/>
                <w:bCs/>
                <w:sz w:val="24"/>
              </w:rPr>
            </w:pPr>
            <w:r>
              <w:rPr>
                <w:rFonts w:hint="eastAsia" w:asciiTheme="minorEastAsia" w:hAnsiTheme="minorEastAsia" w:eastAsiaTheme="minorEastAsia"/>
                <w:b/>
                <w:bCs/>
                <w:sz w:val="24"/>
              </w:rPr>
              <w:t>投标文件章节及具体内容</w:t>
            </w:r>
          </w:p>
        </w:tc>
        <w:tc>
          <w:tcPr>
            <w:tcW w:w="1276" w:type="dxa"/>
          </w:tcPr>
          <w:p w14:paraId="6BE0518F">
            <w:pPr>
              <w:jc w:val="center"/>
              <w:rPr>
                <w:rFonts w:asciiTheme="minorEastAsia" w:hAnsiTheme="minorEastAsia" w:eastAsiaTheme="minorEastAsia"/>
                <w:b/>
                <w:bCs/>
                <w:sz w:val="24"/>
              </w:rPr>
            </w:pPr>
            <w:r>
              <w:rPr>
                <w:rFonts w:hint="eastAsia" w:asciiTheme="minorEastAsia" w:hAnsiTheme="minorEastAsia" w:eastAsiaTheme="minorEastAsia"/>
                <w:b/>
                <w:bCs/>
                <w:sz w:val="24"/>
              </w:rPr>
              <w:t>偏离说明</w:t>
            </w:r>
          </w:p>
        </w:tc>
      </w:tr>
      <w:tr w14:paraId="3012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03C49D">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1</w:t>
            </w:r>
          </w:p>
        </w:tc>
        <w:tc>
          <w:tcPr>
            <w:tcW w:w="3683" w:type="dxa"/>
          </w:tcPr>
          <w:p w14:paraId="0BF5C783">
            <w:pPr>
              <w:jc w:val="center"/>
              <w:rPr>
                <w:rFonts w:cs="仿宋_GB2312" w:asciiTheme="minorEastAsia" w:hAnsiTheme="minorEastAsia" w:eastAsiaTheme="minorEastAsia"/>
                <w:b/>
                <w:kern w:val="0"/>
                <w:sz w:val="32"/>
                <w:szCs w:val="32"/>
              </w:rPr>
            </w:pPr>
          </w:p>
        </w:tc>
        <w:tc>
          <w:tcPr>
            <w:tcW w:w="3546" w:type="dxa"/>
          </w:tcPr>
          <w:p w14:paraId="4079AEC3">
            <w:pPr>
              <w:jc w:val="center"/>
              <w:rPr>
                <w:rFonts w:cs="仿宋_GB2312" w:asciiTheme="minorEastAsia" w:hAnsiTheme="minorEastAsia" w:eastAsiaTheme="minorEastAsia"/>
                <w:b/>
                <w:kern w:val="0"/>
                <w:sz w:val="32"/>
                <w:szCs w:val="32"/>
              </w:rPr>
            </w:pPr>
          </w:p>
        </w:tc>
        <w:tc>
          <w:tcPr>
            <w:tcW w:w="1276" w:type="dxa"/>
          </w:tcPr>
          <w:p w14:paraId="26F60FB5">
            <w:pPr>
              <w:jc w:val="center"/>
              <w:rPr>
                <w:rFonts w:cs="仿宋_GB2312" w:asciiTheme="minorEastAsia" w:hAnsiTheme="minorEastAsia" w:eastAsiaTheme="minorEastAsia"/>
                <w:b/>
                <w:kern w:val="0"/>
                <w:sz w:val="32"/>
                <w:szCs w:val="32"/>
              </w:rPr>
            </w:pPr>
          </w:p>
        </w:tc>
      </w:tr>
      <w:tr w14:paraId="7EF2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A42FBF">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2</w:t>
            </w:r>
          </w:p>
        </w:tc>
        <w:tc>
          <w:tcPr>
            <w:tcW w:w="3683" w:type="dxa"/>
          </w:tcPr>
          <w:p w14:paraId="150F019A">
            <w:pPr>
              <w:jc w:val="center"/>
              <w:rPr>
                <w:rFonts w:cs="仿宋_GB2312" w:asciiTheme="minorEastAsia" w:hAnsiTheme="minorEastAsia" w:eastAsiaTheme="minorEastAsia"/>
                <w:b/>
                <w:kern w:val="0"/>
                <w:sz w:val="32"/>
                <w:szCs w:val="32"/>
              </w:rPr>
            </w:pPr>
          </w:p>
        </w:tc>
        <w:tc>
          <w:tcPr>
            <w:tcW w:w="3546" w:type="dxa"/>
          </w:tcPr>
          <w:p w14:paraId="5BD6A523">
            <w:pPr>
              <w:jc w:val="center"/>
              <w:rPr>
                <w:rFonts w:cs="仿宋_GB2312" w:asciiTheme="minorEastAsia" w:hAnsiTheme="minorEastAsia" w:eastAsiaTheme="minorEastAsia"/>
                <w:b/>
                <w:kern w:val="0"/>
                <w:sz w:val="32"/>
                <w:szCs w:val="32"/>
              </w:rPr>
            </w:pPr>
          </w:p>
        </w:tc>
        <w:tc>
          <w:tcPr>
            <w:tcW w:w="1276" w:type="dxa"/>
          </w:tcPr>
          <w:p w14:paraId="0C85BFBC">
            <w:pPr>
              <w:jc w:val="center"/>
              <w:rPr>
                <w:rFonts w:cs="仿宋_GB2312" w:asciiTheme="minorEastAsia" w:hAnsiTheme="minorEastAsia" w:eastAsiaTheme="minorEastAsia"/>
                <w:b/>
                <w:kern w:val="0"/>
                <w:sz w:val="32"/>
                <w:szCs w:val="32"/>
              </w:rPr>
            </w:pPr>
          </w:p>
        </w:tc>
      </w:tr>
      <w:tr w14:paraId="0ACD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25A621">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p>
        </w:tc>
        <w:tc>
          <w:tcPr>
            <w:tcW w:w="3683" w:type="dxa"/>
          </w:tcPr>
          <w:p w14:paraId="3C9BE376">
            <w:pPr>
              <w:jc w:val="center"/>
              <w:rPr>
                <w:rFonts w:cs="仿宋_GB2312" w:asciiTheme="minorEastAsia" w:hAnsiTheme="minorEastAsia" w:eastAsiaTheme="minorEastAsia"/>
                <w:b/>
                <w:kern w:val="0"/>
                <w:sz w:val="32"/>
                <w:szCs w:val="32"/>
              </w:rPr>
            </w:pPr>
          </w:p>
        </w:tc>
        <w:tc>
          <w:tcPr>
            <w:tcW w:w="3546" w:type="dxa"/>
          </w:tcPr>
          <w:p w14:paraId="13AD8326">
            <w:pPr>
              <w:jc w:val="center"/>
              <w:rPr>
                <w:rFonts w:cs="仿宋_GB2312" w:asciiTheme="minorEastAsia" w:hAnsiTheme="minorEastAsia" w:eastAsiaTheme="minorEastAsia"/>
                <w:b/>
                <w:kern w:val="0"/>
                <w:sz w:val="32"/>
                <w:szCs w:val="32"/>
              </w:rPr>
            </w:pPr>
          </w:p>
        </w:tc>
        <w:tc>
          <w:tcPr>
            <w:tcW w:w="1276" w:type="dxa"/>
          </w:tcPr>
          <w:p w14:paraId="102ED1CE">
            <w:pPr>
              <w:jc w:val="center"/>
              <w:rPr>
                <w:rFonts w:cs="仿宋_GB2312" w:asciiTheme="minorEastAsia" w:hAnsiTheme="minorEastAsia" w:eastAsiaTheme="minorEastAsia"/>
                <w:b/>
                <w:kern w:val="0"/>
                <w:sz w:val="32"/>
                <w:szCs w:val="32"/>
              </w:rPr>
            </w:pPr>
          </w:p>
        </w:tc>
      </w:tr>
    </w:tbl>
    <w:p w14:paraId="32800C2C">
      <w:pPr>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投标人保证：除商务技术偏离表列出的偏离外，投标人响应招标文件的全部要求</w:t>
      </w:r>
    </w:p>
    <w:p w14:paraId="2060028D">
      <w:pPr>
        <w:jc w:val="center"/>
        <w:rPr>
          <w:rFonts w:cs="仿宋_GB2312" w:asciiTheme="minorEastAsia" w:hAnsiTheme="minorEastAsia" w:eastAsiaTheme="minorEastAsia"/>
          <w:b/>
          <w:kern w:val="0"/>
          <w:sz w:val="32"/>
          <w:szCs w:val="32"/>
        </w:rPr>
      </w:pPr>
    </w:p>
    <w:p w14:paraId="6A040BB9">
      <w:pPr>
        <w:jc w:val="center"/>
        <w:rPr>
          <w:rFonts w:cs="仿宋_GB2312" w:asciiTheme="minorEastAsia" w:hAnsiTheme="minorEastAsia" w:eastAsiaTheme="minorEastAsia"/>
          <w:b/>
          <w:kern w:val="0"/>
          <w:sz w:val="32"/>
          <w:szCs w:val="32"/>
        </w:rPr>
      </w:pPr>
    </w:p>
    <w:p w14:paraId="22478269">
      <w:pPr>
        <w:jc w:val="center"/>
        <w:rPr>
          <w:rFonts w:cs="仿宋_GB2312" w:asciiTheme="minorEastAsia" w:hAnsiTheme="minorEastAsia" w:eastAsiaTheme="minorEastAsia"/>
          <w:b/>
          <w:kern w:val="0"/>
          <w:sz w:val="32"/>
          <w:szCs w:val="32"/>
        </w:rPr>
      </w:pPr>
    </w:p>
    <w:p w14:paraId="16AA901B">
      <w:pPr>
        <w:jc w:val="center"/>
        <w:rPr>
          <w:rFonts w:cs="仿宋_GB2312" w:asciiTheme="minorEastAsia" w:hAnsiTheme="minorEastAsia" w:eastAsiaTheme="minorEastAsia"/>
          <w:b/>
          <w:kern w:val="0"/>
          <w:sz w:val="32"/>
          <w:szCs w:val="32"/>
        </w:rPr>
      </w:pPr>
    </w:p>
    <w:p w14:paraId="5B77FD62">
      <w:pPr>
        <w:jc w:val="center"/>
        <w:rPr>
          <w:rFonts w:cs="仿宋_GB2312" w:asciiTheme="minorEastAsia" w:hAnsiTheme="minorEastAsia" w:eastAsiaTheme="minorEastAsia"/>
          <w:b/>
          <w:kern w:val="0"/>
          <w:sz w:val="32"/>
          <w:szCs w:val="32"/>
        </w:rPr>
      </w:pPr>
    </w:p>
    <w:p w14:paraId="20CB9289">
      <w:pPr>
        <w:jc w:val="center"/>
        <w:rPr>
          <w:rFonts w:cs="仿宋_GB2312" w:asciiTheme="minorEastAsia" w:hAnsiTheme="minorEastAsia" w:eastAsiaTheme="minorEastAsia"/>
          <w:b/>
          <w:kern w:val="0"/>
          <w:sz w:val="32"/>
          <w:szCs w:val="32"/>
        </w:rPr>
      </w:pPr>
    </w:p>
    <w:p w14:paraId="2E5205C7">
      <w:pPr>
        <w:jc w:val="center"/>
        <w:rPr>
          <w:rFonts w:cs="仿宋_GB2312" w:asciiTheme="minorEastAsia" w:hAnsiTheme="minorEastAsia" w:eastAsiaTheme="minorEastAsia"/>
          <w:b/>
          <w:kern w:val="0"/>
          <w:sz w:val="32"/>
          <w:szCs w:val="32"/>
        </w:rPr>
      </w:pPr>
    </w:p>
    <w:p w14:paraId="05A942BA">
      <w:pPr>
        <w:jc w:val="center"/>
        <w:rPr>
          <w:rFonts w:cs="仿宋_GB2312" w:asciiTheme="minorEastAsia" w:hAnsiTheme="minorEastAsia" w:eastAsiaTheme="minorEastAsia"/>
          <w:b/>
          <w:kern w:val="0"/>
          <w:sz w:val="32"/>
          <w:szCs w:val="32"/>
        </w:rPr>
      </w:pPr>
    </w:p>
    <w:p w14:paraId="3E0CDC17">
      <w:pPr>
        <w:jc w:val="center"/>
        <w:rPr>
          <w:rFonts w:cs="仿宋_GB2312" w:asciiTheme="minorEastAsia" w:hAnsiTheme="minorEastAsia" w:eastAsiaTheme="minorEastAsia"/>
          <w:b/>
          <w:kern w:val="0"/>
          <w:sz w:val="32"/>
          <w:szCs w:val="32"/>
        </w:rPr>
      </w:pPr>
    </w:p>
    <w:p w14:paraId="47D3CF04">
      <w:pPr>
        <w:jc w:val="center"/>
        <w:rPr>
          <w:rFonts w:cs="仿宋_GB2312" w:asciiTheme="minorEastAsia" w:hAnsiTheme="minorEastAsia" w:eastAsiaTheme="minorEastAsia"/>
          <w:b/>
          <w:kern w:val="0"/>
          <w:sz w:val="32"/>
          <w:szCs w:val="32"/>
        </w:rPr>
      </w:pPr>
    </w:p>
    <w:p w14:paraId="0AF23794">
      <w:pPr>
        <w:jc w:val="center"/>
        <w:rPr>
          <w:rFonts w:cs="仿宋_GB2312" w:asciiTheme="minorEastAsia" w:hAnsiTheme="minorEastAsia" w:eastAsiaTheme="minorEastAsia"/>
          <w:b/>
          <w:kern w:val="0"/>
          <w:sz w:val="32"/>
          <w:szCs w:val="32"/>
        </w:rPr>
      </w:pPr>
    </w:p>
    <w:p w14:paraId="3236E44C">
      <w:pPr>
        <w:jc w:val="center"/>
        <w:rPr>
          <w:rFonts w:cs="仿宋_GB2312" w:asciiTheme="minorEastAsia" w:hAnsiTheme="minorEastAsia" w:eastAsiaTheme="minorEastAsia"/>
          <w:b/>
          <w:kern w:val="0"/>
          <w:sz w:val="32"/>
          <w:szCs w:val="32"/>
        </w:rPr>
      </w:pPr>
    </w:p>
    <w:p w14:paraId="11D4FEB1">
      <w:pPr>
        <w:ind w:firstLine="2891" w:firstLineChars="900"/>
        <w:rPr>
          <w:rFonts w:asciiTheme="minorEastAsia" w:hAnsiTheme="minorEastAsia" w:eastAsiaTheme="minorEastAsia"/>
          <w:b/>
          <w:bCs/>
          <w:sz w:val="32"/>
          <w:szCs w:val="32"/>
        </w:rPr>
      </w:pPr>
    </w:p>
    <w:p w14:paraId="18849324">
      <w:pPr>
        <w:ind w:firstLine="2891" w:firstLineChars="900"/>
        <w:rPr>
          <w:rFonts w:asciiTheme="minorEastAsia" w:hAnsiTheme="minorEastAsia" w:eastAsiaTheme="minorEastAsia"/>
          <w:b/>
          <w:bCs/>
          <w:sz w:val="32"/>
          <w:szCs w:val="32"/>
        </w:rPr>
      </w:pPr>
    </w:p>
    <w:p w14:paraId="0648D727">
      <w:pPr>
        <w:ind w:firstLine="2891" w:firstLineChars="900"/>
        <w:rPr>
          <w:rFonts w:asciiTheme="minorEastAsia" w:hAnsiTheme="minorEastAsia" w:eastAsiaTheme="minorEastAsia"/>
          <w:b/>
          <w:bCs/>
          <w:sz w:val="32"/>
          <w:szCs w:val="32"/>
        </w:rPr>
      </w:pPr>
    </w:p>
    <w:p w14:paraId="253EB18D">
      <w:pPr>
        <w:ind w:firstLine="2891" w:firstLineChars="900"/>
        <w:rPr>
          <w:rFonts w:asciiTheme="minorEastAsia" w:hAnsiTheme="minorEastAsia" w:eastAsiaTheme="minorEastAsia"/>
          <w:b/>
          <w:bCs/>
          <w:sz w:val="32"/>
          <w:szCs w:val="32"/>
        </w:rPr>
      </w:pPr>
    </w:p>
    <w:p w14:paraId="7EFC0848">
      <w:pPr>
        <w:ind w:firstLine="2891" w:firstLineChars="900"/>
        <w:rPr>
          <w:rFonts w:asciiTheme="minorEastAsia" w:hAnsiTheme="minorEastAsia" w:eastAsiaTheme="minorEastAsia"/>
          <w:b/>
          <w:bCs/>
          <w:sz w:val="32"/>
          <w:szCs w:val="32"/>
        </w:rPr>
      </w:pPr>
    </w:p>
    <w:p w14:paraId="623BE110">
      <w:pPr>
        <w:ind w:firstLine="2891" w:firstLineChars="900"/>
        <w:rPr>
          <w:rFonts w:asciiTheme="minorEastAsia" w:hAnsiTheme="minorEastAsia" w:eastAsiaTheme="minorEastAsia"/>
          <w:b/>
          <w:bCs/>
          <w:sz w:val="32"/>
          <w:szCs w:val="32"/>
        </w:rPr>
      </w:pPr>
    </w:p>
    <w:p w14:paraId="57805780">
      <w:pPr>
        <w:ind w:firstLine="2891" w:firstLineChars="900"/>
        <w:rPr>
          <w:rFonts w:cs="仿宋_GB2312" w:asciiTheme="minorEastAsia" w:hAnsiTheme="minorEastAsia" w:eastAsiaTheme="minorEastAsia"/>
          <w:b/>
          <w:kern w:val="0"/>
          <w:sz w:val="32"/>
          <w:szCs w:val="32"/>
        </w:rPr>
      </w:pPr>
    </w:p>
    <w:p w14:paraId="7648F4C4">
      <w:pPr>
        <w:ind w:firstLine="2891" w:firstLineChars="900"/>
        <w:rPr>
          <w:rFonts w:cs="仿宋_GB2312" w:asciiTheme="minorEastAsia" w:hAnsiTheme="minorEastAsia" w:eastAsiaTheme="minorEastAsia"/>
          <w:b/>
          <w:kern w:val="0"/>
          <w:sz w:val="32"/>
          <w:szCs w:val="32"/>
        </w:rPr>
      </w:pPr>
    </w:p>
    <w:p w14:paraId="79295711">
      <w:pPr>
        <w:ind w:firstLine="2891" w:firstLineChars="900"/>
        <w:rPr>
          <w:rFonts w:cs="仿宋_GB2312" w:asciiTheme="minorEastAsia" w:hAnsiTheme="minorEastAsia" w:eastAsiaTheme="minorEastAsia"/>
          <w:b/>
          <w:kern w:val="0"/>
          <w:sz w:val="32"/>
          <w:szCs w:val="32"/>
        </w:rPr>
      </w:pPr>
    </w:p>
    <w:p w14:paraId="60CCDBCD">
      <w:pPr>
        <w:ind w:firstLine="2891" w:firstLineChars="900"/>
        <w:rPr>
          <w:rFonts w:cs="仿宋_GB2312" w:asciiTheme="minorEastAsia" w:hAnsiTheme="minorEastAsia" w:eastAsiaTheme="minorEastAsia"/>
          <w:b/>
          <w:kern w:val="0"/>
          <w:sz w:val="32"/>
          <w:szCs w:val="32"/>
        </w:rPr>
      </w:pPr>
    </w:p>
    <w:p w14:paraId="52EA4D81">
      <w:pPr>
        <w:ind w:firstLine="2891" w:firstLineChars="900"/>
        <w:rPr>
          <w:rFonts w:cs="仿宋_GB2312" w:asciiTheme="minorEastAsia" w:hAnsiTheme="minorEastAsia" w:eastAsiaTheme="minorEastAsia"/>
          <w:b/>
          <w:kern w:val="0"/>
          <w:sz w:val="32"/>
          <w:szCs w:val="32"/>
        </w:rPr>
      </w:pPr>
    </w:p>
    <w:p w14:paraId="6F7617F2">
      <w:pPr>
        <w:ind w:firstLine="2891" w:firstLineChars="900"/>
        <w:rPr>
          <w:rFonts w:cs="仿宋_GB2312" w:asciiTheme="minorEastAsia" w:hAnsiTheme="minorEastAsia" w:eastAsiaTheme="minorEastAsia"/>
          <w:b/>
          <w:kern w:val="0"/>
          <w:sz w:val="32"/>
          <w:szCs w:val="32"/>
        </w:rPr>
      </w:pPr>
    </w:p>
    <w:p w14:paraId="44AE1ABE">
      <w:pPr>
        <w:ind w:firstLine="2891" w:firstLineChars="900"/>
        <w:rPr>
          <w:rFonts w:cs="仿宋_GB2312" w:asciiTheme="minorEastAsia" w:hAnsiTheme="minorEastAsia" w:eastAsiaTheme="minorEastAsia"/>
          <w:b/>
          <w:kern w:val="0"/>
          <w:sz w:val="32"/>
          <w:szCs w:val="32"/>
        </w:rPr>
      </w:pPr>
    </w:p>
    <w:p w14:paraId="180B19DF">
      <w:pPr>
        <w:ind w:firstLine="2891" w:firstLineChars="900"/>
        <w:rPr>
          <w:rFonts w:cs="仿宋_GB2312" w:asciiTheme="minorEastAsia" w:hAnsiTheme="minorEastAsia" w:eastAsiaTheme="minorEastAsia"/>
          <w:b/>
          <w:kern w:val="0"/>
          <w:sz w:val="32"/>
          <w:szCs w:val="32"/>
        </w:rPr>
      </w:pPr>
    </w:p>
    <w:p w14:paraId="718D9090">
      <w:pPr>
        <w:ind w:firstLine="2891" w:firstLineChars="900"/>
        <w:rPr>
          <w:rFonts w:cs="仿宋_GB2312" w:asciiTheme="minorEastAsia" w:hAnsiTheme="minorEastAsia" w:eastAsiaTheme="minorEastAsia"/>
          <w:b/>
          <w:kern w:val="0"/>
          <w:sz w:val="32"/>
          <w:szCs w:val="32"/>
        </w:rPr>
      </w:pPr>
    </w:p>
    <w:p w14:paraId="61ADA617">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七、</w:t>
      </w:r>
      <w:r>
        <w:rPr>
          <w:rFonts w:hint="eastAsia" w:cs="仿宋_GB2312" w:asciiTheme="minorEastAsia" w:hAnsiTheme="minorEastAsia" w:eastAsiaTheme="minorEastAsia"/>
          <w:b/>
          <w:kern w:val="0"/>
          <w:sz w:val="32"/>
          <w:szCs w:val="32"/>
          <w:lang w:val="zh-CN"/>
        </w:rPr>
        <w:t>政府采购供应商廉洁自律承诺书</w:t>
      </w:r>
    </w:p>
    <w:p w14:paraId="6B71BB49">
      <w:pPr>
        <w:snapToGrid w:val="0"/>
        <w:spacing w:line="360" w:lineRule="auto"/>
        <w:rPr>
          <w:rFonts w:cs="仿宋_GB2312" w:asciiTheme="minorEastAsia" w:hAnsiTheme="minorEastAsia" w:eastAsiaTheme="minorEastAsia"/>
          <w:sz w:val="24"/>
        </w:rPr>
      </w:pPr>
    </w:p>
    <w:p w14:paraId="7128B85C">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5E1E00C6">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项目招标要求参加投标。在这次投标过程中和中标后，我们将严格遵守国家法律法规要求，并郑重承诺：</w:t>
      </w:r>
    </w:p>
    <w:p w14:paraId="1CA1D769">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一、不向项目有关人员及部门赠送礼金礼物、有价证券、回扣以及中介费、介绍费、咨询费等好处费；</w:t>
      </w:r>
    </w:p>
    <w:p w14:paraId="4574AA22">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二、不为项目有关人员及部门报销应由你方单位或个人支付的费用；</w:t>
      </w:r>
    </w:p>
    <w:p w14:paraId="2CD240F8">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三、不向项目有关人员及部门提供有可能影响公正的宴请和健身娱乐等活动；</w:t>
      </w:r>
    </w:p>
    <w:p w14:paraId="4CA8AEF1">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304953E5">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5CFFD3C5">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5A871DFE">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六、严格遵守《</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政府采购法》《</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招标投标</w:t>
      </w:r>
    </w:p>
    <w:p w14:paraId="0C480B30">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法》</w:t>
      </w:r>
      <w:r>
        <w:rPr>
          <w:rFonts w:hint="eastAsia" w:asciiTheme="minorEastAsia" w:hAnsiTheme="minorEastAsia" w:eastAsiaTheme="minorEastAsia"/>
          <w:sz w:val="24"/>
          <w:lang w:val="zh-CN"/>
        </w:rPr>
        <w:t>《中华人民共和国民法典》</w:t>
      </w:r>
      <w:r>
        <w:rPr>
          <w:rFonts w:hint="eastAsia" w:cs="仿宋_GB2312" w:asciiTheme="minorEastAsia" w:hAnsiTheme="minorEastAsia" w:eastAsiaTheme="minorEastAsia"/>
          <w:kern w:val="0"/>
          <w:sz w:val="24"/>
          <w:lang w:val="zh-CN"/>
        </w:rPr>
        <w:t>等法律法规，诚实守信，合法经营，坚决抵制各种违法违纪行为。</w:t>
      </w:r>
    </w:p>
    <w:p w14:paraId="1AED1C28">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66910F89">
      <w:pPr>
        <w:autoSpaceDE w:val="0"/>
        <w:autoSpaceDN w:val="0"/>
        <w:spacing w:line="360" w:lineRule="auto"/>
        <w:ind w:left="2"/>
        <w:jc w:val="left"/>
        <w:rPr>
          <w:rFonts w:cs="仿宋_GB2312" w:asciiTheme="minorEastAsia" w:hAnsiTheme="minorEastAsia" w:eastAsiaTheme="minorEastAsia"/>
          <w:kern w:val="0"/>
          <w:sz w:val="24"/>
          <w:lang w:val="zh-CN"/>
        </w:rPr>
      </w:pPr>
    </w:p>
    <w:p w14:paraId="5C8CAD9F">
      <w:pPr>
        <w:autoSpaceDE w:val="0"/>
        <w:autoSpaceDN w:val="0"/>
        <w:spacing w:line="360" w:lineRule="auto"/>
        <w:ind w:left="2"/>
        <w:jc w:val="left"/>
        <w:rPr>
          <w:rFonts w:cs="仿宋_GB2312" w:asciiTheme="minorEastAsia" w:hAnsiTheme="minorEastAsia" w:eastAsiaTheme="minorEastAsia"/>
          <w:kern w:val="0"/>
          <w:sz w:val="24"/>
          <w:lang w:val="zh-CN"/>
        </w:rPr>
      </w:pPr>
    </w:p>
    <w:p w14:paraId="68C7663B">
      <w:pPr>
        <w:autoSpaceDE w:val="0"/>
        <w:autoSpaceDN w:val="0"/>
        <w:spacing w:line="360" w:lineRule="auto"/>
        <w:ind w:left="2"/>
        <w:jc w:val="left"/>
        <w:rPr>
          <w:rFonts w:cs="仿宋_GB2312" w:asciiTheme="minorEastAsia" w:hAnsiTheme="minorEastAsia" w:eastAsiaTheme="minorEastAsia"/>
          <w:kern w:val="0"/>
          <w:sz w:val="24"/>
          <w:lang w:val="zh-CN"/>
        </w:rPr>
      </w:pPr>
    </w:p>
    <w:p w14:paraId="7926F33B">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w:t>
      </w:r>
    </w:p>
    <w:p w14:paraId="1B4F8D8F">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lang w:val="zh-CN"/>
        </w:rPr>
        <w:t xml:space="preserve">   年   月   日</w:t>
      </w:r>
    </w:p>
    <w:p w14:paraId="32CC2B52">
      <w:pPr>
        <w:spacing w:line="360" w:lineRule="auto"/>
        <w:jc w:val="center"/>
        <w:rPr>
          <w:rFonts w:cs="仿宋_GB2312" w:asciiTheme="minorEastAsia" w:hAnsiTheme="minorEastAsia" w:eastAsiaTheme="minorEastAsia"/>
          <w:b/>
          <w:bCs/>
          <w:sz w:val="24"/>
        </w:rPr>
      </w:pPr>
    </w:p>
    <w:p w14:paraId="523BC866">
      <w:pPr>
        <w:spacing w:line="360" w:lineRule="auto"/>
        <w:jc w:val="center"/>
        <w:rPr>
          <w:rFonts w:cs="仿宋_GB2312" w:asciiTheme="minorEastAsia" w:hAnsiTheme="minorEastAsia" w:eastAsiaTheme="minorEastAsia"/>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7AC8743">
      <w:pPr>
        <w:spacing w:line="360" w:lineRule="auto"/>
        <w:jc w:val="center"/>
        <w:outlineLvl w:val="0"/>
        <w:rPr>
          <w:rFonts w:cs="仿宋_GB2312" w:asciiTheme="minorEastAsia" w:hAnsiTheme="minorEastAsia" w:eastAsiaTheme="minorEastAsia"/>
          <w:b/>
          <w:kern w:val="0"/>
          <w:sz w:val="36"/>
          <w:szCs w:val="36"/>
        </w:rPr>
      </w:pPr>
      <w:bookmarkStart w:id="563" w:name="_Toc92901665"/>
      <w:bookmarkStart w:id="564" w:name="_Toc11955"/>
      <w:r>
        <w:rPr>
          <w:rFonts w:hint="eastAsia" w:cs="仿宋_GB2312" w:asciiTheme="minorEastAsia" w:hAnsiTheme="minorEastAsia" w:eastAsiaTheme="minorEastAsia"/>
          <w:b/>
          <w:kern w:val="0"/>
          <w:sz w:val="36"/>
          <w:szCs w:val="36"/>
        </w:rPr>
        <w:t>报价文件部分</w:t>
      </w:r>
      <w:bookmarkEnd w:id="563"/>
      <w:bookmarkEnd w:id="564"/>
    </w:p>
    <w:p w14:paraId="6BD79076">
      <w:pPr>
        <w:spacing w:line="360" w:lineRule="auto"/>
        <w:jc w:val="center"/>
        <w:outlineLvl w:val="0"/>
        <w:rPr>
          <w:rFonts w:cs="仿宋_GB2312" w:asciiTheme="minorEastAsia" w:hAnsiTheme="minorEastAsia" w:eastAsiaTheme="minorEastAsia"/>
          <w:b/>
          <w:kern w:val="0"/>
          <w:sz w:val="36"/>
          <w:szCs w:val="36"/>
        </w:rPr>
      </w:pPr>
      <w:bookmarkStart w:id="565" w:name="_Toc23139"/>
      <w:bookmarkStart w:id="566" w:name="_Toc92901666"/>
      <w:r>
        <w:rPr>
          <w:rFonts w:hint="eastAsia" w:cs="仿宋_GB2312" w:asciiTheme="minorEastAsia" w:hAnsiTheme="minorEastAsia" w:eastAsiaTheme="minorEastAsia"/>
          <w:b/>
          <w:kern w:val="0"/>
          <w:sz w:val="36"/>
          <w:szCs w:val="36"/>
        </w:rPr>
        <w:t>目录</w:t>
      </w:r>
      <w:bookmarkEnd w:id="565"/>
      <w:bookmarkEnd w:id="566"/>
    </w:p>
    <w:p w14:paraId="7EF6FB4B">
      <w:pPr>
        <w:spacing w:line="360" w:lineRule="auto"/>
        <w:jc w:val="center"/>
        <w:outlineLvl w:val="0"/>
        <w:rPr>
          <w:rFonts w:cs="仿宋_GB2312" w:asciiTheme="minorEastAsia" w:hAnsiTheme="minorEastAsia" w:eastAsiaTheme="minorEastAsia"/>
          <w:b/>
          <w:kern w:val="0"/>
          <w:sz w:val="36"/>
          <w:szCs w:val="36"/>
        </w:rPr>
      </w:pPr>
    </w:p>
    <w:p w14:paraId="7CB4E382">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1）开标一览表（报价表）……</w:t>
      </w:r>
      <w:r>
        <w:rPr>
          <w:rFonts w:hint="eastAsia" w:cs="仿宋_GB2312" w:asciiTheme="minorEastAsia" w:hAnsiTheme="minorEastAsia" w:eastAsiaTheme="minorEastAsia"/>
          <w:sz w:val="24"/>
        </w:rPr>
        <w:t>…………………………………………………（页码）</w:t>
      </w:r>
    </w:p>
    <w:p w14:paraId="230E8E87">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2）中小企业声明函</w:t>
      </w:r>
      <w:r>
        <w:rPr>
          <w:rFonts w:hint="eastAsia" w:cs="仿宋_GB2312" w:asciiTheme="minorEastAsia" w:hAnsiTheme="minorEastAsia" w:eastAsiaTheme="minorEastAsia"/>
          <w:sz w:val="24"/>
        </w:rPr>
        <w:t>（如果有）</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……………………………………………（页码）</w:t>
      </w:r>
    </w:p>
    <w:p w14:paraId="4EFA4CD0">
      <w:pPr>
        <w:snapToGrid w:val="0"/>
        <w:spacing w:line="360" w:lineRule="auto"/>
        <w:ind w:right="480"/>
        <w:jc w:val="center"/>
        <w:rPr>
          <w:rFonts w:cs="仿宋_GB2312" w:asciiTheme="minorEastAsia" w:hAnsiTheme="minorEastAsia" w:eastAsiaTheme="minorEastAsia"/>
          <w:b/>
          <w:kern w:val="0"/>
          <w:sz w:val="32"/>
          <w:szCs w:val="32"/>
        </w:rPr>
      </w:pPr>
    </w:p>
    <w:p w14:paraId="26D80034">
      <w:pPr>
        <w:snapToGrid w:val="0"/>
        <w:spacing w:line="360" w:lineRule="auto"/>
        <w:ind w:right="480"/>
        <w:jc w:val="center"/>
        <w:rPr>
          <w:rFonts w:cs="仿宋_GB2312" w:asciiTheme="minorEastAsia" w:hAnsiTheme="minorEastAsia" w:eastAsiaTheme="minorEastAsia"/>
          <w:b/>
          <w:kern w:val="0"/>
          <w:sz w:val="32"/>
          <w:szCs w:val="32"/>
        </w:rPr>
      </w:pPr>
    </w:p>
    <w:p w14:paraId="4531C070">
      <w:pPr>
        <w:snapToGrid w:val="0"/>
        <w:spacing w:line="360" w:lineRule="auto"/>
        <w:ind w:right="480"/>
        <w:jc w:val="center"/>
        <w:rPr>
          <w:rFonts w:cs="仿宋_GB2312" w:asciiTheme="minorEastAsia" w:hAnsiTheme="minorEastAsia" w:eastAsiaTheme="minorEastAsia"/>
          <w:b/>
          <w:kern w:val="0"/>
          <w:sz w:val="32"/>
          <w:szCs w:val="32"/>
        </w:rPr>
      </w:pPr>
    </w:p>
    <w:p w14:paraId="63A1C621">
      <w:pPr>
        <w:snapToGrid w:val="0"/>
        <w:spacing w:line="360" w:lineRule="auto"/>
        <w:ind w:right="480"/>
        <w:jc w:val="center"/>
        <w:rPr>
          <w:rFonts w:cs="仿宋_GB2312" w:asciiTheme="minorEastAsia" w:hAnsiTheme="minorEastAsia" w:eastAsiaTheme="minorEastAsia"/>
          <w:b/>
          <w:kern w:val="0"/>
          <w:sz w:val="32"/>
          <w:szCs w:val="32"/>
        </w:rPr>
      </w:pPr>
    </w:p>
    <w:p w14:paraId="123C5C5E">
      <w:pPr>
        <w:snapToGrid w:val="0"/>
        <w:spacing w:line="360" w:lineRule="auto"/>
        <w:ind w:right="480"/>
        <w:jc w:val="center"/>
        <w:rPr>
          <w:rFonts w:cs="仿宋_GB2312" w:asciiTheme="minorEastAsia" w:hAnsiTheme="minorEastAsia" w:eastAsiaTheme="minorEastAsia"/>
          <w:b/>
          <w:kern w:val="0"/>
          <w:sz w:val="32"/>
          <w:szCs w:val="32"/>
        </w:rPr>
      </w:pPr>
    </w:p>
    <w:p w14:paraId="339AE339">
      <w:pPr>
        <w:snapToGrid w:val="0"/>
        <w:spacing w:line="360" w:lineRule="auto"/>
        <w:ind w:right="480"/>
        <w:jc w:val="center"/>
        <w:rPr>
          <w:rFonts w:cs="仿宋_GB2312" w:asciiTheme="minorEastAsia" w:hAnsiTheme="minorEastAsia" w:eastAsiaTheme="minorEastAsia"/>
          <w:b/>
          <w:kern w:val="0"/>
          <w:sz w:val="32"/>
          <w:szCs w:val="32"/>
        </w:rPr>
      </w:pPr>
    </w:p>
    <w:p w14:paraId="21CC410A">
      <w:pPr>
        <w:snapToGrid w:val="0"/>
        <w:spacing w:line="360" w:lineRule="auto"/>
        <w:ind w:right="480"/>
        <w:jc w:val="center"/>
        <w:rPr>
          <w:rFonts w:cs="仿宋_GB2312" w:asciiTheme="minorEastAsia" w:hAnsiTheme="minorEastAsia" w:eastAsiaTheme="minorEastAsia"/>
          <w:b/>
          <w:kern w:val="0"/>
          <w:sz w:val="32"/>
          <w:szCs w:val="32"/>
        </w:rPr>
      </w:pPr>
    </w:p>
    <w:p w14:paraId="531176F8">
      <w:pPr>
        <w:snapToGrid w:val="0"/>
        <w:spacing w:line="360" w:lineRule="auto"/>
        <w:ind w:right="480"/>
        <w:jc w:val="center"/>
        <w:rPr>
          <w:rFonts w:cs="仿宋_GB2312" w:asciiTheme="minorEastAsia" w:hAnsiTheme="minorEastAsia" w:eastAsiaTheme="minorEastAsia"/>
          <w:b/>
          <w:kern w:val="0"/>
          <w:sz w:val="32"/>
          <w:szCs w:val="32"/>
        </w:rPr>
      </w:pPr>
    </w:p>
    <w:p w14:paraId="087A32AD">
      <w:pPr>
        <w:snapToGrid w:val="0"/>
        <w:spacing w:line="360" w:lineRule="auto"/>
        <w:ind w:right="480"/>
        <w:jc w:val="center"/>
        <w:rPr>
          <w:rFonts w:cs="仿宋_GB2312" w:asciiTheme="minorEastAsia" w:hAnsiTheme="minorEastAsia" w:eastAsiaTheme="minorEastAsia"/>
          <w:b/>
          <w:kern w:val="0"/>
          <w:sz w:val="32"/>
          <w:szCs w:val="32"/>
        </w:rPr>
      </w:pPr>
    </w:p>
    <w:p w14:paraId="05ED66A2">
      <w:pPr>
        <w:snapToGrid w:val="0"/>
        <w:spacing w:line="360" w:lineRule="auto"/>
        <w:ind w:right="480"/>
        <w:jc w:val="center"/>
        <w:rPr>
          <w:rFonts w:cs="仿宋_GB2312" w:asciiTheme="minorEastAsia" w:hAnsiTheme="minorEastAsia" w:eastAsiaTheme="minorEastAsia"/>
          <w:b/>
          <w:kern w:val="0"/>
          <w:sz w:val="32"/>
          <w:szCs w:val="32"/>
        </w:rPr>
      </w:pPr>
    </w:p>
    <w:p w14:paraId="5CE3333A">
      <w:pPr>
        <w:snapToGrid w:val="0"/>
        <w:spacing w:line="360" w:lineRule="auto"/>
        <w:ind w:right="480"/>
        <w:jc w:val="center"/>
        <w:rPr>
          <w:rFonts w:cs="仿宋_GB2312" w:asciiTheme="minorEastAsia" w:hAnsiTheme="minorEastAsia" w:eastAsiaTheme="minorEastAsia"/>
          <w:b/>
          <w:kern w:val="0"/>
          <w:sz w:val="32"/>
          <w:szCs w:val="32"/>
        </w:rPr>
      </w:pPr>
    </w:p>
    <w:p w14:paraId="5114F872">
      <w:pPr>
        <w:snapToGrid w:val="0"/>
        <w:spacing w:line="360" w:lineRule="auto"/>
        <w:ind w:right="480"/>
        <w:jc w:val="center"/>
        <w:rPr>
          <w:rFonts w:cs="仿宋_GB2312" w:asciiTheme="minorEastAsia" w:hAnsiTheme="minorEastAsia" w:eastAsiaTheme="minorEastAsia"/>
          <w:b/>
          <w:kern w:val="0"/>
          <w:sz w:val="32"/>
          <w:szCs w:val="32"/>
        </w:rPr>
      </w:pPr>
    </w:p>
    <w:p w14:paraId="50ABD891">
      <w:pPr>
        <w:snapToGrid w:val="0"/>
        <w:spacing w:line="360" w:lineRule="auto"/>
        <w:ind w:right="480"/>
        <w:jc w:val="center"/>
        <w:rPr>
          <w:rFonts w:cs="仿宋_GB2312" w:asciiTheme="minorEastAsia" w:hAnsiTheme="minorEastAsia" w:eastAsiaTheme="minorEastAsia"/>
          <w:b/>
          <w:kern w:val="0"/>
          <w:sz w:val="32"/>
          <w:szCs w:val="32"/>
        </w:rPr>
      </w:pPr>
    </w:p>
    <w:p w14:paraId="0EBDBEDB">
      <w:pPr>
        <w:snapToGrid w:val="0"/>
        <w:spacing w:line="360" w:lineRule="auto"/>
        <w:ind w:right="480"/>
        <w:jc w:val="center"/>
        <w:rPr>
          <w:rFonts w:cs="仿宋_GB2312" w:asciiTheme="minorEastAsia" w:hAnsiTheme="minorEastAsia" w:eastAsiaTheme="minorEastAsia"/>
          <w:b/>
          <w:kern w:val="0"/>
          <w:sz w:val="32"/>
          <w:szCs w:val="32"/>
        </w:rPr>
      </w:pPr>
    </w:p>
    <w:p w14:paraId="2A8E32BD">
      <w:pPr>
        <w:snapToGrid w:val="0"/>
        <w:spacing w:line="360" w:lineRule="auto"/>
        <w:ind w:right="480"/>
        <w:jc w:val="center"/>
        <w:rPr>
          <w:rFonts w:cs="仿宋_GB2312" w:asciiTheme="minorEastAsia" w:hAnsiTheme="minorEastAsia" w:eastAsiaTheme="minorEastAsia"/>
          <w:b/>
          <w:kern w:val="0"/>
          <w:sz w:val="32"/>
          <w:szCs w:val="32"/>
        </w:rPr>
      </w:pPr>
    </w:p>
    <w:p w14:paraId="7A666476">
      <w:pPr>
        <w:pStyle w:val="692"/>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F75672C">
      <w:pPr>
        <w:pStyle w:val="692"/>
        <w:keepNext w:val="0"/>
        <w:pageBreakBefore w:val="0"/>
        <w:tabs>
          <w:tab w:val="clear" w:pos="720"/>
        </w:tabs>
        <w:snapToGrid w:val="0"/>
        <w:ind w:firstLine="643"/>
        <w:outlineLvl w:val="9"/>
        <w:rPr>
          <w:rFonts w:cs="仿宋_GB2312" w:asciiTheme="minorEastAsia" w:hAnsiTheme="minorEastAsia" w:eastAsiaTheme="minorEastAsia"/>
          <w:kern w:val="2"/>
          <w:sz w:val="32"/>
          <w:szCs w:val="32"/>
        </w:rPr>
      </w:pPr>
      <w:bookmarkStart w:id="567" w:name="_Toc92901667"/>
      <w:bookmarkStart w:id="568" w:name="_Toc16795"/>
      <w:r>
        <w:rPr>
          <w:rFonts w:hint="eastAsia" w:cs="仿宋_GB2312" w:asciiTheme="minorEastAsia" w:hAnsiTheme="minorEastAsia" w:eastAsiaTheme="minorEastAsia"/>
          <w:kern w:val="2"/>
          <w:sz w:val="32"/>
          <w:szCs w:val="32"/>
        </w:rPr>
        <w:t>一、开标一览表（报价表）</w:t>
      </w:r>
      <w:bookmarkEnd w:id="567"/>
      <w:bookmarkEnd w:id="568"/>
    </w:p>
    <w:p w14:paraId="5289805E">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37D457E6">
      <w:pPr>
        <w:snapToGrid w:val="0"/>
        <w:spacing w:line="360" w:lineRule="auto"/>
        <w:ind w:firstLine="482"/>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【招标编号：</w:t>
      </w:r>
      <w:r>
        <w:rPr>
          <w:rFonts w:hint="eastAsia" w:asciiTheme="minorEastAsia" w:hAnsiTheme="minorEastAsia" w:eastAsiaTheme="minorEastAsia"/>
          <w:sz w:val="24"/>
        </w:rPr>
        <w:t>（）</w:t>
      </w:r>
      <w:r>
        <w:rPr>
          <w:rFonts w:hint="eastAsia" w:cs="仿宋_GB2312" w:asciiTheme="minorEastAsia" w:hAnsiTheme="minorEastAsia" w:eastAsiaTheme="minorEastAsia"/>
          <w:sz w:val="24"/>
        </w:rPr>
        <w:t>】的实施</w:t>
      </w:r>
      <w:r>
        <w:rPr>
          <w:rFonts w:hint="eastAsia" w:cs="仿宋_GB2312" w:asciiTheme="minorEastAsia" w:hAnsiTheme="minorEastAsia" w:eastAsiaTheme="minorEastAsia"/>
          <w:kern w:val="0"/>
          <w:sz w:val="24"/>
          <w:lang w:val="zh-CN"/>
        </w:rPr>
        <w:t>。</w:t>
      </w:r>
    </w:p>
    <w:p w14:paraId="1AE596BA">
      <w:pPr>
        <w:spacing w:line="360" w:lineRule="auto"/>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标项一开标一览表（报价表）</w:t>
      </w:r>
      <w:r>
        <w:rPr>
          <w:rFonts w:cs="仿宋_GB2312" w:asciiTheme="minorEastAsia" w:hAnsiTheme="minorEastAsia" w:eastAsiaTheme="minorEastAsia"/>
          <w:b/>
          <w:kern w:val="0"/>
          <w:sz w:val="24"/>
          <w:lang w:val="zh-CN"/>
        </w:rPr>
        <w:t>(单位均为人民币元)</w:t>
      </w:r>
    </w:p>
    <w:tbl>
      <w:tblPr>
        <w:tblStyle w:val="62"/>
        <w:tblW w:w="9443"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129"/>
        <w:gridCol w:w="3945"/>
        <w:gridCol w:w="1605"/>
      </w:tblGrid>
      <w:tr w14:paraId="2C7D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64" w:type="dxa"/>
            <w:noWrap w:val="0"/>
            <w:vAlign w:val="center"/>
          </w:tcPr>
          <w:p w14:paraId="6B8A511C">
            <w:pPr>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3129" w:type="dxa"/>
            <w:noWrap w:val="0"/>
            <w:vAlign w:val="center"/>
          </w:tcPr>
          <w:p w14:paraId="40DED640">
            <w:pPr>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标项名称</w:t>
            </w:r>
          </w:p>
        </w:tc>
        <w:tc>
          <w:tcPr>
            <w:tcW w:w="3945" w:type="dxa"/>
            <w:noWrap w:val="0"/>
            <w:vAlign w:val="center"/>
          </w:tcPr>
          <w:p w14:paraId="375F8C54">
            <w:pPr>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投标报价（元/吨）</w:t>
            </w:r>
          </w:p>
        </w:tc>
        <w:tc>
          <w:tcPr>
            <w:tcW w:w="1605" w:type="dxa"/>
            <w:noWrap w:val="0"/>
            <w:vAlign w:val="center"/>
          </w:tcPr>
          <w:p w14:paraId="0AB652EB">
            <w:pPr>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r>
      <w:tr w14:paraId="49D6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64" w:type="dxa"/>
            <w:noWrap w:val="0"/>
            <w:vAlign w:val="center"/>
          </w:tcPr>
          <w:p w14:paraId="03F0F93F">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129" w:type="dxa"/>
            <w:noWrap w:val="0"/>
            <w:vAlign w:val="center"/>
          </w:tcPr>
          <w:p w14:paraId="3C524B5F">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2024年富春江镇易腐垃圾清运处置采购项目</w:t>
            </w:r>
          </w:p>
        </w:tc>
        <w:tc>
          <w:tcPr>
            <w:tcW w:w="3945" w:type="dxa"/>
            <w:noWrap w:val="0"/>
            <w:vAlign w:val="center"/>
          </w:tcPr>
          <w:p w14:paraId="03B34795">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小写：￥</w:t>
            </w:r>
          </w:p>
          <w:p w14:paraId="32D5BBA1">
            <w:pPr>
              <w:snapToGrid w:val="0"/>
              <w:rPr>
                <w:rFonts w:hint="eastAsia" w:ascii="宋体" w:hAnsi="宋体" w:eastAsia="宋体" w:cs="宋体"/>
                <w:sz w:val="24"/>
                <w:szCs w:val="24"/>
                <w:highlight w:val="none"/>
              </w:rPr>
            </w:pPr>
          </w:p>
          <w:p w14:paraId="5CF520AB">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大写： </w:t>
            </w:r>
          </w:p>
        </w:tc>
        <w:tc>
          <w:tcPr>
            <w:tcW w:w="1605" w:type="dxa"/>
            <w:noWrap w:val="0"/>
            <w:vAlign w:val="center"/>
          </w:tcPr>
          <w:p w14:paraId="176B591D">
            <w:pPr>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最高限价：580元/吨</w:t>
            </w:r>
          </w:p>
        </w:tc>
      </w:tr>
    </w:tbl>
    <w:p w14:paraId="49C6E7D8">
      <w:pPr>
        <w:snapToGrid w:val="0"/>
        <w:spacing w:line="360" w:lineRule="auto"/>
        <w:rPr>
          <w:rFonts w:ascii="宋体" w:hAnsi="宋体" w:cs="宋体"/>
          <w:b/>
          <w:kern w:val="0"/>
          <w:sz w:val="24"/>
          <w:lang w:val="zh-CN"/>
        </w:rPr>
      </w:pPr>
      <w:r>
        <w:rPr>
          <w:rFonts w:hint="eastAsia" w:ascii="宋体" w:hAnsi="宋体" w:cs="宋体"/>
          <w:b/>
          <w:kern w:val="0"/>
          <w:sz w:val="24"/>
          <w:lang w:val="zh-CN"/>
        </w:rPr>
        <w:t>注：</w:t>
      </w:r>
    </w:p>
    <w:p w14:paraId="62F0809D">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color w:val="FF0000"/>
          <w:kern w:val="0"/>
          <w:sz w:val="24"/>
          <w:lang w:val="zh-CN"/>
        </w:rPr>
        <w:t>，</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w:t>
      </w:r>
      <w:r>
        <w:rPr>
          <w:rFonts w:hint="eastAsia" w:ascii="宋体" w:hAnsi="宋体" w:cs="宋体"/>
          <w:kern w:val="0"/>
          <w:sz w:val="24"/>
          <w:lang w:val="zh-CN"/>
        </w:rPr>
        <w:t>。</w:t>
      </w:r>
    </w:p>
    <w:p w14:paraId="280FC44A">
      <w:pPr>
        <w:spacing w:line="360" w:lineRule="auto"/>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color w:val="FF0000"/>
          <w:kern w:val="0"/>
          <w:sz w:val="24"/>
          <w:lang w:val="zh-CN"/>
        </w:rPr>
        <w:t>采购人将以合同形式有偿取得货物或服务，不接受投标人给予的赠品、回扣或者与采购无关的其他商品、服务</w:t>
      </w:r>
      <w:r>
        <w:rPr>
          <w:rFonts w:hint="eastAsia" w:ascii="宋体" w:hAnsi="宋体" w:cs="宋体"/>
          <w:color w:val="FF0000"/>
          <w:kern w:val="0"/>
          <w:sz w:val="24"/>
          <w:lang w:val="zh-CN"/>
        </w:rPr>
        <w:t>，</w:t>
      </w:r>
      <w:r>
        <w:rPr>
          <w:rFonts w:hint="eastAsia" w:ascii="宋体" w:hAnsi="宋体" w:cs="宋体"/>
          <w:b/>
          <w:color w:val="FF0000"/>
          <w:kern w:val="0"/>
          <w:sz w:val="24"/>
          <w:lang w:val="zh-CN"/>
        </w:rPr>
        <w:t>不得出现“0元”“免费赠送”等形式的无偿报价，</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；采购内容未包含在《开标一览表（报价表）》名称栏中，投标人不能作出合理解释的，</w:t>
      </w:r>
      <w:r>
        <w:rPr>
          <w:rFonts w:hint="eastAsia" w:ascii="宋体" w:hAnsi="宋体" w:cs="宋体"/>
          <w:b/>
          <w:color w:val="FF0000"/>
          <w:kern w:val="0"/>
          <w:sz w:val="24"/>
        </w:rPr>
        <w:t>视为</w:t>
      </w:r>
      <w:r>
        <w:rPr>
          <w:rFonts w:hint="eastAsia" w:ascii="宋体" w:hAnsi="宋体" w:cs="宋体"/>
          <w:b/>
          <w:color w:val="FF0000"/>
          <w:sz w:val="24"/>
        </w:rPr>
        <w:t>投标文件含有采购人不能接受的附加条件的，投标无效。</w:t>
      </w:r>
    </w:p>
    <w:p w14:paraId="69F59DE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w:t>
      </w:r>
      <w:r>
        <w:rPr>
          <w:rFonts w:hint="eastAsia" w:ascii="宋体" w:hAnsi="宋体" w:cs="宋体"/>
          <w:kern w:val="0"/>
          <w:sz w:val="24"/>
          <w:highlight w:val="yellow"/>
          <w:lang w:val="zh-CN"/>
        </w:rPr>
        <w:t>名称、服务范围、服务要求、服务时间、服务标准</w:t>
      </w:r>
      <w:r>
        <w:rPr>
          <w:rFonts w:hint="eastAsia" w:ascii="宋体" w:hAnsi="宋体" w:cs="宋体"/>
          <w:kern w:val="0"/>
          <w:sz w:val="24"/>
          <w:lang w:val="zh-CN"/>
        </w:rPr>
        <w:t>等予以公示。</w:t>
      </w:r>
    </w:p>
    <w:p w14:paraId="557A96EE">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299CA86">
      <w:pPr>
        <w:rPr>
          <w:rFonts w:cs="仿宋_GB2312" w:asciiTheme="minorEastAsia" w:hAnsiTheme="minorEastAsia" w:eastAsiaTheme="minorEastAsia"/>
          <w:sz w:val="32"/>
          <w:szCs w:val="32"/>
        </w:rPr>
        <w:sectPr>
          <w:pgSz w:w="11906" w:h="16838"/>
          <w:pgMar w:top="1247" w:right="1418" w:bottom="1276" w:left="1418" w:header="851" w:footer="992" w:gutter="0"/>
          <w:cols w:space="720" w:num="1"/>
          <w:titlePg/>
          <w:docGrid w:linePitch="312" w:charSpace="0"/>
        </w:sectPr>
      </w:pPr>
    </w:p>
    <w:p w14:paraId="07E32DF6">
      <w:pPr>
        <w:pStyle w:val="692"/>
        <w:keepNext w:val="0"/>
        <w:pageBreakBefore w:val="0"/>
        <w:tabs>
          <w:tab w:val="clear" w:pos="720"/>
        </w:tabs>
        <w:snapToGrid w:val="0"/>
        <w:spacing w:before="120" w:after="120"/>
        <w:jc w:val="center"/>
        <w:outlineLvl w:val="9"/>
        <w:rPr>
          <w:rFonts w:asciiTheme="minorEastAsia" w:hAnsiTheme="minorEastAsia" w:eastAsiaTheme="minorEastAsia"/>
          <w:sz w:val="32"/>
          <w:szCs w:val="32"/>
        </w:rPr>
      </w:pPr>
      <w:bookmarkStart w:id="569" w:name="_Toc25229"/>
      <w:bookmarkStart w:id="570" w:name="_Toc92901668"/>
      <w:r>
        <w:rPr>
          <w:rFonts w:hint="eastAsia" w:cs="仿宋_GB2312" w:asciiTheme="minorEastAsia" w:hAnsiTheme="minorEastAsia" w:eastAsiaTheme="minorEastAsia"/>
          <w:kern w:val="2"/>
          <w:sz w:val="32"/>
          <w:szCs w:val="32"/>
        </w:rPr>
        <w:t>二、</w:t>
      </w:r>
      <w:r>
        <w:rPr>
          <w:rFonts w:hint="eastAsia" w:asciiTheme="minorEastAsia" w:hAnsiTheme="minorEastAsia" w:eastAsiaTheme="minorEastAsia"/>
          <w:sz w:val="32"/>
          <w:szCs w:val="32"/>
        </w:rPr>
        <w:t>中小企业声明函</w:t>
      </w:r>
      <w:bookmarkEnd w:id="569"/>
      <w:bookmarkEnd w:id="570"/>
      <w:r>
        <w:rPr>
          <w:rFonts w:hint="eastAsia" w:asciiTheme="minorEastAsia" w:hAnsiTheme="minorEastAsia" w:eastAsiaTheme="minorEastAsia"/>
          <w:sz w:val="32"/>
          <w:szCs w:val="32"/>
        </w:rPr>
        <w:t>（如果有）</w:t>
      </w:r>
    </w:p>
    <w:p w14:paraId="4B321AF8">
      <w:pPr>
        <w:widowControl/>
        <w:spacing w:line="360" w:lineRule="auto"/>
        <w:ind w:firstLine="120" w:firstLineChars="5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cs="仿宋_GB2312" w:asciiTheme="minorEastAsia" w:hAnsiTheme="minorEastAsia" w:eastAsiaTheme="minorEastAsia"/>
          <w:b/>
          <w:sz w:val="24"/>
        </w:rPr>
        <w:t>）。</w:t>
      </w:r>
      <w:r>
        <w:rPr>
          <w:rFonts w:hint="eastAsia" w:cs="仿宋_GB2312" w:asciiTheme="minorEastAsia" w:hAnsiTheme="minorEastAsia" w:eastAsiaTheme="minorEastAsia"/>
          <w:b/>
          <w:sz w:val="24"/>
        </w:rPr>
        <w:t>]</w:t>
      </w:r>
    </w:p>
    <w:p w14:paraId="4B1653A7">
      <w:pPr>
        <w:pStyle w:val="692"/>
        <w:keepNext w:val="0"/>
        <w:pageBreakBefore w:val="0"/>
        <w:tabs>
          <w:tab w:val="clear" w:pos="720"/>
        </w:tabs>
        <w:snapToGrid w:val="0"/>
        <w:spacing w:before="120" w:after="120"/>
        <w:ind w:firstLine="643"/>
        <w:outlineLvl w:val="9"/>
        <w:rPr>
          <w:rFonts w:asciiTheme="minorEastAsia" w:hAnsiTheme="minorEastAsia" w:eastAsiaTheme="minorEastAsia"/>
          <w:b w:val="0"/>
          <w:sz w:val="32"/>
          <w:szCs w:val="32"/>
        </w:rPr>
      </w:pPr>
    </w:p>
    <w:p w14:paraId="1E41FC7E">
      <w:pPr>
        <w:spacing w:line="360" w:lineRule="auto"/>
        <w:ind w:right="420" w:firstLine="3614" w:firstLineChars="1000"/>
        <w:rPr>
          <w:rFonts w:cs="仿宋_GB2312" w:asciiTheme="minorEastAsia" w:hAnsiTheme="minorEastAsia" w:eastAsiaTheme="minorEastAsia"/>
          <w:b/>
          <w:kern w:val="0"/>
          <w:sz w:val="36"/>
          <w:szCs w:val="36"/>
        </w:rPr>
      </w:pPr>
    </w:p>
    <w:p w14:paraId="081D0A73">
      <w:pPr>
        <w:spacing w:line="360" w:lineRule="auto"/>
        <w:ind w:right="420" w:firstLine="3614" w:firstLineChars="1000"/>
        <w:rPr>
          <w:rFonts w:cs="仿宋_GB2312" w:asciiTheme="minorEastAsia" w:hAnsiTheme="minorEastAsia" w:eastAsiaTheme="minorEastAsia"/>
          <w:b/>
          <w:kern w:val="0"/>
          <w:sz w:val="36"/>
          <w:szCs w:val="36"/>
        </w:rPr>
      </w:pPr>
    </w:p>
    <w:p w14:paraId="2D28C246">
      <w:pPr>
        <w:spacing w:line="360" w:lineRule="auto"/>
        <w:ind w:right="420" w:firstLine="3614" w:firstLineChars="1000"/>
        <w:rPr>
          <w:rFonts w:cs="仿宋_GB2312" w:asciiTheme="minorEastAsia" w:hAnsiTheme="minorEastAsia" w:eastAsiaTheme="minorEastAsia"/>
          <w:b/>
          <w:kern w:val="0"/>
          <w:sz w:val="36"/>
          <w:szCs w:val="36"/>
        </w:rPr>
      </w:pPr>
    </w:p>
    <w:p w14:paraId="15E70155">
      <w:pPr>
        <w:spacing w:line="360" w:lineRule="auto"/>
        <w:ind w:right="420" w:firstLine="3614" w:firstLineChars="1000"/>
        <w:rPr>
          <w:rFonts w:cs="仿宋_GB2312" w:asciiTheme="minorEastAsia" w:hAnsiTheme="minorEastAsia" w:eastAsiaTheme="minorEastAsia"/>
          <w:b/>
          <w:kern w:val="0"/>
          <w:sz w:val="36"/>
          <w:szCs w:val="36"/>
        </w:rPr>
      </w:pPr>
    </w:p>
    <w:p w14:paraId="5D08A6C2">
      <w:pPr>
        <w:spacing w:line="360" w:lineRule="auto"/>
        <w:ind w:right="420" w:firstLine="3614" w:firstLineChars="1000"/>
        <w:rPr>
          <w:rFonts w:cs="仿宋_GB2312" w:asciiTheme="minorEastAsia" w:hAnsiTheme="minorEastAsia" w:eastAsiaTheme="minorEastAsia"/>
          <w:b/>
          <w:kern w:val="0"/>
          <w:sz w:val="36"/>
          <w:szCs w:val="36"/>
        </w:rPr>
      </w:pPr>
    </w:p>
    <w:p w14:paraId="60881B65">
      <w:pPr>
        <w:spacing w:line="360" w:lineRule="auto"/>
        <w:ind w:right="420" w:firstLine="3614" w:firstLineChars="1000"/>
        <w:rPr>
          <w:rFonts w:cs="仿宋_GB2312" w:asciiTheme="minorEastAsia" w:hAnsiTheme="minorEastAsia" w:eastAsiaTheme="minorEastAsia"/>
          <w:b/>
          <w:kern w:val="0"/>
          <w:sz w:val="36"/>
          <w:szCs w:val="36"/>
        </w:rPr>
      </w:pPr>
    </w:p>
    <w:p w14:paraId="669BE63C">
      <w:pPr>
        <w:spacing w:line="360" w:lineRule="auto"/>
        <w:ind w:right="420" w:firstLine="3614" w:firstLineChars="1000"/>
        <w:rPr>
          <w:rFonts w:cs="仿宋_GB2312" w:asciiTheme="minorEastAsia" w:hAnsiTheme="minorEastAsia" w:eastAsiaTheme="minorEastAsia"/>
          <w:b/>
          <w:kern w:val="0"/>
          <w:sz w:val="36"/>
          <w:szCs w:val="36"/>
        </w:rPr>
      </w:pPr>
    </w:p>
    <w:p w14:paraId="59E52AD2">
      <w:pPr>
        <w:spacing w:line="360" w:lineRule="auto"/>
        <w:ind w:right="420" w:firstLine="3614" w:firstLineChars="1000"/>
        <w:rPr>
          <w:rFonts w:cs="仿宋_GB2312" w:asciiTheme="minorEastAsia" w:hAnsiTheme="minorEastAsia" w:eastAsiaTheme="minorEastAsia"/>
          <w:b/>
          <w:kern w:val="0"/>
          <w:sz w:val="36"/>
          <w:szCs w:val="36"/>
        </w:rPr>
      </w:pPr>
    </w:p>
    <w:p w14:paraId="76D139D7">
      <w:pPr>
        <w:spacing w:line="360" w:lineRule="auto"/>
        <w:ind w:right="420" w:firstLine="3614" w:firstLineChars="1000"/>
        <w:rPr>
          <w:rFonts w:cs="仿宋_GB2312" w:asciiTheme="minorEastAsia" w:hAnsiTheme="minorEastAsia" w:eastAsiaTheme="minorEastAsia"/>
          <w:b/>
          <w:kern w:val="0"/>
          <w:sz w:val="36"/>
          <w:szCs w:val="36"/>
        </w:rPr>
      </w:pPr>
    </w:p>
    <w:p w14:paraId="6C0F8E5E">
      <w:pPr>
        <w:spacing w:line="360" w:lineRule="auto"/>
        <w:ind w:right="420" w:firstLine="3614" w:firstLineChars="1000"/>
        <w:rPr>
          <w:rFonts w:cs="仿宋_GB2312" w:asciiTheme="minorEastAsia" w:hAnsiTheme="minorEastAsia" w:eastAsiaTheme="minorEastAsia"/>
          <w:b/>
          <w:kern w:val="0"/>
          <w:sz w:val="36"/>
          <w:szCs w:val="36"/>
        </w:rPr>
      </w:pPr>
    </w:p>
    <w:p w14:paraId="7F6639E1">
      <w:pPr>
        <w:spacing w:line="360" w:lineRule="auto"/>
        <w:ind w:right="420" w:firstLine="3614" w:firstLineChars="1000"/>
        <w:rPr>
          <w:rFonts w:cs="仿宋_GB2312" w:asciiTheme="minorEastAsia" w:hAnsiTheme="minorEastAsia" w:eastAsiaTheme="minorEastAsia"/>
          <w:b/>
          <w:kern w:val="0"/>
          <w:sz w:val="36"/>
          <w:szCs w:val="36"/>
        </w:rPr>
      </w:pPr>
    </w:p>
    <w:p w14:paraId="3CCB3C6F">
      <w:pPr>
        <w:spacing w:line="360" w:lineRule="auto"/>
        <w:ind w:right="420" w:firstLine="3614" w:firstLineChars="1000"/>
        <w:rPr>
          <w:rFonts w:cs="仿宋_GB2312" w:asciiTheme="minorEastAsia" w:hAnsiTheme="minorEastAsia" w:eastAsiaTheme="minorEastAsia"/>
          <w:b/>
          <w:kern w:val="0"/>
          <w:sz w:val="36"/>
          <w:szCs w:val="36"/>
        </w:rPr>
      </w:pPr>
    </w:p>
    <w:p w14:paraId="3010BB86">
      <w:pPr>
        <w:spacing w:line="360" w:lineRule="auto"/>
        <w:ind w:right="420" w:firstLine="3614" w:firstLineChars="1000"/>
        <w:rPr>
          <w:rFonts w:cs="仿宋_GB2312" w:asciiTheme="minorEastAsia" w:hAnsiTheme="minorEastAsia" w:eastAsiaTheme="minorEastAsia"/>
          <w:b/>
          <w:kern w:val="0"/>
          <w:sz w:val="36"/>
          <w:szCs w:val="36"/>
        </w:rPr>
      </w:pPr>
    </w:p>
    <w:p w14:paraId="72374486">
      <w:pPr>
        <w:spacing w:line="360" w:lineRule="auto"/>
        <w:ind w:right="420" w:firstLine="3614" w:firstLineChars="1000"/>
        <w:rPr>
          <w:rFonts w:cs="仿宋_GB2312" w:asciiTheme="minorEastAsia" w:hAnsiTheme="minorEastAsia" w:eastAsiaTheme="minorEastAsia"/>
          <w:b/>
          <w:kern w:val="0"/>
          <w:sz w:val="36"/>
          <w:szCs w:val="36"/>
        </w:rPr>
      </w:pPr>
    </w:p>
    <w:p w14:paraId="0AA02676">
      <w:pPr>
        <w:spacing w:line="360" w:lineRule="auto"/>
        <w:ind w:right="420" w:firstLine="3614" w:firstLineChars="1000"/>
        <w:rPr>
          <w:rFonts w:cs="仿宋_GB2312" w:asciiTheme="minorEastAsia" w:hAnsiTheme="minorEastAsia" w:eastAsiaTheme="minorEastAsia"/>
          <w:b/>
          <w:kern w:val="0"/>
          <w:sz w:val="36"/>
          <w:szCs w:val="36"/>
        </w:rPr>
      </w:pPr>
    </w:p>
    <w:p w14:paraId="25A1F0BA">
      <w:pPr>
        <w:spacing w:line="360" w:lineRule="auto"/>
        <w:ind w:right="420" w:firstLine="3614" w:firstLineChars="1000"/>
        <w:rPr>
          <w:rFonts w:cs="仿宋_GB2312" w:asciiTheme="minorEastAsia" w:hAnsiTheme="minorEastAsia" w:eastAsiaTheme="minorEastAsia"/>
          <w:b/>
          <w:kern w:val="0"/>
          <w:sz w:val="36"/>
          <w:szCs w:val="36"/>
        </w:rPr>
      </w:pPr>
    </w:p>
    <w:p w14:paraId="2B911065">
      <w:pPr>
        <w:tabs>
          <w:tab w:val="left" w:pos="8085"/>
        </w:tabs>
        <w:spacing w:line="360" w:lineRule="auto"/>
        <w:ind w:firstLine="1285" w:firstLineChars="40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政府采购支持中小企业信用融资相关事项通知</w:t>
      </w:r>
    </w:p>
    <w:p w14:paraId="2C47761B">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14:paraId="37CD97EF">
      <w:pPr>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中国银保监会浙江监管局、杭州市地方金融监督管理局、杭州市经济和信息化局制定《杭州市政府采购支持中小企业信用融资管理办法》。相关事项通知如下：</w:t>
      </w:r>
    </w:p>
    <w:p w14:paraId="2BA46966">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一、适用对象</w:t>
      </w:r>
    </w:p>
    <w:p w14:paraId="7E8199C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凡已在浙江政府采购网上注册入库，并取得杭州市政府采购合同的中小企业供应商（以下简称“供应商”），均可申请政府采购信用融资。</w:t>
      </w:r>
    </w:p>
    <w:p w14:paraId="1C52500F">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二、相关信息获取方式</w:t>
      </w:r>
    </w:p>
    <w:p w14:paraId="281EA44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4103CF1">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　政府采购信用融资操作流程：</w:t>
      </w:r>
    </w:p>
    <w:p w14:paraId="6DC19E29">
      <w:pPr>
        <w:spacing w:line="360" w:lineRule="auto"/>
        <w:ind w:firstLine="960" w:firstLineChars="400"/>
        <w:rPr>
          <w:rFonts w:asciiTheme="minorEastAsia" w:hAnsiTheme="minorEastAsia" w:eastAsiaTheme="minorEastAsia"/>
          <w:sz w:val="24"/>
        </w:rPr>
      </w:pPr>
      <w:r>
        <w:rPr>
          <w:rFonts w:hint="eastAsia" w:asciiTheme="minorEastAsia" w:hAnsiTheme="minorEastAsia" w:eastAsiaTheme="minorEastAsia"/>
          <w:sz w:val="24"/>
        </w:rPr>
        <w:t>（一）线上融资模式：</w:t>
      </w:r>
    </w:p>
    <w:p w14:paraId="53C74D8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1.供应商根据合作银行提供的方案，自行选择金融产品，并办理开户等手续；</w:t>
      </w:r>
    </w:p>
    <w:p w14:paraId="088EBBD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2.供应商中标后，可通过杭州市政府采购网或“浙里办”测算授信额度；</w:t>
      </w:r>
    </w:p>
    <w:p w14:paraId="1BB46D4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3.采购合同签订后，供应商在杭州市政府采购网或“浙里办”向合作银行发出融资申请；</w:t>
      </w:r>
    </w:p>
    <w:p w14:paraId="29E0372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4.审批通过后，在线办理放贷手续。</w:t>
      </w:r>
    </w:p>
    <w:p w14:paraId="2A17888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（二）线下融资模式：</w:t>
      </w:r>
    </w:p>
    <w:p w14:paraId="069D771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1.供应商根据合作银行提供的方案，自行选择金融产品，向合作银行提出信用资格预审，并办理开户等手续；</w:t>
      </w:r>
    </w:p>
    <w:p w14:paraId="76D774C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2.采购合同签订后，供应商在杭州市政府采购网或“浙里办”向合作银行发出融资申请；</w:t>
      </w:r>
    </w:p>
    <w:p w14:paraId="4CEF690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3.合作银行在信用融资模块受理申请后，供应商提供审批材料。合作银行应对申请信用融资的供应商及备案的政府采购合同信息进行核对和审查；</w:t>
      </w:r>
    </w:p>
    <w:p w14:paraId="6302956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4.审批通过后，合作银行应按照合作备忘录中约定的审批放款期限和优惠利率及时予以放款。</w:t>
      </w:r>
    </w:p>
    <w:p w14:paraId="5E14EE60">
      <w:pPr>
        <w:pStyle w:val="5"/>
        <w:numPr>
          <w:ilvl w:val="255"/>
          <w:numId w:val="0"/>
        </w:numPr>
        <w:ind w:firstLine="960" w:firstLineChars="400"/>
        <w:rPr>
          <w:rFonts w:asciiTheme="minorEastAsia" w:hAnsiTheme="minorEastAsia" w:eastAsiaTheme="minorEastAsia"/>
          <w:b w:val="0"/>
          <w:bCs w:val="0"/>
          <w:sz w:val="24"/>
          <w:szCs w:val="24"/>
          <w:lang w:val="en-US"/>
        </w:rPr>
      </w:pPr>
      <w:bookmarkStart w:id="571" w:name="_Toc92901669"/>
      <w:bookmarkStart w:id="572" w:name="_Toc31635"/>
      <w:r>
        <w:rPr>
          <w:rFonts w:hint="eastAsia" w:asciiTheme="minorEastAsia" w:hAnsiTheme="minorEastAsia" w:eastAsiaTheme="minorEastAsia"/>
          <w:b w:val="0"/>
          <w:bCs w:val="0"/>
          <w:sz w:val="24"/>
          <w:szCs w:val="24"/>
          <w:lang w:val="en-US"/>
        </w:rPr>
        <w:t>（三）杭州e融平台申请融资</w:t>
      </w:r>
      <w:bookmarkEnd w:id="571"/>
      <w:bookmarkEnd w:id="572"/>
    </w:p>
    <w:p w14:paraId="46E7C0D3">
      <w:pPr>
        <w:pStyle w:val="5"/>
        <w:numPr>
          <w:ilvl w:val="255"/>
          <w:numId w:val="0"/>
        </w:numPr>
        <w:ind w:firstLine="960" w:firstLineChars="400"/>
        <w:rPr>
          <w:rFonts w:asciiTheme="minorEastAsia" w:hAnsiTheme="minorEastAsia" w:eastAsiaTheme="minorEastAsia"/>
          <w:b w:val="0"/>
          <w:bCs w:val="0"/>
          <w:sz w:val="24"/>
          <w:szCs w:val="24"/>
          <w:lang w:val="en-US"/>
        </w:rPr>
      </w:pPr>
      <w:bookmarkStart w:id="573" w:name="_Toc92901670"/>
      <w:bookmarkStart w:id="574" w:name="_Toc32223"/>
      <w:r>
        <w:rPr>
          <w:rFonts w:hint="eastAsia" w:asciiTheme="minorEastAsia" w:hAnsiTheme="minorEastAsia" w:eastAsiaTheme="minorEastAsia"/>
          <w:b w:val="0"/>
          <w:bCs w:val="0"/>
          <w:sz w:val="24"/>
          <w:szCs w:val="24"/>
          <w:lang w:val="en-US"/>
        </w:rPr>
        <w:t>供应商通过杭州e融平台政采贷专区，自行选择金融产品，按规定手续办理贷款流程。</w:t>
      </w:r>
      <w:bookmarkEnd w:id="573"/>
      <w:bookmarkEnd w:id="574"/>
    </w:p>
    <w:p w14:paraId="7937F4E4">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四、注意事项</w:t>
      </w:r>
    </w:p>
    <w:p w14:paraId="4A32AE5C">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对拟用于信用融资的政府采购合同，供应商在签订合同时应当在合同中注明融资银行名称及账号，作为在该银行的唯一收款账号。</w:t>
      </w:r>
    </w:p>
    <w:p w14:paraId="005FAA8F">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cs="仿宋_GB2312" w:asciiTheme="minorEastAsia" w:hAnsiTheme="minorEastAsia" w:eastAsiaTheme="minorEastAsia"/>
          <w:sz w:val="24"/>
        </w:rPr>
        <w:t>。</w:t>
      </w:r>
    </w:p>
    <w:p w14:paraId="5653E5A0">
      <w:pPr>
        <w:spacing w:line="360" w:lineRule="auto"/>
        <w:ind w:left="5060" w:hanging="5060" w:hangingChars="2100"/>
        <w:rPr>
          <w:rFonts w:cs="仿宋_GB2312" w:asciiTheme="minorEastAsia" w:hAnsiTheme="minorEastAsia" w:eastAsiaTheme="minorEastAsia"/>
          <w:b/>
          <w:bCs/>
          <w:kern w:val="0"/>
          <w:sz w:val="24"/>
        </w:rPr>
      </w:pPr>
    </w:p>
    <w:p w14:paraId="692AE7CE">
      <w:pPr>
        <w:rPr>
          <w:rFonts w:ascii="宋体" w:hAnsi="宋体" w:cs="宋体"/>
          <w:b/>
          <w:spacing w:val="6"/>
          <w:sz w:val="32"/>
          <w:szCs w:val="32"/>
        </w:rPr>
      </w:pPr>
      <w:r>
        <w:rPr>
          <w:rFonts w:hint="eastAsia" w:ascii="宋体" w:hAnsi="宋体" w:cs="宋体"/>
          <w:b/>
          <w:spacing w:val="6"/>
          <w:sz w:val="32"/>
          <w:szCs w:val="32"/>
        </w:rPr>
        <w:br w:type="page"/>
      </w:r>
    </w:p>
    <w:p w14:paraId="03495D6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2D5663F">
      <w:pPr>
        <w:spacing w:line="360" w:lineRule="auto"/>
        <w:jc w:val="center"/>
        <w:rPr>
          <w:rFonts w:ascii="宋体" w:hAnsi="宋体" w:cs="宋体"/>
          <w:b/>
          <w:spacing w:val="6"/>
          <w:sz w:val="32"/>
          <w:szCs w:val="32"/>
        </w:rPr>
      </w:pPr>
      <w:bookmarkStart w:id="575" w:name="OLE_LINK14"/>
      <w:bookmarkStart w:id="576" w:name="OLE_LINK13"/>
      <w:r>
        <w:rPr>
          <w:rFonts w:hint="eastAsia" w:ascii="宋体" w:hAnsi="宋体" w:cs="宋体"/>
          <w:b/>
          <w:spacing w:val="6"/>
          <w:sz w:val="32"/>
          <w:szCs w:val="32"/>
        </w:rPr>
        <w:t>残疾人福利性单位声明函</w:t>
      </w:r>
    </w:p>
    <w:bookmarkEnd w:id="575"/>
    <w:bookmarkEnd w:id="576"/>
    <w:p w14:paraId="378F9768">
      <w:pPr>
        <w:spacing w:line="360" w:lineRule="auto"/>
        <w:rPr>
          <w:rFonts w:ascii="宋体" w:hAnsi="宋体" w:cs="宋体"/>
          <w:b/>
          <w:spacing w:val="6"/>
          <w:sz w:val="30"/>
          <w:szCs w:val="30"/>
        </w:rPr>
      </w:pPr>
    </w:p>
    <w:p w14:paraId="17A20C8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5C0A21">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D66610B">
      <w:pPr>
        <w:spacing w:line="360" w:lineRule="auto"/>
        <w:ind w:firstLine="480" w:firstLineChars="200"/>
        <w:rPr>
          <w:rFonts w:ascii="宋体" w:hAnsi="宋体" w:cs="宋体"/>
          <w:sz w:val="24"/>
        </w:rPr>
      </w:pPr>
    </w:p>
    <w:p w14:paraId="36EED8C7">
      <w:pPr>
        <w:spacing w:line="360" w:lineRule="auto"/>
        <w:ind w:firstLine="480" w:firstLineChars="200"/>
        <w:rPr>
          <w:rFonts w:ascii="宋体" w:hAnsi="宋体" w:cs="宋体"/>
          <w:sz w:val="24"/>
        </w:rPr>
      </w:pPr>
    </w:p>
    <w:p w14:paraId="6DA60D57">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2AFD571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2525520A">
      <w:pPr>
        <w:spacing w:line="360" w:lineRule="auto"/>
        <w:ind w:firstLine="480" w:firstLineChars="200"/>
        <w:rPr>
          <w:rFonts w:ascii="宋体" w:hAnsi="宋体" w:cs="宋体"/>
          <w:sz w:val="24"/>
        </w:rPr>
      </w:pPr>
    </w:p>
    <w:p w14:paraId="64069CB7">
      <w:pPr>
        <w:spacing w:line="360" w:lineRule="auto"/>
        <w:ind w:firstLine="420" w:firstLineChars="200"/>
        <w:rPr>
          <w:rFonts w:ascii="宋体" w:hAnsi="宋体" w:cs="宋体"/>
        </w:rPr>
      </w:pPr>
    </w:p>
    <w:p w14:paraId="4DD5B8EF">
      <w:pPr>
        <w:spacing w:line="360" w:lineRule="auto"/>
        <w:ind w:firstLine="420" w:firstLineChars="200"/>
        <w:rPr>
          <w:rFonts w:ascii="宋体" w:hAnsi="宋体" w:cs="宋体"/>
        </w:rPr>
      </w:pPr>
    </w:p>
    <w:p w14:paraId="67080521">
      <w:pPr>
        <w:spacing w:line="360" w:lineRule="auto"/>
        <w:ind w:firstLine="420" w:firstLineChars="200"/>
        <w:rPr>
          <w:rFonts w:ascii="宋体" w:hAnsi="宋体" w:cs="宋体"/>
        </w:rPr>
      </w:pPr>
    </w:p>
    <w:p w14:paraId="1176F189">
      <w:pPr>
        <w:spacing w:line="360" w:lineRule="auto"/>
        <w:ind w:firstLine="420" w:firstLineChars="200"/>
        <w:rPr>
          <w:rFonts w:ascii="宋体" w:hAnsi="宋体" w:cs="宋体"/>
        </w:rPr>
      </w:pPr>
    </w:p>
    <w:p w14:paraId="7FB6E1B8">
      <w:pPr>
        <w:spacing w:line="360" w:lineRule="auto"/>
        <w:rPr>
          <w:rFonts w:ascii="宋体" w:hAnsi="宋体" w:cs="宋体"/>
          <w:b/>
          <w:sz w:val="24"/>
        </w:rPr>
      </w:pPr>
    </w:p>
    <w:p w14:paraId="76778242">
      <w:pPr>
        <w:spacing w:line="360" w:lineRule="auto"/>
        <w:rPr>
          <w:rFonts w:ascii="宋体" w:hAnsi="宋体" w:cs="宋体"/>
          <w:b/>
          <w:sz w:val="24"/>
        </w:rPr>
      </w:pPr>
    </w:p>
    <w:p w14:paraId="3CEA0278">
      <w:pPr>
        <w:spacing w:line="360" w:lineRule="auto"/>
        <w:rPr>
          <w:rFonts w:ascii="宋体" w:hAnsi="宋体" w:cs="宋体"/>
          <w:b/>
          <w:sz w:val="24"/>
        </w:rPr>
      </w:pPr>
    </w:p>
    <w:p w14:paraId="22FEE279">
      <w:pPr>
        <w:spacing w:line="360" w:lineRule="auto"/>
        <w:rPr>
          <w:rFonts w:ascii="宋体" w:hAnsi="宋体" w:cs="宋体"/>
          <w:b/>
          <w:sz w:val="24"/>
        </w:rPr>
      </w:pPr>
    </w:p>
    <w:p w14:paraId="3C8F40A9">
      <w:pPr>
        <w:spacing w:line="360" w:lineRule="auto"/>
        <w:rPr>
          <w:rFonts w:ascii="宋体" w:hAnsi="宋体" w:cs="宋体"/>
          <w:b/>
          <w:sz w:val="24"/>
        </w:rPr>
      </w:pPr>
    </w:p>
    <w:p w14:paraId="01694DEF">
      <w:pPr>
        <w:spacing w:line="360" w:lineRule="auto"/>
        <w:rPr>
          <w:rFonts w:ascii="宋体" w:hAnsi="宋体" w:cs="宋体"/>
          <w:b/>
          <w:sz w:val="24"/>
        </w:rPr>
      </w:pPr>
    </w:p>
    <w:p w14:paraId="3D157FD8">
      <w:pPr>
        <w:spacing w:line="360" w:lineRule="auto"/>
        <w:rPr>
          <w:rFonts w:ascii="宋体" w:hAnsi="宋体" w:cs="宋体"/>
          <w:b/>
          <w:sz w:val="24"/>
        </w:rPr>
      </w:pPr>
    </w:p>
    <w:p w14:paraId="78890983">
      <w:pPr>
        <w:spacing w:line="360" w:lineRule="auto"/>
        <w:rPr>
          <w:rFonts w:ascii="宋体" w:hAnsi="宋体" w:cs="宋体"/>
          <w:b/>
          <w:sz w:val="24"/>
        </w:rPr>
      </w:pPr>
    </w:p>
    <w:p w14:paraId="64211E97">
      <w:pPr>
        <w:spacing w:line="360" w:lineRule="auto"/>
        <w:rPr>
          <w:rFonts w:ascii="宋体" w:hAnsi="宋体" w:cs="宋体"/>
          <w:b/>
          <w:sz w:val="24"/>
        </w:rPr>
      </w:pPr>
    </w:p>
    <w:p w14:paraId="1C6ABC22">
      <w:pPr>
        <w:rPr>
          <w:rFonts w:ascii="宋体" w:hAnsi="宋体" w:cs="宋体"/>
          <w:b/>
          <w:spacing w:val="6"/>
          <w:sz w:val="32"/>
          <w:szCs w:val="32"/>
        </w:rPr>
      </w:pPr>
      <w:r>
        <w:rPr>
          <w:rFonts w:hint="eastAsia" w:ascii="宋体" w:hAnsi="宋体" w:cs="宋体"/>
          <w:b/>
          <w:spacing w:val="6"/>
          <w:sz w:val="32"/>
          <w:szCs w:val="32"/>
        </w:rPr>
        <w:br w:type="page"/>
      </w:r>
    </w:p>
    <w:p w14:paraId="49DABF48">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81E7D7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24032C4">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22064757">
      <w:pPr>
        <w:snapToGrid w:val="0"/>
        <w:spacing w:line="360" w:lineRule="auto"/>
        <w:rPr>
          <w:rFonts w:ascii="宋体" w:hAnsi="宋体" w:cs="宋体"/>
          <w:sz w:val="24"/>
          <w:u w:val="dotted"/>
        </w:rPr>
      </w:pPr>
      <w:r>
        <w:rPr>
          <w:rFonts w:hint="eastAsia" w:ascii="宋体" w:hAnsi="宋体" w:cs="宋体"/>
          <w:sz w:val="24"/>
        </w:rPr>
        <w:t>质疑供应商：</w:t>
      </w:r>
    </w:p>
    <w:p w14:paraId="5DCB2BAD">
      <w:pPr>
        <w:snapToGrid w:val="0"/>
        <w:spacing w:line="360" w:lineRule="auto"/>
        <w:rPr>
          <w:rFonts w:ascii="宋体" w:hAnsi="宋体" w:cs="宋体"/>
          <w:sz w:val="24"/>
        </w:rPr>
      </w:pPr>
      <w:r>
        <w:rPr>
          <w:rFonts w:hint="eastAsia" w:ascii="宋体" w:hAnsi="宋体" w:cs="宋体"/>
          <w:sz w:val="24"/>
        </w:rPr>
        <w:t>地址：邮编：</w:t>
      </w:r>
    </w:p>
    <w:p w14:paraId="1956317F">
      <w:pPr>
        <w:snapToGrid w:val="0"/>
        <w:spacing w:line="360" w:lineRule="auto"/>
        <w:rPr>
          <w:rFonts w:ascii="宋体" w:hAnsi="宋体" w:cs="宋体"/>
          <w:sz w:val="24"/>
        </w:rPr>
      </w:pPr>
      <w:r>
        <w:rPr>
          <w:rFonts w:hint="eastAsia" w:ascii="宋体" w:hAnsi="宋体" w:cs="宋体"/>
          <w:sz w:val="24"/>
        </w:rPr>
        <w:t>联系人：联系电话：</w:t>
      </w:r>
    </w:p>
    <w:p w14:paraId="2E750BC5">
      <w:pPr>
        <w:snapToGrid w:val="0"/>
        <w:spacing w:line="360" w:lineRule="auto"/>
        <w:rPr>
          <w:rFonts w:ascii="宋体" w:hAnsi="宋体" w:cs="宋体"/>
          <w:sz w:val="24"/>
          <w:u w:val="dotted"/>
        </w:rPr>
      </w:pPr>
      <w:r>
        <w:rPr>
          <w:rFonts w:hint="eastAsia" w:ascii="宋体" w:hAnsi="宋体" w:cs="宋体"/>
          <w:sz w:val="24"/>
        </w:rPr>
        <w:t>授权代表：</w:t>
      </w:r>
    </w:p>
    <w:p w14:paraId="48C7405E">
      <w:pPr>
        <w:snapToGrid w:val="0"/>
        <w:spacing w:line="360" w:lineRule="auto"/>
        <w:rPr>
          <w:rFonts w:ascii="宋体" w:hAnsi="宋体" w:cs="宋体"/>
          <w:sz w:val="24"/>
        </w:rPr>
      </w:pPr>
      <w:r>
        <w:rPr>
          <w:rFonts w:hint="eastAsia" w:ascii="宋体" w:hAnsi="宋体" w:cs="宋体"/>
          <w:sz w:val="24"/>
        </w:rPr>
        <w:t>联系电话：</w:t>
      </w:r>
    </w:p>
    <w:p w14:paraId="5680F2B1">
      <w:pPr>
        <w:snapToGrid w:val="0"/>
        <w:spacing w:line="360" w:lineRule="auto"/>
        <w:rPr>
          <w:rFonts w:ascii="宋体" w:hAnsi="宋体" w:cs="宋体"/>
          <w:sz w:val="24"/>
        </w:rPr>
      </w:pPr>
      <w:r>
        <w:rPr>
          <w:rFonts w:hint="eastAsia" w:ascii="宋体" w:hAnsi="宋体" w:cs="宋体"/>
          <w:sz w:val="24"/>
        </w:rPr>
        <w:t>地址： 邮编：</w:t>
      </w:r>
    </w:p>
    <w:p w14:paraId="56FE4708">
      <w:pPr>
        <w:snapToGrid w:val="0"/>
        <w:spacing w:line="360" w:lineRule="auto"/>
        <w:rPr>
          <w:rFonts w:ascii="宋体" w:hAnsi="宋体" w:cs="宋体"/>
          <w:bCs/>
          <w:sz w:val="24"/>
        </w:rPr>
      </w:pPr>
      <w:r>
        <w:rPr>
          <w:rFonts w:hint="eastAsia" w:ascii="宋体" w:hAnsi="宋体" w:cs="宋体"/>
          <w:bCs/>
          <w:sz w:val="24"/>
        </w:rPr>
        <w:t>二、质疑项目基本情况</w:t>
      </w:r>
    </w:p>
    <w:p w14:paraId="25BB0B1D">
      <w:pPr>
        <w:snapToGrid w:val="0"/>
        <w:spacing w:line="360" w:lineRule="auto"/>
        <w:rPr>
          <w:rFonts w:ascii="宋体" w:hAnsi="宋体" w:cs="宋体"/>
          <w:sz w:val="24"/>
        </w:rPr>
      </w:pPr>
      <w:r>
        <w:rPr>
          <w:rFonts w:hint="eastAsia" w:ascii="宋体" w:hAnsi="宋体" w:cs="宋体"/>
          <w:sz w:val="24"/>
        </w:rPr>
        <w:t>质疑项目的名称：</w:t>
      </w:r>
    </w:p>
    <w:p w14:paraId="599E4261">
      <w:pPr>
        <w:snapToGrid w:val="0"/>
        <w:spacing w:line="360" w:lineRule="auto"/>
        <w:rPr>
          <w:rFonts w:ascii="宋体" w:hAnsi="宋体" w:cs="宋体"/>
          <w:sz w:val="24"/>
        </w:rPr>
      </w:pPr>
      <w:r>
        <w:rPr>
          <w:rFonts w:hint="eastAsia" w:ascii="宋体" w:hAnsi="宋体" w:cs="宋体"/>
          <w:sz w:val="24"/>
        </w:rPr>
        <w:t>质疑项目的编号：包号：</w:t>
      </w:r>
    </w:p>
    <w:p w14:paraId="7E297C02">
      <w:pPr>
        <w:snapToGrid w:val="0"/>
        <w:spacing w:line="360" w:lineRule="auto"/>
        <w:rPr>
          <w:rFonts w:ascii="宋体" w:hAnsi="宋体" w:cs="宋体"/>
          <w:sz w:val="24"/>
          <w:u w:val="dotted"/>
        </w:rPr>
      </w:pPr>
      <w:r>
        <w:rPr>
          <w:rFonts w:hint="eastAsia" w:ascii="宋体" w:hAnsi="宋体" w:cs="宋体"/>
          <w:sz w:val="24"/>
        </w:rPr>
        <w:t>采购人名称：</w:t>
      </w:r>
    </w:p>
    <w:p w14:paraId="7B4DAFF7">
      <w:pPr>
        <w:snapToGrid w:val="0"/>
        <w:spacing w:line="360" w:lineRule="auto"/>
        <w:rPr>
          <w:rFonts w:ascii="宋体" w:hAnsi="宋体" w:cs="宋体"/>
          <w:sz w:val="24"/>
        </w:rPr>
      </w:pPr>
      <w:r>
        <w:rPr>
          <w:rFonts w:hint="eastAsia" w:ascii="宋体" w:hAnsi="宋体" w:cs="宋体"/>
          <w:sz w:val="24"/>
        </w:rPr>
        <w:t>采购文件获取日期：</w:t>
      </w:r>
    </w:p>
    <w:p w14:paraId="6E091557">
      <w:pPr>
        <w:snapToGrid w:val="0"/>
        <w:spacing w:line="360" w:lineRule="auto"/>
        <w:rPr>
          <w:rFonts w:ascii="宋体" w:hAnsi="宋体" w:cs="宋体"/>
          <w:bCs/>
          <w:sz w:val="24"/>
        </w:rPr>
      </w:pPr>
      <w:r>
        <w:rPr>
          <w:rFonts w:hint="eastAsia" w:ascii="宋体" w:hAnsi="宋体" w:cs="宋体"/>
          <w:bCs/>
          <w:sz w:val="24"/>
        </w:rPr>
        <w:t>三、质疑事项具体内容</w:t>
      </w:r>
    </w:p>
    <w:p w14:paraId="58B144A9">
      <w:pPr>
        <w:snapToGrid w:val="0"/>
        <w:spacing w:line="360" w:lineRule="auto"/>
        <w:rPr>
          <w:rFonts w:ascii="宋体" w:hAnsi="宋体" w:cs="宋体"/>
          <w:sz w:val="24"/>
          <w:u w:val="dotted"/>
        </w:rPr>
      </w:pPr>
      <w:r>
        <w:rPr>
          <w:rFonts w:hint="eastAsia" w:ascii="宋体" w:hAnsi="宋体" w:cs="宋体"/>
          <w:sz w:val="24"/>
        </w:rPr>
        <w:t>质疑事项1：</w:t>
      </w:r>
    </w:p>
    <w:p w14:paraId="5CFF464E">
      <w:pPr>
        <w:snapToGrid w:val="0"/>
        <w:spacing w:line="360" w:lineRule="auto"/>
        <w:rPr>
          <w:rFonts w:ascii="宋体" w:hAnsi="宋体" w:cs="宋体"/>
          <w:sz w:val="24"/>
          <w:u w:val="dotted"/>
        </w:rPr>
      </w:pPr>
      <w:r>
        <w:rPr>
          <w:rFonts w:hint="eastAsia" w:ascii="宋体" w:hAnsi="宋体" w:cs="宋体"/>
          <w:sz w:val="24"/>
        </w:rPr>
        <w:t>事实依据：</w:t>
      </w:r>
    </w:p>
    <w:p w14:paraId="5A5CDD54">
      <w:pPr>
        <w:snapToGrid w:val="0"/>
        <w:spacing w:line="360" w:lineRule="auto"/>
        <w:rPr>
          <w:rFonts w:ascii="宋体" w:hAnsi="宋体" w:cs="宋体"/>
          <w:sz w:val="24"/>
        </w:rPr>
      </w:pPr>
    </w:p>
    <w:p w14:paraId="408C901E">
      <w:pPr>
        <w:snapToGrid w:val="0"/>
        <w:spacing w:line="360" w:lineRule="auto"/>
        <w:rPr>
          <w:rFonts w:ascii="宋体" w:hAnsi="宋体" w:cs="宋体"/>
          <w:sz w:val="24"/>
          <w:u w:val="dotted"/>
        </w:rPr>
      </w:pPr>
      <w:r>
        <w:rPr>
          <w:rFonts w:hint="eastAsia" w:ascii="宋体" w:hAnsi="宋体" w:cs="宋体"/>
          <w:sz w:val="24"/>
        </w:rPr>
        <w:t>法律依据：</w:t>
      </w:r>
    </w:p>
    <w:p w14:paraId="4968D255">
      <w:pPr>
        <w:snapToGrid w:val="0"/>
        <w:spacing w:line="360" w:lineRule="auto"/>
        <w:rPr>
          <w:rFonts w:ascii="宋体" w:hAnsi="宋体" w:cs="宋体"/>
          <w:sz w:val="24"/>
          <w:u w:val="dotted"/>
        </w:rPr>
      </w:pPr>
    </w:p>
    <w:p w14:paraId="19321CD1">
      <w:pPr>
        <w:snapToGrid w:val="0"/>
        <w:spacing w:line="360" w:lineRule="auto"/>
        <w:rPr>
          <w:rFonts w:ascii="宋体" w:hAnsi="宋体" w:cs="宋体"/>
          <w:sz w:val="24"/>
          <w:u w:val="dotted"/>
        </w:rPr>
      </w:pPr>
      <w:r>
        <w:rPr>
          <w:rFonts w:hint="eastAsia" w:ascii="宋体" w:hAnsi="宋体" w:cs="宋体"/>
          <w:sz w:val="24"/>
        </w:rPr>
        <w:t>质疑事项2</w:t>
      </w:r>
    </w:p>
    <w:p w14:paraId="78A192DF">
      <w:pPr>
        <w:snapToGrid w:val="0"/>
        <w:spacing w:line="360" w:lineRule="auto"/>
        <w:rPr>
          <w:rFonts w:ascii="宋体" w:hAnsi="宋体" w:cs="宋体"/>
          <w:sz w:val="24"/>
        </w:rPr>
      </w:pPr>
      <w:r>
        <w:rPr>
          <w:rFonts w:hint="eastAsia" w:ascii="宋体" w:hAnsi="宋体" w:cs="宋体"/>
          <w:sz w:val="24"/>
        </w:rPr>
        <w:t>……</w:t>
      </w:r>
    </w:p>
    <w:p w14:paraId="49EAAAA2">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D019B6E">
      <w:pPr>
        <w:snapToGrid w:val="0"/>
        <w:spacing w:line="360" w:lineRule="auto"/>
        <w:rPr>
          <w:rFonts w:ascii="宋体" w:hAnsi="宋体" w:cs="宋体"/>
          <w:sz w:val="24"/>
          <w:u w:val="dotted"/>
        </w:rPr>
      </w:pPr>
      <w:r>
        <w:rPr>
          <w:rFonts w:hint="eastAsia" w:ascii="宋体" w:hAnsi="宋体" w:cs="宋体"/>
          <w:sz w:val="24"/>
        </w:rPr>
        <w:t>请求：</w:t>
      </w:r>
    </w:p>
    <w:p w14:paraId="6BAC8E81">
      <w:pPr>
        <w:spacing w:line="360" w:lineRule="auto"/>
        <w:rPr>
          <w:rFonts w:ascii="宋体" w:hAnsi="宋体" w:cs="宋体"/>
          <w:sz w:val="24"/>
        </w:rPr>
      </w:pPr>
      <w:r>
        <w:rPr>
          <w:rFonts w:hint="eastAsia" w:ascii="宋体" w:hAnsi="宋体" w:cs="宋体"/>
          <w:sz w:val="24"/>
        </w:rPr>
        <w:t xml:space="preserve">签字(签章)：                   公章：                      </w:t>
      </w:r>
    </w:p>
    <w:p w14:paraId="79B6E435">
      <w:pPr>
        <w:spacing w:line="360" w:lineRule="auto"/>
        <w:rPr>
          <w:rFonts w:ascii="宋体" w:hAnsi="宋体" w:cs="宋体"/>
          <w:sz w:val="24"/>
        </w:rPr>
      </w:pPr>
      <w:r>
        <w:rPr>
          <w:rFonts w:hint="eastAsia" w:ascii="宋体" w:hAnsi="宋体" w:cs="宋体"/>
          <w:sz w:val="24"/>
        </w:rPr>
        <w:t xml:space="preserve">日期：    </w:t>
      </w:r>
    </w:p>
    <w:p w14:paraId="5A729DF1">
      <w:pPr>
        <w:spacing w:line="360" w:lineRule="auto"/>
        <w:jc w:val="center"/>
        <w:rPr>
          <w:rFonts w:ascii="宋体" w:hAnsi="宋体" w:cs="宋体"/>
          <w:b/>
          <w:bCs/>
          <w:sz w:val="24"/>
        </w:rPr>
      </w:pPr>
    </w:p>
    <w:p w14:paraId="5E672E4B">
      <w:pPr>
        <w:spacing w:line="360" w:lineRule="auto"/>
        <w:rPr>
          <w:rFonts w:ascii="宋体" w:hAnsi="宋体" w:cs="宋体"/>
          <w:b/>
          <w:sz w:val="24"/>
        </w:rPr>
      </w:pPr>
    </w:p>
    <w:p w14:paraId="3F938FCE">
      <w:pPr>
        <w:spacing w:line="360" w:lineRule="auto"/>
        <w:rPr>
          <w:rFonts w:ascii="宋体" w:hAnsi="宋体" w:cs="宋体"/>
          <w:b/>
          <w:sz w:val="24"/>
        </w:rPr>
      </w:pPr>
    </w:p>
    <w:p w14:paraId="168084C5">
      <w:pPr>
        <w:spacing w:line="360" w:lineRule="auto"/>
        <w:rPr>
          <w:rFonts w:ascii="宋体" w:hAnsi="宋体" w:cs="宋体"/>
          <w:b/>
          <w:sz w:val="24"/>
        </w:rPr>
      </w:pPr>
    </w:p>
    <w:p w14:paraId="04EB9A58">
      <w:pPr>
        <w:spacing w:line="360" w:lineRule="auto"/>
        <w:rPr>
          <w:rFonts w:ascii="宋体" w:hAnsi="宋体" w:cs="宋体"/>
          <w:b/>
          <w:sz w:val="24"/>
        </w:rPr>
      </w:pPr>
      <w:r>
        <w:rPr>
          <w:rFonts w:hint="eastAsia" w:ascii="宋体" w:hAnsi="宋体" w:cs="宋体"/>
          <w:b/>
          <w:sz w:val="24"/>
        </w:rPr>
        <w:t>质疑函制作说明：</w:t>
      </w:r>
    </w:p>
    <w:p w14:paraId="6BA87019">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DE31291">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66EE17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18F110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859CCD3">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6304432">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8830F3F">
      <w:pPr>
        <w:widowControl/>
        <w:spacing w:line="360" w:lineRule="auto"/>
        <w:ind w:firstLine="480" w:firstLineChars="200"/>
        <w:jc w:val="left"/>
        <w:rPr>
          <w:rFonts w:ascii="宋体" w:hAnsi="宋体" w:cs="宋体"/>
          <w:sz w:val="24"/>
        </w:rPr>
      </w:pPr>
    </w:p>
    <w:p w14:paraId="15EBE3A6">
      <w:pPr>
        <w:widowControl/>
        <w:spacing w:line="360" w:lineRule="auto"/>
        <w:ind w:firstLine="600" w:firstLineChars="200"/>
        <w:jc w:val="left"/>
        <w:rPr>
          <w:rFonts w:ascii="宋体" w:hAnsi="宋体" w:cs="宋体"/>
          <w:sz w:val="30"/>
          <w:szCs w:val="30"/>
        </w:rPr>
      </w:pPr>
    </w:p>
    <w:p w14:paraId="0230B42D">
      <w:pPr>
        <w:spacing w:line="360" w:lineRule="auto"/>
        <w:jc w:val="center"/>
        <w:rPr>
          <w:rFonts w:ascii="宋体" w:hAnsi="宋体" w:cs="宋体"/>
          <w:b/>
          <w:spacing w:val="6"/>
          <w:sz w:val="32"/>
          <w:szCs w:val="32"/>
        </w:rPr>
      </w:pPr>
    </w:p>
    <w:p w14:paraId="62230D7D">
      <w:pPr>
        <w:spacing w:line="360" w:lineRule="auto"/>
        <w:jc w:val="center"/>
        <w:rPr>
          <w:rFonts w:ascii="宋体" w:hAnsi="宋体" w:cs="宋体"/>
          <w:b/>
          <w:spacing w:val="6"/>
          <w:sz w:val="32"/>
          <w:szCs w:val="32"/>
        </w:rPr>
      </w:pPr>
    </w:p>
    <w:p w14:paraId="735A0B33">
      <w:pPr>
        <w:spacing w:line="360" w:lineRule="auto"/>
        <w:jc w:val="center"/>
        <w:rPr>
          <w:rFonts w:ascii="宋体" w:hAnsi="宋体" w:cs="宋体"/>
          <w:b/>
          <w:spacing w:val="6"/>
          <w:sz w:val="32"/>
          <w:szCs w:val="32"/>
        </w:rPr>
      </w:pPr>
    </w:p>
    <w:p w14:paraId="70746534">
      <w:pPr>
        <w:spacing w:line="360" w:lineRule="auto"/>
        <w:jc w:val="center"/>
        <w:rPr>
          <w:rFonts w:ascii="宋体" w:hAnsi="宋体" w:cs="宋体"/>
          <w:b/>
          <w:spacing w:val="6"/>
          <w:sz w:val="32"/>
          <w:szCs w:val="32"/>
        </w:rPr>
      </w:pPr>
    </w:p>
    <w:p w14:paraId="74D7C429">
      <w:pPr>
        <w:spacing w:line="360" w:lineRule="auto"/>
        <w:jc w:val="center"/>
        <w:rPr>
          <w:rFonts w:ascii="宋体" w:hAnsi="宋体" w:cs="宋体"/>
          <w:b/>
          <w:spacing w:val="6"/>
          <w:sz w:val="32"/>
          <w:szCs w:val="32"/>
        </w:rPr>
      </w:pPr>
    </w:p>
    <w:p w14:paraId="2DC7CECE">
      <w:pPr>
        <w:spacing w:line="360" w:lineRule="auto"/>
        <w:jc w:val="center"/>
        <w:rPr>
          <w:rFonts w:ascii="宋体" w:hAnsi="宋体" w:cs="宋体"/>
          <w:b/>
          <w:spacing w:val="6"/>
          <w:sz w:val="32"/>
          <w:szCs w:val="32"/>
        </w:rPr>
      </w:pPr>
    </w:p>
    <w:p w14:paraId="411C6A97">
      <w:pPr>
        <w:spacing w:line="360" w:lineRule="auto"/>
        <w:jc w:val="center"/>
        <w:rPr>
          <w:rFonts w:ascii="宋体" w:hAnsi="宋体" w:cs="宋体"/>
          <w:b/>
          <w:spacing w:val="6"/>
          <w:sz w:val="32"/>
          <w:szCs w:val="32"/>
        </w:rPr>
      </w:pPr>
    </w:p>
    <w:p w14:paraId="431D2D27">
      <w:pPr>
        <w:spacing w:line="360" w:lineRule="auto"/>
        <w:jc w:val="center"/>
        <w:rPr>
          <w:rFonts w:ascii="宋体" w:hAnsi="宋体" w:cs="宋体"/>
          <w:b/>
          <w:spacing w:val="6"/>
          <w:sz w:val="32"/>
          <w:szCs w:val="32"/>
        </w:rPr>
      </w:pPr>
    </w:p>
    <w:p w14:paraId="506D8AFA">
      <w:pPr>
        <w:spacing w:line="360" w:lineRule="auto"/>
        <w:jc w:val="center"/>
        <w:rPr>
          <w:rFonts w:ascii="宋体" w:hAnsi="宋体" w:cs="宋体"/>
          <w:b/>
          <w:spacing w:val="6"/>
          <w:sz w:val="32"/>
          <w:szCs w:val="32"/>
        </w:rPr>
      </w:pPr>
    </w:p>
    <w:p w14:paraId="554ACCD5">
      <w:pPr>
        <w:spacing w:line="360" w:lineRule="auto"/>
        <w:jc w:val="center"/>
        <w:rPr>
          <w:rFonts w:ascii="宋体" w:hAnsi="宋体" w:cs="宋体"/>
          <w:b/>
          <w:spacing w:val="6"/>
          <w:sz w:val="32"/>
          <w:szCs w:val="32"/>
        </w:rPr>
      </w:pPr>
    </w:p>
    <w:p w14:paraId="007BCB03">
      <w:pPr>
        <w:spacing w:line="360" w:lineRule="auto"/>
        <w:jc w:val="center"/>
        <w:rPr>
          <w:rFonts w:ascii="宋体" w:hAnsi="宋体" w:cs="宋体"/>
          <w:b/>
          <w:spacing w:val="6"/>
          <w:sz w:val="32"/>
          <w:szCs w:val="32"/>
        </w:rPr>
      </w:pPr>
    </w:p>
    <w:p w14:paraId="2ABE6FBC">
      <w:pPr>
        <w:spacing w:line="360" w:lineRule="auto"/>
        <w:jc w:val="center"/>
        <w:rPr>
          <w:rFonts w:ascii="宋体" w:hAnsi="宋体" w:cs="宋体"/>
          <w:b/>
          <w:spacing w:val="6"/>
          <w:sz w:val="32"/>
          <w:szCs w:val="32"/>
        </w:rPr>
      </w:pPr>
    </w:p>
    <w:p w14:paraId="77191CBC">
      <w:pPr>
        <w:spacing w:line="360" w:lineRule="auto"/>
        <w:jc w:val="left"/>
        <w:rPr>
          <w:rFonts w:ascii="宋体" w:hAnsi="宋体" w:cs="宋体"/>
          <w:b/>
          <w:spacing w:val="6"/>
          <w:sz w:val="32"/>
          <w:szCs w:val="32"/>
        </w:rPr>
      </w:pPr>
    </w:p>
    <w:p w14:paraId="081FBFDE">
      <w:pPr>
        <w:spacing w:line="360" w:lineRule="auto"/>
        <w:jc w:val="left"/>
        <w:rPr>
          <w:rFonts w:ascii="宋体" w:hAnsi="宋体" w:cs="宋体"/>
          <w:b/>
          <w:spacing w:val="6"/>
          <w:sz w:val="32"/>
          <w:szCs w:val="32"/>
        </w:rPr>
      </w:pPr>
    </w:p>
    <w:p w14:paraId="141A1B3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CC093BF">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0153DBD">
      <w:pPr>
        <w:spacing w:line="360" w:lineRule="auto"/>
        <w:rPr>
          <w:rFonts w:ascii="宋体" w:hAnsi="宋体" w:cs="宋体"/>
          <w:sz w:val="24"/>
        </w:rPr>
      </w:pPr>
      <w:r>
        <w:rPr>
          <w:rFonts w:hint="eastAsia" w:ascii="宋体" w:hAnsi="宋体" w:cs="宋体"/>
          <w:sz w:val="24"/>
        </w:rPr>
        <w:t>一、投诉相关主体基本情况</w:t>
      </w:r>
    </w:p>
    <w:p w14:paraId="2091AD49">
      <w:pPr>
        <w:spacing w:line="360" w:lineRule="auto"/>
        <w:rPr>
          <w:rFonts w:ascii="宋体" w:hAnsi="宋体" w:cs="宋体"/>
          <w:sz w:val="24"/>
          <w:u w:val="dotted"/>
        </w:rPr>
      </w:pPr>
      <w:r>
        <w:rPr>
          <w:rFonts w:hint="eastAsia" w:ascii="宋体" w:hAnsi="宋体" w:cs="宋体"/>
          <w:sz w:val="24"/>
        </w:rPr>
        <w:t>投诉人：</w:t>
      </w:r>
    </w:p>
    <w:p w14:paraId="01F06144">
      <w:pPr>
        <w:spacing w:line="360" w:lineRule="auto"/>
        <w:rPr>
          <w:rFonts w:ascii="宋体" w:hAnsi="宋体" w:cs="宋体"/>
          <w:sz w:val="24"/>
          <w:u w:val="single"/>
        </w:rPr>
      </w:pPr>
      <w:r>
        <w:rPr>
          <w:rFonts w:hint="eastAsia" w:ascii="宋体" w:hAnsi="宋体" w:cs="宋体"/>
          <w:sz w:val="24"/>
        </w:rPr>
        <w:t>地     址：邮编：</w:t>
      </w:r>
    </w:p>
    <w:p w14:paraId="3F23F7A9">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33380ECA">
      <w:pPr>
        <w:tabs>
          <w:tab w:val="left" w:pos="6510"/>
        </w:tabs>
        <w:spacing w:line="360" w:lineRule="auto"/>
        <w:rPr>
          <w:rFonts w:ascii="宋体" w:hAnsi="宋体" w:cs="宋体"/>
          <w:sz w:val="24"/>
          <w:u w:val="dotted"/>
        </w:rPr>
      </w:pPr>
      <w:r>
        <w:rPr>
          <w:rFonts w:hint="eastAsia" w:ascii="宋体" w:hAnsi="宋体" w:cs="宋体"/>
          <w:sz w:val="24"/>
        </w:rPr>
        <w:t>联系电话：</w:t>
      </w:r>
    </w:p>
    <w:p w14:paraId="76F1F4A3">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0740BF57">
      <w:pPr>
        <w:spacing w:line="360" w:lineRule="auto"/>
        <w:rPr>
          <w:rFonts w:ascii="宋体" w:hAnsi="宋体" w:cs="宋体"/>
          <w:sz w:val="24"/>
          <w:u w:val="dotted"/>
        </w:rPr>
      </w:pPr>
      <w:r>
        <w:rPr>
          <w:rFonts w:hint="eastAsia" w:ascii="宋体" w:hAnsi="宋体" w:cs="宋体"/>
          <w:sz w:val="24"/>
        </w:rPr>
        <w:t>地     址：邮编：</w:t>
      </w:r>
    </w:p>
    <w:p w14:paraId="54D9344D">
      <w:pPr>
        <w:spacing w:line="360" w:lineRule="auto"/>
        <w:rPr>
          <w:rFonts w:ascii="宋体" w:hAnsi="宋体" w:cs="宋体"/>
          <w:sz w:val="24"/>
          <w:u w:val="single"/>
        </w:rPr>
      </w:pPr>
      <w:r>
        <w:rPr>
          <w:rFonts w:hint="eastAsia" w:ascii="宋体" w:hAnsi="宋体" w:cs="宋体"/>
          <w:sz w:val="24"/>
        </w:rPr>
        <w:t>被投诉人1：</w:t>
      </w:r>
    </w:p>
    <w:p w14:paraId="0F52F1B0">
      <w:pPr>
        <w:spacing w:line="360" w:lineRule="auto"/>
        <w:rPr>
          <w:rFonts w:ascii="宋体" w:hAnsi="宋体" w:cs="宋体"/>
          <w:sz w:val="24"/>
          <w:u w:val="single"/>
        </w:rPr>
      </w:pPr>
      <w:r>
        <w:rPr>
          <w:rFonts w:hint="eastAsia" w:ascii="宋体" w:hAnsi="宋体" w:cs="宋体"/>
          <w:sz w:val="24"/>
        </w:rPr>
        <w:t>地     址：邮编：</w:t>
      </w:r>
    </w:p>
    <w:p w14:paraId="07021DCF">
      <w:pPr>
        <w:spacing w:line="360" w:lineRule="auto"/>
        <w:rPr>
          <w:rFonts w:ascii="宋体" w:hAnsi="宋体" w:cs="宋体"/>
          <w:sz w:val="24"/>
          <w:u w:val="single"/>
        </w:rPr>
      </w:pPr>
      <w:r>
        <w:rPr>
          <w:rFonts w:hint="eastAsia" w:ascii="宋体" w:hAnsi="宋体" w:cs="宋体"/>
          <w:sz w:val="24"/>
        </w:rPr>
        <w:t>联系人：联系电话：</w:t>
      </w:r>
    </w:p>
    <w:p w14:paraId="250B1317">
      <w:pPr>
        <w:spacing w:line="360" w:lineRule="auto"/>
        <w:rPr>
          <w:rFonts w:ascii="宋体" w:hAnsi="宋体" w:cs="宋体"/>
          <w:sz w:val="24"/>
        </w:rPr>
      </w:pPr>
      <w:r>
        <w:rPr>
          <w:rFonts w:hint="eastAsia" w:ascii="宋体" w:hAnsi="宋体" w:cs="宋体"/>
          <w:sz w:val="24"/>
        </w:rPr>
        <w:t>被投诉人2</w:t>
      </w:r>
    </w:p>
    <w:p w14:paraId="00BCA268">
      <w:pPr>
        <w:spacing w:line="360" w:lineRule="auto"/>
        <w:rPr>
          <w:rFonts w:ascii="宋体" w:hAnsi="宋体" w:cs="宋体"/>
          <w:sz w:val="24"/>
          <w:u w:val="dotted"/>
        </w:rPr>
      </w:pPr>
      <w:r>
        <w:rPr>
          <w:rFonts w:hint="eastAsia" w:ascii="宋体" w:hAnsi="宋体" w:cs="宋体"/>
          <w:sz w:val="24"/>
        </w:rPr>
        <w:t>……</w:t>
      </w:r>
    </w:p>
    <w:p w14:paraId="32C241F0">
      <w:pPr>
        <w:spacing w:line="360" w:lineRule="auto"/>
        <w:rPr>
          <w:rFonts w:ascii="宋体" w:hAnsi="宋体" w:cs="宋体"/>
          <w:sz w:val="24"/>
          <w:u w:val="single"/>
        </w:rPr>
      </w:pPr>
      <w:r>
        <w:rPr>
          <w:rFonts w:hint="eastAsia" w:ascii="宋体" w:hAnsi="宋体" w:cs="宋体"/>
          <w:sz w:val="24"/>
        </w:rPr>
        <w:t>相关供应商：</w:t>
      </w:r>
    </w:p>
    <w:p w14:paraId="1F2E1361">
      <w:pPr>
        <w:spacing w:line="360" w:lineRule="auto"/>
        <w:rPr>
          <w:rFonts w:ascii="宋体" w:hAnsi="宋体" w:cs="宋体"/>
          <w:sz w:val="24"/>
          <w:u w:val="single"/>
        </w:rPr>
      </w:pPr>
      <w:r>
        <w:rPr>
          <w:rFonts w:hint="eastAsia" w:ascii="宋体" w:hAnsi="宋体" w:cs="宋体"/>
          <w:sz w:val="24"/>
        </w:rPr>
        <w:t>地     址：邮编：</w:t>
      </w:r>
    </w:p>
    <w:p w14:paraId="3F612F27">
      <w:pPr>
        <w:spacing w:line="360" w:lineRule="auto"/>
        <w:rPr>
          <w:rFonts w:ascii="宋体" w:hAnsi="宋体" w:cs="宋体"/>
          <w:sz w:val="24"/>
          <w:u w:val="single"/>
        </w:rPr>
      </w:pPr>
      <w:r>
        <w:rPr>
          <w:rFonts w:hint="eastAsia" w:ascii="宋体" w:hAnsi="宋体" w:cs="宋体"/>
          <w:sz w:val="24"/>
        </w:rPr>
        <w:t>联系人：联系电话：</w:t>
      </w:r>
    </w:p>
    <w:p w14:paraId="09611AE4">
      <w:pPr>
        <w:spacing w:line="360" w:lineRule="auto"/>
        <w:rPr>
          <w:rFonts w:ascii="宋体" w:hAnsi="宋体" w:cs="宋体"/>
          <w:sz w:val="24"/>
        </w:rPr>
      </w:pPr>
      <w:r>
        <w:rPr>
          <w:rFonts w:hint="eastAsia" w:ascii="宋体" w:hAnsi="宋体" w:cs="宋体"/>
          <w:sz w:val="24"/>
        </w:rPr>
        <w:t>二、投诉项目基本情况</w:t>
      </w:r>
    </w:p>
    <w:p w14:paraId="246894FF">
      <w:pPr>
        <w:spacing w:line="360" w:lineRule="auto"/>
        <w:rPr>
          <w:rFonts w:ascii="宋体" w:hAnsi="宋体" w:cs="宋体"/>
          <w:sz w:val="24"/>
          <w:u w:val="dotted"/>
        </w:rPr>
      </w:pPr>
      <w:r>
        <w:rPr>
          <w:rFonts w:hint="eastAsia" w:ascii="宋体" w:hAnsi="宋体" w:cs="宋体"/>
          <w:sz w:val="24"/>
        </w:rPr>
        <w:t>采购项目名称：</w:t>
      </w:r>
    </w:p>
    <w:p w14:paraId="7A6B740B">
      <w:pPr>
        <w:spacing w:line="360" w:lineRule="auto"/>
        <w:rPr>
          <w:rFonts w:ascii="宋体" w:hAnsi="宋体" w:cs="宋体"/>
          <w:sz w:val="24"/>
          <w:u w:val="single"/>
        </w:rPr>
      </w:pPr>
      <w:r>
        <w:rPr>
          <w:rFonts w:hint="eastAsia" w:ascii="宋体" w:hAnsi="宋体" w:cs="宋体"/>
          <w:sz w:val="24"/>
        </w:rPr>
        <w:t>采购项目编号：包号：</w:t>
      </w:r>
    </w:p>
    <w:p w14:paraId="47C10D2A">
      <w:pPr>
        <w:spacing w:line="360" w:lineRule="auto"/>
        <w:rPr>
          <w:rFonts w:ascii="宋体" w:hAnsi="宋体" w:cs="宋体"/>
          <w:sz w:val="24"/>
        </w:rPr>
      </w:pPr>
      <w:r>
        <w:rPr>
          <w:rFonts w:hint="eastAsia" w:ascii="宋体" w:hAnsi="宋体" w:cs="宋体"/>
          <w:sz w:val="24"/>
        </w:rPr>
        <w:t>采购人名称：</w:t>
      </w:r>
    </w:p>
    <w:p w14:paraId="727001FE">
      <w:pPr>
        <w:spacing w:line="360" w:lineRule="auto"/>
        <w:rPr>
          <w:rFonts w:ascii="宋体" w:hAnsi="宋体" w:cs="宋体"/>
          <w:sz w:val="24"/>
          <w:u w:val="single"/>
        </w:rPr>
      </w:pPr>
      <w:r>
        <w:rPr>
          <w:rFonts w:hint="eastAsia" w:ascii="宋体" w:hAnsi="宋体" w:cs="宋体"/>
          <w:sz w:val="24"/>
        </w:rPr>
        <w:t>代理机构名称：</w:t>
      </w:r>
    </w:p>
    <w:p w14:paraId="1AFFE7A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3507F8EB">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7E53DF31">
      <w:pPr>
        <w:spacing w:line="360" w:lineRule="auto"/>
        <w:rPr>
          <w:rFonts w:ascii="宋体" w:hAnsi="宋体" w:cs="宋体"/>
          <w:sz w:val="24"/>
        </w:rPr>
      </w:pPr>
      <w:r>
        <w:rPr>
          <w:rFonts w:hint="eastAsia" w:ascii="宋体" w:hAnsi="宋体" w:cs="宋体"/>
          <w:sz w:val="24"/>
        </w:rPr>
        <w:t>三、质疑基本情况</w:t>
      </w:r>
    </w:p>
    <w:p w14:paraId="754DC39F">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1D5213FB">
      <w:pPr>
        <w:spacing w:line="360" w:lineRule="auto"/>
        <w:rPr>
          <w:rFonts w:ascii="宋体" w:hAnsi="宋体" w:cs="宋体"/>
          <w:sz w:val="24"/>
          <w:u w:val="dotted"/>
        </w:rPr>
      </w:pPr>
    </w:p>
    <w:p w14:paraId="7288845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338D615E">
      <w:pPr>
        <w:spacing w:line="360" w:lineRule="auto"/>
        <w:rPr>
          <w:rFonts w:ascii="宋体" w:hAnsi="宋体" w:cs="宋体"/>
          <w:sz w:val="24"/>
        </w:rPr>
      </w:pPr>
      <w:r>
        <w:rPr>
          <w:rFonts w:hint="eastAsia" w:ascii="宋体" w:hAnsi="宋体" w:cs="宋体"/>
          <w:sz w:val="24"/>
        </w:rPr>
        <w:t>四、投诉事项具体内容</w:t>
      </w:r>
    </w:p>
    <w:p w14:paraId="40F26FB1">
      <w:pPr>
        <w:spacing w:line="360" w:lineRule="auto"/>
        <w:rPr>
          <w:rFonts w:ascii="宋体" w:hAnsi="宋体" w:cs="宋体"/>
          <w:sz w:val="24"/>
          <w:u w:val="single"/>
        </w:rPr>
      </w:pPr>
      <w:r>
        <w:rPr>
          <w:rFonts w:hint="eastAsia" w:ascii="宋体" w:hAnsi="宋体" w:cs="宋体"/>
          <w:sz w:val="24"/>
        </w:rPr>
        <w:t>投诉事项 1：</w:t>
      </w:r>
    </w:p>
    <w:p w14:paraId="028F619F">
      <w:pPr>
        <w:spacing w:line="360" w:lineRule="auto"/>
        <w:rPr>
          <w:rFonts w:ascii="宋体" w:hAnsi="宋体" w:cs="宋体"/>
          <w:sz w:val="24"/>
        </w:rPr>
      </w:pPr>
      <w:r>
        <w:rPr>
          <w:rFonts w:hint="eastAsia" w:ascii="宋体" w:hAnsi="宋体" w:cs="宋体"/>
          <w:sz w:val="24"/>
        </w:rPr>
        <w:t>事实依据：</w:t>
      </w:r>
    </w:p>
    <w:p w14:paraId="4A424FFD">
      <w:pPr>
        <w:spacing w:line="360" w:lineRule="auto"/>
        <w:rPr>
          <w:rFonts w:ascii="宋体" w:hAnsi="宋体" w:cs="宋体"/>
          <w:sz w:val="24"/>
          <w:u w:val="dotted"/>
        </w:rPr>
      </w:pPr>
    </w:p>
    <w:p w14:paraId="17A936C7">
      <w:pPr>
        <w:spacing w:line="360" w:lineRule="auto"/>
        <w:rPr>
          <w:rFonts w:ascii="宋体" w:hAnsi="宋体" w:cs="宋体"/>
          <w:sz w:val="24"/>
          <w:u w:val="single"/>
        </w:rPr>
      </w:pPr>
      <w:r>
        <w:rPr>
          <w:rFonts w:hint="eastAsia" w:ascii="宋体" w:hAnsi="宋体" w:cs="宋体"/>
          <w:sz w:val="24"/>
        </w:rPr>
        <w:t>法律依据：</w:t>
      </w:r>
    </w:p>
    <w:p w14:paraId="536C3C91">
      <w:pPr>
        <w:spacing w:line="360" w:lineRule="auto"/>
        <w:rPr>
          <w:rFonts w:ascii="宋体" w:hAnsi="宋体" w:cs="宋体"/>
          <w:sz w:val="24"/>
          <w:u w:val="dotted"/>
        </w:rPr>
      </w:pPr>
    </w:p>
    <w:p w14:paraId="40CB18C7">
      <w:pPr>
        <w:spacing w:line="360" w:lineRule="auto"/>
        <w:rPr>
          <w:rFonts w:ascii="宋体" w:hAnsi="宋体" w:cs="宋体"/>
          <w:sz w:val="24"/>
        </w:rPr>
      </w:pPr>
      <w:r>
        <w:rPr>
          <w:rFonts w:hint="eastAsia" w:ascii="宋体" w:hAnsi="宋体" w:cs="宋体"/>
          <w:sz w:val="24"/>
        </w:rPr>
        <w:t>投诉事项2</w:t>
      </w:r>
    </w:p>
    <w:p w14:paraId="12AD4CAB">
      <w:pPr>
        <w:spacing w:line="360" w:lineRule="auto"/>
        <w:rPr>
          <w:rFonts w:ascii="宋体" w:hAnsi="宋体" w:cs="宋体"/>
          <w:sz w:val="24"/>
          <w:u w:val="dotted"/>
        </w:rPr>
      </w:pPr>
      <w:r>
        <w:rPr>
          <w:rFonts w:hint="eastAsia" w:ascii="宋体" w:hAnsi="宋体" w:cs="宋体"/>
          <w:sz w:val="24"/>
        </w:rPr>
        <w:t>……</w:t>
      </w:r>
    </w:p>
    <w:p w14:paraId="598B06B9">
      <w:pPr>
        <w:spacing w:line="360" w:lineRule="auto"/>
        <w:rPr>
          <w:rFonts w:ascii="宋体" w:hAnsi="宋体" w:cs="宋体"/>
          <w:sz w:val="24"/>
        </w:rPr>
      </w:pPr>
      <w:r>
        <w:rPr>
          <w:rFonts w:hint="eastAsia" w:ascii="宋体" w:hAnsi="宋体" w:cs="宋体"/>
          <w:sz w:val="24"/>
        </w:rPr>
        <w:t>五、与投诉事项相关的投诉请求</w:t>
      </w:r>
    </w:p>
    <w:p w14:paraId="45046C52">
      <w:pPr>
        <w:spacing w:line="360" w:lineRule="auto"/>
        <w:rPr>
          <w:rFonts w:ascii="宋体" w:hAnsi="宋体" w:cs="宋体"/>
          <w:sz w:val="24"/>
        </w:rPr>
      </w:pPr>
      <w:r>
        <w:rPr>
          <w:rFonts w:hint="eastAsia" w:ascii="宋体" w:hAnsi="宋体" w:cs="宋体"/>
          <w:sz w:val="24"/>
        </w:rPr>
        <w:t>请求：</w:t>
      </w:r>
    </w:p>
    <w:p w14:paraId="7055CE39">
      <w:pPr>
        <w:spacing w:line="360" w:lineRule="auto"/>
        <w:rPr>
          <w:rFonts w:ascii="宋体" w:hAnsi="宋体" w:cs="宋体"/>
          <w:sz w:val="24"/>
          <w:u w:val="single"/>
        </w:rPr>
      </w:pPr>
    </w:p>
    <w:p w14:paraId="2F6EAE67">
      <w:pPr>
        <w:spacing w:line="360" w:lineRule="auto"/>
        <w:rPr>
          <w:rFonts w:ascii="宋体" w:hAnsi="宋体" w:cs="宋体"/>
          <w:sz w:val="24"/>
        </w:rPr>
      </w:pPr>
      <w:r>
        <w:rPr>
          <w:rFonts w:hint="eastAsia" w:ascii="宋体" w:hAnsi="宋体" w:cs="宋体"/>
          <w:sz w:val="24"/>
        </w:rPr>
        <w:t xml:space="preserve">签字(签章)：                   公章：                      </w:t>
      </w:r>
    </w:p>
    <w:p w14:paraId="2484FCB0">
      <w:pPr>
        <w:spacing w:line="360" w:lineRule="auto"/>
        <w:rPr>
          <w:rFonts w:ascii="宋体" w:hAnsi="宋体" w:cs="宋体"/>
          <w:sz w:val="24"/>
        </w:rPr>
      </w:pPr>
      <w:r>
        <w:rPr>
          <w:rFonts w:hint="eastAsia" w:ascii="宋体" w:hAnsi="宋体" w:cs="宋体"/>
          <w:sz w:val="24"/>
        </w:rPr>
        <w:t xml:space="preserve">日期：    </w:t>
      </w:r>
    </w:p>
    <w:p w14:paraId="6C25E76A">
      <w:pPr>
        <w:spacing w:line="360" w:lineRule="auto"/>
        <w:rPr>
          <w:rFonts w:ascii="宋体" w:hAnsi="宋体" w:cs="宋体"/>
          <w:b/>
          <w:sz w:val="24"/>
        </w:rPr>
      </w:pPr>
    </w:p>
    <w:p w14:paraId="2C9994EE">
      <w:pPr>
        <w:spacing w:line="360" w:lineRule="auto"/>
        <w:rPr>
          <w:rFonts w:ascii="宋体" w:hAnsi="宋体" w:cs="宋体"/>
          <w:b/>
          <w:sz w:val="24"/>
        </w:rPr>
      </w:pPr>
    </w:p>
    <w:p w14:paraId="470781BB">
      <w:pPr>
        <w:spacing w:line="360" w:lineRule="auto"/>
        <w:rPr>
          <w:rFonts w:ascii="宋体" w:hAnsi="宋体" w:cs="宋体"/>
          <w:b/>
          <w:sz w:val="24"/>
        </w:rPr>
      </w:pPr>
      <w:r>
        <w:rPr>
          <w:rFonts w:hint="eastAsia" w:ascii="宋体" w:hAnsi="宋体" w:cs="宋体"/>
          <w:b/>
          <w:sz w:val="24"/>
        </w:rPr>
        <w:t>投诉书制作说明：</w:t>
      </w:r>
    </w:p>
    <w:p w14:paraId="2512A20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54657E2">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DFE466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421BCBA">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F65162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51FA02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69A90B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92C28B8">
      <w:pPr>
        <w:autoSpaceDE w:val="0"/>
        <w:autoSpaceDN w:val="0"/>
        <w:jc w:val="center"/>
        <w:rPr>
          <w:rFonts w:ascii="宋体" w:hAnsi="宋体" w:cs="宋体"/>
          <w:b/>
          <w:spacing w:val="6"/>
          <w:sz w:val="32"/>
          <w:szCs w:val="32"/>
        </w:rPr>
      </w:pPr>
    </w:p>
    <w:p w14:paraId="6A0DC399">
      <w:pPr>
        <w:autoSpaceDE w:val="0"/>
        <w:autoSpaceDN w:val="0"/>
        <w:rPr>
          <w:rFonts w:ascii="宋体" w:hAnsi="宋体" w:cs="宋体"/>
          <w:b/>
          <w:spacing w:val="6"/>
          <w:sz w:val="32"/>
          <w:szCs w:val="32"/>
        </w:rPr>
      </w:pPr>
    </w:p>
    <w:p w14:paraId="7FC13EAF">
      <w:pPr>
        <w:autoSpaceDE w:val="0"/>
        <w:autoSpaceDN w:val="0"/>
        <w:jc w:val="center"/>
        <w:rPr>
          <w:rFonts w:hint="eastAsia" w:ascii="宋体" w:hAnsi="宋体" w:cs="宋体"/>
          <w:b/>
          <w:spacing w:val="6"/>
          <w:sz w:val="32"/>
          <w:szCs w:val="32"/>
        </w:rPr>
      </w:pPr>
    </w:p>
    <w:p w14:paraId="2300CFC3">
      <w:pPr>
        <w:autoSpaceDE w:val="0"/>
        <w:autoSpaceDN w:val="0"/>
        <w:jc w:val="center"/>
        <w:rPr>
          <w:rFonts w:hint="eastAsia" w:ascii="宋体" w:hAnsi="宋体" w:cs="宋体"/>
          <w:b/>
          <w:spacing w:val="6"/>
          <w:sz w:val="32"/>
          <w:szCs w:val="32"/>
        </w:rPr>
      </w:pPr>
    </w:p>
    <w:p w14:paraId="68E5EB0A">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15906BC">
      <w:pPr>
        <w:spacing w:line="360" w:lineRule="auto"/>
        <w:rPr>
          <w:rFonts w:ascii="宋体" w:hAnsi="宋体" w:cs="宋体"/>
          <w:sz w:val="24"/>
        </w:rPr>
      </w:pPr>
      <w:r>
        <w:rPr>
          <w:rFonts w:hint="eastAsia" w:ascii="宋体" w:hAnsi="宋体" w:cs="宋体"/>
          <w:sz w:val="24"/>
          <w:u w:val="single"/>
        </w:rPr>
        <w:t>（采购人）、（采购代理机构）</w:t>
      </w:r>
    </w:p>
    <w:p w14:paraId="0DF1B3E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9C9A81D">
      <w:pPr>
        <w:spacing w:line="360" w:lineRule="auto"/>
        <w:ind w:firstLine="480" w:firstLineChars="200"/>
        <w:rPr>
          <w:rFonts w:ascii="宋体" w:hAnsi="宋体" w:cs="宋体"/>
          <w:sz w:val="24"/>
        </w:rPr>
      </w:pPr>
      <w:r>
        <w:rPr>
          <w:rFonts w:hint="eastAsia" w:ascii="宋体" w:hAnsi="宋体" w:cs="宋体"/>
          <w:sz w:val="24"/>
        </w:rPr>
        <w:t>特此说明。</w:t>
      </w:r>
    </w:p>
    <w:p w14:paraId="3E18E82E">
      <w:pPr>
        <w:spacing w:line="360" w:lineRule="auto"/>
        <w:ind w:firstLine="494"/>
        <w:rPr>
          <w:rFonts w:ascii="宋体" w:hAnsi="宋体" w:cs="宋体"/>
          <w:sz w:val="24"/>
        </w:rPr>
      </w:pPr>
    </w:p>
    <w:p w14:paraId="04FBE757">
      <w:pPr>
        <w:spacing w:line="360" w:lineRule="auto"/>
        <w:ind w:firstLine="494"/>
        <w:rPr>
          <w:rFonts w:ascii="宋体" w:hAnsi="宋体" w:cs="宋体"/>
          <w:sz w:val="24"/>
        </w:rPr>
      </w:pPr>
    </w:p>
    <w:p w14:paraId="4FE80621">
      <w:pPr>
        <w:spacing w:line="360" w:lineRule="auto"/>
        <w:ind w:firstLine="494"/>
        <w:rPr>
          <w:rFonts w:ascii="宋体" w:hAnsi="宋体" w:cs="宋体"/>
          <w:sz w:val="24"/>
        </w:rPr>
      </w:pPr>
    </w:p>
    <w:p w14:paraId="65484700">
      <w:pPr>
        <w:spacing w:line="360" w:lineRule="auto"/>
        <w:ind w:firstLine="494"/>
        <w:rPr>
          <w:rFonts w:ascii="宋体" w:hAnsi="宋体" w:cs="宋体"/>
          <w:sz w:val="24"/>
        </w:rPr>
      </w:pPr>
    </w:p>
    <w:p w14:paraId="06BCCF23">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276503A">
      <w:pPr>
        <w:ind w:right="1440" w:firstLine="494"/>
        <w:jc w:val="center"/>
        <w:rPr>
          <w:rFonts w:ascii="宋体" w:hAnsi="宋体" w:cs="宋体"/>
          <w:sz w:val="24"/>
        </w:rPr>
      </w:pPr>
      <w:r>
        <w:rPr>
          <w:rFonts w:hint="eastAsia" w:ascii="宋体" w:hAnsi="宋体" w:cs="宋体"/>
          <w:sz w:val="24"/>
        </w:rPr>
        <w:t xml:space="preserve">                              日期：       年     月     日</w:t>
      </w:r>
    </w:p>
    <w:p w14:paraId="7A09699B">
      <w:pPr>
        <w:rPr>
          <w:rFonts w:ascii="宋体" w:hAnsi="宋体" w:cs="宋体"/>
          <w:sz w:val="24"/>
        </w:rPr>
      </w:pPr>
      <w:r>
        <w:rPr>
          <w:rFonts w:hint="eastAsia" w:ascii="宋体" w:hAnsi="宋体" w:cs="宋体"/>
          <w:b/>
          <w:bCs/>
          <w:sz w:val="24"/>
        </w:rPr>
        <w:t>附：</w:t>
      </w:r>
    </w:p>
    <w:p w14:paraId="1FFD1B46">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1DCCD1D">
      <w:pPr>
        <w:autoSpaceDE w:val="0"/>
        <w:autoSpaceDN w:val="0"/>
        <w:jc w:val="center"/>
        <w:rPr>
          <w:rFonts w:ascii="宋体" w:hAnsi="宋体" w:cs="宋体"/>
          <w:b/>
          <w:spacing w:val="6"/>
          <w:sz w:val="32"/>
          <w:szCs w:val="32"/>
        </w:rPr>
      </w:pPr>
    </w:p>
    <w:p w14:paraId="2C33FE8F">
      <w:pPr>
        <w:autoSpaceDE w:val="0"/>
        <w:autoSpaceDN w:val="0"/>
        <w:jc w:val="center"/>
        <w:rPr>
          <w:rFonts w:ascii="宋体" w:hAnsi="宋体" w:cs="宋体"/>
          <w:b/>
          <w:spacing w:val="6"/>
          <w:sz w:val="32"/>
          <w:szCs w:val="32"/>
        </w:rPr>
      </w:pPr>
    </w:p>
    <w:p w14:paraId="51418E3A">
      <w:pPr>
        <w:autoSpaceDE w:val="0"/>
        <w:autoSpaceDN w:val="0"/>
        <w:jc w:val="center"/>
        <w:rPr>
          <w:rFonts w:ascii="宋体" w:hAnsi="宋体" w:cs="宋体"/>
          <w:b/>
          <w:spacing w:val="6"/>
          <w:sz w:val="32"/>
          <w:szCs w:val="32"/>
        </w:rPr>
      </w:pPr>
    </w:p>
    <w:p w14:paraId="620578FC">
      <w:pPr>
        <w:autoSpaceDE w:val="0"/>
        <w:autoSpaceDN w:val="0"/>
        <w:jc w:val="center"/>
        <w:rPr>
          <w:rFonts w:ascii="宋体" w:hAnsi="宋体" w:cs="宋体"/>
          <w:b/>
          <w:spacing w:val="6"/>
          <w:sz w:val="32"/>
          <w:szCs w:val="32"/>
        </w:rPr>
      </w:pPr>
    </w:p>
    <w:p w14:paraId="2019C10F">
      <w:pPr>
        <w:autoSpaceDE w:val="0"/>
        <w:autoSpaceDN w:val="0"/>
        <w:jc w:val="center"/>
        <w:rPr>
          <w:rFonts w:ascii="宋体" w:hAnsi="宋体" w:cs="宋体"/>
          <w:b/>
          <w:spacing w:val="6"/>
          <w:sz w:val="32"/>
          <w:szCs w:val="32"/>
        </w:rPr>
      </w:pPr>
    </w:p>
    <w:p w14:paraId="3BEA7C97">
      <w:pPr>
        <w:autoSpaceDE w:val="0"/>
        <w:autoSpaceDN w:val="0"/>
        <w:jc w:val="center"/>
        <w:rPr>
          <w:rFonts w:ascii="宋体" w:hAnsi="宋体" w:cs="宋体"/>
          <w:b/>
          <w:spacing w:val="6"/>
          <w:sz w:val="32"/>
          <w:szCs w:val="32"/>
        </w:rPr>
      </w:pPr>
    </w:p>
    <w:p w14:paraId="4952B92A">
      <w:pPr>
        <w:autoSpaceDE w:val="0"/>
        <w:autoSpaceDN w:val="0"/>
        <w:jc w:val="center"/>
        <w:rPr>
          <w:rFonts w:ascii="宋体" w:hAnsi="宋体" w:cs="宋体"/>
          <w:b/>
          <w:spacing w:val="6"/>
          <w:sz w:val="32"/>
          <w:szCs w:val="32"/>
        </w:rPr>
      </w:pPr>
    </w:p>
    <w:p w14:paraId="17B1CED0">
      <w:pPr>
        <w:autoSpaceDE w:val="0"/>
        <w:autoSpaceDN w:val="0"/>
        <w:jc w:val="center"/>
        <w:rPr>
          <w:rFonts w:ascii="宋体" w:hAnsi="宋体" w:cs="宋体"/>
          <w:b/>
          <w:spacing w:val="6"/>
          <w:sz w:val="32"/>
          <w:szCs w:val="32"/>
        </w:rPr>
      </w:pPr>
    </w:p>
    <w:p w14:paraId="1220F476">
      <w:pPr>
        <w:autoSpaceDE w:val="0"/>
        <w:autoSpaceDN w:val="0"/>
        <w:jc w:val="center"/>
        <w:rPr>
          <w:rFonts w:ascii="宋体" w:hAnsi="宋体" w:cs="宋体"/>
          <w:b/>
          <w:spacing w:val="6"/>
          <w:sz w:val="32"/>
          <w:szCs w:val="32"/>
        </w:rPr>
      </w:pPr>
    </w:p>
    <w:p w14:paraId="35FED042">
      <w:pPr>
        <w:autoSpaceDE w:val="0"/>
        <w:autoSpaceDN w:val="0"/>
        <w:jc w:val="center"/>
        <w:rPr>
          <w:rFonts w:ascii="宋体" w:hAnsi="宋体" w:cs="宋体"/>
          <w:b/>
          <w:spacing w:val="6"/>
          <w:sz w:val="32"/>
          <w:szCs w:val="32"/>
        </w:rPr>
      </w:pPr>
    </w:p>
    <w:p w14:paraId="312788C0">
      <w:pPr>
        <w:autoSpaceDE w:val="0"/>
        <w:autoSpaceDN w:val="0"/>
        <w:jc w:val="center"/>
        <w:rPr>
          <w:rFonts w:ascii="宋体" w:hAnsi="宋体" w:cs="宋体"/>
          <w:b/>
          <w:spacing w:val="6"/>
          <w:sz w:val="32"/>
          <w:szCs w:val="32"/>
        </w:rPr>
      </w:pPr>
    </w:p>
    <w:p w14:paraId="7EDCF06C">
      <w:pPr>
        <w:autoSpaceDE w:val="0"/>
        <w:autoSpaceDN w:val="0"/>
        <w:jc w:val="center"/>
        <w:rPr>
          <w:rFonts w:ascii="宋体" w:hAnsi="宋体" w:cs="宋体"/>
          <w:b/>
          <w:spacing w:val="6"/>
          <w:sz w:val="32"/>
          <w:szCs w:val="32"/>
        </w:rPr>
      </w:pPr>
    </w:p>
    <w:p w14:paraId="79AE03AC">
      <w:pPr>
        <w:autoSpaceDE w:val="0"/>
        <w:autoSpaceDN w:val="0"/>
        <w:jc w:val="center"/>
        <w:rPr>
          <w:rFonts w:ascii="宋体" w:hAnsi="宋体" w:cs="宋体"/>
          <w:b/>
          <w:spacing w:val="6"/>
          <w:sz w:val="32"/>
          <w:szCs w:val="32"/>
        </w:rPr>
      </w:pPr>
    </w:p>
    <w:p w14:paraId="6AEC619F">
      <w:pPr>
        <w:autoSpaceDE w:val="0"/>
        <w:autoSpaceDN w:val="0"/>
        <w:rPr>
          <w:rFonts w:ascii="宋体" w:hAnsi="宋体" w:cs="宋体"/>
          <w:b/>
          <w:spacing w:val="6"/>
          <w:sz w:val="32"/>
          <w:szCs w:val="32"/>
        </w:rPr>
      </w:pPr>
    </w:p>
    <w:p w14:paraId="172799EE">
      <w:pPr>
        <w:autoSpaceDE w:val="0"/>
        <w:autoSpaceDN w:val="0"/>
        <w:rPr>
          <w:rFonts w:ascii="宋体" w:hAnsi="宋体" w:cs="宋体"/>
          <w:b/>
          <w:spacing w:val="6"/>
          <w:sz w:val="32"/>
          <w:szCs w:val="32"/>
        </w:rPr>
      </w:pPr>
    </w:p>
    <w:p w14:paraId="44EC7842">
      <w:pPr>
        <w:autoSpaceDE w:val="0"/>
        <w:autoSpaceDN w:val="0"/>
        <w:jc w:val="center"/>
        <w:rPr>
          <w:rFonts w:ascii="宋体" w:hAnsi="宋体" w:cs="宋体"/>
          <w:b/>
          <w:spacing w:val="6"/>
          <w:sz w:val="32"/>
          <w:szCs w:val="32"/>
        </w:rPr>
      </w:pPr>
    </w:p>
    <w:p w14:paraId="45E6DD30">
      <w:pPr>
        <w:autoSpaceDE w:val="0"/>
        <w:autoSpaceDN w:val="0"/>
        <w:jc w:val="center"/>
        <w:rPr>
          <w:rFonts w:ascii="宋体" w:hAnsi="宋体" w:cs="宋体"/>
          <w:b/>
          <w:spacing w:val="6"/>
          <w:sz w:val="32"/>
          <w:szCs w:val="32"/>
        </w:rPr>
      </w:pPr>
    </w:p>
    <w:p w14:paraId="5C7844DD">
      <w:pPr>
        <w:autoSpaceDE w:val="0"/>
        <w:autoSpaceDN w:val="0"/>
        <w:jc w:val="center"/>
        <w:rPr>
          <w:rFonts w:ascii="宋体" w:hAnsi="宋体" w:cs="宋体"/>
          <w:b/>
          <w:spacing w:val="6"/>
          <w:sz w:val="32"/>
          <w:szCs w:val="32"/>
        </w:rPr>
      </w:pPr>
    </w:p>
    <w:p w14:paraId="3848ABD1">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64626917">
      <w:pPr>
        <w:widowControl/>
        <w:spacing w:line="400" w:lineRule="exact"/>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74009BE">
      <w:pPr>
        <w:snapToGrid w:val="0"/>
        <w:spacing w:line="400" w:lineRule="exact"/>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084A9212">
      <w:pPr>
        <w:snapToGrid w:val="0"/>
        <w:spacing w:line="400" w:lineRule="exact"/>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B2B74C1">
      <w:pPr>
        <w:snapToGrid w:val="0"/>
        <w:spacing w:line="400" w:lineRule="exact"/>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44C6AD92">
      <w:pPr>
        <w:snapToGrid w:val="0"/>
        <w:spacing w:line="400" w:lineRule="exact"/>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8E2A580">
      <w:pPr>
        <w:snapToGrid w:val="0"/>
        <w:spacing w:line="400" w:lineRule="exact"/>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18B2D1A9">
      <w:pPr>
        <w:snapToGrid w:val="0"/>
        <w:spacing w:line="400" w:lineRule="exact"/>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14:paraId="331172DF">
      <w:pPr>
        <w:snapToGrid w:val="0"/>
        <w:spacing w:line="400" w:lineRule="exact"/>
        <w:ind w:firstLine="576"/>
        <w:rPr>
          <w:rFonts w:ascii="宋体" w:hAnsi="宋体" w:cs="宋体"/>
          <w:kern w:val="0"/>
          <w:sz w:val="24"/>
          <w:lang w:val="zh-CN"/>
        </w:rPr>
      </w:pPr>
      <w:r>
        <w:rPr>
          <w:rFonts w:hint="eastAsia" w:ascii="宋体" w:hAnsi="宋体" w:cs="宋体"/>
          <w:kern w:val="0"/>
          <w:sz w:val="24"/>
          <w:lang w:val="zh-CN"/>
        </w:rPr>
        <w:t>……</w:t>
      </w:r>
    </w:p>
    <w:p w14:paraId="0F1DE121">
      <w:pPr>
        <w:snapToGrid w:val="0"/>
        <w:spacing w:line="400" w:lineRule="exact"/>
        <w:ind w:firstLine="576"/>
        <w:rPr>
          <w:rFonts w:ascii="宋体" w:hAnsi="宋体" w:cs="宋体"/>
          <w:kern w:val="0"/>
          <w:sz w:val="24"/>
          <w:lang w:val="zh-CN"/>
        </w:rPr>
      </w:pPr>
      <w:r>
        <w:rPr>
          <w:rFonts w:hint="eastAsia" w:ascii="宋体" w:hAnsi="宋体" w:cs="宋体"/>
          <w:kern w:val="0"/>
          <w:sz w:val="24"/>
          <w:lang w:val="zh-CN"/>
        </w:rPr>
        <w:t>四、联合体成员</w:t>
      </w:r>
      <w:r>
        <w:rPr>
          <w:rFonts w:hint="eastAsia" w:ascii="宋体" w:hAnsi="宋体" w:cs="宋体"/>
          <w:kern w:val="0"/>
          <w:sz w:val="24"/>
          <w:highlight w:val="yellow"/>
          <w:lang w:val="zh-CN"/>
        </w:rPr>
        <w:t>中小企业合同份额</w:t>
      </w:r>
      <w:r>
        <w:rPr>
          <w:rFonts w:hint="eastAsia" w:ascii="宋体" w:hAnsi="宋体" w:cs="宋体"/>
          <w:kern w:val="0"/>
          <w:sz w:val="24"/>
          <w:lang w:val="zh-CN"/>
        </w:rPr>
        <w:t>。</w:t>
      </w:r>
    </w:p>
    <w:p w14:paraId="33E6F161">
      <w:pPr>
        <w:snapToGrid w:val="0"/>
        <w:spacing w:line="400" w:lineRule="exact"/>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77"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77"/>
      <w:r>
        <w:rPr>
          <w:rFonts w:hint="eastAsia" w:ascii="宋体" w:hAnsi="宋体" w:cs="宋体"/>
          <w:kern w:val="0"/>
          <w:sz w:val="24"/>
          <w:u w:val="single"/>
        </w:rPr>
        <w:t>）</w:t>
      </w:r>
      <w:r>
        <w:rPr>
          <w:rFonts w:hint="eastAsia" w:ascii="宋体" w:hAnsi="宋体" w:cs="宋体"/>
          <w:kern w:val="0"/>
          <w:sz w:val="24"/>
        </w:rPr>
        <w:t>提供的</w:t>
      </w:r>
      <w:r>
        <w:rPr>
          <w:rFonts w:hint="eastAsia" w:ascii="宋体" w:hAnsi="宋体" w:cs="宋体"/>
          <w:kern w:val="0"/>
          <w:sz w:val="24"/>
          <w:highlight w:val="yellow"/>
        </w:rPr>
        <w:t>服务由小微企业承接</w:t>
      </w:r>
      <w:r>
        <w:rPr>
          <w:rFonts w:hint="eastAsia" w:ascii="宋体" w:hAnsi="宋体" w:cs="宋体"/>
          <w:kern w:val="0"/>
          <w:sz w:val="24"/>
        </w:rPr>
        <w:t>，其合同份额占到合同总金额%以上</w:t>
      </w:r>
      <w:r>
        <w:rPr>
          <w:rFonts w:hint="eastAsia" w:ascii="宋体" w:hAnsi="宋体" w:cs="宋体"/>
          <w:kern w:val="0"/>
          <w:sz w:val="24"/>
          <w:lang w:val="zh-CN"/>
        </w:rPr>
        <w:t>。</w:t>
      </w:r>
      <w:r>
        <w:rPr>
          <w:rFonts w:hint="eastAsia" w:ascii="宋体" w:hAnsi="宋体" w:cs="宋体"/>
          <w:b/>
          <w:kern w:val="0"/>
          <w:sz w:val="24"/>
          <w:lang w:val="zh-CN"/>
        </w:rPr>
        <w:t>（</w:t>
      </w:r>
      <w:bookmarkStart w:id="578"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未预留份额专门面向中小企业采购的采购项目，以及预留份额中的非预留部分采购包，接受联合体投标的，联合协议约定小微企业的合同份额占到合同总金额30%以上的，对联合体报价给予</w:t>
      </w:r>
      <w:r>
        <w:rPr>
          <w:rFonts w:hint="eastAsia" w:ascii="宋体" w:hAnsi="宋体" w:cs="宋体"/>
          <w:b/>
          <w:kern w:val="0"/>
          <w:sz w:val="24"/>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bookmarkEnd w:id="578"/>
      <w:r>
        <w:rPr>
          <w:rFonts w:hint="eastAsia" w:ascii="宋体" w:hAnsi="宋体" w:cs="宋体"/>
          <w:b/>
          <w:kern w:val="0"/>
          <w:sz w:val="24"/>
          <w:lang w:val="zh-CN"/>
        </w:rPr>
        <w:t>）</w:t>
      </w:r>
    </w:p>
    <w:p w14:paraId="046A05A1">
      <w:pPr>
        <w:spacing w:line="400" w:lineRule="exact"/>
        <w:ind w:firstLine="480" w:firstLineChars="200"/>
        <w:rPr>
          <w:rFonts w:ascii="宋体" w:hAnsi="宋体" w:cs="宋体"/>
          <w:b/>
          <w:bCs/>
          <w:kern w:val="0"/>
          <w:sz w:val="24"/>
          <w:lang w:val="zh-CN"/>
        </w:rPr>
      </w:pPr>
      <w:r>
        <w:rPr>
          <w:rFonts w:hint="eastAsia" w:ascii="宋体" w:hAnsi="宋体" w:cs="宋体"/>
          <w:sz w:val="24"/>
        </w:rPr>
        <w:t>2、</w:t>
      </w:r>
      <w:bookmarkStart w:id="579" w:name="_Hlk101133173"/>
      <w:r>
        <w:rPr>
          <w:rFonts w:hint="eastAsia" w:ascii="宋体" w:hAnsi="宋体" w:cs="宋体"/>
          <w:sz w:val="24"/>
        </w:rPr>
        <w:t>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79"/>
    </w:p>
    <w:p w14:paraId="2E75A714">
      <w:pPr>
        <w:snapToGrid w:val="0"/>
        <w:spacing w:line="400" w:lineRule="exact"/>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0B7E88D">
      <w:pPr>
        <w:snapToGrid w:val="0"/>
        <w:spacing w:line="400" w:lineRule="exact"/>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D033F86">
      <w:pPr>
        <w:snapToGrid w:val="0"/>
        <w:spacing w:line="400" w:lineRule="exact"/>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B29245E">
      <w:pPr>
        <w:snapToGrid w:val="0"/>
        <w:spacing w:line="400" w:lineRule="exact"/>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C4B5EC8">
      <w:pPr>
        <w:snapToGrid w:val="0"/>
        <w:spacing w:line="400" w:lineRule="exact"/>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1C33869E">
      <w:pPr>
        <w:snapToGrid w:val="0"/>
        <w:spacing w:line="400" w:lineRule="exact"/>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B75E066">
      <w:pPr>
        <w:snapToGrid w:val="0"/>
        <w:spacing w:line="400" w:lineRule="exact"/>
        <w:rPr>
          <w:rFonts w:ascii="宋体" w:hAnsi="宋体" w:cs="宋体"/>
          <w:kern w:val="0"/>
          <w:sz w:val="24"/>
          <w:lang w:val="zh-CN"/>
        </w:rPr>
      </w:pPr>
      <w:r>
        <w:rPr>
          <w:rFonts w:hint="eastAsia" w:ascii="宋体" w:hAnsi="宋体" w:cs="宋体"/>
          <w:kern w:val="0"/>
          <w:sz w:val="24"/>
          <w:lang w:val="zh-CN"/>
        </w:rPr>
        <w:t xml:space="preserve">                                               日期：  年  月   日</w:t>
      </w:r>
    </w:p>
    <w:p w14:paraId="62272A31">
      <w:pPr>
        <w:spacing w:line="400" w:lineRule="exact"/>
        <w:ind w:right="420"/>
        <w:rPr>
          <w:rFonts w:ascii="宋体" w:hAnsi="宋体" w:cs="宋体"/>
          <w:sz w:val="24"/>
        </w:rPr>
      </w:pPr>
      <w:r>
        <w:rPr>
          <w:rFonts w:hint="eastAsia" w:ascii="宋体" w:hAnsi="宋体" w:cs="宋体"/>
          <w:sz w:val="24"/>
        </w:rPr>
        <w:t>注：按本格式和要求提供。</w:t>
      </w:r>
    </w:p>
    <w:p w14:paraId="7BF2850A">
      <w:pPr>
        <w:rPr>
          <w:rFonts w:ascii="宋体" w:hAnsi="宋体" w:cs="宋体"/>
          <w:b/>
          <w:spacing w:val="6"/>
          <w:sz w:val="32"/>
          <w:szCs w:val="32"/>
        </w:rPr>
      </w:pPr>
      <w:r>
        <w:rPr>
          <w:rFonts w:hint="eastAsia" w:ascii="宋体" w:hAnsi="宋体" w:cs="宋体"/>
          <w:b/>
          <w:spacing w:val="6"/>
          <w:sz w:val="32"/>
          <w:szCs w:val="32"/>
        </w:rPr>
        <w:br w:type="page"/>
      </w:r>
    </w:p>
    <w:p w14:paraId="047B0D8D">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44F86FF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0BBCE6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C359F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9FF8B6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BB2B9D6">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32839F51">
      <w:pPr>
        <w:ind w:left="664" w:leftChars="316" w:firstLine="199" w:firstLineChars="95"/>
        <w:rPr>
          <w:rFonts w:ascii="宋体" w:hAnsi="宋体" w:cs="宋体"/>
        </w:rPr>
      </w:pPr>
    </w:p>
    <w:p w14:paraId="466D65A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14:paraId="23037A66">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（未预留份额专门面向中小企业采购的采购项目，以及预留份额中的非预留部分采购包，允许分包的，分包意向协议约定小微企业的合同份额占到合同总金额30%以上的，对大中型企业的报价给予3%的扣除。供应商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2EAB791">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18B9CDA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420C5D0">
      <w:pPr>
        <w:snapToGrid w:val="0"/>
        <w:spacing w:line="360" w:lineRule="auto"/>
        <w:ind w:firstLine="576"/>
        <w:rPr>
          <w:rFonts w:ascii="宋体" w:hAnsi="宋体" w:cs="宋体"/>
          <w:u w:val="single"/>
        </w:rPr>
      </w:pPr>
    </w:p>
    <w:p w14:paraId="4ACF99B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A31FBDC">
      <w:pPr>
        <w:snapToGrid w:val="0"/>
        <w:spacing w:line="360" w:lineRule="auto"/>
        <w:ind w:firstLine="576"/>
        <w:rPr>
          <w:rFonts w:ascii="宋体" w:hAnsi="宋体" w:cs="宋体"/>
          <w:kern w:val="0"/>
          <w:sz w:val="24"/>
          <w:lang w:val="zh-CN"/>
        </w:rPr>
      </w:pPr>
    </w:p>
    <w:p w14:paraId="51B690F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3CFD6AF">
      <w:pPr>
        <w:snapToGrid w:val="0"/>
        <w:spacing w:line="360" w:lineRule="auto"/>
        <w:ind w:left="573" w:leftChars="273"/>
        <w:rPr>
          <w:rFonts w:ascii="宋体" w:hAnsi="宋体" w:cs="宋体"/>
          <w:kern w:val="0"/>
          <w:sz w:val="24"/>
          <w:lang w:val="zh-CN"/>
        </w:rPr>
      </w:pPr>
    </w:p>
    <w:p w14:paraId="311706EC">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1B47844">
      <w:pPr>
        <w:snapToGrid w:val="0"/>
        <w:spacing w:line="360" w:lineRule="auto"/>
        <w:ind w:firstLine="576"/>
        <w:rPr>
          <w:rFonts w:ascii="宋体" w:hAnsi="宋体" w:cs="宋体"/>
          <w:kern w:val="0"/>
          <w:sz w:val="24"/>
          <w:lang w:val="zh-CN"/>
        </w:rPr>
      </w:pPr>
    </w:p>
    <w:p w14:paraId="1A9980A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1BDF4EC">
      <w:pPr>
        <w:snapToGrid w:val="0"/>
        <w:spacing w:line="360" w:lineRule="auto"/>
        <w:ind w:firstLine="576"/>
        <w:rPr>
          <w:rFonts w:ascii="宋体" w:hAnsi="宋体" w:cs="宋体"/>
          <w:kern w:val="0"/>
          <w:sz w:val="24"/>
          <w:lang w:val="zh-CN"/>
        </w:rPr>
      </w:pPr>
    </w:p>
    <w:p w14:paraId="6663A4B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3CD6B019">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14:paraId="2B0E785F">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0CFDA3C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3D1FAA7">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5D9DCE4">
      <w:pPr>
        <w:rPr>
          <w:rFonts w:ascii="宋体" w:hAnsi="宋体" w:cs="宋体"/>
          <w:b/>
          <w:spacing w:val="6"/>
          <w:sz w:val="32"/>
          <w:szCs w:val="32"/>
        </w:rPr>
      </w:pPr>
    </w:p>
    <w:p w14:paraId="7AB88AE5">
      <w:pPr>
        <w:rPr>
          <w:rFonts w:ascii="宋体" w:hAnsi="宋体" w:cs="宋体"/>
          <w:b/>
          <w:spacing w:val="6"/>
          <w:sz w:val="32"/>
          <w:szCs w:val="32"/>
        </w:rPr>
      </w:pPr>
      <w:r>
        <w:rPr>
          <w:rFonts w:hint="eastAsia" w:ascii="宋体" w:hAnsi="宋体" w:cs="宋体"/>
          <w:b/>
          <w:spacing w:val="6"/>
          <w:sz w:val="32"/>
          <w:szCs w:val="32"/>
        </w:rPr>
        <w:br w:type="page"/>
      </w:r>
    </w:p>
    <w:p w14:paraId="4CF86F6A">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06C5AB7D">
      <w:pPr>
        <w:spacing w:line="360" w:lineRule="auto"/>
        <w:jc w:val="center"/>
        <w:rPr>
          <w:rFonts w:ascii="宋体" w:hAnsi="宋体" w:cs="宋体"/>
          <w:sz w:val="24"/>
          <w:u w:val="single"/>
        </w:rPr>
      </w:pPr>
    </w:p>
    <w:p w14:paraId="4BEE6BD4">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AF2F675">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0CA928E8">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FBAEBC3">
      <w:pPr>
        <w:spacing w:line="360" w:lineRule="auto"/>
        <w:ind w:firstLine="480" w:firstLineChars="200"/>
        <w:jc w:val="left"/>
        <w:rPr>
          <w:rFonts w:ascii="宋体" w:hAnsi="宋体" w:cs="宋体"/>
          <w:sz w:val="24"/>
        </w:rPr>
      </w:pPr>
      <w:r>
        <w:rPr>
          <w:rFonts w:hint="eastAsia" w:ascii="宋体" w:hAnsi="宋体" w:cs="宋体"/>
          <w:sz w:val="24"/>
        </w:rPr>
        <w:t>……</w:t>
      </w:r>
    </w:p>
    <w:p w14:paraId="453D989F">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B2450BD">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A84A179">
      <w:pPr>
        <w:spacing w:line="360" w:lineRule="auto"/>
        <w:ind w:right="1760"/>
        <w:jc w:val="right"/>
        <w:rPr>
          <w:rFonts w:ascii="宋体" w:hAnsi="宋体" w:cs="宋体"/>
          <w:sz w:val="24"/>
        </w:rPr>
      </w:pPr>
      <w:r>
        <w:rPr>
          <w:rFonts w:hint="eastAsia" w:ascii="宋体" w:hAnsi="宋体" w:cs="宋体"/>
          <w:sz w:val="24"/>
        </w:rPr>
        <w:t>投标人名称（电子签名）：</w:t>
      </w:r>
    </w:p>
    <w:p w14:paraId="78BF0D65">
      <w:pPr>
        <w:spacing w:line="360" w:lineRule="auto"/>
        <w:ind w:right="1120" w:firstLine="4680" w:firstLineChars="1950"/>
        <w:rPr>
          <w:rFonts w:ascii="宋体" w:hAnsi="宋体" w:cs="宋体"/>
          <w:sz w:val="24"/>
        </w:rPr>
      </w:pPr>
      <w:r>
        <w:rPr>
          <w:rFonts w:hint="eastAsia" w:ascii="宋体" w:hAnsi="宋体" w:cs="宋体"/>
          <w:sz w:val="24"/>
        </w:rPr>
        <w:t>日 期：</w:t>
      </w:r>
    </w:p>
    <w:p w14:paraId="02CEF94F">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748890F">
      <w:pPr>
        <w:spacing w:line="360" w:lineRule="auto"/>
        <w:ind w:right="420"/>
        <w:rPr>
          <w:rFonts w:ascii="宋体" w:hAnsi="宋体" w:cs="宋体"/>
          <w:sz w:val="24"/>
        </w:rPr>
      </w:pPr>
    </w:p>
    <w:p w14:paraId="75B8C85C">
      <w:pPr>
        <w:spacing w:line="360" w:lineRule="auto"/>
        <w:ind w:right="420"/>
        <w:rPr>
          <w:rFonts w:ascii="宋体" w:hAnsi="宋体" w:cs="宋体"/>
          <w:sz w:val="24"/>
        </w:rPr>
      </w:pPr>
      <w:r>
        <w:rPr>
          <w:rFonts w:hint="eastAsia" w:ascii="宋体" w:hAnsi="宋体" w:cs="宋体"/>
          <w:sz w:val="24"/>
        </w:rPr>
        <w:t xml:space="preserve">   注：</w:t>
      </w:r>
    </w:p>
    <w:p w14:paraId="5511A109">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1、填写要求：①“标的名称”、“采购文件中明确的所属行业”依据招标文件第二部分投标人须知前附表中“采购标的及其对应的中小企业划分标准所属行业”</w:t>
      </w:r>
      <w:r>
        <w:rPr>
          <w:rFonts w:hint="eastAsia" w:ascii="宋体" w:hAnsi="宋体" w:cs="宋体"/>
          <w:color w:val="FF0000"/>
          <w:sz w:val="24"/>
          <w:highlight w:val="yellow"/>
        </w:rPr>
        <w:t>的指引逐一</w:t>
      </w:r>
      <w:r>
        <w:rPr>
          <w:rFonts w:hint="eastAsia" w:ascii="宋体" w:hAnsi="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3787FA4">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399D870">
      <w:pPr>
        <w:pStyle w:val="5"/>
        <w:rPr>
          <w:rFonts w:asciiTheme="minorEastAsia" w:hAnsiTheme="minorEastAsia" w:eastAsiaTheme="minorEastAsia"/>
          <w:lang w:val="en-US"/>
        </w:rPr>
      </w:pPr>
    </w:p>
    <w:p w14:paraId="79F6E164">
      <w:pPr>
        <w:spacing w:line="360" w:lineRule="auto"/>
        <w:ind w:right="420"/>
        <w:rPr>
          <w:rFonts w:asciiTheme="minorEastAsia" w:hAnsiTheme="minorEastAsia" w:eastAsiaTheme="minorEastAsia"/>
        </w:rPr>
      </w:pPr>
    </w:p>
    <w:p w14:paraId="3E86B28E">
      <w:pPr>
        <w:spacing w:line="360" w:lineRule="auto"/>
        <w:rPr>
          <w:rFonts w:asciiTheme="minorEastAsia" w:hAnsiTheme="minorEastAsia" w:eastAsiaTheme="minorEastAsia"/>
          <w:bCs/>
          <w:sz w:val="24"/>
        </w:rPr>
      </w:pPr>
    </w:p>
    <w:p w14:paraId="69188E3E"/>
    <w:p w14:paraId="31F78BB7"/>
    <w:p w14:paraId="2EECC6D0"/>
    <w:p w14:paraId="071686C9"/>
    <w:p w14:paraId="3D3C7E40"/>
    <w:p w14:paraId="49153BCD"/>
    <w:p w14:paraId="65179D1B"/>
    <w:p w14:paraId="0B9F9826"/>
    <w:p w14:paraId="54FD22A6"/>
    <w:p w14:paraId="2F1D3944"/>
    <w:p w14:paraId="565B0948"/>
    <w:p w14:paraId="77BD220C"/>
    <w:p w14:paraId="6C27523C"/>
    <w:p w14:paraId="7717A7BA"/>
    <w:p w14:paraId="321D42C9"/>
    <w:p w14:paraId="4A6633A2"/>
    <w:p w14:paraId="3C282488"/>
    <w:p w14:paraId="3E9CA21F"/>
    <w:p w14:paraId="7224B3A4"/>
    <w:p w14:paraId="00A16641"/>
    <w:p w14:paraId="784D9989"/>
    <w:p w14:paraId="76FAE764"/>
    <w:p w14:paraId="2E750FB9"/>
    <w:p w14:paraId="3AB47D6B"/>
    <w:p w14:paraId="7DFA192D"/>
    <w:p w14:paraId="608E9721"/>
    <w:p w14:paraId="08E6B9D4"/>
    <w:p w14:paraId="4F9A5E13"/>
    <w:p w14:paraId="3E035EF2"/>
    <w:p w14:paraId="323A970C"/>
    <w:p w14:paraId="57BDD741"/>
    <w:p w14:paraId="6578B7E8"/>
    <w:p w14:paraId="23A6A141"/>
    <w:p w14:paraId="6A7C7944"/>
    <w:p w14:paraId="492DB1F0"/>
    <w:p w14:paraId="64AB8470"/>
    <w:p w14:paraId="27D25A76"/>
    <w:p w14:paraId="763D17DD"/>
    <w:p w14:paraId="0277AB81"/>
    <w:p w14:paraId="40DE0871"/>
    <w:p w14:paraId="011F1D35"/>
    <w:p w14:paraId="5E169B1E">
      <w:pPr>
        <w:tabs>
          <w:tab w:val="left" w:pos="7569"/>
        </w:tabs>
        <w:jc w:val="left"/>
      </w:pPr>
      <w:r>
        <w:rPr>
          <w:rFonts w:hint="eastAsia"/>
        </w:rPr>
        <w:tab/>
      </w:r>
    </w:p>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444B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B268C">
    <w:pPr>
      <w:pStyle w:val="40"/>
      <w:framePr w:wrap="around" w:vAnchor="text" w:hAnchor="margin" w:xAlign="right" w:y="1"/>
      <w:rPr>
        <w:rStyle w:val="72"/>
      </w:rPr>
    </w:pPr>
    <w:r>
      <w:fldChar w:fldCharType="begin"/>
    </w:r>
    <w:r>
      <w:rPr>
        <w:rStyle w:val="72"/>
      </w:rPr>
      <w:instrText xml:space="preserve">PAGE  </w:instrText>
    </w:r>
    <w:r>
      <w:fldChar w:fldCharType="end"/>
    </w:r>
  </w:p>
  <w:p w14:paraId="006AB280">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36A6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3BC3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9A540F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6A70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14:paraId="274B06E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672B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431E60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FD33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25156A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EE8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FEA9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80" w:name="_Toc131845147"/>
    <w:bookmarkStart w:id="581" w:name="_Toc36110187"/>
    <w:bookmarkStart w:id="582" w:name="_Toc91899912"/>
    <w:bookmarkStart w:id="583" w:name="_Toc164085800"/>
    <w:r>
      <w:rPr>
        <w:rFonts w:hint="eastAsia" w:ascii="仿宋_GB2312" w:eastAsia="仿宋_GB2312"/>
        <w:kern w:val="0"/>
        <w:szCs w:val="21"/>
      </w:rPr>
      <w:t xml:space="preserve"> 页</w:t>
    </w:r>
    <w:bookmarkEnd w:id="580"/>
    <w:bookmarkEnd w:id="581"/>
    <w:bookmarkEnd w:id="582"/>
    <w:bookmarkEnd w:id="58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10FC">
    <w:pPr>
      <w:pStyle w:val="41"/>
      <w:pBdr>
        <w:bottom w:val="single" w:color="auto" w:sz="6" w:space="4"/>
      </w:pBdr>
      <w:jc w:val="right"/>
    </w:pPr>
    <w:r>
      <w:t>杭州市政府采购公开招标文件</w:t>
    </w:r>
  </w:p>
  <w:p w14:paraId="6707393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2280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F45BA">
    <w:pPr>
      <w:pStyle w:val="41"/>
      <w:jc w:val="right"/>
      <w:rPr>
        <w:rFonts w:ascii="仿宋_GB2312" w:eastAsia="仿宋_GB2312"/>
        <w:b/>
        <w:i/>
        <w:u w:val="single"/>
      </w:rPr>
    </w:pPr>
    <w:r>
      <w:t>杭州市政府采购公开招标文件</w:t>
    </w:r>
  </w:p>
  <w:p w14:paraId="754AAD1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63D1">
    <w:pPr>
      <w:pStyle w:val="41"/>
    </w:pPr>
    <w:r>
      <w:t></w:t>
    </w:r>
  </w:p>
  <w:p w14:paraId="7802D8F3">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BCBA9">
    <w:pPr>
      <w:pStyle w:val="41"/>
      <w:jc w:val="right"/>
      <w:rPr>
        <w:rFonts w:ascii="仿宋_GB2312" w:eastAsia="仿宋_GB2312"/>
        <w:b/>
        <w:i/>
        <w:u w:val="single"/>
      </w:rPr>
    </w:pPr>
    <w:r>
      <w:t>杭州市政府采购公开招标文件</w:t>
    </w:r>
  </w:p>
  <w:p w14:paraId="13EB36B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0FCE8">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5789C">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EF123">
    <w:pPr>
      <w:pStyle w:val="41"/>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1D54E"/>
    <w:multiLevelType w:val="singleLevel"/>
    <w:tmpl w:val="0261D54E"/>
    <w:lvl w:ilvl="0" w:tentative="0">
      <w:start w:val="3"/>
      <w:numFmt w:val="chineseCounting"/>
      <w:suff w:val="space"/>
      <w:lvlText w:val="第%1部分"/>
      <w:lvlJc w:val="left"/>
      <w:rPr>
        <w:rFonts w:hint="eastAsia"/>
      </w:rPr>
    </w:lvl>
  </w:abstractNum>
  <w:abstractNum w:abstractNumId="1">
    <w:nsid w:val="66E92F4D"/>
    <w:multiLevelType w:val="singleLevel"/>
    <w:tmpl w:val="66E92F4D"/>
    <w:lvl w:ilvl="0" w:tentative="0">
      <w:start w:val="3"/>
      <w:numFmt w:val="upperLetter"/>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开心妈咪">
    <w15:presenceInfo w15:providerId="WPS Office" w15:userId="3090901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MTkzM2Y3NWYyMzNmZWE1ZjFmYWE3MGZjOWQzYm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7E9"/>
    <w:rsid w:val="00011A4B"/>
    <w:rsid w:val="00011B0B"/>
    <w:rsid w:val="00011E37"/>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F79"/>
    <w:rsid w:val="00026EAC"/>
    <w:rsid w:val="000270F2"/>
    <w:rsid w:val="00027540"/>
    <w:rsid w:val="00027D9C"/>
    <w:rsid w:val="00027FA9"/>
    <w:rsid w:val="00030572"/>
    <w:rsid w:val="00030A97"/>
    <w:rsid w:val="00030CB3"/>
    <w:rsid w:val="0003206A"/>
    <w:rsid w:val="000326A7"/>
    <w:rsid w:val="00032EA0"/>
    <w:rsid w:val="000331B0"/>
    <w:rsid w:val="000336D4"/>
    <w:rsid w:val="00034FA7"/>
    <w:rsid w:val="0003533D"/>
    <w:rsid w:val="000357E4"/>
    <w:rsid w:val="000358C1"/>
    <w:rsid w:val="00035ACA"/>
    <w:rsid w:val="00037BE7"/>
    <w:rsid w:val="00040367"/>
    <w:rsid w:val="00040447"/>
    <w:rsid w:val="00040494"/>
    <w:rsid w:val="00040B70"/>
    <w:rsid w:val="00042441"/>
    <w:rsid w:val="00042533"/>
    <w:rsid w:val="00042DBB"/>
    <w:rsid w:val="00042E65"/>
    <w:rsid w:val="0004347C"/>
    <w:rsid w:val="00043907"/>
    <w:rsid w:val="00044064"/>
    <w:rsid w:val="00044F48"/>
    <w:rsid w:val="0004587B"/>
    <w:rsid w:val="00045CF5"/>
    <w:rsid w:val="00047354"/>
    <w:rsid w:val="00050656"/>
    <w:rsid w:val="00050A19"/>
    <w:rsid w:val="000511B6"/>
    <w:rsid w:val="00051B00"/>
    <w:rsid w:val="00051C72"/>
    <w:rsid w:val="00052192"/>
    <w:rsid w:val="0005238F"/>
    <w:rsid w:val="00052787"/>
    <w:rsid w:val="00052BB8"/>
    <w:rsid w:val="00053A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3341"/>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22D"/>
    <w:rsid w:val="00077577"/>
    <w:rsid w:val="00077607"/>
    <w:rsid w:val="00077756"/>
    <w:rsid w:val="00077B7F"/>
    <w:rsid w:val="000808C1"/>
    <w:rsid w:val="00080970"/>
    <w:rsid w:val="00081671"/>
    <w:rsid w:val="00082AD4"/>
    <w:rsid w:val="00083E07"/>
    <w:rsid w:val="00084998"/>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61"/>
    <w:rsid w:val="000936BF"/>
    <w:rsid w:val="0009382F"/>
    <w:rsid w:val="00093A30"/>
    <w:rsid w:val="00094342"/>
    <w:rsid w:val="000945BA"/>
    <w:rsid w:val="00095954"/>
    <w:rsid w:val="000960BA"/>
    <w:rsid w:val="0009619E"/>
    <w:rsid w:val="0009662A"/>
    <w:rsid w:val="0009690D"/>
    <w:rsid w:val="00096DFF"/>
    <w:rsid w:val="000A04E7"/>
    <w:rsid w:val="000A0729"/>
    <w:rsid w:val="000A0E69"/>
    <w:rsid w:val="000A1A52"/>
    <w:rsid w:val="000A1F98"/>
    <w:rsid w:val="000A3D58"/>
    <w:rsid w:val="000A3FE3"/>
    <w:rsid w:val="000A47B0"/>
    <w:rsid w:val="000A4851"/>
    <w:rsid w:val="000A49BB"/>
    <w:rsid w:val="000A4F22"/>
    <w:rsid w:val="000A5674"/>
    <w:rsid w:val="000A56EA"/>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3CD8"/>
    <w:rsid w:val="000C4727"/>
    <w:rsid w:val="000C47AE"/>
    <w:rsid w:val="000C4F0D"/>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8B"/>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11"/>
    <w:rsid w:val="000F287A"/>
    <w:rsid w:val="000F2940"/>
    <w:rsid w:val="000F2AB3"/>
    <w:rsid w:val="000F3D08"/>
    <w:rsid w:val="000F4495"/>
    <w:rsid w:val="000F4A05"/>
    <w:rsid w:val="000F4AA8"/>
    <w:rsid w:val="000F4AEA"/>
    <w:rsid w:val="000F4E2C"/>
    <w:rsid w:val="000F4E67"/>
    <w:rsid w:val="000F505B"/>
    <w:rsid w:val="000F5677"/>
    <w:rsid w:val="000F5DDB"/>
    <w:rsid w:val="000F628E"/>
    <w:rsid w:val="000F68A0"/>
    <w:rsid w:val="000F6CC2"/>
    <w:rsid w:val="000F729C"/>
    <w:rsid w:val="000F7D4B"/>
    <w:rsid w:val="0010118C"/>
    <w:rsid w:val="0010125E"/>
    <w:rsid w:val="001015F8"/>
    <w:rsid w:val="00101967"/>
    <w:rsid w:val="00102AB9"/>
    <w:rsid w:val="00103251"/>
    <w:rsid w:val="00103509"/>
    <w:rsid w:val="0010393D"/>
    <w:rsid w:val="00103EBD"/>
    <w:rsid w:val="00104699"/>
    <w:rsid w:val="00104E5B"/>
    <w:rsid w:val="00104EEC"/>
    <w:rsid w:val="001050DC"/>
    <w:rsid w:val="00105482"/>
    <w:rsid w:val="001056A5"/>
    <w:rsid w:val="001059D2"/>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50A"/>
    <w:rsid w:val="0011585B"/>
    <w:rsid w:val="00115B1A"/>
    <w:rsid w:val="001160FF"/>
    <w:rsid w:val="001164F4"/>
    <w:rsid w:val="00116577"/>
    <w:rsid w:val="001168F8"/>
    <w:rsid w:val="0011714A"/>
    <w:rsid w:val="001176FF"/>
    <w:rsid w:val="001204A0"/>
    <w:rsid w:val="001213A4"/>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F75"/>
    <w:rsid w:val="001264B9"/>
    <w:rsid w:val="0012693E"/>
    <w:rsid w:val="00126A3A"/>
    <w:rsid w:val="00127060"/>
    <w:rsid w:val="00127B83"/>
    <w:rsid w:val="00127E41"/>
    <w:rsid w:val="00131C2D"/>
    <w:rsid w:val="00131E25"/>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3AA"/>
    <w:rsid w:val="00153859"/>
    <w:rsid w:val="00153915"/>
    <w:rsid w:val="001539F0"/>
    <w:rsid w:val="00154BBA"/>
    <w:rsid w:val="00155B95"/>
    <w:rsid w:val="0015628A"/>
    <w:rsid w:val="00156853"/>
    <w:rsid w:val="00157432"/>
    <w:rsid w:val="00160DAF"/>
    <w:rsid w:val="00161185"/>
    <w:rsid w:val="00161557"/>
    <w:rsid w:val="001620BA"/>
    <w:rsid w:val="001623AC"/>
    <w:rsid w:val="00162BAA"/>
    <w:rsid w:val="00163885"/>
    <w:rsid w:val="00163C40"/>
    <w:rsid w:val="001643DA"/>
    <w:rsid w:val="0016488B"/>
    <w:rsid w:val="00165758"/>
    <w:rsid w:val="00165A65"/>
    <w:rsid w:val="00166317"/>
    <w:rsid w:val="001669D1"/>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37A"/>
    <w:rsid w:val="001755DC"/>
    <w:rsid w:val="00176AA6"/>
    <w:rsid w:val="00177063"/>
    <w:rsid w:val="00180A47"/>
    <w:rsid w:val="0018214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0B39"/>
    <w:rsid w:val="00191459"/>
    <w:rsid w:val="00191603"/>
    <w:rsid w:val="0019173E"/>
    <w:rsid w:val="0019174E"/>
    <w:rsid w:val="0019196B"/>
    <w:rsid w:val="001923D5"/>
    <w:rsid w:val="00192991"/>
    <w:rsid w:val="00193470"/>
    <w:rsid w:val="00193B94"/>
    <w:rsid w:val="001940A7"/>
    <w:rsid w:val="00194BB1"/>
    <w:rsid w:val="00194BC6"/>
    <w:rsid w:val="00195070"/>
    <w:rsid w:val="0019517F"/>
    <w:rsid w:val="00195245"/>
    <w:rsid w:val="0019526D"/>
    <w:rsid w:val="0019553F"/>
    <w:rsid w:val="001956BE"/>
    <w:rsid w:val="0019602C"/>
    <w:rsid w:val="001969F2"/>
    <w:rsid w:val="00196CD6"/>
    <w:rsid w:val="0019756A"/>
    <w:rsid w:val="001A04AC"/>
    <w:rsid w:val="001A06B5"/>
    <w:rsid w:val="001A07F8"/>
    <w:rsid w:val="001A0A23"/>
    <w:rsid w:val="001A0C98"/>
    <w:rsid w:val="001A128B"/>
    <w:rsid w:val="001A1475"/>
    <w:rsid w:val="001A1F0E"/>
    <w:rsid w:val="001A31D3"/>
    <w:rsid w:val="001A3335"/>
    <w:rsid w:val="001A3557"/>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C9"/>
    <w:rsid w:val="001D4AD3"/>
    <w:rsid w:val="001D5281"/>
    <w:rsid w:val="001E17E3"/>
    <w:rsid w:val="001E2052"/>
    <w:rsid w:val="001E2492"/>
    <w:rsid w:val="001E257C"/>
    <w:rsid w:val="001E278B"/>
    <w:rsid w:val="001E286C"/>
    <w:rsid w:val="001E2F34"/>
    <w:rsid w:val="001E35EE"/>
    <w:rsid w:val="001E4B2C"/>
    <w:rsid w:val="001E507F"/>
    <w:rsid w:val="001E56C2"/>
    <w:rsid w:val="001E592C"/>
    <w:rsid w:val="001E59FB"/>
    <w:rsid w:val="001E6E8D"/>
    <w:rsid w:val="001E7F81"/>
    <w:rsid w:val="001F0FD1"/>
    <w:rsid w:val="001F1526"/>
    <w:rsid w:val="001F19D1"/>
    <w:rsid w:val="001F1CB9"/>
    <w:rsid w:val="001F1F18"/>
    <w:rsid w:val="001F2800"/>
    <w:rsid w:val="001F2F92"/>
    <w:rsid w:val="001F5DA1"/>
    <w:rsid w:val="001F5FF4"/>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6F6B"/>
    <w:rsid w:val="00210B9C"/>
    <w:rsid w:val="00211185"/>
    <w:rsid w:val="00211A94"/>
    <w:rsid w:val="0021266C"/>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D8E"/>
    <w:rsid w:val="00217E1F"/>
    <w:rsid w:val="002204BC"/>
    <w:rsid w:val="00220F7B"/>
    <w:rsid w:val="00221143"/>
    <w:rsid w:val="002213CE"/>
    <w:rsid w:val="00221AF7"/>
    <w:rsid w:val="00222494"/>
    <w:rsid w:val="00222775"/>
    <w:rsid w:val="00222A31"/>
    <w:rsid w:val="00222CF6"/>
    <w:rsid w:val="00224037"/>
    <w:rsid w:val="002244E4"/>
    <w:rsid w:val="00224D2A"/>
    <w:rsid w:val="00224D8D"/>
    <w:rsid w:val="0022555A"/>
    <w:rsid w:val="00226C95"/>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B00"/>
    <w:rsid w:val="00245E62"/>
    <w:rsid w:val="002460D0"/>
    <w:rsid w:val="00246357"/>
    <w:rsid w:val="00246A83"/>
    <w:rsid w:val="00247422"/>
    <w:rsid w:val="00247BA2"/>
    <w:rsid w:val="00250870"/>
    <w:rsid w:val="0025151C"/>
    <w:rsid w:val="0025184F"/>
    <w:rsid w:val="00251967"/>
    <w:rsid w:val="002527CC"/>
    <w:rsid w:val="00252F48"/>
    <w:rsid w:val="002530C0"/>
    <w:rsid w:val="00253586"/>
    <w:rsid w:val="002537FC"/>
    <w:rsid w:val="00253D0C"/>
    <w:rsid w:val="002542F8"/>
    <w:rsid w:val="002543EF"/>
    <w:rsid w:val="00254F2A"/>
    <w:rsid w:val="00255784"/>
    <w:rsid w:val="00255A29"/>
    <w:rsid w:val="0025631F"/>
    <w:rsid w:val="00256986"/>
    <w:rsid w:val="00256D61"/>
    <w:rsid w:val="00256E23"/>
    <w:rsid w:val="00257246"/>
    <w:rsid w:val="002573DB"/>
    <w:rsid w:val="00257438"/>
    <w:rsid w:val="00260A45"/>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37E"/>
    <w:rsid w:val="00267A92"/>
    <w:rsid w:val="00267E43"/>
    <w:rsid w:val="00270282"/>
    <w:rsid w:val="00270780"/>
    <w:rsid w:val="00270CF6"/>
    <w:rsid w:val="00271097"/>
    <w:rsid w:val="00271C53"/>
    <w:rsid w:val="0027244F"/>
    <w:rsid w:val="00273052"/>
    <w:rsid w:val="002739CE"/>
    <w:rsid w:val="00273BED"/>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1EDB"/>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B22"/>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FF8"/>
    <w:rsid w:val="002B51B6"/>
    <w:rsid w:val="002B5AEE"/>
    <w:rsid w:val="002B6177"/>
    <w:rsid w:val="002B650C"/>
    <w:rsid w:val="002B68E6"/>
    <w:rsid w:val="002B6985"/>
    <w:rsid w:val="002B6D7A"/>
    <w:rsid w:val="002B7B17"/>
    <w:rsid w:val="002C02BA"/>
    <w:rsid w:val="002C0301"/>
    <w:rsid w:val="002C0326"/>
    <w:rsid w:val="002C0A9F"/>
    <w:rsid w:val="002C11A0"/>
    <w:rsid w:val="002C1AB3"/>
    <w:rsid w:val="002C1BB7"/>
    <w:rsid w:val="002C1FB3"/>
    <w:rsid w:val="002C2665"/>
    <w:rsid w:val="002C28E1"/>
    <w:rsid w:val="002C327D"/>
    <w:rsid w:val="002C3890"/>
    <w:rsid w:val="002C38B9"/>
    <w:rsid w:val="002C3AD9"/>
    <w:rsid w:val="002C403A"/>
    <w:rsid w:val="002C4286"/>
    <w:rsid w:val="002C43FC"/>
    <w:rsid w:val="002C45C3"/>
    <w:rsid w:val="002C483B"/>
    <w:rsid w:val="002C4D22"/>
    <w:rsid w:val="002C4DFE"/>
    <w:rsid w:val="002C519E"/>
    <w:rsid w:val="002C5D5E"/>
    <w:rsid w:val="002C6116"/>
    <w:rsid w:val="002C643D"/>
    <w:rsid w:val="002C66B8"/>
    <w:rsid w:val="002C70E7"/>
    <w:rsid w:val="002D0C27"/>
    <w:rsid w:val="002D0E88"/>
    <w:rsid w:val="002D0EA7"/>
    <w:rsid w:val="002D0F31"/>
    <w:rsid w:val="002D10D5"/>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8FC"/>
    <w:rsid w:val="002E7C63"/>
    <w:rsid w:val="002E7EC1"/>
    <w:rsid w:val="002E7EE5"/>
    <w:rsid w:val="002F0323"/>
    <w:rsid w:val="002F0DFB"/>
    <w:rsid w:val="002F134F"/>
    <w:rsid w:val="002F1D0B"/>
    <w:rsid w:val="002F1E1D"/>
    <w:rsid w:val="002F1F02"/>
    <w:rsid w:val="002F27E5"/>
    <w:rsid w:val="002F2D81"/>
    <w:rsid w:val="002F2F66"/>
    <w:rsid w:val="002F39D4"/>
    <w:rsid w:val="002F3BFC"/>
    <w:rsid w:val="002F4BA9"/>
    <w:rsid w:val="002F541B"/>
    <w:rsid w:val="002F5BFE"/>
    <w:rsid w:val="002F5DA5"/>
    <w:rsid w:val="002F5E17"/>
    <w:rsid w:val="002F647C"/>
    <w:rsid w:val="002F6C6B"/>
    <w:rsid w:val="002F6CB0"/>
    <w:rsid w:val="002F6EFF"/>
    <w:rsid w:val="002F7DF0"/>
    <w:rsid w:val="002F7FAF"/>
    <w:rsid w:val="00300573"/>
    <w:rsid w:val="0030215F"/>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692"/>
    <w:rsid w:val="00310EDB"/>
    <w:rsid w:val="00311C51"/>
    <w:rsid w:val="00311D56"/>
    <w:rsid w:val="00312016"/>
    <w:rsid w:val="0031215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9E9"/>
    <w:rsid w:val="00325FCC"/>
    <w:rsid w:val="00326106"/>
    <w:rsid w:val="00326805"/>
    <w:rsid w:val="003269B7"/>
    <w:rsid w:val="00326AA2"/>
    <w:rsid w:val="00326C0E"/>
    <w:rsid w:val="003272A3"/>
    <w:rsid w:val="003272E4"/>
    <w:rsid w:val="00327B71"/>
    <w:rsid w:val="0033110E"/>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412"/>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6F86"/>
    <w:rsid w:val="00347356"/>
    <w:rsid w:val="003477A5"/>
    <w:rsid w:val="0035005C"/>
    <w:rsid w:val="00350896"/>
    <w:rsid w:val="00350C31"/>
    <w:rsid w:val="00350C9F"/>
    <w:rsid w:val="00351391"/>
    <w:rsid w:val="003519CD"/>
    <w:rsid w:val="00351A3A"/>
    <w:rsid w:val="0035455F"/>
    <w:rsid w:val="00354E98"/>
    <w:rsid w:val="00355D75"/>
    <w:rsid w:val="00355D8F"/>
    <w:rsid w:val="00356A73"/>
    <w:rsid w:val="00356FF0"/>
    <w:rsid w:val="003577A2"/>
    <w:rsid w:val="003577EF"/>
    <w:rsid w:val="00357A60"/>
    <w:rsid w:val="00360304"/>
    <w:rsid w:val="00360A78"/>
    <w:rsid w:val="00361750"/>
    <w:rsid w:val="003630CF"/>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0B5"/>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DA1"/>
    <w:rsid w:val="00383204"/>
    <w:rsid w:val="0038372E"/>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559"/>
    <w:rsid w:val="00390B8F"/>
    <w:rsid w:val="00390C0D"/>
    <w:rsid w:val="00391447"/>
    <w:rsid w:val="003919D9"/>
    <w:rsid w:val="00391BDD"/>
    <w:rsid w:val="003922DE"/>
    <w:rsid w:val="0039252E"/>
    <w:rsid w:val="00392A30"/>
    <w:rsid w:val="00392DA2"/>
    <w:rsid w:val="00392E35"/>
    <w:rsid w:val="00393247"/>
    <w:rsid w:val="00393551"/>
    <w:rsid w:val="00393816"/>
    <w:rsid w:val="00393FCD"/>
    <w:rsid w:val="003944EA"/>
    <w:rsid w:val="00394639"/>
    <w:rsid w:val="00394DF6"/>
    <w:rsid w:val="00394EC6"/>
    <w:rsid w:val="003954B7"/>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3BC5"/>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35B"/>
    <w:rsid w:val="003C247B"/>
    <w:rsid w:val="003C3292"/>
    <w:rsid w:val="003C32AA"/>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266"/>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DFE"/>
    <w:rsid w:val="003E604C"/>
    <w:rsid w:val="003E60DA"/>
    <w:rsid w:val="003E6E00"/>
    <w:rsid w:val="003E7111"/>
    <w:rsid w:val="003E7940"/>
    <w:rsid w:val="003F01BD"/>
    <w:rsid w:val="003F0486"/>
    <w:rsid w:val="003F048E"/>
    <w:rsid w:val="003F09FA"/>
    <w:rsid w:val="003F0A92"/>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603"/>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129"/>
    <w:rsid w:val="004161D9"/>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0ED"/>
    <w:rsid w:val="00426B2C"/>
    <w:rsid w:val="00427361"/>
    <w:rsid w:val="00427FA8"/>
    <w:rsid w:val="0043009D"/>
    <w:rsid w:val="0043026B"/>
    <w:rsid w:val="00430299"/>
    <w:rsid w:val="004306D4"/>
    <w:rsid w:val="00430BB9"/>
    <w:rsid w:val="00431A2A"/>
    <w:rsid w:val="00432ECA"/>
    <w:rsid w:val="00433978"/>
    <w:rsid w:val="0043554E"/>
    <w:rsid w:val="004355D4"/>
    <w:rsid w:val="004357B1"/>
    <w:rsid w:val="00435821"/>
    <w:rsid w:val="0043583E"/>
    <w:rsid w:val="00435AC8"/>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FA2"/>
    <w:rsid w:val="0045057B"/>
    <w:rsid w:val="0045069B"/>
    <w:rsid w:val="00450B22"/>
    <w:rsid w:val="00451709"/>
    <w:rsid w:val="004518FA"/>
    <w:rsid w:val="00451A02"/>
    <w:rsid w:val="0045277C"/>
    <w:rsid w:val="00453507"/>
    <w:rsid w:val="00453592"/>
    <w:rsid w:val="00453A53"/>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45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5C7"/>
    <w:rsid w:val="00475729"/>
    <w:rsid w:val="004758E7"/>
    <w:rsid w:val="00475BAB"/>
    <w:rsid w:val="004764C6"/>
    <w:rsid w:val="00476AC1"/>
    <w:rsid w:val="00476F97"/>
    <w:rsid w:val="00477247"/>
    <w:rsid w:val="004776BB"/>
    <w:rsid w:val="004776FB"/>
    <w:rsid w:val="0048055E"/>
    <w:rsid w:val="00480C2B"/>
    <w:rsid w:val="00480C79"/>
    <w:rsid w:val="00480DC5"/>
    <w:rsid w:val="00480FD9"/>
    <w:rsid w:val="0048131D"/>
    <w:rsid w:val="004816EF"/>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47C"/>
    <w:rsid w:val="00492503"/>
    <w:rsid w:val="004925C8"/>
    <w:rsid w:val="004927FB"/>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968"/>
    <w:rsid w:val="004A1AFA"/>
    <w:rsid w:val="004A1EA7"/>
    <w:rsid w:val="004A22A8"/>
    <w:rsid w:val="004A26F5"/>
    <w:rsid w:val="004A2EF8"/>
    <w:rsid w:val="004A314E"/>
    <w:rsid w:val="004A38E3"/>
    <w:rsid w:val="004A3A21"/>
    <w:rsid w:val="004A407A"/>
    <w:rsid w:val="004A4E3B"/>
    <w:rsid w:val="004A6110"/>
    <w:rsid w:val="004A61B8"/>
    <w:rsid w:val="004A6415"/>
    <w:rsid w:val="004A64F9"/>
    <w:rsid w:val="004A65F4"/>
    <w:rsid w:val="004A6D2C"/>
    <w:rsid w:val="004B026C"/>
    <w:rsid w:val="004B0271"/>
    <w:rsid w:val="004B0BE8"/>
    <w:rsid w:val="004B0E4A"/>
    <w:rsid w:val="004B0F16"/>
    <w:rsid w:val="004B0F85"/>
    <w:rsid w:val="004B1599"/>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70A"/>
    <w:rsid w:val="004C02C5"/>
    <w:rsid w:val="004C0BF0"/>
    <w:rsid w:val="004C0D40"/>
    <w:rsid w:val="004C114F"/>
    <w:rsid w:val="004C11A9"/>
    <w:rsid w:val="004C27CF"/>
    <w:rsid w:val="004C2CA7"/>
    <w:rsid w:val="004C2FCF"/>
    <w:rsid w:val="004C3592"/>
    <w:rsid w:val="004C4216"/>
    <w:rsid w:val="004C45C8"/>
    <w:rsid w:val="004C4F8F"/>
    <w:rsid w:val="004C51DB"/>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092"/>
    <w:rsid w:val="004E03F4"/>
    <w:rsid w:val="004E068F"/>
    <w:rsid w:val="004E07A9"/>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45B"/>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3F5C"/>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BD9"/>
    <w:rsid w:val="005060AE"/>
    <w:rsid w:val="0050790B"/>
    <w:rsid w:val="00507FDF"/>
    <w:rsid w:val="0051037C"/>
    <w:rsid w:val="0051050F"/>
    <w:rsid w:val="0051058B"/>
    <w:rsid w:val="00510B94"/>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24"/>
    <w:rsid w:val="00526429"/>
    <w:rsid w:val="005266C1"/>
    <w:rsid w:val="005267F4"/>
    <w:rsid w:val="005269D3"/>
    <w:rsid w:val="00526F34"/>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42E"/>
    <w:rsid w:val="00536B03"/>
    <w:rsid w:val="00537456"/>
    <w:rsid w:val="0053790C"/>
    <w:rsid w:val="00537B3D"/>
    <w:rsid w:val="00540401"/>
    <w:rsid w:val="005405B2"/>
    <w:rsid w:val="0054076A"/>
    <w:rsid w:val="00540D47"/>
    <w:rsid w:val="00540EE7"/>
    <w:rsid w:val="00541828"/>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6ECB"/>
    <w:rsid w:val="00547BA2"/>
    <w:rsid w:val="00550AC5"/>
    <w:rsid w:val="00550B7E"/>
    <w:rsid w:val="00551052"/>
    <w:rsid w:val="005524ED"/>
    <w:rsid w:val="00553F91"/>
    <w:rsid w:val="00554007"/>
    <w:rsid w:val="00554C03"/>
    <w:rsid w:val="00554C58"/>
    <w:rsid w:val="00554D5D"/>
    <w:rsid w:val="005550F9"/>
    <w:rsid w:val="00556338"/>
    <w:rsid w:val="00556441"/>
    <w:rsid w:val="00556A19"/>
    <w:rsid w:val="00557031"/>
    <w:rsid w:val="00557D78"/>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882"/>
    <w:rsid w:val="00565DAC"/>
    <w:rsid w:val="00565F0D"/>
    <w:rsid w:val="005662DC"/>
    <w:rsid w:val="00566329"/>
    <w:rsid w:val="005668B9"/>
    <w:rsid w:val="0056695A"/>
    <w:rsid w:val="00566E39"/>
    <w:rsid w:val="00566EEF"/>
    <w:rsid w:val="0056704E"/>
    <w:rsid w:val="00567623"/>
    <w:rsid w:val="005701C2"/>
    <w:rsid w:val="00570763"/>
    <w:rsid w:val="00570775"/>
    <w:rsid w:val="0057200B"/>
    <w:rsid w:val="00572297"/>
    <w:rsid w:val="0057345D"/>
    <w:rsid w:val="0057347D"/>
    <w:rsid w:val="00573560"/>
    <w:rsid w:val="00574DDB"/>
    <w:rsid w:val="00574E7B"/>
    <w:rsid w:val="00574F36"/>
    <w:rsid w:val="00576B5C"/>
    <w:rsid w:val="005770CC"/>
    <w:rsid w:val="005771B9"/>
    <w:rsid w:val="00577FDB"/>
    <w:rsid w:val="005802F9"/>
    <w:rsid w:val="005806D5"/>
    <w:rsid w:val="00580DFC"/>
    <w:rsid w:val="0058134C"/>
    <w:rsid w:val="005815CD"/>
    <w:rsid w:val="005827A7"/>
    <w:rsid w:val="00583D43"/>
    <w:rsid w:val="005846C3"/>
    <w:rsid w:val="00584F04"/>
    <w:rsid w:val="0058544C"/>
    <w:rsid w:val="00585623"/>
    <w:rsid w:val="005857F7"/>
    <w:rsid w:val="00585FBB"/>
    <w:rsid w:val="005865E9"/>
    <w:rsid w:val="005868FD"/>
    <w:rsid w:val="00587D7B"/>
    <w:rsid w:val="005904DB"/>
    <w:rsid w:val="005905ED"/>
    <w:rsid w:val="00590D11"/>
    <w:rsid w:val="00591BA6"/>
    <w:rsid w:val="00591CB2"/>
    <w:rsid w:val="00592825"/>
    <w:rsid w:val="00594437"/>
    <w:rsid w:val="00594B70"/>
    <w:rsid w:val="00596CFA"/>
    <w:rsid w:val="00596EC6"/>
    <w:rsid w:val="005975CE"/>
    <w:rsid w:val="005A0088"/>
    <w:rsid w:val="005A04F6"/>
    <w:rsid w:val="005A14F0"/>
    <w:rsid w:val="005A1861"/>
    <w:rsid w:val="005A1A31"/>
    <w:rsid w:val="005A1D69"/>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402"/>
    <w:rsid w:val="005B07D5"/>
    <w:rsid w:val="005B0DA0"/>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A4"/>
    <w:rsid w:val="005C0B8F"/>
    <w:rsid w:val="005C194E"/>
    <w:rsid w:val="005C1C83"/>
    <w:rsid w:val="005C1DB1"/>
    <w:rsid w:val="005C226F"/>
    <w:rsid w:val="005C2294"/>
    <w:rsid w:val="005C2E48"/>
    <w:rsid w:val="005C3344"/>
    <w:rsid w:val="005C4E4D"/>
    <w:rsid w:val="005C5752"/>
    <w:rsid w:val="005C58F2"/>
    <w:rsid w:val="005C5A97"/>
    <w:rsid w:val="005C5F77"/>
    <w:rsid w:val="005C6AAB"/>
    <w:rsid w:val="005C6D5D"/>
    <w:rsid w:val="005C6FD0"/>
    <w:rsid w:val="005D00F1"/>
    <w:rsid w:val="005D01C3"/>
    <w:rsid w:val="005D05FF"/>
    <w:rsid w:val="005D0FB4"/>
    <w:rsid w:val="005D1176"/>
    <w:rsid w:val="005D1747"/>
    <w:rsid w:val="005D266D"/>
    <w:rsid w:val="005D306D"/>
    <w:rsid w:val="005D3327"/>
    <w:rsid w:val="005D4854"/>
    <w:rsid w:val="005D5BCF"/>
    <w:rsid w:val="005D6199"/>
    <w:rsid w:val="005D65BF"/>
    <w:rsid w:val="005D66E5"/>
    <w:rsid w:val="005D6D84"/>
    <w:rsid w:val="005D70A1"/>
    <w:rsid w:val="005D79F2"/>
    <w:rsid w:val="005D7CB1"/>
    <w:rsid w:val="005D7F57"/>
    <w:rsid w:val="005D7F96"/>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0AD"/>
    <w:rsid w:val="005F0167"/>
    <w:rsid w:val="005F0857"/>
    <w:rsid w:val="005F1470"/>
    <w:rsid w:val="005F15A9"/>
    <w:rsid w:val="005F2807"/>
    <w:rsid w:val="005F2CD5"/>
    <w:rsid w:val="005F3382"/>
    <w:rsid w:val="005F3720"/>
    <w:rsid w:val="005F3849"/>
    <w:rsid w:val="005F47F5"/>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804"/>
    <w:rsid w:val="0061098D"/>
    <w:rsid w:val="00610B78"/>
    <w:rsid w:val="00611ADB"/>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26E"/>
    <w:rsid w:val="00622B22"/>
    <w:rsid w:val="00622F67"/>
    <w:rsid w:val="00623571"/>
    <w:rsid w:val="00623791"/>
    <w:rsid w:val="00623A5E"/>
    <w:rsid w:val="00625008"/>
    <w:rsid w:val="0062548B"/>
    <w:rsid w:val="0062605D"/>
    <w:rsid w:val="00626710"/>
    <w:rsid w:val="00626930"/>
    <w:rsid w:val="00626AD3"/>
    <w:rsid w:val="00626BAC"/>
    <w:rsid w:val="006271C3"/>
    <w:rsid w:val="00627B14"/>
    <w:rsid w:val="0063001E"/>
    <w:rsid w:val="00630023"/>
    <w:rsid w:val="006308EE"/>
    <w:rsid w:val="00630C70"/>
    <w:rsid w:val="00630D67"/>
    <w:rsid w:val="00630E68"/>
    <w:rsid w:val="00631005"/>
    <w:rsid w:val="00631C79"/>
    <w:rsid w:val="00632727"/>
    <w:rsid w:val="0063283D"/>
    <w:rsid w:val="00632BD8"/>
    <w:rsid w:val="00633769"/>
    <w:rsid w:val="00633FE3"/>
    <w:rsid w:val="00634276"/>
    <w:rsid w:val="00634570"/>
    <w:rsid w:val="0063487C"/>
    <w:rsid w:val="006350CB"/>
    <w:rsid w:val="006353DC"/>
    <w:rsid w:val="00635B73"/>
    <w:rsid w:val="00635BB7"/>
    <w:rsid w:val="00636273"/>
    <w:rsid w:val="00636CC7"/>
    <w:rsid w:val="00637CD4"/>
    <w:rsid w:val="00637F27"/>
    <w:rsid w:val="006405EC"/>
    <w:rsid w:val="00640A4D"/>
    <w:rsid w:val="006418F2"/>
    <w:rsid w:val="00641A84"/>
    <w:rsid w:val="00641B05"/>
    <w:rsid w:val="00641DA1"/>
    <w:rsid w:val="00641E5B"/>
    <w:rsid w:val="00642C69"/>
    <w:rsid w:val="0064330A"/>
    <w:rsid w:val="00643EF6"/>
    <w:rsid w:val="00643F89"/>
    <w:rsid w:val="00644334"/>
    <w:rsid w:val="0064487C"/>
    <w:rsid w:val="00644BED"/>
    <w:rsid w:val="00644E2E"/>
    <w:rsid w:val="00645A3A"/>
    <w:rsid w:val="00645B87"/>
    <w:rsid w:val="00645CB4"/>
    <w:rsid w:val="00646084"/>
    <w:rsid w:val="006468ED"/>
    <w:rsid w:val="00647664"/>
    <w:rsid w:val="00647E59"/>
    <w:rsid w:val="00650D19"/>
    <w:rsid w:val="00652CCE"/>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262"/>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2F"/>
    <w:rsid w:val="006720BC"/>
    <w:rsid w:val="00672906"/>
    <w:rsid w:val="00672C73"/>
    <w:rsid w:val="00673B64"/>
    <w:rsid w:val="00674F95"/>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15C"/>
    <w:rsid w:val="006945A1"/>
    <w:rsid w:val="00694A53"/>
    <w:rsid w:val="006952DE"/>
    <w:rsid w:val="00695985"/>
    <w:rsid w:val="00695C78"/>
    <w:rsid w:val="00695E6C"/>
    <w:rsid w:val="00695EAC"/>
    <w:rsid w:val="00695F1F"/>
    <w:rsid w:val="00696C79"/>
    <w:rsid w:val="00696EB4"/>
    <w:rsid w:val="00697068"/>
    <w:rsid w:val="006977DE"/>
    <w:rsid w:val="00697D5F"/>
    <w:rsid w:val="00697FFB"/>
    <w:rsid w:val="006A035B"/>
    <w:rsid w:val="006A0582"/>
    <w:rsid w:val="006A060C"/>
    <w:rsid w:val="006A06F8"/>
    <w:rsid w:val="006A071C"/>
    <w:rsid w:val="006A0B76"/>
    <w:rsid w:val="006A0DC7"/>
    <w:rsid w:val="006A150D"/>
    <w:rsid w:val="006A19CE"/>
    <w:rsid w:val="006A1B00"/>
    <w:rsid w:val="006A2766"/>
    <w:rsid w:val="006A39D0"/>
    <w:rsid w:val="006A3E91"/>
    <w:rsid w:val="006A4321"/>
    <w:rsid w:val="006A4E20"/>
    <w:rsid w:val="006A4F11"/>
    <w:rsid w:val="006A563C"/>
    <w:rsid w:val="006A5A6F"/>
    <w:rsid w:val="006A5F7E"/>
    <w:rsid w:val="006A6786"/>
    <w:rsid w:val="006A7134"/>
    <w:rsid w:val="006A7C29"/>
    <w:rsid w:val="006B0580"/>
    <w:rsid w:val="006B0DA2"/>
    <w:rsid w:val="006B0F70"/>
    <w:rsid w:val="006B1486"/>
    <w:rsid w:val="006B169F"/>
    <w:rsid w:val="006B1BEB"/>
    <w:rsid w:val="006B1D06"/>
    <w:rsid w:val="006B2823"/>
    <w:rsid w:val="006B29DC"/>
    <w:rsid w:val="006B2F60"/>
    <w:rsid w:val="006B3136"/>
    <w:rsid w:val="006B33DB"/>
    <w:rsid w:val="006B3669"/>
    <w:rsid w:val="006B36E5"/>
    <w:rsid w:val="006B3D00"/>
    <w:rsid w:val="006B4CF8"/>
    <w:rsid w:val="006B506B"/>
    <w:rsid w:val="006B54E8"/>
    <w:rsid w:val="006B5FBC"/>
    <w:rsid w:val="006B6ED2"/>
    <w:rsid w:val="006B7F74"/>
    <w:rsid w:val="006B7FE9"/>
    <w:rsid w:val="006C0230"/>
    <w:rsid w:val="006C05C7"/>
    <w:rsid w:val="006C25AB"/>
    <w:rsid w:val="006C2BB9"/>
    <w:rsid w:val="006C2DA6"/>
    <w:rsid w:val="006C3581"/>
    <w:rsid w:val="006C39A0"/>
    <w:rsid w:val="006C3EFE"/>
    <w:rsid w:val="006C46C7"/>
    <w:rsid w:val="006C4767"/>
    <w:rsid w:val="006C4A1A"/>
    <w:rsid w:val="006C4D02"/>
    <w:rsid w:val="006C53A4"/>
    <w:rsid w:val="006C54DF"/>
    <w:rsid w:val="006C5D5D"/>
    <w:rsid w:val="006C627E"/>
    <w:rsid w:val="006C62F8"/>
    <w:rsid w:val="006C6303"/>
    <w:rsid w:val="006C6A51"/>
    <w:rsid w:val="006C6EBD"/>
    <w:rsid w:val="006C7E04"/>
    <w:rsid w:val="006C7F79"/>
    <w:rsid w:val="006D0004"/>
    <w:rsid w:val="006D015F"/>
    <w:rsid w:val="006D03AD"/>
    <w:rsid w:val="006D060E"/>
    <w:rsid w:val="006D0681"/>
    <w:rsid w:val="006D0A80"/>
    <w:rsid w:val="006D0AE8"/>
    <w:rsid w:val="006D135C"/>
    <w:rsid w:val="006D168F"/>
    <w:rsid w:val="006D2F72"/>
    <w:rsid w:val="006D43C1"/>
    <w:rsid w:val="006D5442"/>
    <w:rsid w:val="006D5D56"/>
    <w:rsid w:val="006D6E4E"/>
    <w:rsid w:val="006D7A7B"/>
    <w:rsid w:val="006D7A8E"/>
    <w:rsid w:val="006D7C59"/>
    <w:rsid w:val="006E00E3"/>
    <w:rsid w:val="006E045C"/>
    <w:rsid w:val="006E0569"/>
    <w:rsid w:val="006E065E"/>
    <w:rsid w:val="006E0849"/>
    <w:rsid w:val="006E11D6"/>
    <w:rsid w:val="006E17AC"/>
    <w:rsid w:val="006E189B"/>
    <w:rsid w:val="006E1E88"/>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618"/>
    <w:rsid w:val="006F2F59"/>
    <w:rsid w:val="006F311E"/>
    <w:rsid w:val="006F331C"/>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904"/>
    <w:rsid w:val="007119DC"/>
    <w:rsid w:val="00711CC7"/>
    <w:rsid w:val="0071230A"/>
    <w:rsid w:val="0071294A"/>
    <w:rsid w:val="00712BDD"/>
    <w:rsid w:val="00712E1E"/>
    <w:rsid w:val="00712F37"/>
    <w:rsid w:val="00713A6B"/>
    <w:rsid w:val="00713CB5"/>
    <w:rsid w:val="0071498C"/>
    <w:rsid w:val="0071499C"/>
    <w:rsid w:val="00714F9D"/>
    <w:rsid w:val="007154D8"/>
    <w:rsid w:val="00715577"/>
    <w:rsid w:val="0071604D"/>
    <w:rsid w:val="00716C67"/>
    <w:rsid w:val="007170AB"/>
    <w:rsid w:val="0071779C"/>
    <w:rsid w:val="00717808"/>
    <w:rsid w:val="007205E3"/>
    <w:rsid w:val="007208A7"/>
    <w:rsid w:val="00720B6A"/>
    <w:rsid w:val="007210F6"/>
    <w:rsid w:val="0072129A"/>
    <w:rsid w:val="0072139F"/>
    <w:rsid w:val="0072198A"/>
    <w:rsid w:val="00721AD9"/>
    <w:rsid w:val="00721FC3"/>
    <w:rsid w:val="00722690"/>
    <w:rsid w:val="00722A86"/>
    <w:rsid w:val="00722BC6"/>
    <w:rsid w:val="00722C69"/>
    <w:rsid w:val="0072311F"/>
    <w:rsid w:val="0072388C"/>
    <w:rsid w:val="0072454E"/>
    <w:rsid w:val="007249D1"/>
    <w:rsid w:val="00724FE4"/>
    <w:rsid w:val="00725829"/>
    <w:rsid w:val="00725D6A"/>
    <w:rsid w:val="007263A2"/>
    <w:rsid w:val="0072662F"/>
    <w:rsid w:val="007266B9"/>
    <w:rsid w:val="00727351"/>
    <w:rsid w:val="00727AC5"/>
    <w:rsid w:val="00727C65"/>
    <w:rsid w:val="007300F0"/>
    <w:rsid w:val="00730904"/>
    <w:rsid w:val="00730B44"/>
    <w:rsid w:val="00731EDE"/>
    <w:rsid w:val="0073245C"/>
    <w:rsid w:val="00732493"/>
    <w:rsid w:val="00732FE9"/>
    <w:rsid w:val="00733772"/>
    <w:rsid w:val="00733A43"/>
    <w:rsid w:val="00733AE4"/>
    <w:rsid w:val="00733D5F"/>
    <w:rsid w:val="00734932"/>
    <w:rsid w:val="00734CDD"/>
    <w:rsid w:val="00735D53"/>
    <w:rsid w:val="0073618A"/>
    <w:rsid w:val="007364A3"/>
    <w:rsid w:val="00736740"/>
    <w:rsid w:val="007378FD"/>
    <w:rsid w:val="007403FE"/>
    <w:rsid w:val="00740D06"/>
    <w:rsid w:val="007413EB"/>
    <w:rsid w:val="007413FB"/>
    <w:rsid w:val="00742D32"/>
    <w:rsid w:val="00742E9B"/>
    <w:rsid w:val="007433D9"/>
    <w:rsid w:val="00743444"/>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2F4C"/>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1F09"/>
    <w:rsid w:val="00772036"/>
    <w:rsid w:val="00773098"/>
    <w:rsid w:val="0077388F"/>
    <w:rsid w:val="007739A3"/>
    <w:rsid w:val="00773BD9"/>
    <w:rsid w:val="00773CB0"/>
    <w:rsid w:val="00773D71"/>
    <w:rsid w:val="007746EF"/>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8E"/>
    <w:rsid w:val="007844A9"/>
    <w:rsid w:val="00785091"/>
    <w:rsid w:val="0078638C"/>
    <w:rsid w:val="00786396"/>
    <w:rsid w:val="007869F9"/>
    <w:rsid w:val="00786CBB"/>
    <w:rsid w:val="00786E21"/>
    <w:rsid w:val="00787957"/>
    <w:rsid w:val="0079038E"/>
    <w:rsid w:val="00790705"/>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FF8"/>
    <w:rsid w:val="007972D5"/>
    <w:rsid w:val="0079778D"/>
    <w:rsid w:val="00797D73"/>
    <w:rsid w:val="007A006C"/>
    <w:rsid w:val="007A0789"/>
    <w:rsid w:val="007A130E"/>
    <w:rsid w:val="007A18B1"/>
    <w:rsid w:val="007A1BBD"/>
    <w:rsid w:val="007A1F08"/>
    <w:rsid w:val="007A2555"/>
    <w:rsid w:val="007A25FA"/>
    <w:rsid w:val="007A2906"/>
    <w:rsid w:val="007A2DB8"/>
    <w:rsid w:val="007A2FCB"/>
    <w:rsid w:val="007A3520"/>
    <w:rsid w:val="007A3604"/>
    <w:rsid w:val="007A3878"/>
    <w:rsid w:val="007A3D85"/>
    <w:rsid w:val="007A3E0D"/>
    <w:rsid w:val="007A436D"/>
    <w:rsid w:val="007A54F6"/>
    <w:rsid w:val="007A55FE"/>
    <w:rsid w:val="007A582C"/>
    <w:rsid w:val="007A5950"/>
    <w:rsid w:val="007A5D4C"/>
    <w:rsid w:val="007A5EF3"/>
    <w:rsid w:val="007A6D91"/>
    <w:rsid w:val="007A7618"/>
    <w:rsid w:val="007A7CE8"/>
    <w:rsid w:val="007B00C9"/>
    <w:rsid w:val="007B02C7"/>
    <w:rsid w:val="007B0306"/>
    <w:rsid w:val="007B08E4"/>
    <w:rsid w:val="007B0D86"/>
    <w:rsid w:val="007B28C3"/>
    <w:rsid w:val="007B3A6C"/>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6CD"/>
    <w:rsid w:val="007C60A8"/>
    <w:rsid w:val="007C660F"/>
    <w:rsid w:val="007C6664"/>
    <w:rsid w:val="007C66FF"/>
    <w:rsid w:val="007C69AE"/>
    <w:rsid w:val="007C6FE9"/>
    <w:rsid w:val="007C7688"/>
    <w:rsid w:val="007C76E3"/>
    <w:rsid w:val="007C76F3"/>
    <w:rsid w:val="007C7DD9"/>
    <w:rsid w:val="007D03BC"/>
    <w:rsid w:val="007D0DC9"/>
    <w:rsid w:val="007D0ECD"/>
    <w:rsid w:val="007D1F49"/>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679"/>
    <w:rsid w:val="007E54B8"/>
    <w:rsid w:val="007E5D12"/>
    <w:rsid w:val="007E5FC0"/>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F90"/>
    <w:rsid w:val="007F4318"/>
    <w:rsid w:val="007F4709"/>
    <w:rsid w:val="007F47DA"/>
    <w:rsid w:val="007F4E52"/>
    <w:rsid w:val="007F4F84"/>
    <w:rsid w:val="007F5382"/>
    <w:rsid w:val="007F55A4"/>
    <w:rsid w:val="007F578D"/>
    <w:rsid w:val="007F5D28"/>
    <w:rsid w:val="007F609C"/>
    <w:rsid w:val="007F6260"/>
    <w:rsid w:val="007F682B"/>
    <w:rsid w:val="007F78E8"/>
    <w:rsid w:val="007F7F8F"/>
    <w:rsid w:val="00800509"/>
    <w:rsid w:val="0080078E"/>
    <w:rsid w:val="00800B7F"/>
    <w:rsid w:val="008012B1"/>
    <w:rsid w:val="00801D63"/>
    <w:rsid w:val="00801EB5"/>
    <w:rsid w:val="0080348B"/>
    <w:rsid w:val="00803D82"/>
    <w:rsid w:val="00803D98"/>
    <w:rsid w:val="008052CE"/>
    <w:rsid w:val="008058D0"/>
    <w:rsid w:val="008068D3"/>
    <w:rsid w:val="00806A4C"/>
    <w:rsid w:val="0080705B"/>
    <w:rsid w:val="0080723C"/>
    <w:rsid w:val="00807F71"/>
    <w:rsid w:val="0081000F"/>
    <w:rsid w:val="008111BB"/>
    <w:rsid w:val="00812657"/>
    <w:rsid w:val="00812A1A"/>
    <w:rsid w:val="00812DFF"/>
    <w:rsid w:val="0081362F"/>
    <w:rsid w:val="0081383A"/>
    <w:rsid w:val="0081385E"/>
    <w:rsid w:val="0081497F"/>
    <w:rsid w:val="00814B90"/>
    <w:rsid w:val="00814FC7"/>
    <w:rsid w:val="008161A5"/>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265"/>
    <w:rsid w:val="008308D8"/>
    <w:rsid w:val="008320D2"/>
    <w:rsid w:val="008321CE"/>
    <w:rsid w:val="0083257C"/>
    <w:rsid w:val="0083261B"/>
    <w:rsid w:val="00832B44"/>
    <w:rsid w:val="00832EC9"/>
    <w:rsid w:val="00833307"/>
    <w:rsid w:val="0083343C"/>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757"/>
    <w:rsid w:val="0084181B"/>
    <w:rsid w:val="00841F29"/>
    <w:rsid w:val="008425CC"/>
    <w:rsid w:val="00842DC2"/>
    <w:rsid w:val="008431A8"/>
    <w:rsid w:val="0084357B"/>
    <w:rsid w:val="008465B4"/>
    <w:rsid w:val="00846D25"/>
    <w:rsid w:val="00850013"/>
    <w:rsid w:val="008500DD"/>
    <w:rsid w:val="00850A0A"/>
    <w:rsid w:val="00850A94"/>
    <w:rsid w:val="00851BFD"/>
    <w:rsid w:val="00851E96"/>
    <w:rsid w:val="00851F1C"/>
    <w:rsid w:val="00852931"/>
    <w:rsid w:val="00852FA5"/>
    <w:rsid w:val="00853F7D"/>
    <w:rsid w:val="0085517F"/>
    <w:rsid w:val="0085562D"/>
    <w:rsid w:val="00855A4E"/>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CF7"/>
    <w:rsid w:val="00862D8E"/>
    <w:rsid w:val="00862EF2"/>
    <w:rsid w:val="0086598A"/>
    <w:rsid w:val="00865C3D"/>
    <w:rsid w:val="00865F4C"/>
    <w:rsid w:val="00866453"/>
    <w:rsid w:val="0086707F"/>
    <w:rsid w:val="00867501"/>
    <w:rsid w:val="0086771C"/>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4EDF"/>
    <w:rsid w:val="008856C5"/>
    <w:rsid w:val="00886112"/>
    <w:rsid w:val="008872B3"/>
    <w:rsid w:val="00887392"/>
    <w:rsid w:val="00890A64"/>
    <w:rsid w:val="00890C40"/>
    <w:rsid w:val="00890F81"/>
    <w:rsid w:val="008911D3"/>
    <w:rsid w:val="0089122E"/>
    <w:rsid w:val="008912A7"/>
    <w:rsid w:val="0089183A"/>
    <w:rsid w:val="008920B4"/>
    <w:rsid w:val="008925EB"/>
    <w:rsid w:val="0089275E"/>
    <w:rsid w:val="00892B43"/>
    <w:rsid w:val="00893432"/>
    <w:rsid w:val="00893936"/>
    <w:rsid w:val="00893B23"/>
    <w:rsid w:val="00893CE2"/>
    <w:rsid w:val="00893F41"/>
    <w:rsid w:val="00895144"/>
    <w:rsid w:val="00895963"/>
    <w:rsid w:val="008970BB"/>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D0F"/>
    <w:rsid w:val="008B111A"/>
    <w:rsid w:val="008B16E6"/>
    <w:rsid w:val="008B1AB2"/>
    <w:rsid w:val="008B1D9B"/>
    <w:rsid w:val="008B2042"/>
    <w:rsid w:val="008B25F1"/>
    <w:rsid w:val="008B3567"/>
    <w:rsid w:val="008B36D0"/>
    <w:rsid w:val="008B38AF"/>
    <w:rsid w:val="008B3D7F"/>
    <w:rsid w:val="008B3E1B"/>
    <w:rsid w:val="008B3E3C"/>
    <w:rsid w:val="008B3F4B"/>
    <w:rsid w:val="008B48EC"/>
    <w:rsid w:val="008B4AF0"/>
    <w:rsid w:val="008B518E"/>
    <w:rsid w:val="008B527B"/>
    <w:rsid w:val="008B5AB9"/>
    <w:rsid w:val="008B67E6"/>
    <w:rsid w:val="008B69B8"/>
    <w:rsid w:val="008B6E78"/>
    <w:rsid w:val="008B7042"/>
    <w:rsid w:val="008B770C"/>
    <w:rsid w:val="008C0325"/>
    <w:rsid w:val="008C094A"/>
    <w:rsid w:val="008C1570"/>
    <w:rsid w:val="008C1792"/>
    <w:rsid w:val="008C17B2"/>
    <w:rsid w:val="008C1D97"/>
    <w:rsid w:val="008C1E3E"/>
    <w:rsid w:val="008C2059"/>
    <w:rsid w:val="008C21D0"/>
    <w:rsid w:val="008C2DBC"/>
    <w:rsid w:val="008C3A4E"/>
    <w:rsid w:val="008C5371"/>
    <w:rsid w:val="008C5E72"/>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7CE"/>
    <w:rsid w:val="008D3A1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A86"/>
    <w:rsid w:val="008E1C24"/>
    <w:rsid w:val="008E2626"/>
    <w:rsid w:val="008E27A9"/>
    <w:rsid w:val="008E323C"/>
    <w:rsid w:val="008E32E0"/>
    <w:rsid w:val="008E35A6"/>
    <w:rsid w:val="008E36D9"/>
    <w:rsid w:val="008E3A5C"/>
    <w:rsid w:val="008E3A9A"/>
    <w:rsid w:val="008E429E"/>
    <w:rsid w:val="008E4D20"/>
    <w:rsid w:val="008E58A3"/>
    <w:rsid w:val="008E5938"/>
    <w:rsid w:val="008E6109"/>
    <w:rsid w:val="008E6A39"/>
    <w:rsid w:val="008E6C03"/>
    <w:rsid w:val="008E76BB"/>
    <w:rsid w:val="008F1764"/>
    <w:rsid w:val="008F1E3D"/>
    <w:rsid w:val="008F235C"/>
    <w:rsid w:val="008F290B"/>
    <w:rsid w:val="008F2F11"/>
    <w:rsid w:val="008F3369"/>
    <w:rsid w:val="008F33A6"/>
    <w:rsid w:val="008F35EC"/>
    <w:rsid w:val="008F4FE8"/>
    <w:rsid w:val="008F4FED"/>
    <w:rsid w:val="008F50B8"/>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69A"/>
    <w:rsid w:val="0091472C"/>
    <w:rsid w:val="00914DC9"/>
    <w:rsid w:val="00915351"/>
    <w:rsid w:val="00915679"/>
    <w:rsid w:val="009159C2"/>
    <w:rsid w:val="0091627F"/>
    <w:rsid w:val="00916E45"/>
    <w:rsid w:val="0092077A"/>
    <w:rsid w:val="00920DC0"/>
    <w:rsid w:val="009219EE"/>
    <w:rsid w:val="009219F3"/>
    <w:rsid w:val="009221CB"/>
    <w:rsid w:val="00922320"/>
    <w:rsid w:val="00923643"/>
    <w:rsid w:val="00923E1A"/>
    <w:rsid w:val="009245CC"/>
    <w:rsid w:val="0092490A"/>
    <w:rsid w:val="00924D3A"/>
    <w:rsid w:val="00925A3E"/>
    <w:rsid w:val="009261DB"/>
    <w:rsid w:val="00926939"/>
    <w:rsid w:val="00926F4C"/>
    <w:rsid w:val="00927330"/>
    <w:rsid w:val="00927710"/>
    <w:rsid w:val="009304CD"/>
    <w:rsid w:val="009307CA"/>
    <w:rsid w:val="009312F9"/>
    <w:rsid w:val="00931445"/>
    <w:rsid w:val="00931AB8"/>
    <w:rsid w:val="00931C19"/>
    <w:rsid w:val="00931C63"/>
    <w:rsid w:val="00931D10"/>
    <w:rsid w:val="0093218A"/>
    <w:rsid w:val="0093386D"/>
    <w:rsid w:val="00934C8E"/>
    <w:rsid w:val="00935189"/>
    <w:rsid w:val="00935194"/>
    <w:rsid w:val="00936EA5"/>
    <w:rsid w:val="00937114"/>
    <w:rsid w:val="0094015D"/>
    <w:rsid w:val="00940916"/>
    <w:rsid w:val="009412B7"/>
    <w:rsid w:val="00941B13"/>
    <w:rsid w:val="0094215C"/>
    <w:rsid w:val="00942F8E"/>
    <w:rsid w:val="0094341C"/>
    <w:rsid w:val="00943543"/>
    <w:rsid w:val="009435AE"/>
    <w:rsid w:val="009441DB"/>
    <w:rsid w:val="00944647"/>
    <w:rsid w:val="00944834"/>
    <w:rsid w:val="00946128"/>
    <w:rsid w:val="0094633F"/>
    <w:rsid w:val="00947BA5"/>
    <w:rsid w:val="00947C96"/>
    <w:rsid w:val="00950805"/>
    <w:rsid w:val="00950F5F"/>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1B28"/>
    <w:rsid w:val="009625B7"/>
    <w:rsid w:val="00962FB8"/>
    <w:rsid w:val="00963183"/>
    <w:rsid w:val="0096373F"/>
    <w:rsid w:val="00964007"/>
    <w:rsid w:val="00964283"/>
    <w:rsid w:val="009642A4"/>
    <w:rsid w:val="009643F4"/>
    <w:rsid w:val="009645A6"/>
    <w:rsid w:val="00964F5A"/>
    <w:rsid w:val="0096527F"/>
    <w:rsid w:val="0096528E"/>
    <w:rsid w:val="009653ED"/>
    <w:rsid w:val="00966A21"/>
    <w:rsid w:val="00966AD2"/>
    <w:rsid w:val="0097014A"/>
    <w:rsid w:val="00971415"/>
    <w:rsid w:val="009716D8"/>
    <w:rsid w:val="00971F54"/>
    <w:rsid w:val="00971FB0"/>
    <w:rsid w:val="00972057"/>
    <w:rsid w:val="0097227B"/>
    <w:rsid w:val="0097262E"/>
    <w:rsid w:val="0097293F"/>
    <w:rsid w:val="00973103"/>
    <w:rsid w:val="009738B3"/>
    <w:rsid w:val="00974022"/>
    <w:rsid w:val="009743E8"/>
    <w:rsid w:val="009745D8"/>
    <w:rsid w:val="00974F3B"/>
    <w:rsid w:val="0097552A"/>
    <w:rsid w:val="0097564A"/>
    <w:rsid w:val="00975974"/>
    <w:rsid w:val="00975D06"/>
    <w:rsid w:val="00975D63"/>
    <w:rsid w:val="00975DAE"/>
    <w:rsid w:val="00976BBE"/>
    <w:rsid w:val="0098055B"/>
    <w:rsid w:val="00980B30"/>
    <w:rsid w:val="0098107C"/>
    <w:rsid w:val="009810BE"/>
    <w:rsid w:val="009817BC"/>
    <w:rsid w:val="009819A7"/>
    <w:rsid w:val="0098220A"/>
    <w:rsid w:val="00982E75"/>
    <w:rsid w:val="0098310E"/>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06"/>
    <w:rsid w:val="00991D4B"/>
    <w:rsid w:val="00992141"/>
    <w:rsid w:val="009921DB"/>
    <w:rsid w:val="009923A3"/>
    <w:rsid w:val="00992C67"/>
    <w:rsid w:val="00992D5B"/>
    <w:rsid w:val="00993135"/>
    <w:rsid w:val="00993AC7"/>
    <w:rsid w:val="00993BAD"/>
    <w:rsid w:val="00993E49"/>
    <w:rsid w:val="00994120"/>
    <w:rsid w:val="009942F5"/>
    <w:rsid w:val="00994568"/>
    <w:rsid w:val="00994602"/>
    <w:rsid w:val="00995B01"/>
    <w:rsid w:val="00996055"/>
    <w:rsid w:val="009966DC"/>
    <w:rsid w:val="00996EF4"/>
    <w:rsid w:val="00997044"/>
    <w:rsid w:val="00997BC9"/>
    <w:rsid w:val="009A001F"/>
    <w:rsid w:val="009A113D"/>
    <w:rsid w:val="009A1ECA"/>
    <w:rsid w:val="009A2BE9"/>
    <w:rsid w:val="009A2BF3"/>
    <w:rsid w:val="009A3688"/>
    <w:rsid w:val="009A3713"/>
    <w:rsid w:val="009A3C3E"/>
    <w:rsid w:val="009A4153"/>
    <w:rsid w:val="009A4C2C"/>
    <w:rsid w:val="009A502D"/>
    <w:rsid w:val="009A59B3"/>
    <w:rsid w:val="009A5FAE"/>
    <w:rsid w:val="009A5FE1"/>
    <w:rsid w:val="009A6B3A"/>
    <w:rsid w:val="009A70A3"/>
    <w:rsid w:val="009A7E7C"/>
    <w:rsid w:val="009B05D2"/>
    <w:rsid w:val="009B0B8E"/>
    <w:rsid w:val="009B0F07"/>
    <w:rsid w:val="009B152B"/>
    <w:rsid w:val="009B2731"/>
    <w:rsid w:val="009B2DCF"/>
    <w:rsid w:val="009B39D8"/>
    <w:rsid w:val="009B3D38"/>
    <w:rsid w:val="009B4368"/>
    <w:rsid w:val="009B4D4C"/>
    <w:rsid w:val="009B510A"/>
    <w:rsid w:val="009B5A79"/>
    <w:rsid w:val="009B66F5"/>
    <w:rsid w:val="009B7505"/>
    <w:rsid w:val="009C0020"/>
    <w:rsid w:val="009C021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909"/>
    <w:rsid w:val="009D03B7"/>
    <w:rsid w:val="009D07AD"/>
    <w:rsid w:val="009D0824"/>
    <w:rsid w:val="009D1172"/>
    <w:rsid w:val="009D13CC"/>
    <w:rsid w:val="009D1654"/>
    <w:rsid w:val="009D1AAC"/>
    <w:rsid w:val="009D1BDB"/>
    <w:rsid w:val="009D298F"/>
    <w:rsid w:val="009D2F9C"/>
    <w:rsid w:val="009D335E"/>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FF2"/>
    <w:rsid w:val="009E38D1"/>
    <w:rsid w:val="009E3DF1"/>
    <w:rsid w:val="009E514A"/>
    <w:rsid w:val="009E5177"/>
    <w:rsid w:val="009E52AC"/>
    <w:rsid w:val="009E5701"/>
    <w:rsid w:val="009E5711"/>
    <w:rsid w:val="009E758E"/>
    <w:rsid w:val="009E7BFB"/>
    <w:rsid w:val="009E7D6B"/>
    <w:rsid w:val="009E7E81"/>
    <w:rsid w:val="009F020A"/>
    <w:rsid w:val="009F05AD"/>
    <w:rsid w:val="009F0659"/>
    <w:rsid w:val="009F1109"/>
    <w:rsid w:val="009F143E"/>
    <w:rsid w:val="009F1904"/>
    <w:rsid w:val="009F1DE8"/>
    <w:rsid w:val="009F2186"/>
    <w:rsid w:val="009F227C"/>
    <w:rsid w:val="009F28DC"/>
    <w:rsid w:val="009F2EDB"/>
    <w:rsid w:val="009F33DC"/>
    <w:rsid w:val="009F3AAC"/>
    <w:rsid w:val="009F4282"/>
    <w:rsid w:val="009F4550"/>
    <w:rsid w:val="009F56C0"/>
    <w:rsid w:val="009F5C76"/>
    <w:rsid w:val="00A000C5"/>
    <w:rsid w:val="00A007B4"/>
    <w:rsid w:val="00A00930"/>
    <w:rsid w:val="00A00CA0"/>
    <w:rsid w:val="00A00E00"/>
    <w:rsid w:val="00A01221"/>
    <w:rsid w:val="00A012A8"/>
    <w:rsid w:val="00A012F1"/>
    <w:rsid w:val="00A016FF"/>
    <w:rsid w:val="00A01886"/>
    <w:rsid w:val="00A01EC8"/>
    <w:rsid w:val="00A0207F"/>
    <w:rsid w:val="00A021AF"/>
    <w:rsid w:val="00A027B1"/>
    <w:rsid w:val="00A0307A"/>
    <w:rsid w:val="00A03A7C"/>
    <w:rsid w:val="00A044AA"/>
    <w:rsid w:val="00A04E12"/>
    <w:rsid w:val="00A05778"/>
    <w:rsid w:val="00A05DBE"/>
    <w:rsid w:val="00A0661C"/>
    <w:rsid w:val="00A0700C"/>
    <w:rsid w:val="00A070FB"/>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9D"/>
    <w:rsid w:val="00A176DD"/>
    <w:rsid w:val="00A21838"/>
    <w:rsid w:val="00A22C3E"/>
    <w:rsid w:val="00A22C4D"/>
    <w:rsid w:val="00A2334E"/>
    <w:rsid w:val="00A23442"/>
    <w:rsid w:val="00A2349E"/>
    <w:rsid w:val="00A249D2"/>
    <w:rsid w:val="00A254AB"/>
    <w:rsid w:val="00A259F2"/>
    <w:rsid w:val="00A266CC"/>
    <w:rsid w:val="00A26DB4"/>
    <w:rsid w:val="00A27425"/>
    <w:rsid w:val="00A3023E"/>
    <w:rsid w:val="00A305C5"/>
    <w:rsid w:val="00A30919"/>
    <w:rsid w:val="00A31523"/>
    <w:rsid w:val="00A31ACB"/>
    <w:rsid w:val="00A31F05"/>
    <w:rsid w:val="00A31FD2"/>
    <w:rsid w:val="00A3404D"/>
    <w:rsid w:val="00A341AB"/>
    <w:rsid w:val="00A34290"/>
    <w:rsid w:val="00A355F9"/>
    <w:rsid w:val="00A357D3"/>
    <w:rsid w:val="00A35808"/>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231"/>
    <w:rsid w:val="00A42406"/>
    <w:rsid w:val="00A433E8"/>
    <w:rsid w:val="00A43640"/>
    <w:rsid w:val="00A43A1D"/>
    <w:rsid w:val="00A43AB0"/>
    <w:rsid w:val="00A44854"/>
    <w:rsid w:val="00A44A45"/>
    <w:rsid w:val="00A45539"/>
    <w:rsid w:val="00A4665D"/>
    <w:rsid w:val="00A46676"/>
    <w:rsid w:val="00A46859"/>
    <w:rsid w:val="00A46D39"/>
    <w:rsid w:val="00A47019"/>
    <w:rsid w:val="00A47133"/>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02"/>
    <w:rsid w:val="00A61991"/>
    <w:rsid w:val="00A61B7F"/>
    <w:rsid w:val="00A61B91"/>
    <w:rsid w:val="00A61C3A"/>
    <w:rsid w:val="00A620E8"/>
    <w:rsid w:val="00A6233C"/>
    <w:rsid w:val="00A63335"/>
    <w:rsid w:val="00A634EB"/>
    <w:rsid w:val="00A63685"/>
    <w:rsid w:val="00A63EA5"/>
    <w:rsid w:val="00A64545"/>
    <w:rsid w:val="00A645AC"/>
    <w:rsid w:val="00A64C39"/>
    <w:rsid w:val="00A64C79"/>
    <w:rsid w:val="00A65EFB"/>
    <w:rsid w:val="00A66E28"/>
    <w:rsid w:val="00A67429"/>
    <w:rsid w:val="00A677E7"/>
    <w:rsid w:val="00A67CE9"/>
    <w:rsid w:val="00A70590"/>
    <w:rsid w:val="00A7062E"/>
    <w:rsid w:val="00A70834"/>
    <w:rsid w:val="00A70B17"/>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5C7"/>
    <w:rsid w:val="00A92A96"/>
    <w:rsid w:val="00A92AF0"/>
    <w:rsid w:val="00A92C89"/>
    <w:rsid w:val="00A933FE"/>
    <w:rsid w:val="00A937D5"/>
    <w:rsid w:val="00A93C70"/>
    <w:rsid w:val="00A94A32"/>
    <w:rsid w:val="00A94AFC"/>
    <w:rsid w:val="00A94BF5"/>
    <w:rsid w:val="00A95D67"/>
    <w:rsid w:val="00A9686A"/>
    <w:rsid w:val="00A96B4A"/>
    <w:rsid w:val="00A97BDA"/>
    <w:rsid w:val="00AA043A"/>
    <w:rsid w:val="00AA0779"/>
    <w:rsid w:val="00AA08F3"/>
    <w:rsid w:val="00AA0A7E"/>
    <w:rsid w:val="00AA0F23"/>
    <w:rsid w:val="00AA1067"/>
    <w:rsid w:val="00AA1163"/>
    <w:rsid w:val="00AA13BC"/>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6AF"/>
    <w:rsid w:val="00AB3466"/>
    <w:rsid w:val="00AB38B2"/>
    <w:rsid w:val="00AB3BBB"/>
    <w:rsid w:val="00AB408C"/>
    <w:rsid w:val="00AB43AF"/>
    <w:rsid w:val="00AB4B80"/>
    <w:rsid w:val="00AB4C21"/>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2C76"/>
    <w:rsid w:val="00AD3132"/>
    <w:rsid w:val="00AD3DA6"/>
    <w:rsid w:val="00AD3E11"/>
    <w:rsid w:val="00AD3F3C"/>
    <w:rsid w:val="00AD402F"/>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D9B"/>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4C7"/>
    <w:rsid w:val="00B0278C"/>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6C4"/>
    <w:rsid w:val="00B15F6C"/>
    <w:rsid w:val="00B163E8"/>
    <w:rsid w:val="00B1767E"/>
    <w:rsid w:val="00B20760"/>
    <w:rsid w:val="00B20E8C"/>
    <w:rsid w:val="00B20F7C"/>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BF1"/>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52A"/>
    <w:rsid w:val="00B60613"/>
    <w:rsid w:val="00B61AEC"/>
    <w:rsid w:val="00B6244C"/>
    <w:rsid w:val="00B62A2F"/>
    <w:rsid w:val="00B62B7B"/>
    <w:rsid w:val="00B62F0A"/>
    <w:rsid w:val="00B63484"/>
    <w:rsid w:val="00B634B7"/>
    <w:rsid w:val="00B634F1"/>
    <w:rsid w:val="00B637EF"/>
    <w:rsid w:val="00B63ECB"/>
    <w:rsid w:val="00B63EF6"/>
    <w:rsid w:val="00B6440A"/>
    <w:rsid w:val="00B65788"/>
    <w:rsid w:val="00B65844"/>
    <w:rsid w:val="00B66054"/>
    <w:rsid w:val="00B6649A"/>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278"/>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0BF"/>
    <w:rsid w:val="00BA51A6"/>
    <w:rsid w:val="00BA583B"/>
    <w:rsid w:val="00BA5DF2"/>
    <w:rsid w:val="00BA5EC7"/>
    <w:rsid w:val="00BA6319"/>
    <w:rsid w:val="00BA63CE"/>
    <w:rsid w:val="00BA676E"/>
    <w:rsid w:val="00BA6980"/>
    <w:rsid w:val="00BA6EF2"/>
    <w:rsid w:val="00BA7116"/>
    <w:rsid w:val="00BA7227"/>
    <w:rsid w:val="00BA763C"/>
    <w:rsid w:val="00BA784D"/>
    <w:rsid w:val="00BA7CD7"/>
    <w:rsid w:val="00BB00E5"/>
    <w:rsid w:val="00BB1688"/>
    <w:rsid w:val="00BB1EFB"/>
    <w:rsid w:val="00BB269F"/>
    <w:rsid w:val="00BB27CC"/>
    <w:rsid w:val="00BB2ACE"/>
    <w:rsid w:val="00BB2E4E"/>
    <w:rsid w:val="00BB2E62"/>
    <w:rsid w:val="00BB2F61"/>
    <w:rsid w:val="00BB36C9"/>
    <w:rsid w:val="00BB3A66"/>
    <w:rsid w:val="00BB40D1"/>
    <w:rsid w:val="00BB5B6B"/>
    <w:rsid w:val="00BB777D"/>
    <w:rsid w:val="00BB7EC0"/>
    <w:rsid w:val="00BB7F88"/>
    <w:rsid w:val="00BC0207"/>
    <w:rsid w:val="00BC089F"/>
    <w:rsid w:val="00BC0A0C"/>
    <w:rsid w:val="00BC0A5A"/>
    <w:rsid w:val="00BC0D43"/>
    <w:rsid w:val="00BC0E64"/>
    <w:rsid w:val="00BC25D1"/>
    <w:rsid w:val="00BC2DBD"/>
    <w:rsid w:val="00BC3BCB"/>
    <w:rsid w:val="00BC3CF1"/>
    <w:rsid w:val="00BC428A"/>
    <w:rsid w:val="00BC48ED"/>
    <w:rsid w:val="00BC4C40"/>
    <w:rsid w:val="00BC5A29"/>
    <w:rsid w:val="00BC5AE3"/>
    <w:rsid w:val="00BC5BAD"/>
    <w:rsid w:val="00BC625B"/>
    <w:rsid w:val="00BC692A"/>
    <w:rsid w:val="00BC6F23"/>
    <w:rsid w:val="00BC76C5"/>
    <w:rsid w:val="00BC7F94"/>
    <w:rsid w:val="00BD1039"/>
    <w:rsid w:val="00BD10B7"/>
    <w:rsid w:val="00BD138A"/>
    <w:rsid w:val="00BD164A"/>
    <w:rsid w:val="00BD1BDD"/>
    <w:rsid w:val="00BD1D7D"/>
    <w:rsid w:val="00BD1E27"/>
    <w:rsid w:val="00BD2786"/>
    <w:rsid w:val="00BD2B4D"/>
    <w:rsid w:val="00BD2F08"/>
    <w:rsid w:val="00BD2FB9"/>
    <w:rsid w:val="00BD31C2"/>
    <w:rsid w:val="00BD34D9"/>
    <w:rsid w:val="00BD3683"/>
    <w:rsid w:val="00BD450A"/>
    <w:rsid w:val="00BD4717"/>
    <w:rsid w:val="00BD48EA"/>
    <w:rsid w:val="00BD4BA8"/>
    <w:rsid w:val="00BD5624"/>
    <w:rsid w:val="00BD62E6"/>
    <w:rsid w:val="00BD6B0E"/>
    <w:rsid w:val="00BD734D"/>
    <w:rsid w:val="00BD7941"/>
    <w:rsid w:val="00BE054F"/>
    <w:rsid w:val="00BE0591"/>
    <w:rsid w:val="00BE0C55"/>
    <w:rsid w:val="00BE0F03"/>
    <w:rsid w:val="00BE11A2"/>
    <w:rsid w:val="00BE1EF0"/>
    <w:rsid w:val="00BE1F23"/>
    <w:rsid w:val="00BE246C"/>
    <w:rsid w:val="00BE2657"/>
    <w:rsid w:val="00BE2FD2"/>
    <w:rsid w:val="00BE377A"/>
    <w:rsid w:val="00BE37AE"/>
    <w:rsid w:val="00BE3B14"/>
    <w:rsid w:val="00BE3C65"/>
    <w:rsid w:val="00BE4222"/>
    <w:rsid w:val="00BE472D"/>
    <w:rsid w:val="00BE4C03"/>
    <w:rsid w:val="00BE5C9C"/>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ACA"/>
    <w:rsid w:val="00BF7EF5"/>
    <w:rsid w:val="00C00BF6"/>
    <w:rsid w:val="00C0234A"/>
    <w:rsid w:val="00C0247B"/>
    <w:rsid w:val="00C02AA7"/>
    <w:rsid w:val="00C02DFC"/>
    <w:rsid w:val="00C0378E"/>
    <w:rsid w:val="00C04314"/>
    <w:rsid w:val="00C04BD0"/>
    <w:rsid w:val="00C05730"/>
    <w:rsid w:val="00C05AF4"/>
    <w:rsid w:val="00C05AFD"/>
    <w:rsid w:val="00C0661C"/>
    <w:rsid w:val="00C0675F"/>
    <w:rsid w:val="00C069AF"/>
    <w:rsid w:val="00C06EF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1D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275"/>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159"/>
    <w:rsid w:val="00C36233"/>
    <w:rsid w:val="00C36B2C"/>
    <w:rsid w:val="00C3701A"/>
    <w:rsid w:val="00C379EF"/>
    <w:rsid w:val="00C405C8"/>
    <w:rsid w:val="00C40C2F"/>
    <w:rsid w:val="00C415AC"/>
    <w:rsid w:val="00C4297A"/>
    <w:rsid w:val="00C4309E"/>
    <w:rsid w:val="00C4360C"/>
    <w:rsid w:val="00C439B8"/>
    <w:rsid w:val="00C43A0B"/>
    <w:rsid w:val="00C43EDA"/>
    <w:rsid w:val="00C43FEC"/>
    <w:rsid w:val="00C4414C"/>
    <w:rsid w:val="00C44E61"/>
    <w:rsid w:val="00C45512"/>
    <w:rsid w:val="00C4602B"/>
    <w:rsid w:val="00C46564"/>
    <w:rsid w:val="00C46BFA"/>
    <w:rsid w:val="00C46DDF"/>
    <w:rsid w:val="00C500A1"/>
    <w:rsid w:val="00C50A02"/>
    <w:rsid w:val="00C51149"/>
    <w:rsid w:val="00C5117E"/>
    <w:rsid w:val="00C512D1"/>
    <w:rsid w:val="00C517CE"/>
    <w:rsid w:val="00C51856"/>
    <w:rsid w:val="00C51B04"/>
    <w:rsid w:val="00C51DB5"/>
    <w:rsid w:val="00C5298C"/>
    <w:rsid w:val="00C534D7"/>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A71"/>
    <w:rsid w:val="00C65BD3"/>
    <w:rsid w:val="00C65DE2"/>
    <w:rsid w:val="00C664FB"/>
    <w:rsid w:val="00C665DE"/>
    <w:rsid w:val="00C667C3"/>
    <w:rsid w:val="00C6728B"/>
    <w:rsid w:val="00C67E4C"/>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A60"/>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2A6"/>
    <w:rsid w:val="00C968EF"/>
    <w:rsid w:val="00C972CE"/>
    <w:rsid w:val="00CA0492"/>
    <w:rsid w:val="00CA05B0"/>
    <w:rsid w:val="00CA0632"/>
    <w:rsid w:val="00CA0A04"/>
    <w:rsid w:val="00CA1529"/>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ADD"/>
    <w:rsid w:val="00CC1398"/>
    <w:rsid w:val="00CC1AF5"/>
    <w:rsid w:val="00CC1B74"/>
    <w:rsid w:val="00CC291E"/>
    <w:rsid w:val="00CC2D03"/>
    <w:rsid w:val="00CC2EB0"/>
    <w:rsid w:val="00CC4701"/>
    <w:rsid w:val="00CC56B4"/>
    <w:rsid w:val="00CC5F95"/>
    <w:rsid w:val="00CC642A"/>
    <w:rsid w:val="00CC6AC7"/>
    <w:rsid w:val="00CC6EEC"/>
    <w:rsid w:val="00CC733D"/>
    <w:rsid w:val="00CC7617"/>
    <w:rsid w:val="00CC79D9"/>
    <w:rsid w:val="00CC7BA1"/>
    <w:rsid w:val="00CC7E0D"/>
    <w:rsid w:val="00CC7E97"/>
    <w:rsid w:val="00CD00EB"/>
    <w:rsid w:val="00CD1255"/>
    <w:rsid w:val="00CD1484"/>
    <w:rsid w:val="00CD1892"/>
    <w:rsid w:val="00CD1C01"/>
    <w:rsid w:val="00CD1D00"/>
    <w:rsid w:val="00CD2009"/>
    <w:rsid w:val="00CD27AC"/>
    <w:rsid w:val="00CD2A82"/>
    <w:rsid w:val="00CD3CAB"/>
    <w:rsid w:val="00CD424E"/>
    <w:rsid w:val="00CD44FF"/>
    <w:rsid w:val="00CD46A7"/>
    <w:rsid w:val="00CD47BC"/>
    <w:rsid w:val="00CD4E50"/>
    <w:rsid w:val="00CD537A"/>
    <w:rsid w:val="00CD57CB"/>
    <w:rsid w:val="00CD64E1"/>
    <w:rsid w:val="00CD66BA"/>
    <w:rsid w:val="00CD699D"/>
    <w:rsid w:val="00CD6BA3"/>
    <w:rsid w:val="00CD70DB"/>
    <w:rsid w:val="00CD7544"/>
    <w:rsid w:val="00CD78D4"/>
    <w:rsid w:val="00CE0697"/>
    <w:rsid w:val="00CE14CB"/>
    <w:rsid w:val="00CE2E2E"/>
    <w:rsid w:val="00CE3A51"/>
    <w:rsid w:val="00CE4076"/>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28E"/>
    <w:rsid w:val="00CF5E34"/>
    <w:rsid w:val="00CF6707"/>
    <w:rsid w:val="00CF7101"/>
    <w:rsid w:val="00CF7327"/>
    <w:rsid w:val="00CF7385"/>
    <w:rsid w:val="00CF7539"/>
    <w:rsid w:val="00CF75C6"/>
    <w:rsid w:val="00CF7B77"/>
    <w:rsid w:val="00CF7DF5"/>
    <w:rsid w:val="00D001D2"/>
    <w:rsid w:val="00D0284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A71"/>
    <w:rsid w:val="00D10BE1"/>
    <w:rsid w:val="00D117AD"/>
    <w:rsid w:val="00D11FE3"/>
    <w:rsid w:val="00D12393"/>
    <w:rsid w:val="00D12945"/>
    <w:rsid w:val="00D12CC0"/>
    <w:rsid w:val="00D12DA1"/>
    <w:rsid w:val="00D130C0"/>
    <w:rsid w:val="00D13231"/>
    <w:rsid w:val="00D1343A"/>
    <w:rsid w:val="00D13D50"/>
    <w:rsid w:val="00D14101"/>
    <w:rsid w:val="00D144D8"/>
    <w:rsid w:val="00D14919"/>
    <w:rsid w:val="00D14E25"/>
    <w:rsid w:val="00D15470"/>
    <w:rsid w:val="00D15AE3"/>
    <w:rsid w:val="00D160C4"/>
    <w:rsid w:val="00D165D8"/>
    <w:rsid w:val="00D1724E"/>
    <w:rsid w:val="00D17C26"/>
    <w:rsid w:val="00D17E08"/>
    <w:rsid w:val="00D17E33"/>
    <w:rsid w:val="00D206F6"/>
    <w:rsid w:val="00D20FD1"/>
    <w:rsid w:val="00D214D4"/>
    <w:rsid w:val="00D21AAA"/>
    <w:rsid w:val="00D21E6F"/>
    <w:rsid w:val="00D2218A"/>
    <w:rsid w:val="00D22B13"/>
    <w:rsid w:val="00D2371E"/>
    <w:rsid w:val="00D237E0"/>
    <w:rsid w:val="00D23A17"/>
    <w:rsid w:val="00D24B40"/>
    <w:rsid w:val="00D25676"/>
    <w:rsid w:val="00D2579F"/>
    <w:rsid w:val="00D2580E"/>
    <w:rsid w:val="00D258E8"/>
    <w:rsid w:val="00D265A7"/>
    <w:rsid w:val="00D26622"/>
    <w:rsid w:val="00D2690C"/>
    <w:rsid w:val="00D27129"/>
    <w:rsid w:val="00D279E7"/>
    <w:rsid w:val="00D27F75"/>
    <w:rsid w:val="00D3046D"/>
    <w:rsid w:val="00D30497"/>
    <w:rsid w:val="00D30C4D"/>
    <w:rsid w:val="00D30F5F"/>
    <w:rsid w:val="00D31243"/>
    <w:rsid w:val="00D316D9"/>
    <w:rsid w:val="00D31B07"/>
    <w:rsid w:val="00D31B9D"/>
    <w:rsid w:val="00D3272E"/>
    <w:rsid w:val="00D3289F"/>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4C6"/>
    <w:rsid w:val="00D54A50"/>
    <w:rsid w:val="00D54FFD"/>
    <w:rsid w:val="00D5552C"/>
    <w:rsid w:val="00D5556D"/>
    <w:rsid w:val="00D55C34"/>
    <w:rsid w:val="00D55C81"/>
    <w:rsid w:val="00D5674B"/>
    <w:rsid w:val="00D5685D"/>
    <w:rsid w:val="00D56B56"/>
    <w:rsid w:val="00D56BF5"/>
    <w:rsid w:val="00D56F99"/>
    <w:rsid w:val="00D5743F"/>
    <w:rsid w:val="00D57F1F"/>
    <w:rsid w:val="00D60065"/>
    <w:rsid w:val="00D60270"/>
    <w:rsid w:val="00D605C2"/>
    <w:rsid w:val="00D60733"/>
    <w:rsid w:val="00D60C60"/>
    <w:rsid w:val="00D61164"/>
    <w:rsid w:val="00D61E1D"/>
    <w:rsid w:val="00D629A4"/>
    <w:rsid w:val="00D62BDF"/>
    <w:rsid w:val="00D62EEE"/>
    <w:rsid w:val="00D64F1C"/>
    <w:rsid w:val="00D6570C"/>
    <w:rsid w:val="00D659EA"/>
    <w:rsid w:val="00D65A89"/>
    <w:rsid w:val="00D65E85"/>
    <w:rsid w:val="00D66082"/>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59A"/>
    <w:rsid w:val="00D729A7"/>
    <w:rsid w:val="00D72A5B"/>
    <w:rsid w:val="00D73991"/>
    <w:rsid w:val="00D73CD4"/>
    <w:rsid w:val="00D73F06"/>
    <w:rsid w:val="00D740B2"/>
    <w:rsid w:val="00D74247"/>
    <w:rsid w:val="00D743F1"/>
    <w:rsid w:val="00D744CF"/>
    <w:rsid w:val="00D7456E"/>
    <w:rsid w:val="00D753A9"/>
    <w:rsid w:val="00D755F7"/>
    <w:rsid w:val="00D756EF"/>
    <w:rsid w:val="00D75DDB"/>
    <w:rsid w:val="00D75E4B"/>
    <w:rsid w:val="00D76955"/>
    <w:rsid w:val="00D774F4"/>
    <w:rsid w:val="00D77687"/>
    <w:rsid w:val="00D77A07"/>
    <w:rsid w:val="00D77AF6"/>
    <w:rsid w:val="00D804C5"/>
    <w:rsid w:val="00D815E6"/>
    <w:rsid w:val="00D81A28"/>
    <w:rsid w:val="00D81BDE"/>
    <w:rsid w:val="00D8201D"/>
    <w:rsid w:val="00D82B00"/>
    <w:rsid w:val="00D82B04"/>
    <w:rsid w:val="00D82BE4"/>
    <w:rsid w:val="00D82E05"/>
    <w:rsid w:val="00D83C0D"/>
    <w:rsid w:val="00D83C80"/>
    <w:rsid w:val="00D83F5B"/>
    <w:rsid w:val="00D85901"/>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219"/>
    <w:rsid w:val="00D958BE"/>
    <w:rsid w:val="00D95F88"/>
    <w:rsid w:val="00D96698"/>
    <w:rsid w:val="00D967C6"/>
    <w:rsid w:val="00D96876"/>
    <w:rsid w:val="00D96940"/>
    <w:rsid w:val="00D96B12"/>
    <w:rsid w:val="00D96F59"/>
    <w:rsid w:val="00DA0175"/>
    <w:rsid w:val="00DA099C"/>
    <w:rsid w:val="00DA0A8A"/>
    <w:rsid w:val="00DA0F18"/>
    <w:rsid w:val="00DA2125"/>
    <w:rsid w:val="00DA21EC"/>
    <w:rsid w:val="00DA24DE"/>
    <w:rsid w:val="00DA270C"/>
    <w:rsid w:val="00DA281F"/>
    <w:rsid w:val="00DA3C5B"/>
    <w:rsid w:val="00DA3D23"/>
    <w:rsid w:val="00DA4A61"/>
    <w:rsid w:val="00DA5AFE"/>
    <w:rsid w:val="00DA611D"/>
    <w:rsid w:val="00DA61AB"/>
    <w:rsid w:val="00DA61CD"/>
    <w:rsid w:val="00DA6EE2"/>
    <w:rsid w:val="00DA6F67"/>
    <w:rsid w:val="00DA718A"/>
    <w:rsid w:val="00DA78CF"/>
    <w:rsid w:val="00DA78D5"/>
    <w:rsid w:val="00DA7A89"/>
    <w:rsid w:val="00DA7B7A"/>
    <w:rsid w:val="00DA7BF4"/>
    <w:rsid w:val="00DB052F"/>
    <w:rsid w:val="00DB0BA1"/>
    <w:rsid w:val="00DB14D3"/>
    <w:rsid w:val="00DB154B"/>
    <w:rsid w:val="00DB1565"/>
    <w:rsid w:val="00DB1BDC"/>
    <w:rsid w:val="00DB24EB"/>
    <w:rsid w:val="00DB2B06"/>
    <w:rsid w:val="00DB3490"/>
    <w:rsid w:val="00DB3593"/>
    <w:rsid w:val="00DB440B"/>
    <w:rsid w:val="00DB4426"/>
    <w:rsid w:val="00DB4522"/>
    <w:rsid w:val="00DB4B40"/>
    <w:rsid w:val="00DB4F12"/>
    <w:rsid w:val="00DB4F21"/>
    <w:rsid w:val="00DB4F42"/>
    <w:rsid w:val="00DB540C"/>
    <w:rsid w:val="00DB661D"/>
    <w:rsid w:val="00DB6F96"/>
    <w:rsid w:val="00DB71B9"/>
    <w:rsid w:val="00DB7662"/>
    <w:rsid w:val="00DB7E46"/>
    <w:rsid w:val="00DC01F4"/>
    <w:rsid w:val="00DC1395"/>
    <w:rsid w:val="00DC32FC"/>
    <w:rsid w:val="00DC3B15"/>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C6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220"/>
    <w:rsid w:val="00DE7498"/>
    <w:rsid w:val="00DE75EF"/>
    <w:rsid w:val="00DE7611"/>
    <w:rsid w:val="00DE7D19"/>
    <w:rsid w:val="00DF05A0"/>
    <w:rsid w:val="00DF1162"/>
    <w:rsid w:val="00DF1BA8"/>
    <w:rsid w:val="00DF1F63"/>
    <w:rsid w:val="00DF21A2"/>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1BB"/>
    <w:rsid w:val="00E0356F"/>
    <w:rsid w:val="00E03B42"/>
    <w:rsid w:val="00E03C10"/>
    <w:rsid w:val="00E0479F"/>
    <w:rsid w:val="00E04816"/>
    <w:rsid w:val="00E04982"/>
    <w:rsid w:val="00E04D6A"/>
    <w:rsid w:val="00E058DB"/>
    <w:rsid w:val="00E05950"/>
    <w:rsid w:val="00E05CD4"/>
    <w:rsid w:val="00E05DE8"/>
    <w:rsid w:val="00E06100"/>
    <w:rsid w:val="00E0614E"/>
    <w:rsid w:val="00E06E8F"/>
    <w:rsid w:val="00E06E97"/>
    <w:rsid w:val="00E07126"/>
    <w:rsid w:val="00E07963"/>
    <w:rsid w:val="00E07B8F"/>
    <w:rsid w:val="00E10712"/>
    <w:rsid w:val="00E10C93"/>
    <w:rsid w:val="00E10DD1"/>
    <w:rsid w:val="00E1224C"/>
    <w:rsid w:val="00E1254C"/>
    <w:rsid w:val="00E12BDF"/>
    <w:rsid w:val="00E13178"/>
    <w:rsid w:val="00E13326"/>
    <w:rsid w:val="00E13D07"/>
    <w:rsid w:val="00E140E1"/>
    <w:rsid w:val="00E14104"/>
    <w:rsid w:val="00E14356"/>
    <w:rsid w:val="00E14961"/>
    <w:rsid w:val="00E14D76"/>
    <w:rsid w:val="00E15183"/>
    <w:rsid w:val="00E15D6C"/>
    <w:rsid w:val="00E1720B"/>
    <w:rsid w:val="00E1751D"/>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5C2"/>
    <w:rsid w:val="00E30915"/>
    <w:rsid w:val="00E30924"/>
    <w:rsid w:val="00E30DF9"/>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526"/>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B9C"/>
    <w:rsid w:val="00E5333C"/>
    <w:rsid w:val="00E5448E"/>
    <w:rsid w:val="00E54E0D"/>
    <w:rsid w:val="00E55247"/>
    <w:rsid w:val="00E554D5"/>
    <w:rsid w:val="00E558E5"/>
    <w:rsid w:val="00E55B3C"/>
    <w:rsid w:val="00E56795"/>
    <w:rsid w:val="00E57932"/>
    <w:rsid w:val="00E57E48"/>
    <w:rsid w:val="00E60045"/>
    <w:rsid w:val="00E606C4"/>
    <w:rsid w:val="00E60792"/>
    <w:rsid w:val="00E60811"/>
    <w:rsid w:val="00E60AB8"/>
    <w:rsid w:val="00E6103E"/>
    <w:rsid w:val="00E61363"/>
    <w:rsid w:val="00E6185F"/>
    <w:rsid w:val="00E61D32"/>
    <w:rsid w:val="00E62D74"/>
    <w:rsid w:val="00E63C60"/>
    <w:rsid w:val="00E64050"/>
    <w:rsid w:val="00E64B7B"/>
    <w:rsid w:val="00E6514D"/>
    <w:rsid w:val="00E65161"/>
    <w:rsid w:val="00E652C9"/>
    <w:rsid w:val="00E6593B"/>
    <w:rsid w:val="00E65BA9"/>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138"/>
    <w:rsid w:val="00E816E8"/>
    <w:rsid w:val="00E819DA"/>
    <w:rsid w:val="00E81F53"/>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3B"/>
    <w:rsid w:val="00E87A37"/>
    <w:rsid w:val="00E87CF7"/>
    <w:rsid w:val="00E9036E"/>
    <w:rsid w:val="00E9078A"/>
    <w:rsid w:val="00E912FD"/>
    <w:rsid w:val="00E91B26"/>
    <w:rsid w:val="00E92C6E"/>
    <w:rsid w:val="00E92D0B"/>
    <w:rsid w:val="00E92FFF"/>
    <w:rsid w:val="00E93195"/>
    <w:rsid w:val="00E9391C"/>
    <w:rsid w:val="00E93D05"/>
    <w:rsid w:val="00E94BF8"/>
    <w:rsid w:val="00E951D8"/>
    <w:rsid w:val="00E95C2A"/>
    <w:rsid w:val="00E961CB"/>
    <w:rsid w:val="00E963BC"/>
    <w:rsid w:val="00E966A6"/>
    <w:rsid w:val="00E96E91"/>
    <w:rsid w:val="00E96ED8"/>
    <w:rsid w:val="00E971D0"/>
    <w:rsid w:val="00E9751D"/>
    <w:rsid w:val="00E97DC6"/>
    <w:rsid w:val="00E97F7A"/>
    <w:rsid w:val="00EA0010"/>
    <w:rsid w:val="00EA0143"/>
    <w:rsid w:val="00EA089B"/>
    <w:rsid w:val="00EA1ACC"/>
    <w:rsid w:val="00EA2E21"/>
    <w:rsid w:val="00EA2EAA"/>
    <w:rsid w:val="00EA36AF"/>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2CF"/>
    <w:rsid w:val="00EB3939"/>
    <w:rsid w:val="00EB3CE6"/>
    <w:rsid w:val="00EB3E92"/>
    <w:rsid w:val="00EB41DB"/>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2A6"/>
    <w:rsid w:val="00EC66AA"/>
    <w:rsid w:val="00EC6B30"/>
    <w:rsid w:val="00EC6B8F"/>
    <w:rsid w:val="00EC7154"/>
    <w:rsid w:val="00EC7371"/>
    <w:rsid w:val="00EC73F5"/>
    <w:rsid w:val="00EC7894"/>
    <w:rsid w:val="00EC7A28"/>
    <w:rsid w:val="00EC7B48"/>
    <w:rsid w:val="00ED0151"/>
    <w:rsid w:val="00ED0257"/>
    <w:rsid w:val="00ED0667"/>
    <w:rsid w:val="00ED071B"/>
    <w:rsid w:val="00ED18B1"/>
    <w:rsid w:val="00ED1ADE"/>
    <w:rsid w:val="00ED3692"/>
    <w:rsid w:val="00ED375C"/>
    <w:rsid w:val="00ED4A77"/>
    <w:rsid w:val="00ED4B6E"/>
    <w:rsid w:val="00ED5981"/>
    <w:rsid w:val="00ED613A"/>
    <w:rsid w:val="00ED6514"/>
    <w:rsid w:val="00ED66B2"/>
    <w:rsid w:val="00ED71BA"/>
    <w:rsid w:val="00ED728F"/>
    <w:rsid w:val="00ED73A1"/>
    <w:rsid w:val="00ED7CA2"/>
    <w:rsid w:val="00EE04F9"/>
    <w:rsid w:val="00EE05E0"/>
    <w:rsid w:val="00EE12BC"/>
    <w:rsid w:val="00EE13DA"/>
    <w:rsid w:val="00EE1595"/>
    <w:rsid w:val="00EE1E71"/>
    <w:rsid w:val="00EE2087"/>
    <w:rsid w:val="00EE20C2"/>
    <w:rsid w:val="00EE2A9D"/>
    <w:rsid w:val="00EE3384"/>
    <w:rsid w:val="00EE499F"/>
    <w:rsid w:val="00EE56E2"/>
    <w:rsid w:val="00EE5FCD"/>
    <w:rsid w:val="00EE60D1"/>
    <w:rsid w:val="00EE63BF"/>
    <w:rsid w:val="00EE6D45"/>
    <w:rsid w:val="00EE6E89"/>
    <w:rsid w:val="00EF0563"/>
    <w:rsid w:val="00EF0D4B"/>
    <w:rsid w:val="00EF0FE6"/>
    <w:rsid w:val="00EF1130"/>
    <w:rsid w:val="00EF1432"/>
    <w:rsid w:val="00EF1511"/>
    <w:rsid w:val="00EF1F01"/>
    <w:rsid w:val="00EF2C39"/>
    <w:rsid w:val="00EF2C5F"/>
    <w:rsid w:val="00EF37CA"/>
    <w:rsid w:val="00EF3811"/>
    <w:rsid w:val="00EF3AC4"/>
    <w:rsid w:val="00EF3FF9"/>
    <w:rsid w:val="00EF41AF"/>
    <w:rsid w:val="00EF4DB4"/>
    <w:rsid w:val="00EF5234"/>
    <w:rsid w:val="00EF553E"/>
    <w:rsid w:val="00EF55E9"/>
    <w:rsid w:val="00EF5B41"/>
    <w:rsid w:val="00EF611C"/>
    <w:rsid w:val="00EF625F"/>
    <w:rsid w:val="00EF62C0"/>
    <w:rsid w:val="00EF6D5A"/>
    <w:rsid w:val="00EF71E6"/>
    <w:rsid w:val="00F0058A"/>
    <w:rsid w:val="00F00630"/>
    <w:rsid w:val="00F00922"/>
    <w:rsid w:val="00F00924"/>
    <w:rsid w:val="00F00CF5"/>
    <w:rsid w:val="00F0187E"/>
    <w:rsid w:val="00F01BE6"/>
    <w:rsid w:val="00F01F75"/>
    <w:rsid w:val="00F0217A"/>
    <w:rsid w:val="00F021C5"/>
    <w:rsid w:val="00F026D3"/>
    <w:rsid w:val="00F027E8"/>
    <w:rsid w:val="00F03395"/>
    <w:rsid w:val="00F034E6"/>
    <w:rsid w:val="00F03E4C"/>
    <w:rsid w:val="00F04D19"/>
    <w:rsid w:val="00F050A3"/>
    <w:rsid w:val="00F05411"/>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743"/>
    <w:rsid w:val="00F31052"/>
    <w:rsid w:val="00F31245"/>
    <w:rsid w:val="00F318A1"/>
    <w:rsid w:val="00F31CF5"/>
    <w:rsid w:val="00F3265C"/>
    <w:rsid w:val="00F3279C"/>
    <w:rsid w:val="00F32C4A"/>
    <w:rsid w:val="00F33262"/>
    <w:rsid w:val="00F33FAF"/>
    <w:rsid w:val="00F343EE"/>
    <w:rsid w:val="00F35083"/>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700"/>
    <w:rsid w:val="00F54709"/>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0B6"/>
    <w:rsid w:val="00F65BA9"/>
    <w:rsid w:val="00F65BC8"/>
    <w:rsid w:val="00F65EEA"/>
    <w:rsid w:val="00F66205"/>
    <w:rsid w:val="00F6630F"/>
    <w:rsid w:val="00F66419"/>
    <w:rsid w:val="00F66CEE"/>
    <w:rsid w:val="00F67079"/>
    <w:rsid w:val="00F67B58"/>
    <w:rsid w:val="00F67E81"/>
    <w:rsid w:val="00F7044B"/>
    <w:rsid w:val="00F70FD4"/>
    <w:rsid w:val="00F71342"/>
    <w:rsid w:val="00F71C68"/>
    <w:rsid w:val="00F724E2"/>
    <w:rsid w:val="00F72EF4"/>
    <w:rsid w:val="00F74103"/>
    <w:rsid w:val="00F7410A"/>
    <w:rsid w:val="00F745A4"/>
    <w:rsid w:val="00F74C0C"/>
    <w:rsid w:val="00F758E1"/>
    <w:rsid w:val="00F75BB5"/>
    <w:rsid w:val="00F75FD5"/>
    <w:rsid w:val="00F7604C"/>
    <w:rsid w:val="00F76F8A"/>
    <w:rsid w:val="00F773A9"/>
    <w:rsid w:val="00F8056E"/>
    <w:rsid w:val="00F805B7"/>
    <w:rsid w:val="00F810C1"/>
    <w:rsid w:val="00F81288"/>
    <w:rsid w:val="00F81623"/>
    <w:rsid w:val="00F81D25"/>
    <w:rsid w:val="00F8245C"/>
    <w:rsid w:val="00F82928"/>
    <w:rsid w:val="00F829B9"/>
    <w:rsid w:val="00F83045"/>
    <w:rsid w:val="00F83615"/>
    <w:rsid w:val="00F83650"/>
    <w:rsid w:val="00F83EC7"/>
    <w:rsid w:val="00F8421D"/>
    <w:rsid w:val="00F85329"/>
    <w:rsid w:val="00F85683"/>
    <w:rsid w:val="00F85841"/>
    <w:rsid w:val="00F85F8B"/>
    <w:rsid w:val="00F86079"/>
    <w:rsid w:val="00F8610A"/>
    <w:rsid w:val="00F86B37"/>
    <w:rsid w:val="00F87282"/>
    <w:rsid w:val="00F878CD"/>
    <w:rsid w:val="00F87905"/>
    <w:rsid w:val="00F87A66"/>
    <w:rsid w:val="00F90C1F"/>
    <w:rsid w:val="00F912D9"/>
    <w:rsid w:val="00F91A44"/>
    <w:rsid w:val="00F91BFA"/>
    <w:rsid w:val="00F91F8F"/>
    <w:rsid w:val="00F9217B"/>
    <w:rsid w:val="00F94D30"/>
    <w:rsid w:val="00F95AAE"/>
    <w:rsid w:val="00F97A34"/>
    <w:rsid w:val="00F97E4A"/>
    <w:rsid w:val="00F97EA1"/>
    <w:rsid w:val="00FA003A"/>
    <w:rsid w:val="00FA05C8"/>
    <w:rsid w:val="00FA0678"/>
    <w:rsid w:val="00FA0DB6"/>
    <w:rsid w:val="00FA23F7"/>
    <w:rsid w:val="00FA27EB"/>
    <w:rsid w:val="00FA35B6"/>
    <w:rsid w:val="00FA3843"/>
    <w:rsid w:val="00FA3EBC"/>
    <w:rsid w:val="00FA423C"/>
    <w:rsid w:val="00FA44D0"/>
    <w:rsid w:val="00FA4590"/>
    <w:rsid w:val="00FA55A2"/>
    <w:rsid w:val="00FA672F"/>
    <w:rsid w:val="00FA775E"/>
    <w:rsid w:val="00FA7792"/>
    <w:rsid w:val="00FA7AA8"/>
    <w:rsid w:val="00FA7F1D"/>
    <w:rsid w:val="00FB011C"/>
    <w:rsid w:val="00FB0366"/>
    <w:rsid w:val="00FB0D60"/>
    <w:rsid w:val="00FB18FD"/>
    <w:rsid w:val="00FB2BCC"/>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718"/>
    <w:rsid w:val="00FC2292"/>
    <w:rsid w:val="00FC22D0"/>
    <w:rsid w:val="00FC38D4"/>
    <w:rsid w:val="00FC391E"/>
    <w:rsid w:val="00FC39B3"/>
    <w:rsid w:val="00FC3BB7"/>
    <w:rsid w:val="00FC4345"/>
    <w:rsid w:val="00FC444A"/>
    <w:rsid w:val="00FC453D"/>
    <w:rsid w:val="00FC4A89"/>
    <w:rsid w:val="00FC5DEA"/>
    <w:rsid w:val="00FC619B"/>
    <w:rsid w:val="00FC665F"/>
    <w:rsid w:val="00FC6C35"/>
    <w:rsid w:val="00FC6D59"/>
    <w:rsid w:val="00FC7561"/>
    <w:rsid w:val="00FC78F5"/>
    <w:rsid w:val="00FC7ACA"/>
    <w:rsid w:val="00FC7AD2"/>
    <w:rsid w:val="00FD048B"/>
    <w:rsid w:val="00FD10B3"/>
    <w:rsid w:val="00FD11C3"/>
    <w:rsid w:val="00FD154E"/>
    <w:rsid w:val="00FD24D7"/>
    <w:rsid w:val="00FD29CE"/>
    <w:rsid w:val="00FD307C"/>
    <w:rsid w:val="00FD3AE2"/>
    <w:rsid w:val="00FD3B6D"/>
    <w:rsid w:val="00FD3E41"/>
    <w:rsid w:val="00FD3EFA"/>
    <w:rsid w:val="00FD54A8"/>
    <w:rsid w:val="00FD5AE4"/>
    <w:rsid w:val="00FD5F25"/>
    <w:rsid w:val="00FD60BE"/>
    <w:rsid w:val="00FD6735"/>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8A3"/>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255"/>
    <w:rsid w:val="00FF2A7B"/>
    <w:rsid w:val="00FF3D2B"/>
    <w:rsid w:val="00FF49B4"/>
    <w:rsid w:val="00FF49F4"/>
    <w:rsid w:val="00FF5C6A"/>
    <w:rsid w:val="00FF651D"/>
    <w:rsid w:val="00FF6843"/>
    <w:rsid w:val="00FF6C25"/>
    <w:rsid w:val="010651D9"/>
    <w:rsid w:val="010C3ADF"/>
    <w:rsid w:val="011128F8"/>
    <w:rsid w:val="01115B19"/>
    <w:rsid w:val="011F6449"/>
    <w:rsid w:val="01236AFB"/>
    <w:rsid w:val="013D1CD1"/>
    <w:rsid w:val="014C0E98"/>
    <w:rsid w:val="01514F94"/>
    <w:rsid w:val="019F7441"/>
    <w:rsid w:val="01AE2C48"/>
    <w:rsid w:val="01B37585"/>
    <w:rsid w:val="01CC33B7"/>
    <w:rsid w:val="01D55165"/>
    <w:rsid w:val="01DF6BF8"/>
    <w:rsid w:val="01EC2C57"/>
    <w:rsid w:val="02094E3E"/>
    <w:rsid w:val="021E42F5"/>
    <w:rsid w:val="026B2E25"/>
    <w:rsid w:val="02824D4D"/>
    <w:rsid w:val="02DC4B10"/>
    <w:rsid w:val="02DD76CE"/>
    <w:rsid w:val="02F36323"/>
    <w:rsid w:val="02F5619C"/>
    <w:rsid w:val="03012229"/>
    <w:rsid w:val="0326446A"/>
    <w:rsid w:val="032D5555"/>
    <w:rsid w:val="033F69BF"/>
    <w:rsid w:val="03483C5A"/>
    <w:rsid w:val="036634D2"/>
    <w:rsid w:val="03733754"/>
    <w:rsid w:val="037A0B0F"/>
    <w:rsid w:val="037C7496"/>
    <w:rsid w:val="03807456"/>
    <w:rsid w:val="0388114A"/>
    <w:rsid w:val="03A2514E"/>
    <w:rsid w:val="03DD35E4"/>
    <w:rsid w:val="03F02791"/>
    <w:rsid w:val="04076900"/>
    <w:rsid w:val="041A5A3B"/>
    <w:rsid w:val="042311BA"/>
    <w:rsid w:val="042B157A"/>
    <w:rsid w:val="04326122"/>
    <w:rsid w:val="046263DF"/>
    <w:rsid w:val="046955D1"/>
    <w:rsid w:val="048F763B"/>
    <w:rsid w:val="049468D5"/>
    <w:rsid w:val="04986316"/>
    <w:rsid w:val="049F330E"/>
    <w:rsid w:val="04AA775C"/>
    <w:rsid w:val="04AF1889"/>
    <w:rsid w:val="04BC1D77"/>
    <w:rsid w:val="04BD38C2"/>
    <w:rsid w:val="04C13256"/>
    <w:rsid w:val="04F66F48"/>
    <w:rsid w:val="04FD0F5D"/>
    <w:rsid w:val="050B7291"/>
    <w:rsid w:val="051668EE"/>
    <w:rsid w:val="05251E14"/>
    <w:rsid w:val="0530678A"/>
    <w:rsid w:val="0585466D"/>
    <w:rsid w:val="05A16594"/>
    <w:rsid w:val="05A625A8"/>
    <w:rsid w:val="05A70A57"/>
    <w:rsid w:val="05A7762D"/>
    <w:rsid w:val="05FA2369"/>
    <w:rsid w:val="05FD666C"/>
    <w:rsid w:val="06023C82"/>
    <w:rsid w:val="060E5941"/>
    <w:rsid w:val="06110FAF"/>
    <w:rsid w:val="063479AF"/>
    <w:rsid w:val="06430CCF"/>
    <w:rsid w:val="06493CA7"/>
    <w:rsid w:val="065A6178"/>
    <w:rsid w:val="066F1CF3"/>
    <w:rsid w:val="068A6CF9"/>
    <w:rsid w:val="06930BB8"/>
    <w:rsid w:val="069C62F3"/>
    <w:rsid w:val="06A35CA2"/>
    <w:rsid w:val="06AA187C"/>
    <w:rsid w:val="06B238FA"/>
    <w:rsid w:val="06CB24CD"/>
    <w:rsid w:val="06D51397"/>
    <w:rsid w:val="07042061"/>
    <w:rsid w:val="07124E1F"/>
    <w:rsid w:val="07181283"/>
    <w:rsid w:val="07245D42"/>
    <w:rsid w:val="07264C62"/>
    <w:rsid w:val="07351559"/>
    <w:rsid w:val="073A3DB0"/>
    <w:rsid w:val="07542410"/>
    <w:rsid w:val="075B351E"/>
    <w:rsid w:val="0779354C"/>
    <w:rsid w:val="077D66A1"/>
    <w:rsid w:val="07FA1055"/>
    <w:rsid w:val="08061376"/>
    <w:rsid w:val="08452D77"/>
    <w:rsid w:val="086401F8"/>
    <w:rsid w:val="08751CAA"/>
    <w:rsid w:val="087E4C40"/>
    <w:rsid w:val="08A40402"/>
    <w:rsid w:val="08CE2093"/>
    <w:rsid w:val="08D55AE4"/>
    <w:rsid w:val="08D66AD6"/>
    <w:rsid w:val="08DA33A3"/>
    <w:rsid w:val="08E80F13"/>
    <w:rsid w:val="08EA67AB"/>
    <w:rsid w:val="09335624"/>
    <w:rsid w:val="0936722F"/>
    <w:rsid w:val="09391E8B"/>
    <w:rsid w:val="093F28F7"/>
    <w:rsid w:val="0944690F"/>
    <w:rsid w:val="094654D0"/>
    <w:rsid w:val="09535675"/>
    <w:rsid w:val="0959781A"/>
    <w:rsid w:val="095D095C"/>
    <w:rsid w:val="095F057D"/>
    <w:rsid w:val="09642282"/>
    <w:rsid w:val="09733572"/>
    <w:rsid w:val="09772C16"/>
    <w:rsid w:val="09795590"/>
    <w:rsid w:val="098353B5"/>
    <w:rsid w:val="099C43EE"/>
    <w:rsid w:val="09A92330"/>
    <w:rsid w:val="09B06B87"/>
    <w:rsid w:val="09C13146"/>
    <w:rsid w:val="09C57AFD"/>
    <w:rsid w:val="09CA0A04"/>
    <w:rsid w:val="09CA2D09"/>
    <w:rsid w:val="09DB5AD3"/>
    <w:rsid w:val="09E04166"/>
    <w:rsid w:val="09EF363B"/>
    <w:rsid w:val="09FB7366"/>
    <w:rsid w:val="0A1C0718"/>
    <w:rsid w:val="0A2F6AB8"/>
    <w:rsid w:val="0A3E7710"/>
    <w:rsid w:val="0A5B7E63"/>
    <w:rsid w:val="0A613888"/>
    <w:rsid w:val="0A876FC3"/>
    <w:rsid w:val="0A892BC4"/>
    <w:rsid w:val="0A96247D"/>
    <w:rsid w:val="0AA374A5"/>
    <w:rsid w:val="0AAA48E8"/>
    <w:rsid w:val="0AAB7649"/>
    <w:rsid w:val="0ABC5606"/>
    <w:rsid w:val="0ABF39B6"/>
    <w:rsid w:val="0ACC56B9"/>
    <w:rsid w:val="0ACF028E"/>
    <w:rsid w:val="0ADF0F5E"/>
    <w:rsid w:val="0AEB73DB"/>
    <w:rsid w:val="0B24071A"/>
    <w:rsid w:val="0B30404E"/>
    <w:rsid w:val="0B460AB5"/>
    <w:rsid w:val="0B4A2626"/>
    <w:rsid w:val="0B4C6C14"/>
    <w:rsid w:val="0B5B0979"/>
    <w:rsid w:val="0B631A88"/>
    <w:rsid w:val="0B683D45"/>
    <w:rsid w:val="0B7F3F11"/>
    <w:rsid w:val="0B884417"/>
    <w:rsid w:val="0B8B5F47"/>
    <w:rsid w:val="0BB43C70"/>
    <w:rsid w:val="0BB93035"/>
    <w:rsid w:val="0BD16CF6"/>
    <w:rsid w:val="0BD7795F"/>
    <w:rsid w:val="0BF6188C"/>
    <w:rsid w:val="0BF73C91"/>
    <w:rsid w:val="0C07733D"/>
    <w:rsid w:val="0C0D5EDD"/>
    <w:rsid w:val="0C14470F"/>
    <w:rsid w:val="0C170175"/>
    <w:rsid w:val="0C2148F8"/>
    <w:rsid w:val="0C2D1AA7"/>
    <w:rsid w:val="0C3C61AB"/>
    <w:rsid w:val="0C4C56D1"/>
    <w:rsid w:val="0C571A41"/>
    <w:rsid w:val="0C5C1171"/>
    <w:rsid w:val="0C5E1CBC"/>
    <w:rsid w:val="0C615B50"/>
    <w:rsid w:val="0C6863AE"/>
    <w:rsid w:val="0C7A56D7"/>
    <w:rsid w:val="0C8445DA"/>
    <w:rsid w:val="0C87121B"/>
    <w:rsid w:val="0C880C59"/>
    <w:rsid w:val="0CC007F7"/>
    <w:rsid w:val="0CFE707A"/>
    <w:rsid w:val="0D063BDA"/>
    <w:rsid w:val="0D08375F"/>
    <w:rsid w:val="0D086278"/>
    <w:rsid w:val="0D184CFB"/>
    <w:rsid w:val="0D4A7419"/>
    <w:rsid w:val="0D5862D5"/>
    <w:rsid w:val="0D827401"/>
    <w:rsid w:val="0D84094E"/>
    <w:rsid w:val="0D8A00E9"/>
    <w:rsid w:val="0D8D589E"/>
    <w:rsid w:val="0D9C54BC"/>
    <w:rsid w:val="0D9F6094"/>
    <w:rsid w:val="0DA01C73"/>
    <w:rsid w:val="0DD63300"/>
    <w:rsid w:val="0DDC1059"/>
    <w:rsid w:val="0DE501C8"/>
    <w:rsid w:val="0DEB5944"/>
    <w:rsid w:val="0DED5218"/>
    <w:rsid w:val="0DF50604"/>
    <w:rsid w:val="0DF602DB"/>
    <w:rsid w:val="0DF65EB8"/>
    <w:rsid w:val="0DF702FE"/>
    <w:rsid w:val="0DFA16E3"/>
    <w:rsid w:val="0E034A3B"/>
    <w:rsid w:val="0E060E51"/>
    <w:rsid w:val="0E124FA7"/>
    <w:rsid w:val="0E46605C"/>
    <w:rsid w:val="0E536B37"/>
    <w:rsid w:val="0E5604B2"/>
    <w:rsid w:val="0E601E8E"/>
    <w:rsid w:val="0E6D5D79"/>
    <w:rsid w:val="0E9D0089"/>
    <w:rsid w:val="0EB803EE"/>
    <w:rsid w:val="0EBC1CC8"/>
    <w:rsid w:val="0EDD4405"/>
    <w:rsid w:val="0EDE69A8"/>
    <w:rsid w:val="0EF44384"/>
    <w:rsid w:val="0EF94D4B"/>
    <w:rsid w:val="0F1E3AAF"/>
    <w:rsid w:val="0F3E01A5"/>
    <w:rsid w:val="0F443C33"/>
    <w:rsid w:val="0F4958DC"/>
    <w:rsid w:val="0F4A768D"/>
    <w:rsid w:val="0F4C05FA"/>
    <w:rsid w:val="0F4C2412"/>
    <w:rsid w:val="0F515DF7"/>
    <w:rsid w:val="0F553F03"/>
    <w:rsid w:val="0F596BA8"/>
    <w:rsid w:val="0F6248D2"/>
    <w:rsid w:val="0F693536"/>
    <w:rsid w:val="0F7B0511"/>
    <w:rsid w:val="0F7B76D9"/>
    <w:rsid w:val="0F816ACD"/>
    <w:rsid w:val="0F9832DB"/>
    <w:rsid w:val="0FBF3C20"/>
    <w:rsid w:val="0FBF3FD2"/>
    <w:rsid w:val="0FBF7FF3"/>
    <w:rsid w:val="0FC5151F"/>
    <w:rsid w:val="0FFF1232"/>
    <w:rsid w:val="100F5F0A"/>
    <w:rsid w:val="101738D4"/>
    <w:rsid w:val="10234F21"/>
    <w:rsid w:val="103435D2"/>
    <w:rsid w:val="10646583"/>
    <w:rsid w:val="107D4B15"/>
    <w:rsid w:val="108A3C80"/>
    <w:rsid w:val="10C26171"/>
    <w:rsid w:val="10F33360"/>
    <w:rsid w:val="10FC16EA"/>
    <w:rsid w:val="110034B4"/>
    <w:rsid w:val="110F1D40"/>
    <w:rsid w:val="11266F33"/>
    <w:rsid w:val="118963A1"/>
    <w:rsid w:val="11A71B81"/>
    <w:rsid w:val="11BC1A65"/>
    <w:rsid w:val="11C6522A"/>
    <w:rsid w:val="11C85893"/>
    <w:rsid w:val="11CB3AC2"/>
    <w:rsid w:val="11E104CC"/>
    <w:rsid w:val="11E15DD0"/>
    <w:rsid w:val="11E20309"/>
    <w:rsid w:val="11EC5ABD"/>
    <w:rsid w:val="121E62E8"/>
    <w:rsid w:val="12220FC9"/>
    <w:rsid w:val="12255233"/>
    <w:rsid w:val="12530213"/>
    <w:rsid w:val="12610A9D"/>
    <w:rsid w:val="127723A9"/>
    <w:rsid w:val="127C4DBC"/>
    <w:rsid w:val="12862074"/>
    <w:rsid w:val="12883966"/>
    <w:rsid w:val="129E45B4"/>
    <w:rsid w:val="12BC165D"/>
    <w:rsid w:val="12D2594E"/>
    <w:rsid w:val="12D81596"/>
    <w:rsid w:val="12E110C3"/>
    <w:rsid w:val="13072A44"/>
    <w:rsid w:val="132C233E"/>
    <w:rsid w:val="134C1057"/>
    <w:rsid w:val="135F4BE2"/>
    <w:rsid w:val="139B1A0A"/>
    <w:rsid w:val="139D25C7"/>
    <w:rsid w:val="13BE1131"/>
    <w:rsid w:val="13BF3CE4"/>
    <w:rsid w:val="13E9022F"/>
    <w:rsid w:val="141008D8"/>
    <w:rsid w:val="14125FE6"/>
    <w:rsid w:val="141B7FFA"/>
    <w:rsid w:val="14236DAD"/>
    <w:rsid w:val="142A330C"/>
    <w:rsid w:val="14425B91"/>
    <w:rsid w:val="146D271E"/>
    <w:rsid w:val="147E12BF"/>
    <w:rsid w:val="148C1672"/>
    <w:rsid w:val="14982588"/>
    <w:rsid w:val="149A5AD9"/>
    <w:rsid w:val="149D7CB1"/>
    <w:rsid w:val="14A612A7"/>
    <w:rsid w:val="14A7619D"/>
    <w:rsid w:val="14D964F6"/>
    <w:rsid w:val="14F46435"/>
    <w:rsid w:val="14FF25AD"/>
    <w:rsid w:val="150536C3"/>
    <w:rsid w:val="150A524C"/>
    <w:rsid w:val="150C1963"/>
    <w:rsid w:val="151447A0"/>
    <w:rsid w:val="152C2AC9"/>
    <w:rsid w:val="154222ED"/>
    <w:rsid w:val="154A0B61"/>
    <w:rsid w:val="154A6454"/>
    <w:rsid w:val="155B33AF"/>
    <w:rsid w:val="15762120"/>
    <w:rsid w:val="158D151C"/>
    <w:rsid w:val="158E4113"/>
    <w:rsid w:val="159E46E1"/>
    <w:rsid w:val="15B77499"/>
    <w:rsid w:val="15C05042"/>
    <w:rsid w:val="15C0628C"/>
    <w:rsid w:val="15F75379"/>
    <w:rsid w:val="16026D99"/>
    <w:rsid w:val="16297BDD"/>
    <w:rsid w:val="162C4204"/>
    <w:rsid w:val="162C5A71"/>
    <w:rsid w:val="164F7F0B"/>
    <w:rsid w:val="1672408C"/>
    <w:rsid w:val="168D64E9"/>
    <w:rsid w:val="16963CDE"/>
    <w:rsid w:val="16A53F3B"/>
    <w:rsid w:val="16A60D39"/>
    <w:rsid w:val="16A8729C"/>
    <w:rsid w:val="16B33777"/>
    <w:rsid w:val="16BC70A7"/>
    <w:rsid w:val="16BE1602"/>
    <w:rsid w:val="16C6339E"/>
    <w:rsid w:val="16C80274"/>
    <w:rsid w:val="16CF61F9"/>
    <w:rsid w:val="17017250"/>
    <w:rsid w:val="1704255E"/>
    <w:rsid w:val="170B34AD"/>
    <w:rsid w:val="172F2D79"/>
    <w:rsid w:val="173F28B5"/>
    <w:rsid w:val="17424826"/>
    <w:rsid w:val="17557BEF"/>
    <w:rsid w:val="175C1A29"/>
    <w:rsid w:val="17607F1E"/>
    <w:rsid w:val="17683267"/>
    <w:rsid w:val="176F3141"/>
    <w:rsid w:val="178A6601"/>
    <w:rsid w:val="17D17958"/>
    <w:rsid w:val="17D32D00"/>
    <w:rsid w:val="17D349C1"/>
    <w:rsid w:val="17FC541C"/>
    <w:rsid w:val="18167A61"/>
    <w:rsid w:val="18257149"/>
    <w:rsid w:val="1830729E"/>
    <w:rsid w:val="185323CD"/>
    <w:rsid w:val="1870062C"/>
    <w:rsid w:val="187A7FA7"/>
    <w:rsid w:val="18817102"/>
    <w:rsid w:val="18830A15"/>
    <w:rsid w:val="18852B28"/>
    <w:rsid w:val="188B5321"/>
    <w:rsid w:val="18A13BA0"/>
    <w:rsid w:val="18A8170F"/>
    <w:rsid w:val="18BE438B"/>
    <w:rsid w:val="18BF3C55"/>
    <w:rsid w:val="18D21BDA"/>
    <w:rsid w:val="18F6730E"/>
    <w:rsid w:val="18FB3087"/>
    <w:rsid w:val="192F0DDA"/>
    <w:rsid w:val="192F4936"/>
    <w:rsid w:val="19382387"/>
    <w:rsid w:val="19427660"/>
    <w:rsid w:val="19516BC8"/>
    <w:rsid w:val="1977591F"/>
    <w:rsid w:val="19932372"/>
    <w:rsid w:val="199565B0"/>
    <w:rsid w:val="1998697F"/>
    <w:rsid w:val="19A20DD5"/>
    <w:rsid w:val="19AE03F1"/>
    <w:rsid w:val="19B117EF"/>
    <w:rsid w:val="19F210D5"/>
    <w:rsid w:val="1A071A03"/>
    <w:rsid w:val="1A1C43AF"/>
    <w:rsid w:val="1A1F16AE"/>
    <w:rsid w:val="1A3B5C77"/>
    <w:rsid w:val="1A626AD9"/>
    <w:rsid w:val="1A66035D"/>
    <w:rsid w:val="1A7E1EA1"/>
    <w:rsid w:val="1A8A3963"/>
    <w:rsid w:val="1A937147"/>
    <w:rsid w:val="1A984BAD"/>
    <w:rsid w:val="1AAD64AC"/>
    <w:rsid w:val="1AB8220E"/>
    <w:rsid w:val="1ABB6CEC"/>
    <w:rsid w:val="1AC80305"/>
    <w:rsid w:val="1ACE4623"/>
    <w:rsid w:val="1AD66B48"/>
    <w:rsid w:val="1AD734D7"/>
    <w:rsid w:val="1AE4166C"/>
    <w:rsid w:val="1AF06CFB"/>
    <w:rsid w:val="1AF11B8D"/>
    <w:rsid w:val="1B11359C"/>
    <w:rsid w:val="1B1367AA"/>
    <w:rsid w:val="1B1B527C"/>
    <w:rsid w:val="1B2232FD"/>
    <w:rsid w:val="1B2A271F"/>
    <w:rsid w:val="1B530544"/>
    <w:rsid w:val="1B713184"/>
    <w:rsid w:val="1B833F1E"/>
    <w:rsid w:val="1BA209CF"/>
    <w:rsid w:val="1BA36F23"/>
    <w:rsid w:val="1BB4777D"/>
    <w:rsid w:val="1BB90E2F"/>
    <w:rsid w:val="1BD75AB8"/>
    <w:rsid w:val="1BE37C5A"/>
    <w:rsid w:val="1BEA723A"/>
    <w:rsid w:val="1C0220E3"/>
    <w:rsid w:val="1C0320AA"/>
    <w:rsid w:val="1C0459C2"/>
    <w:rsid w:val="1C1B3B4A"/>
    <w:rsid w:val="1C3A1F70"/>
    <w:rsid w:val="1C6065FB"/>
    <w:rsid w:val="1C803926"/>
    <w:rsid w:val="1C88086E"/>
    <w:rsid w:val="1C943C1D"/>
    <w:rsid w:val="1C9D5A55"/>
    <w:rsid w:val="1CD01614"/>
    <w:rsid w:val="1CD502E5"/>
    <w:rsid w:val="1CF147D2"/>
    <w:rsid w:val="1D196228"/>
    <w:rsid w:val="1D1C3424"/>
    <w:rsid w:val="1D266CE1"/>
    <w:rsid w:val="1D291FE4"/>
    <w:rsid w:val="1D3963AF"/>
    <w:rsid w:val="1D4C02F6"/>
    <w:rsid w:val="1D595499"/>
    <w:rsid w:val="1D6072CE"/>
    <w:rsid w:val="1D6A673C"/>
    <w:rsid w:val="1D716E1E"/>
    <w:rsid w:val="1D792A4A"/>
    <w:rsid w:val="1D817327"/>
    <w:rsid w:val="1D8D3608"/>
    <w:rsid w:val="1D9247AE"/>
    <w:rsid w:val="1DB30A05"/>
    <w:rsid w:val="1DB567EC"/>
    <w:rsid w:val="1DB91B5D"/>
    <w:rsid w:val="1DBB5310"/>
    <w:rsid w:val="1DD67A76"/>
    <w:rsid w:val="1DF223D6"/>
    <w:rsid w:val="1DF51A98"/>
    <w:rsid w:val="1E38227E"/>
    <w:rsid w:val="1E3D060F"/>
    <w:rsid w:val="1E3F7D2E"/>
    <w:rsid w:val="1E4134E4"/>
    <w:rsid w:val="1E5062B3"/>
    <w:rsid w:val="1E523514"/>
    <w:rsid w:val="1E714A66"/>
    <w:rsid w:val="1E7C4831"/>
    <w:rsid w:val="1E802593"/>
    <w:rsid w:val="1E84773A"/>
    <w:rsid w:val="1E8E6C9D"/>
    <w:rsid w:val="1E98023E"/>
    <w:rsid w:val="1E9F430C"/>
    <w:rsid w:val="1EA703CC"/>
    <w:rsid w:val="1EA922B8"/>
    <w:rsid w:val="1EB7330C"/>
    <w:rsid w:val="1EE021C5"/>
    <w:rsid w:val="1EEE7608"/>
    <w:rsid w:val="1EF556EB"/>
    <w:rsid w:val="1F0A0FF3"/>
    <w:rsid w:val="1F1A7E37"/>
    <w:rsid w:val="1F2E5690"/>
    <w:rsid w:val="1F5771FF"/>
    <w:rsid w:val="1F7A1A37"/>
    <w:rsid w:val="1F7B6F6A"/>
    <w:rsid w:val="1F896D6A"/>
    <w:rsid w:val="1F9A5927"/>
    <w:rsid w:val="1FAA740D"/>
    <w:rsid w:val="1FB33873"/>
    <w:rsid w:val="1FC82A1E"/>
    <w:rsid w:val="1FE0446C"/>
    <w:rsid w:val="1FE66976"/>
    <w:rsid w:val="1FE868A9"/>
    <w:rsid w:val="1FF73CD4"/>
    <w:rsid w:val="20034907"/>
    <w:rsid w:val="20173E4B"/>
    <w:rsid w:val="204B206D"/>
    <w:rsid w:val="204E48BC"/>
    <w:rsid w:val="204F58BE"/>
    <w:rsid w:val="20627AD5"/>
    <w:rsid w:val="20735A50"/>
    <w:rsid w:val="208921B3"/>
    <w:rsid w:val="20913A34"/>
    <w:rsid w:val="20973DEB"/>
    <w:rsid w:val="209E2C90"/>
    <w:rsid w:val="20A951E7"/>
    <w:rsid w:val="20AB589D"/>
    <w:rsid w:val="20B26522"/>
    <w:rsid w:val="20B44310"/>
    <w:rsid w:val="20B554F6"/>
    <w:rsid w:val="20BB3040"/>
    <w:rsid w:val="20D919B5"/>
    <w:rsid w:val="20ED66BA"/>
    <w:rsid w:val="210F6A9A"/>
    <w:rsid w:val="21107582"/>
    <w:rsid w:val="211116EB"/>
    <w:rsid w:val="212408D1"/>
    <w:rsid w:val="21265346"/>
    <w:rsid w:val="21304A63"/>
    <w:rsid w:val="2144647C"/>
    <w:rsid w:val="216133FC"/>
    <w:rsid w:val="21835447"/>
    <w:rsid w:val="21934B84"/>
    <w:rsid w:val="2198713E"/>
    <w:rsid w:val="219B517E"/>
    <w:rsid w:val="21C9156C"/>
    <w:rsid w:val="21D56769"/>
    <w:rsid w:val="21D64328"/>
    <w:rsid w:val="21E11A55"/>
    <w:rsid w:val="21E52EF3"/>
    <w:rsid w:val="21FB5D7B"/>
    <w:rsid w:val="220B1C3D"/>
    <w:rsid w:val="22105417"/>
    <w:rsid w:val="221D1D20"/>
    <w:rsid w:val="22334A87"/>
    <w:rsid w:val="22361847"/>
    <w:rsid w:val="22462138"/>
    <w:rsid w:val="22494370"/>
    <w:rsid w:val="228B7B4C"/>
    <w:rsid w:val="22A62D85"/>
    <w:rsid w:val="22BE6801"/>
    <w:rsid w:val="22BF14F8"/>
    <w:rsid w:val="22C95DFC"/>
    <w:rsid w:val="22CA1B74"/>
    <w:rsid w:val="22D866A8"/>
    <w:rsid w:val="22E20377"/>
    <w:rsid w:val="23114B53"/>
    <w:rsid w:val="233500BF"/>
    <w:rsid w:val="23377FF7"/>
    <w:rsid w:val="23490CEA"/>
    <w:rsid w:val="235333B2"/>
    <w:rsid w:val="236B425F"/>
    <w:rsid w:val="23836192"/>
    <w:rsid w:val="23901F29"/>
    <w:rsid w:val="2391082F"/>
    <w:rsid w:val="239605F5"/>
    <w:rsid w:val="239C0061"/>
    <w:rsid w:val="23AE0B4E"/>
    <w:rsid w:val="23B13DC0"/>
    <w:rsid w:val="23B908A4"/>
    <w:rsid w:val="23E01CA1"/>
    <w:rsid w:val="23E66D1D"/>
    <w:rsid w:val="23E95BEF"/>
    <w:rsid w:val="23ED46EB"/>
    <w:rsid w:val="23F2379E"/>
    <w:rsid w:val="23FD0064"/>
    <w:rsid w:val="2420680B"/>
    <w:rsid w:val="245103DC"/>
    <w:rsid w:val="245375B0"/>
    <w:rsid w:val="245C4A4D"/>
    <w:rsid w:val="24642C0A"/>
    <w:rsid w:val="246F4781"/>
    <w:rsid w:val="247B23D8"/>
    <w:rsid w:val="24A245F7"/>
    <w:rsid w:val="24B22173"/>
    <w:rsid w:val="24B95AD9"/>
    <w:rsid w:val="24BE24DA"/>
    <w:rsid w:val="24C0760F"/>
    <w:rsid w:val="24CC386B"/>
    <w:rsid w:val="24CF5825"/>
    <w:rsid w:val="24D663E6"/>
    <w:rsid w:val="24D77F2B"/>
    <w:rsid w:val="24DD138F"/>
    <w:rsid w:val="24E51177"/>
    <w:rsid w:val="251E5415"/>
    <w:rsid w:val="256F255E"/>
    <w:rsid w:val="2584092F"/>
    <w:rsid w:val="258B00E2"/>
    <w:rsid w:val="259B08F3"/>
    <w:rsid w:val="25A917A6"/>
    <w:rsid w:val="25BE27CC"/>
    <w:rsid w:val="25E42F4C"/>
    <w:rsid w:val="25E80E5D"/>
    <w:rsid w:val="25EA3CB7"/>
    <w:rsid w:val="25F74A5C"/>
    <w:rsid w:val="260676FF"/>
    <w:rsid w:val="2628662C"/>
    <w:rsid w:val="262D45DE"/>
    <w:rsid w:val="262F39A3"/>
    <w:rsid w:val="2634523F"/>
    <w:rsid w:val="26355556"/>
    <w:rsid w:val="267E0CAB"/>
    <w:rsid w:val="268A0303"/>
    <w:rsid w:val="2696358E"/>
    <w:rsid w:val="26A53EF9"/>
    <w:rsid w:val="26A94201"/>
    <w:rsid w:val="26AC274F"/>
    <w:rsid w:val="26DF49E4"/>
    <w:rsid w:val="26E921AF"/>
    <w:rsid w:val="27044A29"/>
    <w:rsid w:val="27114D47"/>
    <w:rsid w:val="271D34C8"/>
    <w:rsid w:val="27351F0E"/>
    <w:rsid w:val="274055A2"/>
    <w:rsid w:val="276142BF"/>
    <w:rsid w:val="27783712"/>
    <w:rsid w:val="277D3FBB"/>
    <w:rsid w:val="278F3C4B"/>
    <w:rsid w:val="27907362"/>
    <w:rsid w:val="27A159EC"/>
    <w:rsid w:val="27A24E6D"/>
    <w:rsid w:val="27AE736E"/>
    <w:rsid w:val="27BE161F"/>
    <w:rsid w:val="27D15C99"/>
    <w:rsid w:val="27DA506D"/>
    <w:rsid w:val="2812648E"/>
    <w:rsid w:val="28333E1D"/>
    <w:rsid w:val="28454BD6"/>
    <w:rsid w:val="28455253"/>
    <w:rsid w:val="28551971"/>
    <w:rsid w:val="285B1C53"/>
    <w:rsid w:val="28623DBA"/>
    <w:rsid w:val="287A26E1"/>
    <w:rsid w:val="289F7086"/>
    <w:rsid w:val="28C32028"/>
    <w:rsid w:val="28CC490F"/>
    <w:rsid w:val="28DE40AA"/>
    <w:rsid w:val="29051725"/>
    <w:rsid w:val="29171691"/>
    <w:rsid w:val="293027CD"/>
    <w:rsid w:val="29345E77"/>
    <w:rsid w:val="294B062A"/>
    <w:rsid w:val="294C65AD"/>
    <w:rsid w:val="295B1C9A"/>
    <w:rsid w:val="29606D8E"/>
    <w:rsid w:val="29743325"/>
    <w:rsid w:val="29806583"/>
    <w:rsid w:val="298B3C4C"/>
    <w:rsid w:val="29AF0C73"/>
    <w:rsid w:val="29F26D24"/>
    <w:rsid w:val="2A15033F"/>
    <w:rsid w:val="2A1662C1"/>
    <w:rsid w:val="2A1C7367"/>
    <w:rsid w:val="2A1F09F7"/>
    <w:rsid w:val="2A200C92"/>
    <w:rsid w:val="2A2815FA"/>
    <w:rsid w:val="2A3A0DC5"/>
    <w:rsid w:val="2A3D7746"/>
    <w:rsid w:val="2A6D6092"/>
    <w:rsid w:val="2A7A79DB"/>
    <w:rsid w:val="2A7D76B4"/>
    <w:rsid w:val="2A8C4E71"/>
    <w:rsid w:val="2A8E4DC9"/>
    <w:rsid w:val="2A924D25"/>
    <w:rsid w:val="2ABF62A0"/>
    <w:rsid w:val="2ACE1AD5"/>
    <w:rsid w:val="2AD417E1"/>
    <w:rsid w:val="2AD47A7A"/>
    <w:rsid w:val="2AEC0E98"/>
    <w:rsid w:val="2AF3465A"/>
    <w:rsid w:val="2AF44D0C"/>
    <w:rsid w:val="2B25495E"/>
    <w:rsid w:val="2B437463"/>
    <w:rsid w:val="2B514BE0"/>
    <w:rsid w:val="2B536BAA"/>
    <w:rsid w:val="2B7807EE"/>
    <w:rsid w:val="2B78358F"/>
    <w:rsid w:val="2B7A1EB5"/>
    <w:rsid w:val="2B9777BC"/>
    <w:rsid w:val="2BB66545"/>
    <w:rsid w:val="2BB807BB"/>
    <w:rsid w:val="2BBF00EC"/>
    <w:rsid w:val="2BC37CFD"/>
    <w:rsid w:val="2BD5237F"/>
    <w:rsid w:val="2BE536CE"/>
    <w:rsid w:val="2BE758D9"/>
    <w:rsid w:val="2BF35134"/>
    <w:rsid w:val="2BF8656F"/>
    <w:rsid w:val="2C042734"/>
    <w:rsid w:val="2C09049E"/>
    <w:rsid w:val="2C0A653C"/>
    <w:rsid w:val="2C191F85"/>
    <w:rsid w:val="2C2E6CCF"/>
    <w:rsid w:val="2C31056E"/>
    <w:rsid w:val="2C8C170F"/>
    <w:rsid w:val="2C9A0EFB"/>
    <w:rsid w:val="2CBF77EF"/>
    <w:rsid w:val="2CE52D79"/>
    <w:rsid w:val="2CE81574"/>
    <w:rsid w:val="2CE82D6F"/>
    <w:rsid w:val="2CFA3055"/>
    <w:rsid w:val="2D0552BA"/>
    <w:rsid w:val="2D297E19"/>
    <w:rsid w:val="2D2D0D51"/>
    <w:rsid w:val="2D343236"/>
    <w:rsid w:val="2D3B78F6"/>
    <w:rsid w:val="2D486799"/>
    <w:rsid w:val="2D493106"/>
    <w:rsid w:val="2D581E45"/>
    <w:rsid w:val="2DA03BFD"/>
    <w:rsid w:val="2DC378EB"/>
    <w:rsid w:val="2DC72ED2"/>
    <w:rsid w:val="2DD15014"/>
    <w:rsid w:val="2DE65275"/>
    <w:rsid w:val="2DEA4E78"/>
    <w:rsid w:val="2DF64C26"/>
    <w:rsid w:val="2DF72DE4"/>
    <w:rsid w:val="2E0220AF"/>
    <w:rsid w:val="2E0D14AB"/>
    <w:rsid w:val="2E222864"/>
    <w:rsid w:val="2E480174"/>
    <w:rsid w:val="2E4B082A"/>
    <w:rsid w:val="2E5D4E86"/>
    <w:rsid w:val="2E5D790B"/>
    <w:rsid w:val="2E9A3C18"/>
    <w:rsid w:val="2EBB0FEE"/>
    <w:rsid w:val="2EC23D7A"/>
    <w:rsid w:val="2EC63002"/>
    <w:rsid w:val="2ED43E1F"/>
    <w:rsid w:val="2F0A6B38"/>
    <w:rsid w:val="2F1523C9"/>
    <w:rsid w:val="2F340AA1"/>
    <w:rsid w:val="2F416D1A"/>
    <w:rsid w:val="2F4A0E4C"/>
    <w:rsid w:val="2F5A7DDB"/>
    <w:rsid w:val="2F6D7B0F"/>
    <w:rsid w:val="2F946CCB"/>
    <w:rsid w:val="2FB129B0"/>
    <w:rsid w:val="2FB71E20"/>
    <w:rsid w:val="2FD25781"/>
    <w:rsid w:val="2FD65C9B"/>
    <w:rsid w:val="2FFD7934"/>
    <w:rsid w:val="301D4299"/>
    <w:rsid w:val="303A7C57"/>
    <w:rsid w:val="30430D5E"/>
    <w:rsid w:val="30443325"/>
    <w:rsid w:val="304732FA"/>
    <w:rsid w:val="30490E19"/>
    <w:rsid w:val="30733ACD"/>
    <w:rsid w:val="30872500"/>
    <w:rsid w:val="308C3862"/>
    <w:rsid w:val="308C4FFA"/>
    <w:rsid w:val="308F6ECF"/>
    <w:rsid w:val="309379D8"/>
    <w:rsid w:val="30A270F7"/>
    <w:rsid w:val="30A6777C"/>
    <w:rsid w:val="30B26121"/>
    <w:rsid w:val="30D140CD"/>
    <w:rsid w:val="30DE232F"/>
    <w:rsid w:val="30DF1478"/>
    <w:rsid w:val="30EC586F"/>
    <w:rsid w:val="3133052D"/>
    <w:rsid w:val="31441F89"/>
    <w:rsid w:val="3148438F"/>
    <w:rsid w:val="315F01AD"/>
    <w:rsid w:val="316942D8"/>
    <w:rsid w:val="317005B5"/>
    <w:rsid w:val="318746AE"/>
    <w:rsid w:val="31983809"/>
    <w:rsid w:val="319C6071"/>
    <w:rsid w:val="31AC537E"/>
    <w:rsid w:val="31C75679"/>
    <w:rsid w:val="31E3679B"/>
    <w:rsid w:val="31E732FD"/>
    <w:rsid w:val="31EC5B9E"/>
    <w:rsid w:val="31F81FF4"/>
    <w:rsid w:val="32146595"/>
    <w:rsid w:val="322D12EF"/>
    <w:rsid w:val="32517576"/>
    <w:rsid w:val="327318E0"/>
    <w:rsid w:val="327D62BB"/>
    <w:rsid w:val="32892EB1"/>
    <w:rsid w:val="32936105"/>
    <w:rsid w:val="3298418A"/>
    <w:rsid w:val="32BE5C2C"/>
    <w:rsid w:val="32CF5E49"/>
    <w:rsid w:val="32D560F7"/>
    <w:rsid w:val="32E73069"/>
    <w:rsid w:val="32F50547"/>
    <w:rsid w:val="32F522F5"/>
    <w:rsid w:val="32FB6478"/>
    <w:rsid w:val="33263B3F"/>
    <w:rsid w:val="334A431D"/>
    <w:rsid w:val="336963EB"/>
    <w:rsid w:val="336D7A88"/>
    <w:rsid w:val="33770F5C"/>
    <w:rsid w:val="33816EEB"/>
    <w:rsid w:val="338D2C6F"/>
    <w:rsid w:val="339E0DDD"/>
    <w:rsid w:val="33A062B6"/>
    <w:rsid w:val="33A8556B"/>
    <w:rsid w:val="33C53AAF"/>
    <w:rsid w:val="33E136A3"/>
    <w:rsid w:val="33EB55CD"/>
    <w:rsid w:val="33EC4C02"/>
    <w:rsid w:val="340D2360"/>
    <w:rsid w:val="3410665D"/>
    <w:rsid w:val="341C3615"/>
    <w:rsid w:val="34211214"/>
    <w:rsid w:val="3427577D"/>
    <w:rsid w:val="342C7D17"/>
    <w:rsid w:val="342E63AB"/>
    <w:rsid w:val="34843C36"/>
    <w:rsid w:val="348E47AF"/>
    <w:rsid w:val="3491429F"/>
    <w:rsid w:val="34950E68"/>
    <w:rsid w:val="34986E94"/>
    <w:rsid w:val="34AF62C9"/>
    <w:rsid w:val="34CB05E2"/>
    <w:rsid w:val="34CB4388"/>
    <w:rsid w:val="34EF1AD7"/>
    <w:rsid w:val="34FA6E12"/>
    <w:rsid w:val="352C0D36"/>
    <w:rsid w:val="35581925"/>
    <w:rsid w:val="3575596F"/>
    <w:rsid w:val="358676A8"/>
    <w:rsid w:val="358931C8"/>
    <w:rsid w:val="358D5588"/>
    <w:rsid w:val="35B400AD"/>
    <w:rsid w:val="35CA5CBB"/>
    <w:rsid w:val="35CD3B0F"/>
    <w:rsid w:val="363A3B40"/>
    <w:rsid w:val="36422884"/>
    <w:rsid w:val="365302AE"/>
    <w:rsid w:val="36607A0A"/>
    <w:rsid w:val="366B28CE"/>
    <w:rsid w:val="366D6646"/>
    <w:rsid w:val="366E227C"/>
    <w:rsid w:val="366F2E0D"/>
    <w:rsid w:val="367774C5"/>
    <w:rsid w:val="367B6A5C"/>
    <w:rsid w:val="367E2255"/>
    <w:rsid w:val="36A74ADA"/>
    <w:rsid w:val="36AD60D5"/>
    <w:rsid w:val="36B224F9"/>
    <w:rsid w:val="36E06CD5"/>
    <w:rsid w:val="36EC0CC9"/>
    <w:rsid w:val="36F9612C"/>
    <w:rsid w:val="371066DA"/>
    <w:rsid w:val="37117919"/>
    <w:rsid w:val="37166CDE"/>
    <w:rsid w:val="371D3482"/>
    <w:rsid w:val="373F410B"/>
    <w:rsid w:val="37413267"/>
    <w:rsid w:val="374617A5"/>
    <w:rsid w:val="37B02C8E"/>
    <w:rsid w:val="37B3452D"/>
    <w:rsid w:val="37CE30A6"/>
    <w:rsid w:val="37EE7094"/>
    <w:rsid w:val="38047DE7"/>
    <w:rsid w:val="382947EF"/>
    <w:rsid w:val="38296C89"/>
    <w:rsid w:val="383002EB"/>
    <w:rsid w:val="385040E9"/>
    <w:rsid w:val="38586797"/>
    <w:rsid w:val="38871C41"/>
    <w:rsid w:val="389B749B"/>
    <w:rsid w:val="38BC0149"/>
    <w:rsid w:val="38D21432"/>
    <w:rsid w:val="38D87D1C"/>
    <w:rsid w:val="38E10DE6"/>
    <w:rsid w:val="38F75FC1"/>
    <w:rsid w:val="391C0ED0"/>
    <w:rsid w:val="39636459"/>
    <w:rsid w:val="3966183C"/>
    <w:rsid w:val="396B7F6C"/>
    <w:rsid w:val="39937BBB"/>
    <w:rsid w:val="39AE72B7"/>
    <w:rsid w:val="39B20F3F"/>
    <w:rsid w:val="39B37B03"/>
    <w:rsid w:val="39B417A9"/>
    <w:rsid w:val="39C26CA9"/>
    <w:rsid w:val="39FC5695"/>
    <w:rsid w:val="3A006D8E"/>
    <w:rsid w:val="3A053A3A"/>
    <w:rsid w:val="3A173499"/>
    <w:rsid w:val="3A1A0893"/>
    <w:rsid w:val="3A2A25B3"/>
    <w:rsid w:val="3A2E248B"/>
    <w:rsid w:val="3A3651E5"/>
    <w:rsid w:val="3A550C92"/>
    <w:rsid w:val="3A663AD8"/>
    <w:rsid w:val="3A6A3C67"/>
    <w:rsid w:val="3A706705"/>
    <w:rsid w:val="3A744481"/>
    <w:rsid w:val="3A8C7BEF"/>
    <w:rsid w:val="3A906246"/>
    <w:rsid w:val="3AEB4E81"/>
    <w:rsid w:val="3B054756"/>
    <w:rsid w:val="3B054FD4"/>
    <w:rsid w:val="3B2349B7"/>
    <w:rsid w:val="3B2A2D58"/>
    <w:rsid w:val="3B616CFF"/>
    <w:rsid w:val="3B6259F6"/>
    <w:rsid w:val="3B633587"/>
    <w:rsid w:val="3B976654"/>
    <w:rsid w:val="3BB20C19"/>
    <w:rsid w:val="3BB52F69"/>
    <w:rsid w:val="3BC01EFC"/>
    <w:rsid w:val="3BCA786A"/>
    <w:rsid w:val="3BD1291D"/>
    <w:rsid w:val="3BD31E2F"/>
    <w:rsid w:val="3BF15831"/>
    <w:rsid w:val="3C105946"/>
    <w:rsid w:val="3C1557B6"/>
    <w:rsid w:val="3C177780"/>
    <w:rsid w:val="3C315451"/>
    <w:rsid w:val="3C471448"/>
    <w:rsid w:val="3C4D0531"/>
    <w:rsid w:val="3C5F759A"/>
    <w:rsid w:val="3C634773"/>
    <w:rsid w:val="3C6C525A"/>
    <w:rsid w:val="3C8917E9"/>
    <w:rsid w:val="3CA942C2"/>
    <w:rsid w:val="3CAB7EC8"/>
    <w:rsid w:val="3CB268F5"/>
    <w:rsid w:val="3CBE5E4E"/>
    <w:rsid w:val="3CCE23CB"/>
    <w:rsid w:val="3CD17D17"/>
    <w:rsid w:val="3D0A54AC"/>
    <w:rsid w:val="3D176A7A"/>
    <w:rsid w:val="3D2739F3"/>
    <w:rsid w:val="3D2D6B2F"/>
    <w:rsid w:val="3D2F0AF9"/>
    <w:rsid w:val="3D3C7F39"/>
    <w:rsid w:val="3D440F09"/>
    <w:rsid w:val="3D4504A0"/>
    <w:rsid w:val="3D5D28F2"/>
    <w:rsid w:val="3D766F81"/>
    <w:rsid w:val="3D7C6163"/>
    <w:rsid w:val="3D8734BB"/>
    <w:rsid w:val="3D913A2D"/>
    <w:rsid w:val="3D9A11D4"/>
    <w:rsid w:val="3DA16D89"/>
    <w:rsid w:val="3DA364BE"/>
    <w:rsid w:val="3DCF0187"/>
    <w:rsid w:val="3DE041CB"/>
    <w:rsid w:val="3DE062A0"/>
    <w:rsid w:val="3DE23DBE"/>
    <w:rsid w:val="3DEE05E6"/>
    <w:rsid w:val="3E0D48F6"/>
    <w:rsid w:val="3E1868B4"/>
    <w:rsid w:val="3E377251"/>
    <w:rsid w:val="3E42664B"/>
    <w:rsid w:val="3E541D8C"/>
    <w:rsid w:val="3E5A7334"/>
    <w:rsid w:val="3E652BD4"/>
    <w:rsid w:val="3E682515"/>
    <w:rsid w:val="3E7B4F22"/>
    <w:rsid w:val="3E7B5D6B"/>
    <w:rsid w:val="3E843E66"/>
    <w:rsid w:val="3E8F51FE"/>
    <w:rsid w:val="3E926F87"/>
    <w:rsid w:val="3E931667"/>
    <w:rsid w:val="3E9A59DE"/>
    <w:rsid w:val="3EAB5CC8"/>
    <w:rsid w:val="3EAF4836"/>
    <w:rsid w:val="3EBE3EE3"/>
    <w:rsid w:val="3EC33DFA"/>
    <w:rsid w:val="3EF76A35"/>
    <w:rsid w:val="3F060E16"/>
    <w:rsid w:val="3F1D1096"/>
    <w:rsid w:val="3F1D11B6"/>
    <w:rsid w:val="3F2239AB"/>
    <w:rsid w:val="3F2F0234"/>
    <w:rsid w:val="3F6237E0"/>
    <w:rsid w:val="3F6363FE"/>
    <w:rsid w:val="3F731171"/>
    <w:rsid w:val="3F756B8F"/>
    <w:rsid w:val="3F9115F7"/>
    <w:rsid w:val="3F95482B"/>
    <w:rsid w:val="3FC50CA0"/>
    <w:rsid w:val="3FC63871"/>
    <w:rsid w:val="3FEA052C"/>
    <w:rsid w:val="3FEB61BE"/>
    <w:rsid w:val="4019356B"/>
    <w:rsid w:val="40592157"/>
    <w:rsid w:val="406028AF"/>
    <w:rsid w:val="406E1CAE"/>
    <w:rsid w:val="40881FEA"/>
    <w:rsid w:val="409D5D7A"/>
    <w:rsid w:val="409E1999"/>
    <w:rsid w:val="40A0133A"/>
    <w:rsid w:val="40C31A53"/>
    <w:rsid w:val="40C9486C"/>
    <w:rsid w:val="40D460E1"/>
    <w:rsid w:val="40E51BFB"/>
    <w:rsid w:val="40F32AFF"/>
    <w:rsid w:val="40FC2433"/>
    <w:rsid w:val="40FF545D"/>
    <w:rsid w:val="410067C8"/>
    <w:rsid w:val="41054309"/>
    <w:rsid w:val="410858E9"/>
    <w:rsid w:val="41087697"/>
    <w:rsid w:val="411A40CF"/>
    <w:rsid w:val="413D5594"/>
    <w:rsid w:val="4145149F"/>
    <w:rsid w:val="415C0BBE"/>
    <w:rsid w:val="416C127F"/>
    <w:rsid w:val="41822DB1"/>
    <w:rsid w:val="418F0D2A"/>
    <w:rsid w:val="41B26AD1"/>
    <w:rsid w:val="41BE41FA"/>
    <w:rsid w:val="41D01505"/>
    <w:rsid w:val="41D0430E"/>
    <w:rsid w:val="41D312A0"/>
    <w:rsid w:val="41D57EC1"/>
    <w:rsid w:val="41D80D2F"/>
    <w:rsid w:val="41F95D14"/>
    <w:rsid w:val="41FD4C71"/>
    <w:rsid w:val="42114C71"/>
    <w:rsid w:val="421C0D78"/>
    <w:rsid w:val="423E57C2"/>
    <w:rsid w:val="42474939"/>
    <w:rsid w:val="424C3C57"/>
    <w:rsid w:val="42500FB3"/>
    <w:rsid w:val="42613FF3"/>
    <w:rsid w:val="42660D96"/>
    <w:rsid w:val="427D61B0"/>
    <w:rsid w:val="428667D2"/>
    <w:rsid w:val="4294544A"/>
    <w:rsid w:val="429C278D"/>
    <w:rsid w:val="42CD1CE0"/>
    <w:rsid w:val="42D77C69"/>
    <w:rsid w:val="42E1381E"/>
    <w:rsid w:val="42ED6459"/>
    <w:rsid w:val="42FE58DD"/>
    <w:rsid w:val="43174B3D"/>
    <w:rsid w:val="43492C2E"/>
    <w:rsid w:val="434B790E"/>
    <w:rsid w:val="435A07B9"/>
    <w:rsid w:val="4360274F"/>
    <w:rsid w:val="437048E9"/>
    <w:rsid w:val="43811AB8"/>
    <w:rsid w:val="43977AB6"/>
    <w:rsid w:val="439E2535"/>
    <w:rsid w:val="43A3342B"/>
    <w:rsid w:val="43A82C79"/>
    <w:rsid w:val="43B82189"/>
    <w:rsid w:val="43C77C27"/>
    <w:rsid w:val="43D561DF"/>
    <w:rsid w:val="43DE09EE"/>
    <w:rsid w:val="44002FAD"/>
    <w:rsid w:val="44013D6C"/>
    <w:rsid w:val="440A1233"/>
    <w:rsid w:val="440F51E1"/>
    <w:rsid w:val="44112D07"/>
    <w:rsid w:val="441F533D"/>
    <w:rsid w:val="44246C07"/>
    <w:rsid w:val="443864E5"/>
    <w:rsid w:val="44850357"/>
    <w:rsid w:val="449101DD"/>
    <w:rsid w:val="449D0A3E"/>
    <w:rsid w:val="44B9714E"/>
    <w:rsid w:val="44D97125"/>
    <w:rsid w:val="44DE1391"/>
    <w:rsid w:val="44E328F5"/>
    <w:rsid w:val="44E623E5"/>
    <w:rsid w:val="45184D0D"/>
    <w:rsid w:val="451B225C"/>
    <w:rsid w:val="452410C9"/>
    <w:rsid w:val="45317DFB"/>
    <w:rsid w:val="453E781E"/>
    <w:rsid w:val="45467A41"/>
    <w:rsid w:val="454F3AE7"/>
    <w:rsid w:val="45596713"/>
    <w:rsid w:val="456A49FD"/>
    <w:rsid w:val="456C2437"/>
    <w:rsid w:val="456D3CE4"/>
    <w:rsid w:val="4579042C"/>
    <w:rsid w:val="457F0571"/>
    <w:rsid w:val="45806690"/>
    <w:rsid w:val="45851176"/>
    <w:rsid w:val="45AD406C"/>
    <w:rsid w:val="45C63B94"/>
    <w:rsid w:val="45F44519"/>
    <w:rsid w:val="460E7DA5"/>
    <w:rsid w:val="460F188E"/>
    <w:rsid w:val="46267C2A"/>
    <w:rsid w:val="4641529D"/>
    <w:rsid w:val="46422483"/>
    <w:rsid w:val="46456C98"/>
    <w:rsid w:val="4659254A"/>
    <w:rsid w:val="465B0637"/>
    <w:rsid w:val="465E3F0D"/>
    <w:rsid w:val="466A16E6"/>
    <w:rsid w:val="46893F2B"/>
    <w:rsid w:val="46A20A89"/>
    <w:rsid w:val="46B50333"/>
    <w:rsid w:val="46B81B60"/>
    <w:rsid w:val="46C4686E"/>
    <w:rsid w:val="46DD1193"/>
    <w:rsid w:val="46FE4798"/>
    <w:rsid w:val="47221CF3"/>
    <w:rsid w:val="476D1826"/>
    <w:rsid w:val="477766D9"/>
    <w:rsid w:val="477B778F"/>
    <w:rsid w:val="478203EC"/>
    <w:rsid w:val="4789586E"/>
    <w:rsid w:val="47944E24"/>
    <w:rsid w:val="47B025FA"/>
    <w:rsid w:val="47BC26AE"/>
    <w:rsid w:val="47FC1476"/>
    <w:rsid w:val="47FD3154"/>
    <w:rsid w:val="4809698F"/>
    <w:rsid w:val="4810164B"/>
    <w:rsid w:val="4811697D"/>
    <w:rsid w:val="48141018"/>
    <w:rsid w:val="48343468"/>
    <w:rsid w:val="486716D5"/>
    <w:rsid w:val="486C2936"/>
    <w:rsid w:val="487A30EC"/>
    <w:rsid w:val="487A3E25"/>
    <w:rsid w:val="487C5A0C"/>
    <w:rsid w:val="488B5503"/>
    <w:rsid w:val="48937E21"/>
    <w:rsid w:val="489A0361"/>
    <w:rsid w:val="48B94FF3"/>
    <w:rsid w:val="48D61D69"/>
    <w:rsid w:val="48E37AAB"/>
    <w:rsid w:val="48E94325"/>
    <w:rsid w:val="48FD4B4C"/>
    <w:rsid w:val="490A68E0"/>
    <w:rsid w:val="49100FBC"/>
    <w:rsid w:val="491055FE"/>
    <w:rsid w:val="49370C0F"/>
    <w:rsid w:val="49396E43"/>
    <w:rsid w:val="494F0635"/>
    <w:rsid w:val="49523BA5"/>
    <w:rsid w:val="495F5B3E"/>
    <w:rsid w:val="4960772D"/>
    <w:rsid w:val="496F77D7"/>
    <w:rsid w:val="497654FD"/>
    <w:rsid w:val="49797E62"/>
    <w:rsid w:val="498C3781"/>
    <w:rsid w:val="49B42C51"/>
    <w:rsid w:val="49B64211"/>
    <w:rsid w:val="49E05B69"/>
    <w:rsid w:val="49F6167F"/>
    <w:rsid w:val="4A0128CC"/>
    <w:rsid w:val="4A064FA0"/>
    <w:rsid w:val="4A0946F9"/>
    <w:rsid w:val="4A0F7CE8"/>
    <w:rsid w:val="4A16615C"/>
    <w:rsid w:val="4A201DA7"/>
    <w:rsid w:val="4A211593"/>
    <w:rsid w:val="4A2829B5"/>
    <w:rsid w:val="4A4424D7"/>
    <w:rsid w:val="4A7D1432"/>
    <w:rsid w:val="4AB036F2"/>
    <w:rsid w:val="4AB82D0F"/>
    <w:rsid w:val="4ABA1BCB"/>
    <w:rsid w:val="4ADC2A1F"/>
    <w:rsid w:val="4AEB7664"/>
    <w:rsid w:val="4AFD7C19"/>
    <w:rsid w:val="4B0567D1"/>
    <w:rsid w:val="4B1074FD"/>
    <w:rsid w:val="4B12069E"/>
    <w:rsid w:val="4B236AAE"/>
    <w:rsid w:val="4B26353C"/>
    <w:rsid w:val="4B472626"/>
    <w:rsid w:val="4B50594D"/>
    <w:rsid w:val="4B626343"/>
    <w:rsid w:val="4B685902"/>
    <w:rsid w:val="4B707271"/>
    <w:rsid w:val="4B7818BD"/>
    <w:rsid w:val="4B7822D8"/>
    <w:rsid w:val="4B7D6160"/>
    <w:rsid w:val="4B9739F7"/>
    <w:rsid w:val="4B9E6247"/>
    <w:rsid w:val="4BB26B7D"/>
    <w:rsid w:val="4BB471CE"/>
    <w:rsid w:val="4BB87F0C"/>
    <w:rsid w:val="4BCD61D2"/>
    <w:rsid w:val="4BD72A88"/>
    <w:rsid w:val="4BE60777"/>
    <w:rsid w:val="4BEE2503"/>
    <w:rsid w:val="4BFC4F59"/>
    <w:rsid w:val="4C043AB0"/>
    <w:rsid w:val="4C245A30"/>
    <w:rsid w:val="4C600236"/>
    <w:rsid w:val="4C6267F5"/>
    <w:rsid w:val="4C651EFA"/>
    <w:rsid w:val="4C6B4F7E"/>
    <w:rsid w:val="4C7C6027"/>
    <w:rsid w:val="4C934C01"/>
    <w:rsid w:val="4C9C592A"/>
    <w:rsid w:val="4CA63DE7"/>
    <w:rsid w:val="4CB33CDD"/>
    <w:rsid w:val="4CB6685F"/>
    <w:rsid w:val="4CC367FE"/>
    <w:rsid w:val="4CD62D3F"/>
    <w:rsid w:val="4CED534E"/>
    <w:rsid w:val="4D077F3C"/>
    <w:rsid w:val="4D123355"/>
    <w:rsid w:val="4D2A3B31"/>
    <w:rsid w:val="4D312C52"/>
    <w:rsid w:val="4D3A4451"/>
    <w:rsid w:val="4D786243"/>
    <w:rsid w:val="4D905305"/>
    <w:rsid w:val="4D964A72"/>
    <w:rsid w:val="4D9C1254"/>
    <w:rsid w:val="4DC22033"/>
    <w:rsid w:val="4E12515E"/>
    <w:rsid w:val="4E1753BE"/>
    <w:rsid w:val="4E3C637F"/>
    <w:rsid w:val="4E4C336A"/>
    <w:rsid w:val="4E4F0EB2"/>
    <w:rsid w:val="4E793892"/>
    <w:rsid w:val="4E800872"/>
    <w:rsid w:val="4E872543"/>
    <w:rsid w:val="4E9F0C87"/>
    <w:rsid w:val="4EB04235"/>
    <w:rsid w:val="4EC569ED"/>
    <w:rsid w:val="4ED50EA1"/>
    <w:rsid w:val="4EEC050C"/>
    <w:rsid w:val="4F027E1C"/>
    <w:rsid w:val="4F104EC3"/>
    <w:rsid w:val="4F3E113B"/>
    <w:rsid w:val="4F42290E"/>
    <w:rsid w:val="4F440434"/>
    <w:rsid w:val="4F47354A"/>
    <w:rsid w:val="4F654D8B"/>
    <w:rsid w:val="4F7B197C"/>
    <w:rsid w:val="4F860A4D"/>
    <w:rsid w:val="4F8A530E"/>
    <w:rsid w:val="4F911C54"/>
    <w:rsid w:val="4FA81547"/>
    <w:rsid w:val="4FB53274"/>
    <w:rsid w:val="4FE625E0"/>
    <w:rsid w:val="4FE70DC0"/>
    <w:rsid w:val="50125E3D"/>
    <w:rsid w:val="5021480F"/>
    <w:rsid w:val="50443F3B"/>
    <w:rsid w:val="504B35D3"/>
    <w:rsid w:val="50962ECB"/>
    <w:rsid w:val="50A42E38"/>
    <w:rsid w:val="50A4577F"/>
    <w:rsid w:val="50B73D1F"/>
    <w:rsid w:val="50BD5BC9"/>
    <w:rsid w:val="50C07F8E"/>
    <w:rsid w:val="50C11EEE"/>
    <w:rsid w:val="50CE02F4"/>
    <w:rsid w:val="50E97CFC"/>
    <w:rsid w:val="50EF53D5"/>
    <w:rsid w:val="50FA4028"/>
    <w:rsid w:val="510D65B7"/>
    <w:rsid w:val="511157AB"/>
    <w:rsid w:val="51334EDF"/>
    <w:rsid w:val="5142540C"/>
    <w:rsid w:val="515B7CB7"/>
    <w:rsid w:val="515D3EAD"/>
    <w:rsid w:val="51634D6A"/>
    <w:rsid w:val="517C60EC"/>
    <w:rsid w:val="51875DD0"/>
    <w:rsid w:val="518832C8"/>
    <w:rsid w:val="519259B8"/>
    <w:rsid w:val="51A0432A"/>
    <w:rsid w:val="51A86090"/>
    <w:rsid w:val="51AE676B"/>
    <w:rsid w:val="51B7396D"/>
    <w:rsid w:val="51C11D59"/>
    <w:rsid w:val="51E333BA"/>
    <w:rsid w:val="51EE28D9"/>
    <w:rsid w:val="521D3411"/>
    <w:rsid w:val="522E4CC3"/>
    <w:rsid w:val="5232708F"/>
    <w:rsid w:val="5244713B"/>
    <w:rsid w:val="52615633"/>
    <w:rsid w:val="526776F7"/>
    <w:rsid w:val="52977FD4"/>
    <w:rsid w:val="529A70FA"/>
    <w:rsid w:val="52A25790"/>
    <w:rsid w:val="52A631B4"/>
    <w:rsid w:val="52A96B6F"/>
    <w:rsid w:val="52B45975"/>
    <w:rsid w:val="52B4767F"/>
    <w:rsid w:val="52C11B82"/>
    <w:rsid w:val="52D94AA4"/>
    <w:rsid w:val="52E72588"/>
    <w:rsid w:val="52EA3A62"/>
    <w:rsid w:val="52F328B2"/>
    <w:rsid w:val="52F50BB8"/>
    <w:rsid w:val="5303259D"/>
    <w:rsid w:val="53097272"/>
    <w:rsid w:val="53236C00"/>
    <w:rsid w:val="53544462"/>
    <w:rsid w:val="53635BD5"/>
    <w:rsid w:val="538358EE"/>
    <w:rsid w:val="53931C74"/>
    <w:rsid w:val="5397158E"/>
    <w:rsid w:val="53A92EDF"/>
    <w:rsid w:val="53D60F15"/>
    <w:rsid w:val="53E32659"/>
    <w:rsid w:val="53FB30DC"/>
    <w:rsid w:val="54013861"/>
    <w:rsid w:val="54414309"/>
    <w:rsid w:val="54487265"/>
    <w:rsid w:val="544D6070"/>
    <w:rsid w:val="545F361A"/>
    <w:rsid w:val="54605E1E"/>
    <w:rsid w:val="54752E3E"/>
    <w:rsid w:val="54B3506A"/>
    <w:rsid w:val="54B94AEC"/>
    <w:rsid w:val="54CA0D16"/>
    <w:rsid w:val="54CE1202"/>
    <w:rsid w:val="54DD4057"/>
    <w:rsid w:val="54E7490F"/>
    <w:rsid w:val="54F2623D"/>
    <w:rsid w:val="550764A4"/>
    <w:rsid w:val="550B2BF6"/>
    <w:rsid w:val="551B1C37"/>
    <w:rsid w:val="55214EB5"/>
    <w:rsid w:val="55344AA7"/>
    <w:rsid w:val="55364EFD"/>
    <w:rsid w:val="555D4828"/>
    <w:rsid w:val="55713B00"/>
    <w:rsid w:val="557A4C8B"/>
    <w:rsid w:val="558327A4"/>
    <w:rsid w:val="558931E1"/>
    <w:rsid w:val="55923347"/>
    <w:rsid w:val="55925180"/>
    <w:rsid w:val="55983B1B"/>
    <w:rsid w:val="559D7B88"/>
    <w:rsid w:val="55A8376B"/>
    <w:rsid w:val="55B0580B"/>
    <w:rsid w:val="55C53951"/>
    <w:rsid w:val="55CB6E57"/>
    <w:rsid w:val="55DC29B6"/>
    <w:rsid w:val="55DD4241"/>
    <w:rsid w:val="55EA70C8"/>
    <w:rsid w:val="560938BE"/>
    <w:rsid w:val="56097CE2"/>
    <w:rsid w:val="5619567F"/>
    <w:rsid w:val="561C5516"/>
    <w:rsid w:val="561D6713"/>
    <w:rsid w:val="56465923"/>
    <w:rsid w:val="56554CD5"/>
    <w:rsid w:val="566B6D1E"/>
    <w:rsid w:val="56776A05"/>
    <w:rsid w:val="568850AA"/>
    <w:rsid w:val="56941D42"/>
    <w:rsid w:val="569E667C"/>
    <w:rsid w:val="56AD6795"/>
    <w:rsid w:val="56D06A51"/>
    <w:rsid w:val="56FF034E"/>
    <w:rsid w:val="57032A2C"/>
    <w:rsid w:val="570F5219"/>
    <w:rsid w:val="57362D58"/>
    <w:rsid w:val="575D12B5"/>
    <w:rsid w:val="57610A87"/>
    <w:rsid w:val="576F1DC6"/>
    <w:rsid w:val="577B1140"/>
    <w:rsid w:val="577B7F21"/>
    <w:rsid w:val="577F181B"/>
    <w:rsid w:val="578C5CC7"/>
    <w:rsid w:val="57921984"/>
    <w:rsid w:val="57923D07"/>
    <w:rsid w:val="57956F99"/>
    <w:rsid w:val="579737F0"/>
    <w:rsid w:val="57AB7B30"/>
    <w:rsid w:val="57AF5251"/>
    <w:rsid w:val="57B26373"/>
    <w:rsid w:val="57B343A9"/>
    <w:rsid w:val="57B63F04"/>
    <w:rsid w:val="57C24D5F"/>
    <w:rsid w:val="57CD20C2"/>
    <w:rsid w:val="57D675AB"/>
    <w:rsid w:val="57D95FDD"/>
    <w:rsid w:val="580D1F08"/>
    <w:rsid w:val="58315248"/>
    <w:rsid w:val="584414A5"/>
    <w:rsid w:val="584E62A5"/>
    <w:rsid w:val="584F5203"/>
    <w:rsid w:val="586C3AB6"/>
    <w:rsid w:val="586E5408"/>
    <w:rsid w:val="586E6E66"/>
    <w:rsid w:val="587020E4"/>
    <w:rsid w:val="58795E8A"/>
    <w:rsid w:val="587D1DE4"/>
    <w:rsid w:val="587D6765"/>
    <w:rsid w:val="588F6B67"/>
    <w:rsid w:val="58917D2F"/>
    <w:rsid w:val="5894085C"/>
    <w:rsid w:val="589D2963"/>
    <w:rsid w:val="58AB5F67"/>
    <w:rsid w:val="58AE4F0C"/>
    <w:rsid w:val="58B85899"/>
    <w:rsid w:val="58E363A9"/>
    <w:rsid w:val="59103C1E"/>
    <w:rsid w:val="592212C0"/>
    <w:rsid w:val="5935395F"/>
    <w:rsid w:val="595E1678"/>
    <w:rsid w:val="596077FA"/>
    <w:rsid w:val="5966335F"/>
    <w:rsid w:val="596D5BD4"/>
    <w:rsid w:val="59745DBA"/>
    <w:rsid w:val="597E3DD8"/>
    <w:rsid w:val="598B3142"/>
    <w:rsid w:val="59B96DED"/>
    <w:rsid w:val="59D07109"/>
    <w:rsid w:val="59E24AD2"/>
    <w:rsid w:val="59E276E1"/>
    <w:rsid w:val="59E833CA"/>
    <w:rsid w:val="59F80043"/>
    <w:rsid w:val="5A09252F"/>
    <w:rsid w:val="5A0B2778"/>
    <w:rsid w:val="5A263D69"/>
    <w:rsid w:val="5A2A7C7B"/>
    <w:rsid w:val="5A3E2560"/>
    <w:rsid w:val="5A5D3B6E"/>
    <w:rsid w:val="5A637A76"/>
    <w:rsid w:val="5A6D187E"/>
    <w:rsid w:val="5A6D33BA"/>
    <w:rsid w:val="5A6F0DF7"/>
    <w:rsid w:val="5A792B1F"/>
    <w:rsid w:val="5A7B1206"/>
    <w:rsid w:val="5A874767"/>
    <w:rsid w:val="5A8D7133"/>
    <w:rsid w:val="5AA6460A"/>
    <w:rsid w:val="5AAD6F28"/>
    <w:rsid w:val="5AC85EFD"/>
    <w:rsid w:val="5AD563E4"/>
    <w:rsid w:val="5AD63A24"/>
    <w:rsid w:val="5B246476"/>
    <w:rsid w:val="5B2509CB"/>
    <w:rsid w:val="5B2E1A1D"/>
    <w:rsid w:val="5B4E6197"/>
    <w:rsid w:val="5B547D0C"/>
    <w:rsid w:val="5B582B2A"/>
    <w:rsid w:val="5B7A3EC0"/>
    <w:rsid w:val="5B7D0973"/>
    <w:rsid w:val="5B843A1C"/>
    <w:rsid w:val="5B873E3F"/>
    <w:rsid w:val="5BAD213A"/>
    <w:rsid w:val="5BB11CA6"/>
    <w:rsid w:val="5BB560BF"/>
    <w:rsid w:val="5BBE331C"/>
    <w:rsid w:val="5BC50070"/>
    <w:rsid w:val="5C02690E"/>
    <w:rsid w:val="5C157FE4"/>
    <w:rsid w:val="5C196DA7"/>
    <w:rsid w:val="5C246C89"/>
    <w:rsid w:val="5C2A048C"/>
    <w:rsid w:val="5C34503D"/>
    <w:rsid w:val="5C3655A9"/>
    <w:rsid w:val="5C393362"/>
    <w:rsid w:val="5C4055D0"/>
    <w:rsid w:val="5C507D6D"/>
    <w:rsid w:val="5C635922"/>
    <w:rsid w:val="5C80234E"/>
    <w:rsid w:val="5C8A680C"/>
    <w:rsid w:val="5CAE7E78"/>
    <w:rsid w:val="5CBD1826"/>
    <w:rsid w:val="5CC9428F"/>
    <w:rsid w:val="5CCA2F91"/>
    <w:rsid w:val="5CCC159B"/>
    <w:rsid w:val="5CE9261B"/>
    <w:rsid w:val="5D066D29"/>
    <w:rsid w:val="5D0C4701"/>
    <w:rsid w:val="5D0F0395"/>
    <w:rsid w:val="5D221076"/>
    <w:rsid w:val="5D346833"/>
    <w:rsid w:val="5D397964"/>
    <w:rsid w:val="5D5A391C"/>
    <w:rsid w:val="5D5F10C0"/>
    <w:rsid w:val="5D5F468B"/>
    <w:rsid w:val="5D6859D1"/>
    <w:rsid w:val="5D842AEA"/>
    <w:rsid w:val="5D891B7B"/>
    <w:rsid w:val="5DAD38EE"/>
    <w:rsid w:val="5DC010E3"/>
    <w:rsid w:val="5DCF35BF"/>
    <w:rsid w:val="5DD03D31"/>
    <w:rsid w:val="5E006862"/>
    <w:rsid w:val="5E0207B9"/>
    <w:rsid w:val="5E1834A1"/>
    <w:rsid w:val="5E261785"/>
    <w:rsid w:val="5E2C4776"/>
    <w:rsid w:val="5E4A7017"/>
    <w:rsid w:val="5E552BBA"/>
    <w:rsid w:val="5E611C10"/>
    <w:rsid w:val="5E766130"/>
    <w:rsid w:val="5EAC6457"/>
    <w:rsid w:val="5EF231C3"/>
    <w:rsid w:val="5EFC7377"/>
    <w:rsid w:val="5F06174D"/>
    <w:rsid w:val="5F27133B"/>
    <w:rsid w:val="5F275E09"/>
    <w:rsid w:val="5F3A3602"/>
    <w:rsid w:val="5F58362A"/>
    <w:rsid w:val="5F6277C6"/>
    <w:rsid w:val="5F6D0B1D"/>
    <w:rsid w:val="5F795ED8"/>
    <w:rsid w:val="5F843223"/>
    <w:rsid w:val="5F8D0B82"/>
    <w:rsid w:val="5FB530A7"/>
    <w:rsid w:val="5FCC5339"/>
    <w:rsid w:val="5FD1399C"/>
    <w:rsid w:val="5FD8781D"/>
    <w:rsid w:val="5FDA5A1A"/>
    <w:rsid w:val="5FE34A5B"/>
    <w:rsid w:val="5FFE1E36"/>
    <w:rsid w:val="60043B33"/>
    <w:rsid w:val="601520E1"/>
    <w:rsid w:val="60232584"/>
    <w:rsid w:val="603603BB"/>
    <w:rsid w:val="604605B9"/>
    <w:rsid w:val="604A0FC0"/>
    <w:rsid w:val="606D5A44"/>
    <w:rsid w:val="607330CE"/>
    <w:rsid w:val="60825176"/>
    <w:rsid w:val="609F2AC4"/>
    <w:rsid w:val="60CE0B25"/>
    <w:rsid w:val="60D31DAF"/>
    <w:rsid w:val="60D55E27"/>
    <w:rsid w:val="60F04D1C"/>
    <w:rsid w:val="60FA2EE8"/>
    <w:rsid w:val="61044F35"/>
    <w:rsid w:val="61054A27"/>
    <w:rsid w:val="610A52BC"/>
    <w:rsid w:val="611D2366"/>
    <w:rsid w:val="612C1577"/>
    <w:rsid w:val="61361364"/>
    <w:rsid w:val="613F2787"/>
    <w:rsid w:val="61421856"/>
    <w:rsid w:val="61504801"/>
    <w:rsid w:val="615227C4"/>
    <w:rsid w:val="61654E3F"/>
    <w:rsid w:val="617E06CD"/>
    <w:rsid w:val="6182292A"/>
    <w:rsid w:val="61896149"/>
    <w:rsid w:val="619E1546"/>
    <w:rsid w:val="619F7F92"/>
    <w:rsid w:val="61B409AE"/>
    <w:rsid w:val="61BD30B0"/>
    <w:rsid w:val="61BE7000"/>
    <w:rsid w:val="61C3343B"/>
    <w:rsid w:val="61C50C6F"/>
    <w:rsid w:val="61CB01BE"/>
    <w:rsid w:val="61E060C0"/>
    <w:rsid w:val="61F05F1C"/>
    <w:rsid w:val="61F94C26"/>
    <w:rsid w:val="61FE0B3E"/>
    <w:rsid w:val="62000E56"/>
    <w:rsid w:val="62326A29"/>
    <w:rsid w:val="624F3E49"/>
    <w:rsid w:val="62632286"/>
    <w:rsid w:val="62864468"/>
    <w:rsid w:val="62885958"/>
    <w:rsid w:val="62E2045A"/>
    <w:rsid w:val="62F40B65"/>
    <w:rsid w:val="62F438B8"/>
    <w:rsid w:val="62FC2CFE"/>
    <w:rsid w:val="63024505"/>
    <w:rsid w:val="6317701F"/>
    <w:rsid w:val="631B00E5"/>
    <w:rsid w:val="635B1DB5"/>
    <w:rsid w:val="63675DE3"/>
    <w:rsid w:val="6370237D"/>
    <w:rsid w:val="63711FED"/>
    <w:rsid w:val="63880DDC"/>
    <w:rsid w:val="638D750D"/>
    <w:rsid w:val="63A96660"/>
    <w:rsid w:val="63AC6CC0"/>
    <w:rsid w:val="63F017A8"/>
    <w:rsid w:val="63F4076A"/>
    <w:rsid w:val="64055776"/>
    <w:rsid w:val="641225CF"/>
    <w:rsid w:val="641D655D"/>
    <w:rsid w:val="64223212"/>
    <w:rsid w:val="64240056"/>
    <w:rsid w:val="642641A6"/>
    <w:rsid w:val="643028DD"/>
    <w:rsid w:val="643E143A"/>
    <w:rsid w:val="644B14E1"/>
    <w:rsid w:val="645B2B2A"/>
    <w:rsid w:val="6462665A"/>
    <w:rsid w:val="6480384A"/>
    <w:rsid w:val="648B6EEF"/>
    <w:rsid w:val="649A1917"/>
    <w:rsid w:val="649A6A46"/>
    <w:rsid w:val="64A20AA5"/>
    <w:rsid w:val="64A473DF"/>
    <w:rsid w:val="64A77044"/>
    <w:rsid w:val="64A92171"/>
    <w:rsid w:val="64B11C70"/>
    <w:rsid w:val="64B61EA2"/>
    <w:rsid w:val="64C158BF"/>
    <w:rsid w:val="64CE2EAA"/>
    <w:rsid w:val="64E742EF"/>
    <w:rsid w:val="64F2596B"/>
    <w:rsid w:val="651864BD"/>
    <w:rsid w:val="6533777B"/>
    <w:rsid w:val="653A180D"/>
    <w:rsid w:val="653C3090"/>
    <w:rsid w:val="653F157E"/>
    <w:rsid w:val="653F6770"/>
    <w:rsid w:val="65493C57"/>
    <w:rsid w:val="654D6C87"/>
    <w:rsid w:val="65752C9E"/>
    <w:rsid w:val="657725B7"/>
    <w:rsid w:val="65854376"/>
    <w:rsid w:val="658767BE"/>
    <w:rsid w:val="65892531"/>
    <w:rsid w:val="66195831"/>
    <w:rsid w:val="66256C94"/>
    <w:rsid w:val="662E75B1"/>
    <w:rsid w:val="663366B5"/>
    <w:rsid w:val="66342C2E"/>
    <w:rsid w:val="663E784C"/>
    <w:rsid w:val="668B6A45"/>
    <w:rsid w:val="66E12A06"/>
    <w:rsid w:val="66E8749F"/>
    <w:rsid w:val="66F13DA0"/>
    <w:rsid w:val="66F36362"/>
    <w:rsid w:val="66FB35D6"/>
    <w:rsid w:val="672F3F24"/>
    <w:rsid w:val="673E055F"/>
    <w:rsid w:val="67551CE3"/>
    <w:rsid w:val="67662E07"/>
    <w:rsid w:val="67893D2B"/>
    <w:rsid w:val="67955879"/>
    <w:rsid w:val="67A22552"/>
    <w:rsid w:val="67A811D3"/>
    <w:rsid w:val="67A85010"/>
    <w:rsid w:val="67B22DCC"/>
    <w:rsid w:val="67BE71AA"/>
    <w:rsid w:val="67D90273"/>
    <w:rsid w:val="67DE5875"/>
    <w:rsid w:val="67E55852"/>
    <w:rsid w:val="67EB1AB4"/>
    <w:rsid w:val="67F26828"/>
    <w:rsid w:val="67FA1285"/>
    <w:rsid w:val="68125FC6"/>
    <w:rsid w:val="681F15E7"/>
    <w:rsid w:val="68230253"/>
    <w:rsid w:val="68345086"/>
    <w:rsid w:val="68551F4F"/>
    <w:rsid w:val="685E7C65"/>
    <w:rsid w:val="687C10C9"/>
    <w:rsid w:val="68840C16"/>
    <w:rsid w:val="68876EFB"/>
    <w:rsid w:val="68884654"/>
    <w:rsid w:val="689F444F"/>
    <w:rsid w:val="68A5554E"/>
    <w:rsid w:val="68B96DBB"/>
    <w:rsid w:val="68CA2805"/>
    <w:rsid w:val="68E43F3C"/>
    <w:rsid w:val="68E937A3"/>
    <w:rsid w:val="68EF2D67"/>
    <w:rsid w:val="6935729D"/>
    <w:rsid w:val="693C2AD5"/>
    <w:rsid w:val="693E15D3"/>
    <w:rsid w:val="694035C3"/>
    <w:rsid w:val="695232F6"/>
    <w:rsid w:val="6962178B"/>
    <w:rsid w:val="69627681"/>
    <w:rsid w:val="696848C8"/>
    <w:rsid w:val="69692B1A"/>
    <w:rsid w:val="6977531D"/>
    <w:rsid w:val="698815C1"/>
    <w:rsid w:val="699833FF"/>
    <w:rsid w:val="699878A2"/>
    <w:rsid w:val="69A84119"/>
    <w:rsid w:val="69A9560C"/>
    <w:rsid w:val="69CC2BFF"/>
    <w:rsid w:val="69F543AD"/>
    <w:rsid w:val="69FA19C4"/>
    <w:rsid w:val="69FD55B8"/>
    <w:rsid w:val="6A0B1C62"/>
    <w:rsid w:val="6A14003B"/>
    <w:rsid w:val="6A2406C8"/>
    <w:rsid w:val="6A486BD3"/>
    <w:rsid w:val="6A54060D"/>
    <w:rsid w:val="6A75729C"/>
    <w:rsid w:val="6A7936F5"/>
    <w:rsid w:val="6A8D557A"/>
    <w:rsid w:val="6A92793F"/>
    <w:rsid w:val="6AB91B6A"/>
    <w:rsid w:val="6AB956BB"/>
    <w:rsid w:val="6AD931F6"/>
    <w:rsid w:val="6ADE0BD1"/>
    <w:rsid w:val="6ADE12E5"/>
    <w:rsid w:val="6AE12B83"/>
    <w:rsid w:val="6AE85CC0"/>
    <w:rsid w:val="6AE96859"/>
    <w:rsid w:val="6B0C5E52"/>
    <w:rsid w:val="6B147746"/>
    <w:rsid w:val="6B24787C"/>
    <w:rsid w:val="6B4078AA"/>
    <w:rsid w:val="6B572A56"/>
    <w:rsid w:val="6B573233"/>
    <w:rsid w:val="6B5B6274"/>
    <w:rsid w:val="6B747783"/>
    <w:rsid w:val="6B794A1F"/>
    <w:rsid w:val="6B795E70"/>
    <w:rsid w:val="6B7E58FD"/>
    <w:rsid w:val="6B8235F5"/>
    <w:rsid w:val="6B935D53"/>
    <w:rsid w:val="6BA442DD"/>
    <w:rsid w:val="6BD94C9D"/>
    <w:rsid w:val="6BE83187"/>
    <w:rsid w:val="6BFB1165"/>
    <w:rsid w:val="6C0B2A2C"/>
    <w:rsid w:val="6C164AAF"/>
    <w:rsid w:val="6C196F71"/>
    <w:rsid w:val="6C226FCB"/>
    <w:rsid w:val="6C31226F"/>
    <w:rsid w:val="6C454AE6"/>
    <w:rsid w:val="6C4F4546"/>
    <w:rsid w:val="6C552F0B"/>
    <w:rsid w:val="6C5A72F1"/>
    <w:rsid w:val="6C774A19"/>
    <w:rsid w:val="6C874CC2"/>
    <w:rsid w:val="6C8C67B7"/>
    <w:rsid w:val="6C9D744C"/>
    <w:rsid w:val="6CDB4732"/>
    <w:rsid w:val="6CDD4968"/>
    <w:rsid w:val="6CF14ACE"/>
    <w:rsid w:val="6D1234C8"/>
    <w:rsid w:val="6D167928"/>
    <w:rsid w:val="6D26299B"/>
    <w:rsid w:val="6D2F1693"/>
    <w:rsid w:val="6D4772EC"/>
    <w:rsid w:val="6D5835D1"/>
    <w:rsid w:val="6D604233"/>
    <w:rsid w:val="6D7467EA"/>
    <w:rsid w:val="6D9078AF"/>
    <w:rsid w:val="6DAA3FEF"/>
    <w:rsid w:val="6DC0172B"/>
    <w:rsid w:val="6DC61CBE"/>
    <w:rsid w:val="6DCB690C"/>
    <w:rsid w:val="6DD41A5B"/>
    <w:rsid w:val="6DD71464"/>
    <w:rsid w:val="6DDA6177"/>
    <w:rsid w:val="6DF43C2E"/>
    <w:rsid w:val="6DF51CA3"/>
    <w:rsid w:val="6E0628E0"/>
    <w:rsid w:val="6E155F11"/>
    <w:rsid w:val="6E2E629D"/>
    <w:rsid w:val="6E313E22"/>
    <w:rsid w:val="6E3E277E"/>
    <w:rsid w:val="6E8335BD"/>
    <w:rsid w:val="6E8E12EF"/>
    <w:rsid w:val="6E972936"/>
    <w:rsid w:val="6E9E3323"/>
    <w:rsid w:val="6EB979C9"/>
    <w:rsid w:val="6EC922AC"/>
    <w:rsid w:val="6ECD793C"/>
    <w:rsid w:val="6ED446C5"/>
    <w:rsid w:val="6EE24991"/>
    <w:rsid w:val="6EE80984"/>
    <w:rsid w:val="6EF8676D"/>
    <w:rsid w:val="6EFC3B5E"/>
    <w:rsid w:val="6F0E2E09"/>
    <w:rsid w:val="6F132CD7"/>
    <w:rsid w:val="6F287EEA"/>
    <w:rsid w:val="6F2A7D94"/>
    <w:rsid w:val="6F3D2978"/>
    <w:rsid w:val="6F8331F1"/>
    <w:rsid w:val="6FAE1A09"/>
    <w:rsid w:val="6FAE4CDF"/>
    <w:rsid w:val="6FC34F4E"/>
    <w:rsid w:val="6FD20CED"/>
    <w:rsid w:val="6FD75BF8"/>
    <w:rsid w:val="6FE27182"/>
    <w:rsid w:val="700B7BF8"/>
    <w:rsid w:val="7026309C"/>
    <w:rsid w:val="705C33D8"/>
    <w:rsid w:val="707723D0"/>
    <w:rsid w:val="70B4359C"/>
    <w:rsid w:val="70F5661B"/>
    <w:rsid w:val="71333DB2"/>
    <w:rsid w:val="71360107"/>
    <w:rsid w:val="713B688E"/>
    <w:rsid w:val="71516E0F"/>
    <w:rsid w:val="7157323E"/>
    <w:rsid w:val="718D7607"/>
    <w:rsid w:val="719302BB"/>
    <w:rsid w:val="71987D6B"/>
    <w:rsid w:val="71D43752"/>
    <w:rsid w:val="71D76A8E"/>
    <w:rsid w:val="71F1796A"/>
    <w:rsid w:val="720204B2"/>
    <w:rsid w:val="72154626"/>
    <w:rsid w:val="72192A04"/>
    <w:rsid w:val="721F4434"/>
    <w:rsid w:val="72262B5D"/>
    <w:rsid w:val="72264F9C"/>
    <w:rsid w:val="72283FF7"/>
    <w:rsid w:val="722E7212"/>
    <w:rsid w:val="723A0474"/>
    <w:rsid w:val="725923E4"/>
    <w:rsid w:val="72864BF7"/>
    <w:rsid w:val="72901D11"/>
    <w:rsid w:val="729023FC"/>
    <w:rsid w:val="72D07267"/>
    <w:rsid w:val="72D130B3"/>
    <w:rsid w:val="72EB0A43"/>
    <w:rsid w:val="72EB27F1"/>
    <w:rsid w:val="72F74281"/>
    <w:rsid w:val="731F4C30"/>
    <w:rsid w:val="734819F2"/>
    <w:rsid w:val="737A5923"/>
    <w:rsid w:val="7399049F"/>
    <w:rsid w:val="739C1D3D"/>
    <w:rsid w:val="73AB1F81"/>
    <w:rsid w:val="73AC1366"/>
    <w:rsid w:val="73AF381F"/>
    <w:rsid w:val="73C0646E"/>
    <w:rsid w:val="741A79D0"/>
    <w:rsid w:val="742222F5"/>
    <w:rsid w:val="743261FE"/>
    <w:rsid w:val="74341F76"/>
    <w:rsid w:val="74476126"/>
    <w:rsid w:val="74477959"/>
    <w:rsid w:val="74562422"/>
    <w:rsid w:val="745A318F"/>
    <w:rsid w:val="7462053B"/>
    <w:rsid w:val="74706664"/>
    <w:rsid w:val="747131CA"/>
    <w:rsid w:val="74771491"/>
    <w:rsid w:val="747F3682"/>
    <w:rsid w:val="74856DF9"/>
    <w:rsid w:val="748A6630"/>
    <w:rsid w:val="74965E13"/>
    <w:rsid w:val="749C4185"/>
    <w:rsid w:val="74B35591"/>
    <w:rsid w:val="74B92220"/>
    <w:rsid w:val="74C66D2B"/>
    <w:rsid w:val="74DF6386"/>
    <w:rsid w:val="74E1294F"/>
    <w:rsid w:val="74F07299"/>
    <w:rsid w:val="75067759"/>
    <w:rsid w:val="750B717B"/>
    <w:rsid w:val="75270877"/>
    <w:rsid w:val="752E6DCD"/>
    <w:rsid w:val="753718D2"/>
    <w:rsid w:val="753F0BD2"/>
    <w:rsid w:val="7551380D"/>
    <w:rsid w:val="755517F4"/>
    <w:rsid w:val="75600BE5"/>
    <w:rsid w:val="75611E78"/>
    <w:rsid w:val="7564475C"/>
    <w:rsid w:val="757005AB"/>
    <w:rsid w:val="7573644F"/>
    <w:rsid w:val="7577493F"/>
    <w:rsid w:val="7583797F"/>
    <w:rsid w:val="7598018D"/>
    <w:rsid w:val="75D20F1D"/>
    <w:rsid w:val="75D920D7"/>
    <w:rsid w:val="75DA2C18"/>
    <w:rsid w:val="75F54412"/>
    <w:rsid w:val="7605090C"/>
    <w:rsid w:val="761C0F14"/>
    <w:rsid w:val="761D08E0"/>
    <w:rsid w:val="76245FCA"/>
    <w:rsid w:val="76285B0A"/>
    <w:rsid w:val="762D3121"/>
    <w:rsid w:val="765A440E"/>
    <w:rsid w:val="765D347C"/>
    <w:rsid w:val="765E32DA"/>
    <w:rsid w:val="76826699"/>
    <w:rsid w:val="76852F5D"/>
    <w:rsid w:val="76967A9F"/>
    <w:rsid w:val="76A105CF"/>
    <w:rsid w:val="76C417C0"/>
    <w:rsid w:val="76C835E1"/>
    <w:rsid w:val="76C87133"/>
    <w:rsid w:val="76CD08D5"/>
    <w:rsid w:val="76DB4B92"/>
    <w:rsid w:val="76EA32EC"/>
    <w:rsid w:val="77052AA4"/>
    <w:rsid w:val="77136511"/>
    <w:rsid w:val="7722255A"/>
    <w:rsid w:val="77340A39"/>
    <w:rsid w:val="77351FD0"/>
    <w:rsid w:val="77422BFC"/>
    <w:rsid w:val="77472422"/>
    <w:rsid w:val="774E77F3"/>
    <w:rsid w:val="777F31F2"/>
    <w:rsid w:val="7782124A"/>
    <w:rsid w:val="778735DB"/>
    <w:rsid w:val="779E0B31"/>
    <w:rsid w:val="779F004E"/>
    <w:rsid w:val="77D1700D"/>
    <w:rsid w:val="77E455FA"/>
    <w:rsid w:val="77EC04CC"/>
    <w:rsid w:val="78152F1E"/>
    <w:rsid w:val="781E101F"/>
    <w:rsid w:val="78402FFB"/>
    <w:rsid w:val="784C3D35"/>
    <w:rsid w:val="785E1CB7"/>
    <w:rsid w:val="78775729"/>
    <w:rsid w:val="78961451"/>
    <w:rsid w:val="78A132A9"/>
    <w:rsid w:val="78A42DB0"/>
    <w:rsid w:val="78A656AB"/>
    <w:rsid w:val="78B2245C"/>
    <w:rsid w:val="78B724EC"/>
    <w:rsid w:val="78B83176"/>
    <w:rsid w:val="78C53AE4"/>
    <w:rsid w:val="78CC3B41"/>
    <w:rsid w:val="78D7752B"/>
    <w:rsid w:val="78E172CC"/>
    <w:rsid w:val="78EA1D1F"/>
    <w:rsid w:val="78EB6DEC"/>
    <w:rsid w:val="78EE0F25"/>
    <w:rsid w:val="78F04092"/>
    <w:rsid w:val="78F47F26"/>
    <w:rsid w:val="7904172F"/>
    <w:rsid w:val="79043158"/>
    <w:rsid w:val="790F7E27"/>
    <w:rsid w:val="792A231A"/>
    <w:rsid w:val="792F2986"/>
    <w:rsid w:val="79316829"/>
    <w:rsid w:val="79465E86"/>
    <w:rsid w:val="794860EB"/>
    <w:rsid w:val="795D5ACB"/>
    <w:rsid w:val="79666998"/>
    <w:rsid w:val="797E66A9"/>
    <w:rsid w:val="79825F62"/>
    <w:rsid w:val="7984703D"/>
    <w:rsid w:val="79A97383"/>
    <w:rsid w:val="79B91AAD"/>
    <w:rsid w:val="79C3609E"/>
    <w:rsid w:val="79C773E8"/>
    <w:rsid w:val="79D833A4"/>
    <w:rsid w:val="79E27E8B"/>
    <w:rsid w:val="79F850CE"/>
    <w:rsid w:val="79FD443C"/>
    <w:rsid w:val="79FF0ABA"/>
    <w:rsid w:val="7A1D1975"/>
    <w:rsid w:val="7A351ED1"/>
    <w:rsid w:val="7A3B5AEB"/>
    <w:rsid w:val="7A3E5150"/>
    <w:rsid w:val="7A4670D6"/>
    <w:rsid w:val="7A534B63"/>
    <w:rsid w:val="7A615382"/>
    <w:rsid w:val="7A67303B"/>
    <w:rsid w:val="7A7505BA"/>
    <w:rsid w:val="7AA240DD"/>
    <w:rsid w:val="7AAB1D04"/>
    <w:rsid w:val="7ABA4368"/>
    <w:rsid w:val="7AC35533"/>
    <w:rsid w:val="7AD05746"/>
    <w:rsid w:val="7AF33603"/>
    <w:rsid w:val="7B130B37"/>
    <w:rsid w:val="7B14665D"/>
    <w:rsid w:val="7B257FFD"/>
    <w:rsid w:val="7B336EB7"/>
    <w:rsid w:val="7B343476"/>
    <w:rsid w:val="7B4707E1"/>
    <w:rsid w:val="7B5133F0"/>
    <w:rsid w:val="7B5A2978"/>
    <w:rsid w:val="7B5A7E4C"/>
    <w:rsid w:val="7B667AF9"/>
    <w:rsid w:val="7B67446B"/>
    <w:rsid w:val="7B7468F8"/>
    <w:rsid w:val="7B8515EA"/>
    <w:rsid w:val="7B954F14"/>
    <w:rsid w:val="7B994256"/>
    <w:rsid w:val="7BA760EB"/>
    <w:rsid w:val="7BCE579E"/>
    <w:rsid w:val="7BD858DD"/>
    <w:rsid w:val="7BE44282"/>
    <w:rsid w:val="7BEE0103"/>
    <w:rsid w:val="7C06069C"/>
    <w:rsid w:val="7C0A0FE4"/>
    <w:rsid w:val="7C254906"/>
    <w:rsid w:val="7C2736FF"/>
    <w:rsid w:val="7C590818"/>
    <w:rsid w:val="7C5C3201"/>
    <w:rsid w:val="7C742918"/>
    <w:rsid w:val="7C7A7D8A"/>
    <w:rsid w:val="7C7C10F6"/>
    <w:rsid w:val="7C7F12D0"/>
    <w:rsid w:val="7C853BEA"/>
    <w:rsid w:val="7C881368"/>
    <w:rsid w:val="7CA73C2D"/>
    <w:rsid w:val="7CBC6FAC"/>
    <w:rsid w:val="7CCC39EF"/>
    <w:rsid w:val="7CE27788"/>
    <w:rsid w:val="7CE6522A"/>
    <w:rsid w:val="7CEE345A"/>
    <w:rsid w:val="7CEE7D6F"/>
    <w:rsid w:val="7D0C32F1"/>
    <w:rsid w:val="7D0F408D"/>
    <w:rsid w:val="7D382AD7"/>
    <w:rsid w:val="7D433B62"/>
    <w:rsid w:val="7D491C6C"/>
    <w:rsid w:val="7D4C480D"/>
    <w:rsid w:val="7D5429C0"/>
    <w:rsid w:val="7D6E6D43"/>
    <w:rsid w:val="7D863D67"/>
    <w:rsid w:val="7DAA1373"/>
    <w:rsid w:val="7DB57A34"/>
    <w:rsid w:val="7DCD73FA"/>
    <w:rsid w:val="7DE60973"/>
    <w:rsid w:val="7DE80F5B"/>
    <w:rsid w:val="7DEF0916"/>
    <w:rsid w:val="7E0555C8"/>
    <w:rsid w:val="7E095C96"/>
    <w:rsid w:val="7E1E0EC2"/>
    <w:rsid w:val="7E1E5218"/>
    <w:rsid w:val="7E3120FD"/>
    <w:rsid w:val="7E4436FD"/>
    <w:rsid w:val="7E645D4D"/>
    <w:rsid w:val="7E851D4C"/>
    <w:rsid w:val="7E9A4E1F"/>
    <w:rsid w:val="7EA7723A"/>
    <w:rsid w:val="7EE60311"/>
    <w:rsid w:val="7EF0118F"/>
    <w:rsid w:val="7EF36697"/>
    <w:rsid w:val="7EF56FBB"/>
    <w:rsid w:val="7F0768EB"/>
    <w:rsid w:val="7F10538E"/>
    <w:rsid w:val="7F143BEC"/>
    <w:rsid w:val="7F17496E"/>
    <w:rsid w:val="7F1B445E"/>
    <w:rsid w:val="7F211349"/>
    <w:rsid w:val="7F250E39"/>
    <w:rsid w:val="7F3D49AE"/>
    <w:rsid w:val="7F467231"/>
    <w:rsid w:val="7F4A2E8A"/>
    <w:rsid w:val="7F715AF2"/>
    <w:rsid w:val="7F886E69"/>
    <w:rsid w:val="7F8C1E7A"/>
    <w:rsid w:val="7F9756B6"/>
    <w:rsid w:val="7FA51F7A"/>
    <w:rsid w:val="7FAD360A"/>
    <w:rsid w:val="7FB51F68"/>
    <w:rsid w:val="7FBB1DCA"/>
    <w:rsid w:val="7FD54E8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autoRedefine/>
    <w:qFormat/>
    <w:uiPriority w:val="9"/>
    <w:pPr>
      <w:keepNext/>
      <w:keepLines/>
      <w:tabs>
        <w:tab w:val="left" w:pos="432"/>
      </w:tabs>
      <w:snapToGrid w:val="0"/>
      <w:spacing w:beforeLines="20" w:afterLines="20" w:line="360" w:lineRule="auto"/>
      <w:jc w:val="center"/>
      <w:outlineLvl w:val="0"/>
    </w:pPr>
    <w:rPr>
      <w:b/>
      <w:bCs/>
      <w:kern w:val="44"/>
      <w:sz w:val="32"/>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autoRedefine/>
    <w:qFormat/>
    <w:uiPriority w:val="0"/>
    <w:pPr>
      <w:tabs>
        <w:tab w:val="left" w:pos="864"/>
      </w:tabs>
      <w:spacing w:before="280" w:after="290" w:line="376" w:lineRule="auto"/>
      <w:ind w:left="864" w:hanging="864"/>
      <w:outlineLvl w:val="3"/>
    </w:pPr>
    <w:rPr>
      <w:rFonts w:ascii="Arial" w:hAnsi="Arial" w:eastAsia="黑体"/>
      <w:sz w:val="28"/>
      <w:szCs w:val="28"/>
      <w:lang w:val="zh-CN"/>
    </w:rPr>
  </w:style>
  <w:style w:type="paragraph" w:styleId="9">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1"/>
    <w:autoRedefine/>
    <w:qFormat/>
    <w:uiPriority w:val="0"/>
    <w:pPr>
      <w:ind w:firstLine="420"/>
    </w:pPr>
    <w:rPr>
      <w:rFonts w:hAnsi="Calibri"/>
      <w:szCs w:val="20"/>
    </w:rPr>
  </w:style>
  <w:style w:type="paragraph" w:styleId="3">
    <w:name w:val="Body Text"/>
    <w:basedOn w:val="1"/>
    <w:next w:val="2"/>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9"/>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2"/>
    <w:autoRedefine/>
    <w:qFormat/>
    <w:uiPriority w:val="0"/>
    <w:pPr>
      <w:shd w:val="clear" w:color="auto" w:fill="000080"/>
    </w:pPr>
  </w:style>
  <w:style w:type="paragraph" w:styleId="21">
    <w:name w:val="annotation text"/>
    <w:basedOn w:val="1"/>
    <w:link w:val="344"/>
    <w:autoRedefine/>
    <w:qFormat/>
    <w:uiPriority w:val="99"/>
    <w:pPr>
      <w:jc w:val="left"/>
    </w:pPr>
  </w:style>
  <w:style w:type="paragraph" w:styleId="22">
    <w:name w:val="Salutation"/>
    <w:basedOn w:val="1"/>
    <w:next w:val="1"/>
    <w:link w:val="298"/>
    <w:autoRedefine/>
    <w:qFormat/>
    <w:uiPriority w:val="0"/>
    <w:rPr>
      <w:rFonts w:ascii="仿宋_GB2312" w:eastAsia="仿宋_GB2312"/>
      <w:sz w:val="28"/>
      <w:szCs w:val="20"/>
    </w:rPr>
  </w:style>
  <w:style w:type="paragraph" w:styleId="23">
    <w:name w:val="Body Text 3"/>
    <w:basedOn w:val="1"/>
    <w:link w:val="330"/>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next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39"/>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basedOn w:val="1"/>
    <w:next w:val="1"/>
    <w:link w:val="133"/>
    <w:autoRedefine/>
    <w:qFormat/>
    <w:uiPriority w:val="0"/>
    <w:pPr>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39"/>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autoRedefine/>
    <w:qFormat/>
    <w:uiPriority w:val="0"/>
    <w:rPr>
      <w:b/>
      <w:bCs/>
    </w:rPr>
  </w:style>
  <w:style w:type="paragraph" w:styleId="61">
    <w:name w:val="Body Text First Indent 2"/>
    <w:basedOn w:val="25"/>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Fließtext"/>
    <w:basedOn w:val="1"/>
    <w:autoRedefine/>
    <w:qFormat/>
    <w:uiPriority w:val="0"/>
    <w:pPr>
      <w:overflowPunct w:val="0"/>
      <w:autoSpaceDE w:val="0"/>
      <w:autoSpaceDN w:val="0"/>
      <w:textAlignment w:val="baseline"/>
    </w:pPr>
    <w:rPr>
      <w:kern w:val="28"/>
      <w:szCs w:val="20"/>
    </w:rPr>
  </w:style>
  <w:style w:type="paragraph" w:customStyle="1" w:styleId="80">
    <w:name w:val="_Style 3"/>
    <w:basedOn w:val="1"/>
    <w:autoRedefine/>
    <w:qFormat/>
    <w:uiPriority w:val="0"/>
    <w:pPr>
      <w:adjustRightInd/>
      <w:ind w:firstLine="420" w:firstLineChars="200"/>
    </w:pPr>
    <w:rPr>
      <w:rFonts w:eastAsia="仿宋_GB2312"/>
      <w:sz w:val="28"/>
    </w:rPr>
  </w:style>
  <w:style w:type="paragraph" w:customStyle="1" w:styleId="81">
    <w:name w:val="标准正文"/>
    <w:basedOn w:val="1"/>
    <w:autoRedefine/>
    <w:qFormat/>
    <w:uiPriority w:val="0"/>
    <w:pPr>
      <w:tabs>
        <w:tab w:val="left" w:pos="780"/>
      </w:tabs>
      <w:adjustRightInd/>
      <w:spacing w:line="360" w:lineRule="auto"/>
      <w:ind w:left="200" w:leftChars="200" w:firstLine="200" w:firstLineChars="200"/>
    </w:pPr>
    <w:rPr>
      <w:sz w:val="24"/>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basedOn w:val="69"/>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10"/>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99"/>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5"/>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3"/>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20"/>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8"/>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8"/>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qFormat/>
    <w:uiPriority w:val="0"/>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4"/>
    <w:autoRedefine/>
    <w:qFormat/>
    <w:uiPriority w:val="9"/>
    <w:rPr>
      <w:b/>
      <w:bCs/>
      <w:kern w:val="44"/>
      <w:sz w:val="32"/>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9"/>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2"/>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8"/>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1"/>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69"/>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8"/>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3"/>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autoRedefine/>
    <w:qFormat/>
    <w:uiPriority w:val="0"/>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7"/>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4"/>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6"/>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9"/>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3"/>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
    <w:autoRedefine/>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next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3"/>
    <w:autoRedefine/>
    <w:qFormat/>
    <w:uiPriority w:val="0"/>
    <w:pPr>
      <w:snapToGrid w:val="0"/>
      <w:ind w:firstLine="42" w:firstLineChars="21"/>
    </w:pPr>
    <w:rPr>
      <w:rFonts w:hAnsi="宋体"/>
      <w:kern w:val="0"/>
      <w:sz w:val="20"/>
      <w:szCs w:val="20"/>
    </w:rPr>
  </w:style>
  <w:style w:type="paragraph" w:customStyle="1" w:styleId="628">
    <w:name w:val="标书标题4"/>
    <w:basedOn w:val="8"/>
    <w:autoRedefine/>
    <w:qFormat/>
    <w:uiPriority w:val="0"/>
    <w:pPr>
      <w:snapToGrid w:val="0"/>
      <w:spacing w:before="0" w:after="0" w:line="300" w:lineRule="auto"/>
    </w:pPr>
    <w:rPr>
      <w:rFonts w:ascii="Arial Narrow" w:hAnsi="Arial Narrow" w:eastAsia="仿宋_GB2312"/>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napToGrid w:val="0"/>
      <w:spacing w:beforeLines="50" w:afterLines="50"/>
      <w:ind w:left="50" w:leftChars="50" w:firstLine="0" w:firstLineChars="0"/>
      <w:jc w:val="center"/>
      <w:outlineLvl w:val="1"/>
    </w:pPr>
    <w:rPr>
      <w:rFonts w:eastAsia="宋体"/>
      <w:b/>
      <w:sz w:val="28"/>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autoRedefine/>
    <w:qFormat/>
    <w:uiPriority w:val="0"/>
    <w:pPr>
      <w:tabs>
        <w:tab w:val="left" w:pos="0"/>
        <w:tab w:val="clear" w:pos="864"/>
      </w:tabs>
      <w:spacing w:before="0" w:after="0" w:line="360" w:lineRule="auto"/>
      <w:ind w:left="1"/>
    </w:pPr>
    <w:rPr>
      <w:rFonts w:eastAsia="仿宋_GB2312" w:cs="Arial"/>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数字标题5"/>
    <w:basedOn w:val="9"/>
    <w:next w:val="1"/>
    <w:autoRedefine/>
    <w:qFormat/>
    <w:uiPriority w:val="0"/>
    <w:pPr>
      <w:tabs>
        <w:tab w:val="left" w:pos="1080"/>
      </w:tabs>
      <w:ind w:left="1080" w:hanging="1080"/>
    </w:pPr>
  </w:style>
  <w:style w:type="paragraph" w:customStyle="1" w:styleId="895">
    <w:name w:val="数字标题1"/>
    <w:basedOn w:val="4"/>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3"/>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Char"/>
    <w:link w:val="483"/>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basedOn w:val="69"/>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8"/>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TOC 标题2"/>
    <w:basedOn w:val="4"/>
    <w:next w:val="1"/>
    <w:autoRedefine/>
    <w:semiHidden/>
    <w:unhideWhenUsed/>
    <w:qFormat/>
    <w:uiPriority w:val="39"/>
    <w:pPr>
      <w:widowControl/>
      <w:tabs>
        <w:tab w:val="clear" w:pos="432"/>
      </w:tabs>
      <w:adjustRightInd/>
      <w:snapToGrid/>
      <w:spacing w:beforeLines="0" w:afterLines="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63">
    <w:name w:val="！正文文字缩进--WRY"/>
    <w:basedOn w:val="1"/>
    <w:autoRedefine/>
    <w:qFormat/>
    <w:uiPriority w:val="0"/>
    <w:rPr>
      <w:szCs w:val="20"/>
    </w:rPr>
  </w:style>
  <w:style w:type="paragraph" w:customStyle="1" w:styleId="964">
    <w:name w:val="表格正文样式1"/>
    <w:basedOn w:val="1"/>
    <w:autoRedefine/>
    <w:qFormat/>
    <w:uiPriority w:val="0"/>
    <w:pPr>
      <w:widowControl/>
      <w:adjustRightInd/>
      <w:spacing w:line="360" w:lineRule="auto"/>
      <w:jc w:val="left"/>
    </w:pPr>
    <w:rPr>
      <w:rFonts w:ascii="仿宋" w:hAnsi="仿宋" w:eastAsia="仿宋"/>
      <w:sz w:val="24"/>
      <w:szCs w:val="28"/>
    </w:rPr>
  </w:style>
  <w:style w:type="paragraph" w:customStyle="1" w:styleId="965">
    <w:name w:val="列出段落6"/>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56346B-B59E-4984-885B-ED977140C2DF}">
  <ds:schemaRefs/>
</ds:datastoreItem>
</file>

<file path=docProps/app.xml><?xml version="1.0" encoding="utf-8"?>
<Properties xmlns="http://schemas.openxmlformats.org/officeDocument/2006/extended-properties" xmlns:vt="http://schemas.openxmlformats.org/officeDocument/2006/docPropsVTypes">
  <Template>Normal.dotm</Template>
  <Company>海标工程管理有限公司</Company>
  <Pages>68</Pages>
  <Words>33752</Words>
  <Characters>35584</Characters>
  <Lines>433</Lines>
  <Paragraphs>122</Paragraphs>
  <TotalTime>6</TotalTime>
  <ScaleCrop>false</ScaleCrop>
  <LinksUpToDate>false</LinksUpToDate>
  <CharactersWithSpaces>37021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2024-03-08T02:20:00Z</dcterms:created>
  <dc:creator>袁彬</dc:creator>
  <cp:lastModifiedBy>开心妈咪</cp:lastModifiedBy>
  <cp:lastPrinted>2024-04-19T01:38:00Z</cp:lastPrinted>
  <dcterms:modified xsi:type="dcterms:W3CDTF">2024-08-28T09:49:26Z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D2CFEA1718C4488998F1C40E8C5CF164_13</vt:lpwstr>
  </property>
</Properties>
</file>