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pStyle w:val="6"/>
        <w:rPr>
          <w:lang w:val="en-US"/>
        </w:rPr>
      </w:pP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2024年度桐庐县白蚁防治项目</w:t>
      </w:r>
    </w:p>
    <w:p>
      <w:pPr>
        <w:pStyle w:val="61"/>
        <w:ind w:firstLine="960"/>
        <w:rPr>
          <w:rFonts w:cs="宋体"/>
          <w:sz w:val="48"/>
          <w:szCs w:val="48"/>
        </w:rPr>
      </w:pPr>
    </w:p>
    <w:p>
      <w:pPr>
        <w:pStyle w:val="61"/>
        <w:ind w:firstLine="960"/>
        <w:rPr>
          <w:rFonts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编号：HBCG-TL2024026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tabs>
          <w:tab w:val="left" w:pos="1980"/>
          <w:tab w:val="left" w:pos="3240"/>
          <w:tab w:val="left" w:pos="3420"/>
          <w:tab w:val="left" w:pos="3600"/>
          <w:tab w:val="left" w:pos="3780"/>
        </w:tabs>
        <w:spacing w:line="720" w:lineRule="auto"/>
        <w:jc w:val="center"/>
        <w:rPr>
          <w:rFonts w:ascii="宋体" w:hAnsi="宋体"/>
          <w:sz w:val="32"/>
          <w:szCs w:val="32"/>
          <w:u w:val="single"/>
        </w:rPr>
      </w:pPr>
      <w:r>
        <w:rPr>
          <w:rFonts w:hint="eastAsia" w:ascii="宋体" w:hAnsi="宋体"/>
          <w:sz w:val="32"/>
          <w:szCs w:val="32"/>
        </w:rPr>
        <w:t>采购人：</w:t>
      </w:r>
      <w:r>
        <w:fldChar w:fldCharType="begin"/>
      </w:r>
      <w:r>
        <w:instrText xml:space="preserve"> HYPERLINK "javascript:void(0);" \t "_self" \o "桐庐县残疾人联合会" </w:instrText>
      </w:r>
      <w:r>
        <w:fldChar w:fldCharType="separate"/>
      </w:r>
      <w:r>
        <w:rPr>
          <w:rFonts w:hint="eastAsia" w:ascii="宋体" w:hAnsi="宋体"/>
          <w:sz w:val="32"/>
          <w:szCs w:val="32"/>
          <w:u w:val="single"/>
        </w:rPr>
        <w:t>桐庐县房地产管理处</w:t>
      </w:r>
      <w:r>
        <w:rPr>
          <w:rFonts w:hint="eastAsia" w:ascii="宋体" w:hAnsi="宋体"/>
          <w:sz w:val="32"/>
          <w:szCs w:val="32"/>
          <w:u w:val="single"/>
        </w:rPr>
        <w:fldChar w:fldCharType="end"/>
      </w:r>
    </w:p>
    <w:p>
      <w:pPr>
        <w:tabs>
          <w:tab w:val="left" w:pos="1620"/>
          <w:tab w:val="left" w:pos="1800"/>
          <w:tab w:val="left" w:pos="1980"/>
        </w:tabs>
        <w:spacing w:line="720" w:lineRule="auto"/>
        <w:jc w:val="center"/>
        <w:rPr>
          <w:rFonts w:ascii="宋体" w:hAnsi="宋体"/>
          <w:sz w:val="32"/>
          <w:szCs w:val="32"/>
          <w:u w:val="single"/>
        </w:rPr>
      </w:pPr>
      <w:r>
        <w:rPr>
          <w:rFonts w:hint="eastAsia" w:ascii="宋体" w:hAnsi="宋体"/>
          <w:sz w:val="32"/>
          <w:szCs w:val="32"/>
        </w:rPr>
        <w:t>采购机构 ：</w:t>
      </w:r>
      <w:r>
        <w:rPr>
          <w:rFonts w:hint="eastAsia" w:ascii="宋体" w:hAnsi="宋体"/>
          <w:sz w:val="32"/>
          <w:szCs w:val="32"/>
          <w:u w:val="single"/>
        </w:rPr>
        <w:t>海标工程管理有限公司</w:t>
      </w:r>
    </w:p>
    <w:p>
      <w:pPr>
        <w:snapToGrid w:val="0"/>
        <w:spacing w:line="360" w:lineRule="auto"/>
        <w:jc w:val="center"/>
        <w:rPr>
          <w:rFonts w:ascii="宋体" w:hAnsi="宋体" w:cs="宋体"/>
          <w:bCs/>
          <w:sz w:val="32"/>
          <w:szCs w:val="32"/>
        </w:rPr>
      </w:pPr>
      <w:r>
        <w:rPr>
          <w:rFonts w:hint="eastAsia" w:ascii="宋体" w:hAnsi="宋体"/>
          <w:sz w:val="32"/>
          <w:szCs w:val="32"/>
        </w:rPr>
        <w:t>2024年</w:t>
      </w:r>
      <w:r>
        <w:rPr>
          <w:rFonts w:hint="eastAsia" w:ascii="宋体" w:hAnsi="宋体"/>
          <w:sz w:val="32"/>
          <w:szCs w:val="32"/>
          <w:lang w:val="en-US" w:eastAsia="zh-CN"/>
        </w:rPr>
        <w:t>5</w:t>
      </w:r>
      <w:r>
        <w:rPr>
          <w:rFonts w:hint="eastAsia" w:ascii="宋体" w:hAnsi="宋体"/>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2024年度桐庐县白蚁防治项目</w:t>
      </w:r>
      <w:r>
        <w:rPr>
          <w:rFonts w:hint="eastAsia" w:ascii="宋体" w:hAnsi="宋体" w:cs="宋体"/>
          <w:sz w:val="24"/>
        </w:rPr>
        <w:t>的应邀投标人应在政采云平台（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日9点00分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HBCG-TL2024026</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2024年度桐庐县白蚁防治项目</w:t>
      </w:r>
    </w:p>
    <w:p>
      <w:pPr>
        <w:spacing w:line="360" w:lineRule="auto"/>
        <w:ind w:firstLine="482" w:firstLineChars="200"/>
        <w:rPr>
          <w:rFonts w:hint="eastAsia" w:ascii="宋体" w:hAnsi="宋体" w:eastAsia="宋体" w:cs="宋体"/>
          <w:bCs/>
          <w:sz w:val="24"/>
          <w:lang w:eastAsia="zh-CN"/>
        </w:rPr>
      </w:pPr>
      <w:r>
        <w:rPr>
          <w:rFonts w:hint="eastAsia" w:ascii="宋体" w:hAnsi="宋体" w:cs="宋体"/>
          <w:b/>
          <w:sz w:val="24"/>
        </w:rPr>
        <w:t>预算金额（元）：</w:t>
      </w:r>
      <w:r>
        <w:rPr>
          <w:rFonts w:hint="eastAsia" w:ascii="宋体" w:hAnsi="宋体" w:cs="宋体"/>
          <w:bCs/>
          <w:sz w:val="24"/>
          <w:lang w:eastAsia="zh-CN"/>
        </w:rPr>
        <w:t>1260000</w:t>
      </w:r>
    </w:p>
    <w:p>
      <w:pPr>
        <w:spacing w:line="360" w:lineRule="auto"/>
        <w:ind w:firstLine="482" w:firstLineChars="200"/>
        <w:rPr>
          <w:rFonts w:hAnsi="宋体" w:cs="宋体"/>
          <w:bCs/>
          <w:sz w:val="24"/>
        </w:rPr>
      </w:pPr>
      <w:r>
        <w:rPr>
          <w:rFonts w:hint="eastAsia" w:hAnsi="宋体" w:cs="宋体"/>
          <w:b/>
          <w:sz w:val="24"/>
        </w:rPr>
        <w:t>采购需求：</w:t>
      </w:r>
      <w:r>
        <w:rPr>
          <w:rFonts w:hint="eastAsia" w:hAnsi="宋体" w:cs="宋体"/>
          <w:bCs/>
          <w:sz w:val="24"/>
        </w:rPr>
        <w:t>2024年度桐庐县白蚁防治项目；主要内容：2024年度桐庐县白蚁防治等。</w:t>
      </w:r>
      <w:r>
        <w:rPr>
          <w:rFonts w:hint="eastAsia" w:asciiTheme="minorEastAsia" w:hAnsiTheme="minorEastAsia" w:eastAsiaTheme="minorEastAsia"/>
          <w:bCs/>
          <w:sz w:val="24"/>
        </w:rPr>
        <w:t>详见招标文件第三部分采购需求。</w:t>
      </w:r>
    </w:p>
    <w:p>
      <w:pPr>
        <w:pStyle w:val="129"/>
        <w:ind w:firstLine="482"/>
        <w:outlineLvl w:val="2"/>
        <w:rPr>
          <w:rFonts w:ascii="宋体" w:hAnsi="宋体" w:cs="宋体"/>
        </w:rPr>
      </w:pPr>
      <w:r>
        <w:rPr>
          <w:rFonts w:hint="eastAsia" w:ascii="宋体" w:hAnsi="宋体" w:cs="宋体"/>
          <w:b/>
        </w:rPr>
        <w:t>合同履约期限：</w:t>
      </w:r>
      <w:r>
        <w:rPr>
          <w:rFonts w:hint="eastAsia" w:ascii="宋体" w:hAnsi="宋体" w:cs="Helvetica"/>
          <w:kern w:val="0"/>
          <w:szCs w:val="24"/>
        </w:rPr>
        <w:t>1年。</w:t>
      </w:r>
    </w:p>
    <w:p>
      <w:pPr>
        <w:pStyle w:val="8"/>
        <w:spacing w:line="360" w:lineRule="auto"/>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bCs/>
          <w:color w:val="auto"/>
          <w:sz w:val="24"/>
        </w:rPr>
        <w:t>否</w:t>
      </w:r>
      <w:r>
        <w:rPr>
          <w:rFonts w:hint="eastAsia" w:hAnsi="宋体" w:cs="宋体"/>
          <w:bCs/>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日9点00分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日9点00分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提交投标文件截止时间6天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竞争性磋商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称：桐庐县房地产管理处</w:t>
      </w:r>
    </w:p>
    <w:p>
      <w:pPr>
        <w:spacing w:line="360" w:lineRule="auto"/>
        <w:rPr>
          <w:rFonts w:ascii="宋体" w:hAnsi="宋体" w:cs="宋体"/>
          <w:sz w:val="24"/>
        </w:rPr>
      </w:pPr>
      <w:r>
        <w:rPr>
          <w:rFonts w:hint="eastAsia" w:ascii="宋体" w:hAnsi="宋体" w:cs="宋体"/>
          <w:sz w:val="24"/>
        </w:rPr>
        <w:t xml:space="preserve">    地    址：</w:t>
      </w:r>
      <w:r>
        <w:rPr>
          <w:rFonts w:hint="eastAsia" w:asciiTheme="minorEastAsia" w:hAnsiTheme="minorEastAsia" w:eastAsiaTheme="minorEastAsia"/>
          <w:sz w:val="24"/>
        </w:rPr>
        <w:t>杭州市桐庐县开元街12号 </w:t>
      </w:r>
    </w:p>
    <w:p>
      <w:pPr>
        <w:spacing w:line="360" w:lineRule="auto"/>
        <w:ind w:firstLine="480"/>
        <w:rPr>
          <w:rFonts w:ascii="宋体" w:hAnsi="宋体" w:cs="宋体"/>
          <w:sz w:val="24"/>
        </w:rPr>
      </w:pPr>
      <w:r>
        <w:rPr>
          <w:rFonts w:hint="eastAsia" w:ascii="宋体" w:hAnsi="宋体" w:cs="宋体"/>
          <w:sz w:val="24"/>
        </w:rPr>
        <w:t>项目联系人（询问）：姚汉强</w:t>
      </w:r>
    </w:p>
    <w:p>
      <w:pPr>
        <w:spacing w:line="360" w:lineRule="auto"/>
        <w:ind w:firstLine="480"/>
        <w:rPr>
          <w:rFonts w:ascii="宋体" w:hAnsi="宋体" w:cs="宋体"/>
          <w:sz w:val="24"/>
        </w:rPr>
      </w:pPr>
      <w:r>
        <w:rPr>
          <w:rFonts w:hint="eastAsia" w:ascii="宋体" w:hAnsi="宋体" w:cs="宋体"/>
          <w:sz w:val="24"/>
        </w:rPr>
        <w:t>项目联系方式（询问）：13071856831</w:t>
      </w:r>
    </w:p>
    <w:p>
      <w:pPr>
        <w:spacing w:line="360" w:lineRule="auto"/>
        <w:ind w:firstLine="480"/>
        <w:rPr>
          <w:rFonts w:ascii="宋体" w:hAnsi="宋体" w:cs="宋体"/>
          <w:sz w:val="24"/>
        </w:rPr>
      </w:pPr>
      <w:r>
        <w:rPr>
          <w:rFonts w:hint="eastAsia" w:ascii="宋体" w:hAnsi="宋体" w:cs="宋体"/>
          <w:sz w:val="24"/>
        </w:rPr>
        <w:t>质疑联系人：王晓明</w:t>
      </w:r>
    </w:p>
    <w:p>
      <w:pPr>
        <w:spacing w:line="360" w:lineRule="auto"/>
        <w:rPr>
          <w:rFonts w:ascii="宋体" w:hAnsi="宋体" w:cs="宋体"/>
          <w:sz w:val="24"/>
        </w:rPr>
      </w:pPr>
      <w:r>
        <w:rPr>
          <w:rFonts w:hint="eastAsia" w:ascii="宋体" w:hAnsi="宋体" w:cs="宋体"/>
          <w:sz w:val="24"/>
        </w:rPr>
        <w:t xml:space="preserve">    质疑联系方式：13968059567</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称：海标工程管理有限公司</w:t>
      </w:r>
    </w:p>
    <w:p>
      <w:pPr>
        <w:spacing w:line="360" w:lineRule="auto"/>
        <w:ind w:firstLine="480"/>
        <w:rPr>
          <w:rFonts w:ascii="宋体" w:hAnsi="宋体" w:cs="宋体"/>
          <w:sz w:val="24"/>
        </w:rPr>
      </w:pPr>
      <w:r>
        <w:rPr>
          <w:rFonts w:hint="eastAsia" w:ascii="宋体" w:hAnsi="宋体" w:cs="宋体"/>
          <w:sz w:val="24"/>
        </w:rPr>
        <w:t>地    址：浙江省杭州市余杭区南苑街道汀城街9号701室</w:t>
      </w:r>
    </w:p>
    <w:p>
      <w:pPr>
        <w:spacing w:line="360" w:lineRule="auto"/>
        <w:rPr>
          <w:rFonts w:ascii="宋体" w:hAnsi="宋体" w:cs="宋体"/>
          <w:sz w:val="24"/>
        </w:rPr>
      </w:pPr>
      <w:r>
        <w:rPr>
          <w:rFonts w:hint="eastAsia" w:ascii="宋体" w:hAnsi="宋体" w:cs="宋体"/>
          <w:sz w:val="24"/>
        </w:rPr>
        <w:t xml:space="preserve">    项目联系人（询问）：樊袁烽</w:t>
      </w:r>
    </w:p>
    <w:p>
      <w:pPr>
        <w:spacing w:line="360" w:lineRule="auto"/>
        <w:rPr>
          <w:rFonts w:ascii="宋体" w:hAnsi="宋体" w:cs="宋体"/>
          <w:sz w:val="24"/>
        </w:rPr>
      </w:pPr>
      <w:r>
        <w:rPr>
          <w:rFonts w:hint="eastAsia" w:ascii="宋体" w:hAnsi="宋体" w:cs="宋体"/>
          <w:sz w:val="24"/>
        </w:rPr>
        <w:t xml:space="preserve">    项目联系方式（询问）：13588383174</w:t>
      </w:r>
    </w:p>
    <w:p>
      <w:pPr>
        <w:spacing w:line="360" w:lineRule="auto"/>
        <w:rPr>
          <w:rFonts w:ascii="宋体" w:hAnsi="宋体" w:cs="宋体"/>
          <w:sz w:val="24"/>
        </w:rPr>
      </w:pPr>
      <w:r>
        <w:rPr>
          <w:rFonts w:hint="eastAsia" w:ascii="宋体" w:hAnsi="宋体" w:cs="宋体"/>
          <w:sz w:val="24"/>
        </w:rPr>
        <w:t xml:space="preserve">    质疑联系人：袁彬</w:t>
      </w:r>
    </w:p>
    <w:p>
      <w:pPr>
        <w:spacing w:line="360" w:lineRule="auto"/>
        <w:rPr>
          <w:rFonts w:ascii="宋体" w:hAnsi="宋体" w:cs="宋体"/>
          <w:sz w:val="24"/>
        </w:rPr>
      </w:pPr>
      <w:r>
        <w:rPr>
          <w:rFonts w:hint="eastAsia" w:ascii="宋体" w:hAnsi="宋体" w:cs="宋体"/>
          <w:sz w:val="24"/>
        </w:rPr>
        <w:t xml:space="preserve">    质疑联系方式：15005715200</w:t>
      </w:r>
    </w:p>
    <w:p>
      <w:pPr>
        <w:spacing w:line="360" w:lineRule="auto"/>
        <w:rPr>
          <w:rFonts w:ascii="宋体" w:hAnsi="宋体" w:cs="宋体"/>
          <w:sz w:val="24"/>
        </w:rPr>
      </w:pPr>
      <w:r>
        <w:rPr>
          <w:rFonts w:hint="eastAsia" w:ascii="宋体" w:hAnsi="宋体" w:cs="宋体"/>
          <w:sz w:val="24"/>
        </w:rPr>
        <w:t xml:space="preserve">    3.同级政府采购监督管理部门</w:t>
      </w:r>
    </w:p>
    <w:p>
      <w:pPr>
        <w:spacing w:line="360" w:lineRule="auto"/>
        <w:rPr>
          <w:rFonts w:ascii="宋体" w:hAnsi="宋体" w:cs="宋体"/>
          <w:sz w:val="24"/>
        </w:rPr>
      </w:pPr>
      <w:r>
        <w:rPr>
          <w:rFonts w:hint="eastAsia" w:ascii="宋体" w:hAnsi="宋体" w:cs="宋体"/>
          <w:sz w:val="24"/>
        </w:rPr>
        <w:t xml:space="preserve">    名    称：桐庐县财政局、浙江省政府采购行政裁决服务中心（杭州）</w:t>
      </w:r>
    </w:p>
    <w:p>
      <w:pPr>
        <w:spacing w:line="360" w:lineRule="auto"/>
        <w:ind w:left="1680" w:hanging="1680" w:hangingChars="700"/>
        <w:rPr>
          <w:rFonts w:ascii="宋体" w:hAnsi="宋体" w:cs="宋体"/>
          <w:sz w:val="24"/>
        </w:rPr>
      </w:pPr>
      <w:r>
        <w:rPr>
          <w:rFonts w:hint="eastAsia" w:ascii="宋体" w:hAnsi="宋体" w:cs="宋体"/>
          <w:sz w:val="24"/>
        </w:rPr>
        <w:t xml:space="preserve">    地    址：杭州市上城区四季青街道新业路市民之家G03办公室（快递仅限ems或顺丰）</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监督投诉电话：0571-85252453</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spacing w:line="360" w:lineRule="auto"/>
        <w:ind w:firstLine="480" w:firstLineChars="200"/>
        <w:rPr>
          <w:rFonts w:ascii="宋体" w:hAnsi="宋体" w:cs="宋体"/>
          <w:sz w:val="24"/>
        </w:rPr>
      </w:pPr>
    </w:p>
    <w:p>
      <w:pPr>
        <w:pStyle w:val="34"/>
        <w:spacing w:line="360" w:lineRule="auto"/>
        <w:rPr>
          <w:rFonts w:hAnsi="宋体" w:cs="宋体"/>
          <w:b/>
          <w:sz w:val="36"/>
          <w:szCs w:val="20"/>
        </w:rPr>
      </w:pPr>
    </w:p>
    <w:p>
      <w:pPr>
        <w:pStyle w:val="34"/>
        <w:spacing w:line="360" w:lineRule="auto"/>
        <w:rPr>
          <w:rFonts w:hAnsi="宋体" w:cs="宋体"/>
          <w:b/>
          <w:sz w:val="36"/>
          <w:szCs w:val="20"/>
        </w:rPr>
      </w:pPr>
    </w:p>
    <w:p>
      <w:pPr>
        <w:pStyle w:val="34"/>
        <w:spacing w:line="360" w:lineRule="auto"/>
        <w:rPr>
          <w:rFonts w:hAnsi="宋体" w:cs="宋体"/>
          <w:b/>
          <w:sz w:val="36"/>
          <w:szCs w:val="20"/>
        </w:rPr>
      </w:pPr>
    </w:p>
    <w:p>
      <w:pPr>
        <w:pStyle w:val="34"/>
        <w:spacing w:line="360" w:lineRule="auto"/>
        <w:rPr>
          <w:rFonts w:hAnsi="宋体" w:cs="宋体"/>
          <w:b/>
          <w:sz w:val="36"/>
          <w:szCs w:val="20"/>
        </w:rPr>
      </w:pPr>
    </w:p>
    <w:p>
      <w:pPr>
        <w:pStyle w:val="34"/>
        <w:spacing w:line="360" w:lineRule="auto"/>
        <w:rPr>
          <w:rFonts w:hAnsi="宋体" w:cs="宋体"/>
          <w:b/>
          <w:sz w:val="36"/>
          <w:szCs w:val="20"/>
        </w:rPr>
      </w:pPr>
    </w:p>
    <w:p>
      <w:pPr>
        <w:pStyle w:val="34"/>
        <w:spacing w:line="360" w:lineRule="auto"/>
        <w:rPr>
          <w:rFonts w:hAnsi="宋体" w:cs="宋体"/>
          <w:b/>
          <w:sz w:val="36"/>
          <w:szCs w:val="20"/>
        </w:rPr>
      </w:pPr>
    </w:p>
    <w:p>
      <w:pPr>
        <w:pStyle w:val="34"/>
        <w:spacing w:line="360" w:lineRule="auto"/>
        <w:rPr>
          <w:rFonts w:hAnsi="宋体" w:cs="宋体"/>
          <w:b/>
          <w:sz w:val="36"/>
          <w:szCs w:val="20"/>
        </w:rPr>
      </w:pPr>
    </w:p>
    <w:p>
      <w:pPr>
        <w:pStyle w:val="34"/>
        <w:spacing w:line="360" w:lineRule="auto"/>
        <w:jc w:val="center"/>
        <w:rPr>
          <w:rFonts w:hAnsi="宋体" w:cs="宋体"/>
          <w:b/>
          <w:sz w:val="36"/>
          <w:szCs w:val="20"/>
        </w:rPr>
      </w:pPr>
    </w:p>
    <w:p>
      <w:pPr>
        <w:rPr>
          <w:rFonts w:hAnsi="宋体" w:cs="宋体"/>
          <w:b/>
          <w:sz w:val="36"/>
          <w:szCs w:val="20"/>
        </w:rPr>
      </w:pPr>
      <w:r>
        <w:rPr>
          <w:rFonts w:hint="eastAsia" w:hAnsi="宋体" w:cs="宋体"/>
          <w:b/>
          <w:sz w:val="36"/>
          <w:szCs w:val="20"/>
        </w:rPr>
        <w:br w:type="page"/>
      </w:r>
    </w:p>
    <w:p>
      <w:pPr>
        <w:pStyle w:val="34"/>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rPr>
                <w:rFonts w:ascii="宋体" w:hAnsi="宋体" w:eastAsia=".PingFang SC" w:cs="宋体"/>
                <w:b/>
                <w:color w:val="454545"/>
                <w:sz w:val="24"/>
              </w:rPr>
            </w:pPr>
            <w:r>
              <w:rPr>
                <w:rFonts w:hint="eastAsia" w:ascii="宋体" w:hAnsi="宋体" w:cs="宋体"/>
                <w:b/>
                <w:sz w:val="24"/>
              </w:rPr>
              <w:t>项目属性</w:t>
            </w:r>
          </w:p>
        </w:tc>
        <w:tc>
          <w:tcPr>
            <w:tcW w:w="69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9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2024年度桐庐县白蚁防治项目</w:t>
            </w:r>
            <w:r>
              <w:rPr>
                <w:rFonts w:hint="eastAsia" w:ascii="宋体" w:hAnsi="宋体" w:cs="宋体"/>
                <w:kern w:val="0"/>
                <w:sz w:val="24"/>
              </w:rPr>
              <w:t>，属于行业：</w:t>
            </w:r>
            <w:r>
              <w:rPr>
                <w:rFonts w:hint="eastAsia" w:ascii="宋体" w:hAnsi="宋体" w:cs="宋体"/>
                <w:kern w:val="0"/>
                <w:sz w:val="24"/>
                <w:u w:val="single"/>
              </w:rPr>
              <w:t>其他未列明行业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69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sz w:val="24"/>
              </w:rPr>
            </w:pPr>
            <w:r>
              <w:rPr>
                <w:rFonts w:hint="eastAsia" w:ascii="宋体" w:hAnsi="宋体" w:cs="宋体"/>
                <w:b/>
                <w:sz w:val="24"/>
              </w:rPr>
              <w:t>分包</w:t>
            </w:r>
          </w:p>
        </w:tc>
        <w:tc>
          <w:tcPr>
            <w:tcW w:w="69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开标前答疑会或现场考察</w:t>
            </w:r>
          </w:p>
        </w:tc>
        <w:tc>
          <w:tcPr>
            <w:tcW w:w="69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样品提供</w:t>
            </w:r>
          </w:p>
        </w:tc>
        <w:tc>
          <w:tcPr>
            <w:tcW w:w="69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方案讲解演示</w:t>
            </w:r>
          </w:p>
        </w:tc>
        <w:tc>
          <w:tcPr>
            <w:tcW w:w="69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投标人应当提供的资格、资信证明文件</w:t>
            </w:r>
          </w:p>
        </w:tc>
        <w:tc>
          <w:tcPr>
            <w:tcW w:w="694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p>
        </w:tc>
        <w:tc>
          <w:tcPr>
            <w:tcW w:w="694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报价要求</w:t>
            </w:r>
          </w:p>
        </w:tc>
        <w:tc>
          <w:tcPr>
            <w:tcW w:w="69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6946"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桐庐县迎春南路279号立山国际中心904室（海标工程管理有限公司） </w:t>
            </w:r>
            <w:r>
              <w:rPr>
                <w:rFonts w:hint="eastAsia" w:hAnsi="宋体" w:cs="宋体"/>
                <w:kern w:val="28"/>
                <w:sz w:val="24"/>
                <w:szCs w:val="24"/>
              </w:rPr>
              <w:t>；备份投标文件签收人：袁彬；联系电话：</w:t>
            </w:r>
            <w:r>
              <w:rPr>
                <w:rFonts w:hint="eastAsia" w:hAnsi="宋体" w:cs="宋体"/>
                <w:sz w:val="24"/>
                <w:u w:val="single"/>
              </w:rPr>
              <w:t>15005715200。</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其它说明</w:t>
            </w:r>
          </w:p>
        </w:tc>
        <w:tc>
          <w:tcPr>
            <w:tcW w:w="69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sz w:val="24"/>
              </w:rPr>
              <w:t>本项目的招标代理费按浙价服[2003]77号文件收费标准计取。以上费用均中标单位在领取中标通知书时，一次性支付给代理公司，上述费用应含在投标报价中（不得单独列项），投标人在投标报价让利中考虑上述费用。</w:t>
            </w:r>
          </w:p>
          <w:p>
            <w:pPr>
              <w:snapToGrid w:val="0"/>
              <w:spacing w:line="360" w:lineRule="auto"/>
              <w:rPr>
                <w:rFonts w:ascii="宋体" w:hAnsi="宋体" w:cs="宋体"/>
                <w:sz w:val="24"/>
              </w:rPr>
            </w:pPr>
            <w:r>
              <w:rPr>
                <w:rFonts w:hint="eastAsia" w:ascii="宋体" w:hAnsi="宋体" w:cs="宋体"/>
                <w:sz w:val="24"/>
              </w:rPr>
              <w:t>代理费收取公司名称：海标工程管理有限公司桐庐分公司</w:t>
            </w:r>
          </w:p>
          <w:p>
            <w:pPr>
              <w:snapToGrid w:val="0"/>
              <w:spacing w:line="360" w:lineRule="auto"/>
              <w:rPr>
                <w:rFonts w:ascii="宋体" w:hAnsi="宋体" w:cs="宋体"/>
                <w:sz w:val="24"/>
              </w:rPr>
            </w:pPr>
            <w:r>
              <w:rPr>
                <w:rFonts w:hint="eastAsia" w:ascii="宋体" w:hAnsi="宋体" w:cs="宋体"/>
                <w:sz w:val="24"/>
              </w:rPr>
              <w:t>账号:1202048109100032655</w:t>
            </w:r>
          </w:p>
          <w:p>
            <w:pPr>
              <w:pStyle w:val="34"/>
              <w:spacing w:line="360" w:lineRule="auto"/>
              <w:rPr>
                <w:rFonts w:hAnsi="宋体" w:cs="宋体"/>
                <w:kern w:val="28"/>
                <w:sz w:val="24"/>
                <w:szCs w:val="24"/>
              </w:rPr>
            </w:pPr>
            <w:r>
              <w:rPr>
                <w:rFonts w:hint="eastAsia" w:hAnsi="宋体" w:cs="宋体"/>
                <w:sz w:val="24"/>
              </w:rPr>
              <w:t>开户行：工商银行桐庐开发区支行</w:t>
            </w:r>
          </w:p>
        </w:tc>
      </w:tr>
      <w:bookmarkEnd w:id="10"/>
    </w:tbl>
    <w:p>
      <w:pPr>
        <w:adjustRightInd/>
        <w:spacing w:line="360" w:lineRule="auto"/>
        <w:outlineLvl w:val="0"/>
        <w:rPr>
          <w:rFonts w:ascii="宋体" w:hAnsi="宋体" w:cs="宋体"/>
          <w:b/>
          <w:sz w:val="32"/>
          <w:szCs w:val="20"/>
        </w:rPr>
      </w:pPr>
      <w:bookmarkStart w:id="11" w:name="_Toc164416483"/>
      <w:bookmarkStart w:id="12" w:name="第三部分"/>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“采购机构”系指竞争性磋商公告中载明的本项目的采购机构。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sz w:val="24"/>
        </w:rPr>
      </w:pPr>
      <w:r>
        <w:rPr>
          <w:rFonts w:hint="eastAsia" w:ascii="宋体" w:hAnsi="宋体" w:cs="宋体"/>
          <w:sz w:val="24"/>
        </w:rPr>
        <w:t>3.2.1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3.3.3对于未预留份额专门面向中小企业的政府采购服务项目，以及预留份额政府采购服务项目中的非预留部分标项，对小型和微型企业的投标报价给予20%的扣除，用</w:t>
      </w:r>
      <w:r>
        <w:rPr>
          <w:rFonts w:hint="eastAsia" w:ascii="宋体" w:hAnsi="宋体" w:cs="宋体"/>
          <w:sz w:val="24"/>
        </w:rPr>
        <w:t>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.1提出质疑的供应商应当是参与所质疑项目采购活动的供应商。应邀供应商已依法获取其可质疑的招标文件的，可以对该文件提出质疑。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rPr>
          <w:rFonts w:ascii="宋体" w:hAnsi="宋体" w:cs="宋体"/>
          <w:sz w:val="18"/>
          <w:szCs w:val="18"/>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6.1已获取招标文件的应邀投标人，若有问题需要澄清，应于投标截止时间前，以书面形式向采购机构提出。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应邀投标人。依法应当公告的，将按规定公告，同时视情况延长投标截止时间和开标时间。该澄清或者修改的内容为招标文件的组成部分。</w:t>
      </w:r>
    </w:p>
    <w:p>
      <w:pPr>
        <w:pStyle w:val="3"/>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采购人组织应邀投标人现场考察或者召开开标前答疑会的，应邀投标人按第二部分投标人须知前附表的规定参加现场考察或者开标前答疑会。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pPr>
      <w:r>
        <w:rPr>
          <w:rFonts w:hint="eastAsia" w:ascii="宋体" w:hAnsi="宋体" w:cs="宋体"/>
          <w:sz w:val="24"/>
        </w:rPr>
        <w:t>11.1.2中小企业声明函。</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sz w:val="24"/>
        </w:rPr>
        <w:t>11.</w:t>
      </w:r>
      <w:r>
        <w:rPr>
          <w:rFonts w:hint="eastAsia" w:ascii="宋体" w:hAnsi="宋体" w:cs="宋体"/>
          <w:color w:val="auto"/>
          <w:sz w:val="24"/>
        </w:rPr>
        <w:t>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15.3直接提交备份投标文件的，投标人应于投标截止时间前在竞争性磋商公告中载明的开标地点将备份投标文件提交给采购机构，采购机构将拒绝接受逾期送达的备份投标文件。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有招标文件第四部分4.2规定的情形之一的，投标无效：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napToGrid w:val="0"/>
        <w:spacing w:before="0" w:line="360" w:lineRule="auto"/>
        <w:ind w:left="0" w:firstLine="241" w:firstLineChars="100"/>
        <w:rPr>
          <w:rFonts w:ascii="宋体" w:hAnsi="宋体" w:cs="宋体"/>
          <w:sz w:val="24"/>
        </w:rPr>
      </w:pPr>
      <w:r>
        <w:rPr>
          <w:rFonts w:hint="eastAsia" w:ascii="宋体" w:hAnsi="宋体" w:cs="宋体"/>
          <w:b/>
          <w:sz w:val="24"/>
          <w:szCs w:val="24"/>
        </w:rPr>
        <w:t>18.开标</w:t>
      </w:r>
    </w:p>
    <w:p>
      <w:pPr>
        <w:pStyle w:val="554"/>
        <w:snapToGrid w:val="0"/>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napToGrid w:val="0"/>
        <w:spacing w:before="0" w:line="360" w:lineRule="auto"/>
        <w:ind w:left="0" w:firstLine="240" w:firstLineChars="100"/>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宋体" w:hAnsi="宋体" w:cs="宋体"/>
          <w:b/>
          <w:sz w:val="24"/>
          <w:szCs w:val="20"/>
        </w:rPr>
      </w:pPr>
      <w:r>
        <w:rPr>
          <w:rFonts w:hint="eastAsia" w:ascii="宋体" w:hAnsi="宋体" w:cs="宋体"/>
          <w:b/>
          <w:sz w:val="24"/>
          <w:szCs w:val="20"/>
        </w:rPr>
        <w:t>　19、资格审查</w:t>
      </w:r>
    </w:p>
    <w:p>
      <w:pPr>
        <w:pStyle w:val="129"/>
        <w:snapToGrid w:val="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9"/>
        <w:snapToGrid w:val="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napToGrid w:val="0"/>
        <w:spacing w:before="0"/>
        <w:ind w:firstLine="0" w:firstLineChars="0"/>
        <w:rPr>
          <w:rFonts w:ascii="宋体" w:hAnsi="宋体" w:cs="宋体"/>
          <w:b/>
          <w:szCs w:val="24"/>
        </w:rPr>
      </w:pPr>
      <w:r>
        <w:rPr>
          <w:rFonts w:hint="eastAsia" w:ascii="宋体" w:hAnsi="宋体" w:cs="宋体"/>
          <w:b/>
          <w:szCs w:val="24"/>
        </w:rPr>
        <w:t>20、信用信息查询</w:t>
      </w:r>
    </w:p>
    <w:p>
      <w:pPr>
        <w:pStyle w:val="129"/>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9"/>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u w:val="single"/>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b/>
          <w:sz w:val="32"/>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rPr>
        <w:t>25.5</w:t>
      </w:r>
      <w:r>
        <w:rPr>
          <w:rFonts w:hint="eastAsia" w:ascii="宋体" w:hAnsi="宋体" w:cs="宋体"/>
          <w:highlight w:val="none"/>
        </w:rPr>
        <w:t>采购合同由采购人与中标供应商根据招标文件、投标文件等内容通过政府采购电子交易平台在线签订，自动备案。</w:t>
      </w:r>
    </w:p>
    <w:p>
      <w:pPr>
        <w:pStyle w:val="26"/>
        <w:spacing w:line="360" w:lineRule="auto"/>
        <w:ind w:left="479" w:hanging="479" w:hangingChars="199"/>
        <w:rPr>
          <w:rFonts w:cs="宋体"/>
          <w:b/>
          <w:highlight w:val="none"/>
        </w:rPr>
      </w:pPr>
      <w:r>
        <w:rPr>
          <w:rFonts w:hint="eastAsia" w:cs="宋体"/>
          <w:b/>
          <w:highlight w:val="none"/>
        </w:rPr>
        <w:t>26. 履约保证金</w:t>
      </w:r>
    </w:p>
    <w:p>
      <w:pPr>
        <w:pStyle w:val="129"/>
        <w:snapToGrid w:val="0"/>
        <w:spacing w:before="0"/>
        <w:ind w:firstLine="480"/>
        <w:rPr>
          <w:rFonts w:ascii="宋体" w:hAnsi="宋体" w:cs="宋体"/>
          <w:highlight w:val="none"/>
        </w:rPr>
      </w:pPr>
      <w:r>
        <w:rPr>
          <w:rFonts w:hint="eastAsia" w:ascii="宋体" w:hAnsi="宋体" w:cs="宋体"/>
          <w:highlight w:val="none"/>
        </w:rPr>
        <w:t>本项目不设置履约保证金。</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 电</w:t>
      </w:r>
      <w:r>
        <w:rPr>
          <w:rFonts w:hint="eastAsia" w:ascii="宋体" w:hAnsi="宋体" w:cs="宋体"/>
          <w:b/>
          <w:szCs w:val="24"/>
        </w:rPr>
        <w:t>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75236011"/>
      <w:bookmarkEnd w:id="17"/>
      <w:bookmarkStart w:id="18" w:name="_Hlt68072998"/>
      <w:bookmarkEnd w:id="18"/>
      <w:bookmarkStart w:id="19" w:name="_Hlt74729768"/>
      <w:bookmarkEnd w:id="19"/>
      <w:bookmarkStart w:id="20" w:name="_Hlt68073093"/>
      <w:bookmarkEnd w:id="20"/>
      <w:bookmarkStart w:id="21" w:name="_Hlt75236101"/>
      <w:bookmarkEnd w:id="21"/>
      <w:bookmarkStart w:id="22" w:name="_Hlt74714665"/>
      <w:bookmarkEnd w:id="22"/>
      <w:bookmarkStart w:id="23" w:name="_Hlt68403820"/>
      <w:bookmarkEnd w:id="23"/>
      <w:bookmarkStart w:id="24" w:name="_Hlt75236290"/>
      <w:bookmarkEnd w:id="24"/>
      <w:bookmarkStart w:id="25" w:name="_Hlt74730295"/>
      <w:bookmarkEnd w:id="25"/>
      <w:bookmarkStart w:id="26" w:name="_Hlt68072990"/>
      <w:bookmarkEnd w:id="26"/>
    </w:p>
    <w:bookmarkEnd w:id="11"/>
    <w:bookmarkEnd w:id="12"/>
    <w:p>
      <w:pPr>
        <w:snapToGrid w:val="0"/>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tabs>
          <w:tab w:val="left" w:pos="0"/>
        </w:tabs>
        <w:snapToGrid w:val="0"/>
        <w:spacing w:line="360" w:lineRule="auto"/>
        <w:rPr>
          <w:rFonts w:ascii="宋体" w:hAnsi="宋体" w:cs="Helvetica"/>
          <w:b/>
          <w:bCs/>
          <w:kern w:val="0"/>
          <w:sz w:val="24"/>
        </w:rPr>
      </w:pPr>
      <w:r>
        <w:rPr>
          <w:rFonts w:hint="eastAsia" w:ascii="宋体" w:hAnsi="宋体" w:cs="Helvetica"/>
          <w:b/>
          <w:bCs/>
          <w:kern w:val="0"/>
          <w:sz w:val="24"/>
        </w:rPr>
        <w:t>一、采购内容</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1、白蚁危害调查</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根据省建设厅、全国白蚁防治中心《关于开展城市公园和广场白蚁危害调查工作的通知》要求，今年需对我县32个公园和广场开展白蚁危害的调查，调查内容包括但不限于：危害白蚁的种类；白蚁活动迹象；白蚁危害程度；白蚁巢真菌指示物及白蚁巢的外露迹象；周围环境白蚁分布情况。出具纸质资料，需经采购人审核通过。</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2、新建房屋白蚁预防</w:t>
      </w:r>
    </w:p>
    <w:p>
      <w:pPr>
        <w:tabs>
          <w:tab w:val="left" w:pos="0"/>
        </w:tabs>
        <w:snapToGrid w:val="0"/>
        <w:spacing w:line="360" w:lineRule="auto"/>
        <w:ind w:firstLine="480"/>
        <w:rPr>
          <w:rFonts w:ascii="宋体" w:hAnsi="宋体" w:cs="Helvetica"/>
          <w:kern w:val="0"/>
          <w:sz w:val="24"/>
          <w:highlight w:val="none"/>
        </w:rPr>
      </w:pPr>
      <w:r>
        <w:rPr>
          <w:rFonts w:hint="eastAsia" w:ascii="宋体" w:hAnsi="宋体" w:cs="Helvetica"/>
          <w:kern w:val="0"/>
          <w:sz w:val="24"/>
        </w:rPr>
        <w:t>20</w:t>
      </w:r>
      <w:r>
        <w:rPr>
          <w:rFonts w:hint="eastAsia" w:ascii="宋体" w:hAnsi="宋体" w:cs="Helvetica"/>
          <w:kern w:val="0"/>
          <w:sz w:val="24"/>
          <w:highlight w:val="none"/>
        </w:rPr>
        <w:t>24年需进行新建房屋白蚁预防项目约154个，房屋幢数约500幢，面积约4460000平方米，以上数量为暂估量，具体按实结算。</w:t>
      </w:r>
    </w:p>
    <w:p>
      <w:pPr>
        <w:tabs>
          <w:tab w:val="left" w:pos="0"/>
        </w:tabs>
        <w:snapToGrid w:val="0"/>
        <w:spacing w:line="360" w:lineRule="auto"/>
        <w:ind w:firstLine="480"/>
        <w:rPr>
          <w:rFonts w:cs="Helvetica"/>
          <w:kern w:val="0"/>
          <w:sz w:val="24"/>
          <w:highlight w:val="none"/>
        </w:rPr>
      </w:pPr>
      <w:r>
        <w:rPr>
          <w:rFonts w:hint="eastAsia" w:cs="Helvetica"/>
          <w:kern w:val="0"/>
          <w:sz w:val="24"/>
          <w:highlight w:val="none"/>
        </w:rPr>
        <w:t>新建房屋白蚁防治包含药物屏障和监控装置安装。费用结算最终以实际白蚁预防施工房屋幢数和面积为准。</w:t>
      </w:r>
    </w:p>
    <w:p>
      <w:pPr>
        <w:tabs>
          <w:tab w:val="left" w:pos="0"/>
        </w:tabs>
        <w:snapToGrid w:val="0"/>
        <w:spacing w:line="360" w:lineRule="auto"/>
        <w:ind w:firstLine="480"/>
        <w:rPr>
          <w:rFonts w:ascii="宋体" w:hAnsi="宋体" w:cs="Helvetica"/>
          <w:kern w:val="0"/>
          <w:sz w:val="24"/>
          <w:highlight w:val="none"/>
        </w:rPr>
      </w:pPr>
      <w:r>
        <w:rPr>
          <w:rFonts w:hint="eastAsia" w:ascii="宋体" w:hAnsi="宋体" w:cs="Helvetica"/>
          <w:kern w:val="0"/>
          <w:sz w:val="24"/>
          <w:highlight w:val="none"/>
        </w:rPr>
        <w:t>3、既有房屋的白蚁灭治</w:t>
      </w:r>
    </w:p>
    <w:p>
      <w:pPr>
        <w:tabs>
          <w:tab w:val="left" w:pos="0"/>
        </w:tabs>
        <w:snapToGrid w:val="0"/>
        <w:spacing w:line="360" w:lineRule="auto"/>
        <w:ind w:firstLine="480"/>
        <w:rPr>
          <w:highlight w:val="none"/>
        </w:rPr>
      </w:pPr>
      <w:r>
        <w:rPr>
          <w:rFonts w:hint="eastAsia" w:ascii="宋体" w:hAnsi="宋体" w:cs="Helvetica"/>
          <w:kern w:val="0"/>
          <w:sz w:val="24"/>
          <w:highlight w:val="none"/>
        </w:rPr>
        <w:t>既有房屋白蚁灭治主要包括县政府机关大院及鳏寡孤独老人、现役军人家属、烈士家属、低保困难户、残障人士、应急和公共等房屋的白蚁灭治，具体以接到通知为准。</w:t>
      </w:r>
    </w:p>
    <w:tbl>
      <w:tblPr>
        <w:tblStyle w:val="62"/>
        <w:tblW w:w="42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483"/>
        <w:gridCol w:w="183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5" w:type="pct"/>
            <w:noWrap/>
            <w:vAlign w:val="center"/>
          </w:tcPr>
          <w:p>
            <w:pPr>
              <w:pStyle w:val="2"/>
              <w:ind w:firstLine="0"/>
              <w:jc w:val="center"/>
              <w:rPr>
                <w:rFonts w:hAnsi="宋体" w:cs="宋体"/>
                <w:b/>
                <w:bCs/>
                <w:szCs w:val="24"/>
              </w:rPr>
            </w:pPr>
            <w:r>
              <w:rPr>
                <w:rFonts w:hint="eastAsia" w:hAnsi="宋体" w:cs="宋体"/>
                <w:b/>
                <w:bCs/>
                <w:szCs w:val="24"/>
              </w:rPr>
              <w:t>序号</w:t>
            </w:r>
          </w:p>
        </w:tc>
        <w:tc>
          <w:tcPr>
            <w:tcW w:w="1719" w:type="pct"/>
            <w:noWrap/>
            <w:vAlign w:val="center"/>
          </w:tcPr>
          <w:p>
            <w:pPr>
              <w:pStyle w:val="2"/>
              <w:ind w:firstLine="0"/>
              <w:jc w:val="center"/>
              <w:rPr>
                <w:rFonts w:hAnsi="宋体" w:cs="宋体"/>
                <w:b/>
                <w:bCs/>
                <w:szCs w:val="24"/>
              </w:rPr>
            </w:pPr>
            <w:r>
              <w:rPr>
                <w:rFonts w:hint="eastAsia" w:hAnsi="宋体" w:cs="宋体"/>
                <w:b/>
                <w:bCs/>
                <w:szCs w:val="24"/>
              </w:rPr>
              <w:t>采购内容</w:t>
            </w:r>
          </w:p>
        </w:tc>
        <w:tc>
          <w:tcPr>
            <w:tcW w:w="1266" w:type="pct"/>
            <w:noWrap/>
            <w:vAlign w:val="center"/>
          </w:tcPr>
          <w:p>
            <w:pPr>
              <w:pStyle w:val="2"/>
              <w:ind w:firstLine="0"/>
              <w:jc w:val="center"/>
              <w:rPr>
                <w:rFonts w:hAnsi="宋体" w:cs="宋体"/>
                <w:b/>
                <w:bCs/>
                <w:szCs w:val="24"/>
              </w:rPr>
            </w:pPr>
            <w:r>
              <w:rPr>
                <w:rFonts w:hint="eastAsia" w:hAnsi="宋体" w:cs="宋体"/>
                <w:b/>
                <w:bCs/>
                <w:szCs w:val="24"/>
              </w:rPr>
              <w:t>单价响应报价</w:t>
            </w:r>
          </w:p>
          <w:p>
            <w:pPr>
              <w:pStyle w:val="2"/>
              <w:ind w:firstLine="0"/>
              <w:jc w:val="center"/>
              <w:rPr>
                <w:rFonts w:hAnsi="宋体" w:cs="宋体"/>
                <w:b/>
                <w:bCs/>
                <w:szCs w:val="24"/>
              </w:rPr>
            </w:pPr>
            <w:r>
              <w:rPr>
                <w:rFonts w:hint="eastAsia" w:hAnsi="宋体" w:cs="宋体"/>
                <w:b/>
                <w:bCs/>
                <w:szCs w:val="24"/>
              </w:rPr>
              <w:t>最高限价</w:t>
            </w:r>
          </w:p>
        </w:tc>
        <w:tc>
          <w:tcPr>
            <w:tcW w:w="1448" w:type="pct"/>
            <w:noWrap/>
            <w:vAlign w:val="center"/>
          </w:tcPr>
          <w:p>
            <w:pPr>
              <w:pStyle w:val="2"/>
              <w:ind w:firstLine="0"/>
              <w:jc w:val="center"/>
              <w:rPr>
                <w:rFonts w:hAnsi="宋体" w:cs="宋体"/>
                <w:szCs w:val="24"/>
                <w:lang w:val="en-US"/>
              </w:rPr>
            </w:pPr>
            <w:r>
              <w:rPr>
                <w:rFonts w:hint="eastAsia" w:hAnsi="宋体" w:cs="宋体"/>
                <w:b/>
                <w:bCs/>
                <w:szCs w:val="24"/>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565" w:type="pct"/>
            <w:noWrap/>
            <w:vAlign w:val="center"/>
          </w:tcPr>
          <w:p>
            <w:pPr>
              <w:pStyle w:val="2"/>
              <w:ind w:firstLine="0"/>
              <w:jc w:val="center"/>
              <w:rPr>
                <w:rFonts w:hAnsi="宋体" w:cs="宋体"/>
                <w:szCs w:val="24"/>
                <w:lang w:val="en-US"/>
              </w:rPr>
            </w:pPr>
            <w:r>
              <w:rPr>
                <w:rFonts w:hint="eastAsia" w:hAnsi="宋体" w:cs="宋体"/>
                <w:szCs w:val="24"/>
                <w:lang w:val="en-US"/>
              </w:rPr>
              <w:t>1</w:t>
            </w:r>
          </w:p>
        </w:tc>
        <w:tc>
          <w:tcPr>
            <w:tcW w:w="1719" w:type="pct"/>
            <w:vAlign w:val="center"/>
          </w:tcPr>
          <w:p>
            <w:pPr>
              <w:pStyle w:val="2"/>
              <w:ind w:firstLine="0"/>
              <w:jc w:val="center"/>
              <w:rPr>
                <w:rFonts w:hAnsi="宋体" w:cs="宋体"/>
                <w:szCs w:val="24"/>
              </w:rPr>
            </w:pPr>
            <w:r>
              <w:rPr>
                <w:rFonts w:hint="eastAsia" w:hAnsi="宋体" w:cs="Helvetica"/>
                <w:kern w:val="0"/>
                <w:szCs w:val="24"/>
                <w:lang w:val="en-US"/>
              </w:rPr>
              <w:t>白蚁危害调查</w:t>
            </w:r>
          </w:p>
        </w:tc>
        <w:tc>
          <w:tcPr>
            <w:tcW w:w="1266" w:type="pct"/>
            <w:vAlign w:val="center"/>
          </w:tcPr>
          <w:p>
            <w:pPr>
              <w:pStyle w:val="2"/>
              <w:ind w:firstLine="0"/>
              <w:jc w:val="center"/>
              <w:rPr>
                <w:rFonts w:hAnsi="宋体" w:cs="宋体"/>
                <w:szCs w:val="24"/>
                <w:lang w:val="en-US"/>
              </w:rPr>
            </w:pPr>
            <w:r>
              <w:rPr>
                <w:rFonts w:hint="eastAsia" w:hAnsi="宋体" w:cs="宋体"/>
                <w:szCs w:val="24"/>
                <w:lang w:val="en-US"/>
              </w:rPr>
              <w:t>80000元</w:t>
            </w:r>
          </w:p>
        </w:tc>
        <w:tc>
          <w:tcPr>
            <w:tcW w:w="1448" w:type="pct"/>
            <w:vAlign w:val="center"/>
          </w:tcPr>
          <w:p>
            <w:pPr>
              <w:pStyle w:val="2"/>
              <w:ind w:firstLine="220"/>
              <w:jc w:val="center"/>
              <w:rPr>
                <w:rFonts w:hAnsi="宋体" w:cs="宋体"/>
                <w:szCs w:val="24"/>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65" w:type="pct"/>
            <w:vMerge w:val="restart"/>
            <w:noWrap/>
            <w:vAlign w:val="center"/>
          </w:tcPr>
          <w:p>
            <w:pPr>
              <w:pStyle w:val="2"/>
              <w:ind w:firstLine="0"/>
              <w:jc w:val="center"/>
              <w:rPr>
                <w:rFonts w:hAnsi="宋体" w:cs="宋体"/>
                <w:szCs w:val="24"/>
              </w:rPr>
            </w:pPr>
            <w:r>
              <w:rPr>
                <w:rFonts w:hint="eastAsia" w:hAnsi="宋体" w:cs="宋体"/>
                <w:b/>
                <w:bCs/>
                <w:szCs w:val="24"/>
                <w:lang w:val="en-US"/>
              </w:rPr>
              <w:t>2</w:t>
            </w:r>
          </w:p>
        </w:tc>
        <w:tc>
          <w:tcPr>
            <w:tcW w:w="1719" w:type="pct"/>
            <w:vMerge w:val="restart"/>
            <w:vAlign w:val="center"/>
          </w:tcPr>
          <w:p>
            <w:pPr>
              <w:pStyle w:val="2"/>
              <w:ind w:firstLine="240"/>
              <w:jc w:val="center"/>
              <w:rPr>
                <w:rFonts w:hAnsi="宋体" w:cs="宋体"/>
                <w:szCs w:val="24"/>
              </w:rPr>
            </w:pPr>
            <w:r>
              <w:rPr>
                <w:rFonts w:hint="eastAsia" w:hAnsi="宋体" w:cs="Helvetica"/>
                <w:kern w:val="0"/>
                <w:szCs w:val="24"/>
                <w:lang w:val="en-US"/>
              </w:rPr>
              <w:t>新建房屋白蚁预防</w:t>
            </w:r>
          </w:p>
        </w:tc>
        <w:tc>
          <w:tcPr>
            <w:tcW w:w="1266" w:type="pct"/>
            <w:vAlign w:val="center"/>
          </w:tcPr>
          <w:p>
            <w:pPr>
              <w:pStyle w:val="2"/>
              <w:ind w:firstLine="0"/>
              <w:jc w:val="center"/>
              <w:rPr>
                <w:rFonts w:hAnsi="宋体" w:cs="宋体"/>
                <w:szCs w:val="24"/>
                <w:lang w:val="en-US"/>
              </w:rPr>
            </w:pPr>
            <w:r>
              <w:rPr>
                <w:rFonts w:hint="eastAsia" w:hAnsi="宋体" w:cs="宋体"/>
                <w:szCs w:val="24"/>
                <w:lang w:val="en-US"/>
              </w:rPr>
              <w:t>80元/套</w:t>
            </w:r>
          </w:p>
        </w:tc>
        <w:tc>
          <w:tcPr>
            <w:tcW w:w="1448" w:type="pct"/>
            <w:vAlign w:val="center"/>
          </w:tcPr>
          <w:p>
            <w:pPr>
              <w:pStyle w:val="2"/>
              <w:ind w:firstLine="0"/>
              <w:jc w:val="center"/>
              <w:rPr>
                <w:rFonts w:hAnsi="宋体" w:cs="宋体"/>
                <w:szCs w:val="24"/>
              </w:rPr>
            </w:pPr>
            <w:r>
              <w:rPr>
                <w:rFonts w:hint="eastAsia" w:hAnsi="宋体" w:cs="宋体"/>
                <w:szCs w:val="24"/>
                <w:lang w:val="en-US"/>
              </w:rPr>
              <w:t>地下型监控系统装置（带饵）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565" w:type="pct"/>
            <w:vMerge w:val="continue"/>
            <w:noWrap/>
            <w:vAlign w:val="center"/>
          </w:tcPr>
          <w:p>
            <w:pPr>
              <w:pStyle w:val="2"/>
              <w:ind w:firstLine="0"/>
              <w:jc w:val="center"/>
              <w:rPr>
                <w:rFonts w:hAnsi="宋体" w:cs="宋体"/>
                <w:szCs w:val="24"/>
              </w:rPr>
            </w:pPr>
          </w:p>
        </w:tc>
        <w:tc>
          <w:tcPr>
            <w:tcW w:w="1719" w:type="pct"/>
            <w:vMerge w:val="continue"/>
            <w:noWrap/>
            <w:vAlign w:val="center"/>
          </w:tcPr>
          <w:p>
            <w:pPr>
              <w:pStyle w:val="2"/>
              <w:ind w:firstLine="240"/>
              <w:jc w:val="center"/>
              <w:rPr>
                <w:rFonts w:hAnsi="宋体" w:cs="宋体"/>
                <w:szCs w:val="24"/>
              </w:rPr>
            </w:pPr>
          </w:p>
        </w:tc>
        <w:tc>
          <w:tcPr>
            <w:tcW w:w="1266" w:type="pct"/>
            <w:noWrap/>
            <w:vAlign w:val="center"/>
          </w:tcPr>
          <w:p>
            <w:pPr>
              <w:pStyle w:val="2"/>
              <w:ind w:firstLine="0"/>
              <w:jc w:val="center"/>
              <w:rPr>
                <w:rFonts w:hAnsi="宋体" w:cs="宋体"/>
                <w:szCs w:val="24"/>
                <w:lang w:val="en-US"/>
              </w:rPr>
            </w:pPr>
            <w:r>
              <w:rPr>
                <w:rFonts w:hint="eastAsia" w:hAnsi="宋体" w:cs="宋体"/>
                <w:szCs w:val="24"/>
                <w:lang w:val="en-US"/>
              </w:rPr>
              <w:t>1元/㎡</w:t>
            </w:r>
          </w:p>
        </w:tc>
        <w:tc>
          <w:tcPr>
            <w:tcW w:w="1448" w:type="pct"/>
            <w:noWrap/>
            <w:vAlign w:val="center"/>
          </w:tcPr>
          <w:p>
            <w:pPr>
              <w:pStyle w:val="2"/>
              <w:ind w:firstLine="0"/>
              <w:jc w:val="center"/>
              <w:rPr>
                <w:rFonts w:hAnsi="宋体" w:cs="宋体"/>
                <w:szCs w:val="24"/>
                <w:lang w:val="en-US"/>
              </w:rPr>
            </w:pPr>
            <w:r>
              <w:rPr>
                <w:rFonts w:hint="eastAsia" w:hAnsi="宋体" w:cs="宋体"/>
                <w:szCs w:val="24"/>
                <w:lang w:val="en-US"/>
              </w:rPr>
              <w:t>药物屏障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565" w:type="pct"/>
            <w:noWrap/>
            <w:vAlign w:val="center"/>
          </w:tcPr>
          <w:p>
            <w:pPr>
              <w:pStyle w:val="2"/>
              <w:ind w:firstLine="0"/>
              <w:jc w:val="center"/>
              <w:rPr>
                <w:rFonts w:hAnsi="宋体" w:cs="宋体"/>
                <w:szCs w:val="24"/>
              </w:rPr>
            </w:pPr>
            <w:r>
              <w:rPr>
                <w:rFonts w:hint="eastAsia" w:hAnsi="宋体" w:cs="宋体"/>
                <w:b/>
                <w:bCs/>
                <w:szCs w:val="24"/>
                <w:lang w:val="en-US"/>
              </w:rPr>
              <w:t>3</w:t>
            </w:r>
          </w:p>
        </w:tc>
        <w:tc>
          <w:tcPr>
            <w:tcW w:w="1719" w:type="pct"/>
            <w:noWrap/>
            <w:vAlign w:val="center"/>
          </w:tcPr>
          <w:p>
            <w:pPr>
              <w:pStyle w:val="2"/>
              <w:ind w:firstLine="0"/>
              <w:jc w:val="center"/>
              <w:rPr>
                <w:rFonts w:hAnsi="宋体" w:cs="宋体"/>
                <w:szCs w:val="24"/>
              </w:rPr>
            </w:pPr>
            <w:r>
              <w:rPr>
                <w:rFonts w:hint="eastAsia" w:hAnsi="宋体" w:cs="Helvetica"/>
                <w:kern w:val="0"/>
                <w:szCs w:val="24"/>
                <w:lang w:val="en-US"/>
              </w:rPr>
              <w:t>既有房屋的白蚁灭治</w:t>
            </w:r>
          </w:p>
        </w:tc>
        <w:tc>
          <w:tcPr>
            <w:tcW w:w="1266" w:type="pct"/>
            <w:noWrap/>
            <w:vAlign w:val="center"/>
          </w:tcPr>
          <w:p>
            <w:pPr>
              <w:pStyle w:val="2"/>
              <w:ind w:firstLine="0"/>
              <w:jc w:val="center"/>
              <w:rPr>
                <w:rFonts w:hAnsi="宋体" w:cs="宋体"/>
                <w:color w:val="FF0000"/>
                <w:szCs w:val="24"/>
                <w:lang w:val="en-US"/>
              </w:rPr>
            </w:pPr>
            <w:r>
              <w:rPr>
                <w:rFonts w:hint="eastAsia" w:hAnsi="宋体" w:cs="宋体"/>
                <w:szCs w:val="24"/>
                <w:lang w:val="en-US"/>
              </w:rPr>
              <w:t>2元/㎡</w:t>
            </w:r>
          </w:p>
        </w:tc>
        <w:tc>
          <w:tcPr>
            <w:tcW w:w="1448" w:type="pct"/>
            <w:noWrap/>
            <w:vAlign w:val="center"/>
          </w:tcPr>
          <w:p>
            <w:pPr>
              <w:pStyle w:val="2"/>
              <w:ind w:firstLine="210"/>
              <w:jc w:val="center"/>
              <w:rPr>
                <w:rFonts w:hAnsi="宋体" w:cs="宋体"/>
                <w:color w:val="FF0000"/>
                <w:szCs w:val="24"/>
              </w:rPr>
            </w:pPr>
          </w:p>
        </w:tc>
      </w:tr>
    </w:tbl>
    <w:p>
      <w:pPr>
        <w:pStyle w:val="2"/>
        <w:ind w:firstLine="0"/>
        <w:rPr>
          <w:rFonts w:hint="eastAsia" w:hAnsi="宋体" w:cs="Helvetica"/>
          <w:kern w:val="0"/>
          <w:szCs w:val="24"/>
          <w:lang w:val="en-US"/>
        </w:rPr>
      </w:pPr>
      <w:r>
        <w:rPr>
          <w:rFonts w:hint="eastAsia" w:hAnsi="宋体" w:cs="Helvetica"/>
          <w:kern w:val="0"/>
          <w:szCs w:val="24"/>
          <w:lang w:val="en-US"/>
        </w:rPr>
        <w:t>注：结算价根据采购人实际委托工作量按实结算，按成交单价×实际完成工作量计，结算金额不超过合同签约价。</w:t>
      </w:r>
    </w:p>
    <w:p>
      <w:pPr>
        <w:pStyle w:val="4"/>
        <w:rPr>
          <w:rFonts w:hint="eastAsia" w:hAnsi="宋体" w:cs="Helvetica"/>
          <w:kern w:val="0"/>
          <w:szCs w:val="24"/>
          <w:lang w:val="en-US"/>
        </w:rPr>
      </w:pPr>
    </w:p>
    <w:p>
      <w:pPr>
        <w:rPr>
          <w:rFonts w:hint="eastAsia"/>
          <w:lang w:val="en-US"/>
        </w:rPr>
      </w:pPr>
    </w:p>
    <w:p>
      <w:pPr>
        <w:pStyle w:val="4"/>
        <w:rPr>
          <w:lang w:val="en-US"/>
        </w:rPr>
      </w:pPr>
    </w:p>
    <w:p>
      <w:pPr>
        <w:numPr>
          <w:ilvl w:val="0"/>
          <w:numId w:val="1"/>
        </w:numPr>
        <w:tabs>
          <w:tab w:val="left" w:pos="0"/>
        </w:tabs>
        <w:snapToGrid w:val="0"/>
        <w:spacing w:line="360" w:lineRule="auto"/>
        <w:rPr>
          <w:rFonts w:ascii="宋体" w:hAnsi="宋体" w:cs="Helvetica"/>
          <w:b/>
          <w:bCs/>
          <w:kern w:val="0"/>
          <w:sz w:val="24"/>
        </w:rPr>
      </w:pPr>
      <w:r>
        <w:rPr>
          <w:rFonts w:hint="eastAsia" w:ascii="宋体" w:hAnsi="宋体" w:cs="Helvetica"/>
          <w:b/>
          <w:bCs/>
          <w:kern w:val="0"/>
          <w:sz w:val="24"/>
        </w:rPr>
        <w:t>技术要求</w:t>
      </w:r>
    </w:p>
    <w:p>
      <w:pPr>
        <w:autoSpaceDE w:val="0"/>
        <w:autoSpaceDN w:val="0"/>
        <w:spacing w:line="360" w:lineRule="auto"/>
        <w:ind w:firstLine="480" w:firstLineChars="200"/>
        <w:jc w:val="left"/>
        <w:rPr>
          <w:rFonts w:ascii="宋体" w:hAnsi="宋体" w:cs="Helvetica"/>
          <w:kern w:val="0"/>
          <w:sz w:val="24"/>
        </w:rPr>
      </w:pPr>
      <w:r>
        <w:rPr>
          <w:rFonts w:hint="eastAsia" w:ascii="宋体" w:hAnsi="宋体" w:cs="宋体"/>
          <w:sz w:val="24"/>
        </w:rPr>
        <w:t>本项目</w:t>
      </w:r>
      <w:r>
        <w:rPr>
          <w:rFonts w:hint="eastAsia" w:ascii="宋体" w:hAnsi="宋体" w:cs="Helvetica"/>
          <w:kern w:val="0"/>
          <w:sz w:val="24"/>
        </w:rPr>
        <w:t>根据浙建函【2024】136号《关于开展城市公园和广场白蚁危害调查工作的通知》、DB33/T1108-2018《房屋白蚁监测控制系统应用技术规程》及</w:t>
      </w:r>
      <w:r>
        <w:rPr>
          <w:rFonts w:ascii="宋体" w:hAnsi="宋体" w:cs="Helvetica"/>
          <w:kern w:val="0"/>
          <w:sz w:val="24"/>
        </w:rPr>
        <w:t xml:space="preserve">DB33/T1017-2018 </w:t>
      </w:r>
      <w:r>
        <w:rPr>
          <w:rFonts w:hint="eastAsia" w:ascii="宋体" w:hAnsi="宋体" w:cs="Helvetica"/>
          <w:kern w:val="0"/>
          <w:sz w:val="24"/>
        </w:rPr>
        <w:t>《药物屏障预防房屋白蚁技术规程》执行。</w:t>
      </w:r>
    </w:p>
    <w:p>
      <w:pPr>
        <w:tabs>
          <w:tab w:val="left" w:pos="0"/>
        </w:tabs>
        <w:snapToGrid w:val="0"/>
        <w:spacing w:line="360" w:lineRule="auto"/>
        <w:ind w:firstLine="480" w:firstLineChars="200"/>
        <w:rPr>
          <w:rFonts w:ascii="宋体" w:hAnsi="宋体" w:cs="Helvetica"/>
          <w:kern w:val="0"/>
          <w:sz w:val="24"/>
        </w:rPr>
      </w:pPr>
      <w:r>
        <w:rPr>
          <w:rFonts w:hint="eastAsia" w:ascii="宋体" w:hAnsi="宋体" w:cs="Helvetica"/>
          <w:kern w:val="0"/>
          <w:sz w:val="24"/>
        </w:rPr>
        <w:t>（一）项目使用的材料要求</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w:t>
      </w:r>
      <w:r>
        <w:rPr>
          <w:rFonts w:hint="eastAsia" w:ascii="宋体" w:hAnsi="宋体" w:cs="宋体"/>
          <w:sz w:val="24"/>
        </w:rPr>
        <w:t>地下型监控系统装置</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1）具有注册商标、说明书、合格证。</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w:t>
      </w:r>
      <w:r>
        <w:rPr>
          <w:rFonts w:hint="eastAsia" w:ascii="宋体" w:hAnsi="宋体" w:cs="宋体"/>
          <w:sz w:val="24"/>
        </w:rPr>
        <w:t>地下型监控系统装置</w:t>
      </w:r>
      <w:r>
        <w:rPr>
          <w:rFonts w:hint="eastAsia" w:ascii="宋体" w:hAnsi="宋体" w:cs="Helvetica"/>
          <w:kern w:val="0"/>
          <w:sz w:val="24"/>
        </w:rPr>
        <w:t>由外壳和饵木两部分组成，主要用于地下白蚁的监测和控制，将该装置埋于地下，可将附近的白蚁诱集至装置内，通过投放白蚁取食的饵剂，达到控制蚁害的目的。</w:t>
      </w:r>
    </w:p>
    <w:p>
      <w:pPr>
        <w:tabs>
          <w:tab w:val="left" w:pos="0"/>
        </w:tabs>
        <w:snapToGrid w:val="0"/>
        <w:spacing w:line="360" w:lineRule="auto"/>
        <w:ind w:firstLine="480"/>
        <w:rPr>
          <w:rFonts w:ascii="宋体" w:hAnsi="宋体" w:cs="Helvetica"/>
          <w:kern w:val="0"/>
          <w:sz w:val="24"/>
          <w:highlight w:val="none"/>
        </w:rPr>
      </w:pPr>
      <w:r>
        <w:rPr>
          <w:rFonts w:hint="eastAsia" w:ascii="宋体" w:hAnsi="宋体" w:cs="Helvetica"/>
          <w:kern w:val="0"/>
          <w:sz w:val="24"/>
        </w:rPr>
        <w:t>3）外壳。总高范围（180mm-250mm），插入地下部分直径范围30mm-100mm，露出地面部分直径范围70mm-140mm。外壳材质应为对白蚁无趋避作用，无毒无味的塑料，外壳在野外安装后</w:t>
      </w:r>
      <w:r>
        <w:rPr>
          <w:rFonts w:hint="eastAsia" w:ascii="宋体" w:hAnsi="宋体" w:cs="Helvetica"/>
          <w:kern w:val="0"/>
          <w:sz w:val="24"/>
          <w:highlight w:val="none"/>
        </w:rPr>
        <w:t>应耐老化，可重复使用，使用寿命不低于15年。</w:t>
      </w:r>
    </w:p>
    <w:p>
      <w:pPr>
        <w:tabs>
          <w:tab w:val="left" w:pos="0"/>
        </w:tabs>
        <w:snapToGrid w:val="0"/>
        <w:spacing w:line="360" w:lineRule="auto"/>
        <w:ind w:firstLine="480" w:firstLineChars="200"/>
        <w:rPr>
          <w:highlight w:val="none"/>
        </w:rPr>
      </w:pPr>
      <w:r>
        <w:rPr>
          <w:rFonts w:hint="eastAsia" w:ascii="宋体" w:hAnsi="宋体" w:cs="Helvetica"/>
          <w:kern w:val="0"/>
          <w:sz w:val="24"/>
          <w:highlight w:val="none"/>
        </w:rPr>
        <w:t xml:space="preserve">4）饵料。地下型白蚁监测控制装置所用饵料应对乳白蚁、散白蚁等种类具有较好的引诱取食作用，且在地下潮湿环境下具有较长的有效期，不易霉变失效。由原药和白蚁喜食材料等成分加工而成，对白蚁具有“引诱-取食-杀灭”三位一体效果的白蚁防治药剂。 </w:t>
      </w:r>
    </w:p>
    <w:p>
      <w:pPr>
        <w:tabs>
          <w:tab w:val="left" w:pos="0"/>
        </w:tabs>
        <w:snapToGrid w:val="0"/>
        <w:spacing w:line="360" w:lineRule="auto"/>
        <w:ind w:firstLine="480"/>
        <w:rPr>
          <w:rFonts w:ascii="宋体" w:hAnsi="宋体" w:cs="Helvetica"/>
          <w:kern w:val="0"/>
          <w:sz w:val="24"/>
          <w:highlight w:val="none"/>
        </w:rPr>
      </w:pPr>
      <w:r>
        <w:rPr>
          <w:rFonts w:hint="eastAsia" w:ascii="宋体" w:hAnsi="宋体" w:cs="Helvetica"/>
          <w:kern w:val="0"/>
          <w:sz w:val="24"/>
          <w:highlight w:val="none"/>
        </w:rPr>
        <w:t>2.白蚁防治药物</w:t>
      </w:r>
    </w:p>
    <w:p>
      <w:pPr>
        <w:tabs>
          <w:tab w:val="left" w:pos="0"/>
        </w:tabs>
        <w:snapToGrid w:val="0"/>
        <w:spacing w:line="360" w:lineRule="auto"/>
        <w:ind w:firstLine="480"/>
        <w:rPr>
          <w:rFonts w:ascii="宋体" w:hAnsi="宋体" w:cs="宋体"/>
          <w:sz w:val="24"/>
        </w:rPr>
      </w:pPr>
      <w:r>
        <w:rPr>
          <w:rFonts w:hint="eastAsia" w:ascii="宋体" w:hAnsi="宋体" w:cs="Helvetica"/>
          <w:kern w:val="0"/>
          <w:sz w:val="24"/>
          <w:highlight w:val="none"/>
        </w:rPr>
        <w:t>应符合《中华</w:t>
      </w:r>
      <w:r>
        <w:rPr>
          <w:rFonts w:hint="eastAsia" w:ascii="宋体" w:hAnsi="宋体" w:cs="宋体"/>
          <w:sz w:val="24"/>
          <w:highlight w:val="none"/>
        </w:rPr>
        <w:t>人员共和国农药管理条例》和国家现行产品标准的有关规定，</w:t>
      </w:r>
      <w:r>
        <w:rPr>
          <w:rFonts w:hint="eastAsia" w:ascii="宋体" w:hAnsi="宋体" w:cs="宋体"/>
          <w:sz w:val="24"/>
        </w:rPr>
        <w:t>禁止使用高毒、剧毒杀白蚁剂，提倡使用先进技术和高效环保药物。</w:t>
      </w:r>
      <w:r>
        <w:rPr>
          <w:rFonts w:hint="eastAsia" w:ascii="宋体" w:hAnsi="宋体" w:cs="宋体"/>
          <w:sz w:val="24"/>
          <w:lang w:val="en-US" w:eastAsia="zh-CN"/>
        </w:rPr>
        <w:t>在药物使用前向采购人出具</w:t>
      </w:r>
      <w:r>
        <w:rPr>
          <w:rFonts w:hint="eastAsia" w:ascii="宋体" w:hAnsi="宋体" w:cs="宋体"/>
          <w:sz w:val="24"/>
          <w:highlight w:val="none"/>
        </w:rPr>
        <w:t>农药登记证、农</w:t>
      </w:r>
      <w:r>
        <w:rPr>
          <w:rFonts w:hint="eastAsia" w:ascii="宋体" w:hAnsi="宋体" w:cs="宋体"/>
          <w:sz w:val="24"/>
        </w:rPr>
        <w:t>药生产许可证、产品质量标准和产品检验合格证，其中农药登记证上的防治对象应为白蚁，施用方法应与技术要求吻合。</w:t>
      </w:r>
    </w:p>
    <w:p>
      <w:pPr>
        <w:tabs>
          <w:tab w:val="left" w:pos="0"/>
        </w:tabs>
        <w:snapToGrid w:val="0"/>
        <w:spacing w:line="360" w:lineRule="auto"/>
        <w:rPr>
          <w:rFonts w:ascii="宋体" w:hAnsi="宋体" w:cs="Helvetica"/>
          <w:kern w:val="0"/>
          <w:sz w:val="24"/>
        </w:rPr>
      </w:pPr>
      <w:r>
        <w:rPr>
          <w:rFonts w:hint="eastAsia" w:ascii="宋体" w:hAnsi="宋体" w:cs="Helvetica"/>
          <w:kern w:val="0"/>
          <w:sz w:val="24"/>
        </w:rPr>
        <w:t>（二）项目的施工和验收要求</w:t>
      </w:r>
    </w:p>
    <w:p>
      <w:pPr>
        <w:tabs>
          <w:tab w:val="left" w:pos="0"/>
        </w:tabs>
        <w:snapToGrid w:val="0"/>
        <w:spacing w:line="360" w:lineRule="auto"/>
        <w:ind w:firstLine="480"/>
        <w:rPr>
          <w:rFonts w:ascii="宋体" w:hAnsi="宋体" w:cs="Helvetica"/>
          <w:b/>
          <w:bCs/>
          <w:kern w:val="0"/>
          <w:sz w:val="24"/>
        </w:rPr>
      </w:pPr>
      <w:r>
        <w:rPr>
          <w:rFonts w:hint="eastAsia" w:ascii="宋体" w:hAnsi="宋体" w:cs="Helvetica"/>
          <w:b/>
          <w:bCs/>
          <w:kern w:val="0"/>
          <w:sz w:val="24"/>
        </w:rPr>
        <w:t>1.新建房屋白蚁预防监控装置安装</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1）根据DB33/T1108-2018《房屋白蚁监测控制系统应用技术规程》执行</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地下型监测装置安装应符合相关产品使用说明的规定，并满足下列要求：</w:t>
      </w:r>
    </w:p>
    <w:p>
      <w:pPr>
        <w:tabs>
          <w:tab w:val="left" w:pos="0"/>
        </w:tabs>
        <w:snapToGrid w:val="0"/>
        <w:spacing w:line="360" w:lineRule="auto"/>
        <w:ind w:firstLine="480" w:firstLineChars="200"/>
        <w:jc w:val="left"/>
        <w:rPr>
          <w:rFonts w:ascii="宋体" w:hAnsi="宋体" w:cs="Helvetica"/>
          <w:kern w:val="0"/>
          <w:sz w:val="24"/>
        </w:rPr>
      </w:pPr>
      <w:r>
        <w:rPr>
          <w:rFonts w:hint="eastAsia" w:ascii="宋体" w:hAnsi="宋体" w:cs="Helvetica"/>
          <w:kern w:val="0"/>
          <w:sz w:val="24"/>
        </w:rPr>
        <w:t>应避开地下管线；安装位置宜距房屋外墙外侧</w:t>
      </w:r>
      <w:r>
        <w:rPr>
          <w:rFonts w:ascii="宋体" w:hAnsi="宋体" w:cs="Helvetica"/>
          <w:kern w:val="0"/>
          <w:sz w:val="24"/>
        </w:rPr>
        <w:t>500mm~1000mm</w:t>
      </w:r>
      <w:r>
        <w:rPr>
          <w:rFonts w:hint="eastAsia" w:ascii="宋体" w:hAnsi="宋体" w:cs="Helvetica"/>
          <w:kern w:val="0"/>
          <w:sz w:val="24"/>
        </w:rPr>
        <w:t>或散水坡外侧</w:t>
      </w:r>
      <w:r>
        <w:rPr>
          <w:rFonts w:ascii="宋体" w:hAnsi="宋体" w:cs="Helvetica"/>
          <w:kern w:val="0"/>
          <w:sz w:val="24"/>
        </w:rPr>
        <w:t>100mm~500mm</w:t>
      </w:r>
      <w:r>
        <w:rPr>
          <w:rFonts w:hint="eastAsia" w:ascii="宋体" w:hAnsi="宋体" w:cs="Helvetica"/>
          <w:kern w:val="0"/>
          <w:sz w:val="24"/>
        </w:rPr>
        <w:t>的土壤中，并宜保持同一水平距离；安装间距宜为</w:t>
      </w:r>
      <w:r>
        <w:rPr>
          <w:rFonts w:ascii="宋体" w:hAnsi="宋体" w:cs="Helvetica"/>
          <w:kern w:val="0"/>
          <w:sz w:val="24"/>
        </w:rPr>
        <w:t>3000mm~5000mm</w:t>
      </w:r>
      <w:r>
        <w:rPr>
          <w:rFonts w:hint="eastAsia" w:ascii="宋体" w:hAnsi="宋体" w:cs="Helvetica"/>
          <w:kern w:val="0"/>
          <w:sz w:val="24"/>
        </w:rPr>
        <w:t>，每幢不少于20只，如有特殊情况协商确定。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 xml:space="preserve">地下型监测装置应紧贴周边土壤，顶盖宜与地面齐平。当在人员活动频繁、管 理条件较差的环境中安装监测装置时，在其顶盖上方宜覆盖 </w:t>
      </w:r>
      <w:r>
        <w:rPr>
          <w:rFonts w:ascii="宋体" w:hAnsi="宋体" w:cs="Helvetica"/>
          <w:kern w:val="0"/>
          <w:sz w:val="24"/>
        </w:rPr>
        <w:t xml:space="preserve">20mm-50mm </w:t>
      </w:r>
      <w:r>
        <w:rPr>
          <w:rFonts w:hint="eastAsia" w:ascii="宋体" w:hAnsi="宋体" w:cs="Helvetica"/>
          <w:kern w:val="0"/>
          <w:sz w:val="24"/>
        </w:rPr>
        <w:t xml:space="preserve">厚的土壤或草皮等。 </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 xml:space="preserve">2）接到施工通知后，及时进行现场踏勘，并在3个工作日内完成施工。根据DB33/T1108-2018《房屋白蚁监测控制系统应用技术规程》要求1、进行现场项目拍照确认。2、编制施工方案。3、现场按标准规范施工。4、施工图纸标识。5、填写施工记录表。6、施工记录及时上传电脑。  </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3）施工时，对装置进行统一编号，现场需在施工图上做好标识，并留下影像资料。结束后施工记录表由采购人签字确认。</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4）施工完毕自检通过后提交甲方验收，需提供完整的1、项目信息表2、技术施工方案3、施工记录单4、施工图（已标识的纸质）5、施工情况确认表。</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5）甲方对新建房屋白蚁预防监控装置安装项目进行现场抽查验收。随机对30%的安装项目进行抽查验收，对乙方提交的所有资料与现场施工状况通过审核后，签字确认。若验收不合格，退回重新施工，服务期内若超过3次审核不通过需重新施工的，按不通过项目费用合计的20%处罚，同时甲方有权提前解除合同。</w:t>
      </w:r>
    </w:p>
    <w:p>
      <w:pPr>
        <w:pStyle w:val="2"/>
        <w:rPr>
          <w:b/>
          <w:bCs/>
          <w:lang w:val="en-US"/>
        </w:rPr>
      </w:pPr>
      <w:r>
        <w:rPr>
          <w:rFonts w:hint="eastAsia" w:hAnsi="宋体" w:cs="Helvetica"/>
          <w:b/>
          <w:bCs/>
          <w:kern w:val="0"/>
          <w:szCs w:val="24"/>
          <w:lang w:val="en-US"/>
        </w:rPr>
        <w:t>2.</w:t>
      </w:r>
      <w:r>
        <w:rPr>
          <w:rFonts w:hint="eastAsia" w:hAnsi="宋体" w:cs="宋体"/>
          <w:b/>
          <w:bCs/>
          <w:szCs w:val="24"/>
          <w:lang w:val="en-US"/>
        </w:rPr>
        <w:t>药物屏障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1）白蚁防治药剂</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1.1选用的白蚁防治药剂应符合《农药管理条例》的有关规定，并应附具农药登记证、农药生产许可证和产品质量标准。</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1.2白蚁防治药剂应按农药标签所标注的使用范围、使用方法和剂量、使用技术要求等进行使用。</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1.3白蚁防治药剂的安全管理应符合《化学危险品安全管理条例》的规定。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1.4白蚁防治药剂使用单位应建立健全的管理制度和应急处理预案；白蚁防治药剂应存储在专用仓库内，并由专人负责管理。</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1.5白蚁防治药剂的废弃包装物和废液、废渣等的处置应按相关规定执行</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2）白蚁防治药剂的选用</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用于土壤与墙体处理的白蚁预防药剂，应符合下列规定：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2.1农药登记证中注明可用于土壤处理的；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2.2与土壤颗粒结合力好，使用后在土壤中不易移动，持效期较长的；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对白蚁具显著毒杀或驱避作用的；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2.3有效成分难溶于水，不易挥发的。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用于木构件处理的白蚁预防药剂，应符合下列规定：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2.4农药登记证中注明可用于木材处理的；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2.5高效低毒，无异味的；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2.6在木材中有良好的渗透性的；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2.7处理后不影响木构件力学性能和燃烧性能的；</w:t>
      </w:r>
    </w:p>
    <w:p>
      <w:pPr>
        <w:tabs>
          <w:tab w:val="left" w:pos="0"/>
        </w:tabs>
        <w:snapToGrid w:val="0"/>
        <w:spacing w:line="360" w:lineRule="auto"/>
        <w:ind w:firstLine="480"/>
      </w:pPr>
      <w:r>
        <w:rPr>
          <w:rFonts w:hint="eastAsia" w:ascii="宋体" w:hAnsi="宋体" w:cs="Helvetica"/>
          <w:kern w:val="0"/>
          <w:sz w:val="24"/>
        </w:rPr>
        <w:t>2.8有效成分不易挥发，具有稳定及持久的防蚁效果的。</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3)药物屏障设计</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药物屏障可分为药物土壤屏障、药物壁体屏障、药物木构件屏障。药物土壤屏障包括:垂直屏障和水平屏障。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药物土壤屏障设置应符合下列规定：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3.1无地下室的基础或埋深不大于</w:t>
      </w:r>
      <w:r>
        <w:rPr>
          <w:rFonts w:ascii="宋体" w:hAnsi="宋体" w:cs="Helvetica"/>
          <w:kern w:val="0"/>
          <w:sz w:val="24"/>
        </w:rPr>
        <w:t>3m</w:t>
      </w:r>
      <w:r>
        <w:rPr>
          <w:rFonts w:hint="eastAsia" w:ascii="宋体" w:hAnsi="宋体" w:cs="Helvetica"/>
          <w:kern w:val="0"/>
          <w:sz w:val="24"/>
        </w:rPr>
        <w:t>的地下室底板下面应全部设置水平屏障；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3.2埋设在土壤中的基础墙两侧应设置垂直屏障；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3.3埋设在土壤中的柱基四周应设置垂直屏障；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3.4垂直屏障应紧贴基础或墙体，宽度不应小于</w:t>
      </w:r>
      <w:r>
        <w:rPr>
          <w:rFonts w:ascii="宋体" w:hAnsi="宋体" w:cs="Helvetica"/>
          <w:kern w:val="0"/>
          <w:sz w:val="24"/>
        </w:rPr>
        <w:t>150mm</w:t>
      </w:r>
      <w:r>
        <w:rPr>
          <w:rFonts w:hint="eastAsia" w:ascii="宋体" w:hAnsi="宋体" w:cs="Helvetica"/>
          <w:kern w:val="0"/>
          <w:sz w:val="24"/>
        </w:rPr>
        <w:t>，离地坪深度不应小于</w:t>
      </w:r>
      <w:r>
        <w:rPr>
          <w:rFonts w:ascii="宋体" w:hAnsi="宋体" w:cs="Helvetica"/>
          <w:kern w:val="0"/>
          <w:sz w:val="24"/>
        </w:rPr>
        <w:t>500mm</w:t>
      </w:r>
      <w:r>
        <w:rPr>
          <w:rFonts w:hint="eastAsia" w:ascii="宋体" w:hAnsi="宋体" w:cs="Helvetica"/>
          <w:kern w:val="0"/>
          <w:sz w:val="24"/>
        </w:rPr>
        <w:t>；</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3.5散水坡下方土壤表层应设置水平屏障，宽度不应小于</w:t>
      </w:r>
      <w:r>
        <w:rPr>
          <w:rFonts w:ascii="宋体" w:hAnsi="宋体" w:cs="Helvetica"/>
          <w:kern w:val="0"/>
          <w:sz w:val="24"/>
        </w:rPr>
        <w:t>300mm</w:t>
      </w:r>
      <w:r>
        <w:rPr>
          <w:rFonts w:hint="eastAsia" w:ascii="宋体" w:hAnsi="宋体" w:cs="Helvetica"/>
          <w:kern w:val="0"/>
          <w:sz w:val="24"/>
        </w:rPr>
        <w:t>；</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3.6水平屏障离地坪深度不应小于</w:t>
      </w:r>
      <w:r>
        <w:rPr>
          <w:rFonts w:ascii="宋体" w:hAnsi="宋体" w:cs="Helvetica"/>
          <w:kern w:val="0"/>
          <w:sz w:val="24"/>
        </w:rPr>
        <w:t>100mm</w:t>
      </w:r>
      <w:r>
        <w:rPr>
          <w:rFonts w:hint="eastAsia" w:ascii="宋体" w:hAnsi="宋体" w:cs="Helvetica"/>
          <w:kern w:val="0"/>
          <w:sz w:val="24"/>
        </w:rPr>
        <w:t>；</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3.7垂直屏障与水平屏障宜相互连接。</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药物土壤屏障设置药液用量应符合下列规定：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3.8垂直屏障的药液使用剂量应为</w:t>
      </w:r>
      <w:r>
        <w:rPr>
          <w:rFonts w:ascii="宋体" w:hAnsi="宋体" w:cs="Helvetica"/>
          <w:kern w:val="0"/>
          <w:sz w:val="24"/>
        </w:rPr>
        <w:t>25L/m3~30L/m3</w:t>
      </w:r>
      <w:r>
        <w:rPr>
          <w:rFonts w:hint="eastAsia" w:ascii="宋体" w:hAnsi="宋体" w:cs="Helvetica"/>
          <w:kern w:val="0"/>
          <w:sz w:val="24"/>
        </w:rPr>
        <w:t>；</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3.9水平屏障的药液使用剂量应为</w:t>
      </w:r>
      <w:r>
        <w:rPr>
          <w:rFonts w:ascii="宋体" w:hAnsi="宋体" w:cs="Helvetica"/>
          <w:kern w:val="0"/>
          <w:sz w:val="24"/>
        </w:rPr>
        <w:t>3L/m2~5L/m2</w:t>
      </w:r>
      <w:r>
        <w:rPr>
          <w:rFonts w:hint="eastAsia" w:ascii="宋体" w:hAnsi="宋体" w:cs="Helvetica"/>
          <w:kern w:val="0"/>
          <w:sz w:val="24"/>
        </w:rPr>
        <w:t>。</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药物壁体屏障设置应符合下列规定：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3.10房屋一层的室内砌体墙应设置药物屏障，设置高度不应小于</w:t>
      </w:r>
      <w:r>
        <w:rPr>
          <w:rFonts w:ascii="宋体" w:hAnsi="宋体" w:cs="Helvetica"/>
          <w:kern w:val="0"/>
          <w:sz w:val="24"/>
        </w:rPr>
        <w:t>500mm</w:t>
      </w:r>
      <w:r>
        <w:rPr>
          <w:rFonts w:hint="eastAsia" w:ascii="宋体" w:hAnsi="宋体" w:cs="Helvetica"/>
          <w:kern w:val="0"/>
          <w:sz w:val="24"/>
        </w:rPr>
        <w:t>；</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3.11房屋一层的室内管道竖井、电梯井、管沟等内壁应设置药物屏障；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3.12房屋一层的门洞、窗洞、电源插座和配电箱等处的墙体，应设置药物屏障；</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3.13露出土壤的柱</w:t>
      </w:r>
      <w:r>
        <w:rPr>
          <w:rFonts w:ascii="宋体" w:hAnsi="宋体" w:cs="Helvetica"/>
          <w:kern w:val="0"/>
          <w:sz w:val="24"/>
        </w:rPr>
        <w:t>500mm</w:t>
      </w:r>
      <w:r>
        <w:rPr>
          <w:rFonts w:hint="eastAsia" w:ascii="宋体" w:hAnsi="宋体" w:cs="Helvetica"/>
          <w:kern w:val="0"/>
          <w:sz w:val="24"/>
        </w:rPr>
        <w:t>范围内应设置药物屏障。</w:t>
      </w:r>
    </w:p>
    <w:p>
      <w:pPr>
        <w:tabs>
          <w:tab w:val="left" w:pos="0"/>
        </w:tabs>
        <w:snapToGrid w:val="0"/>
        <w:spacing w:line="360" w:lineRule="auto"/>
        <w:ind w:firstLine="480"/>
      </w:pPr>
      <w:r>
        <w:rPr>
          <w:rFonts w:hint="eastAsia" w:ascii="宋体" w:hAnsi="宋体" w:cs="Helvetica"/>
          <w:kern w:val="0"/>
          <w:sz w:val="24"/>
        </w:rPr>
        <w:t>3.14药物壁体屏障设置药液用量不应小于</w:t>
      </w:r>
      <w:r>
        <w:rPr>
          <w:rFonts w:ascii="宋体" w:hAnsi="宋体" w:cs="Helvetica"/>
          <w:kern w:val="0"/>
          <w:sz w:val="24"/>
        </w:rPr>
        <w:t>1.50L/m2</w:t>
      </w:r>
      <w:r>
        <w:rPr>
          <w:rFonts w:hint="eastAsia" w:ascii="宋体" w:hAnsi="宋体" w:cs="Helvetica"/>
          <w:kern w:val="0"/>
          <w:sz w:val="24"/>
        </w:rPr>
        <w:t>。</w:t>
      </w:r>
    </w:p>
    <w:p>
      <w:pPr>
        <w:tabs>
          <w:tab w:val="left" w:pos="0"/>
        </w:tabs>
        <w:snapToGrid w:val="0"/>
        <w:spacing w:line="360" w:lineRule="auto"/>
        <w:ind w:firstLine="480"/>
        <w:rPr>
          <w:rFonts w:ascii="宋体" w:hAnsi="宋体" w:cs="Helvetica"/>
          <w:b/>
          <w:bCs/>
          <w:kern w:val="0"/>
          <w:sz w:val="24"/>
        </w:rPr>
      </w:pPr>
      <w:r>
        <w:rPr>
          <w:rFonts w:hint="eastAsia" w:ascii="宋体" w:hAnsi="宋体" w:cs="Helvetica"/>
          <w:b/>
          <w:bCs/>
          <w:kern w:val="0"/>
          <w:sz w:val="24"/>
        </w:rPr>
        <w:t>3.既有房屋的白蚁灭治</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1）既有房屋的白蚁灭治以“户”为单位进行施工，对散白蚁的灭治原则上采用毒杀法处理，其中室内地坪应采用钻孔并将药液注入地坪下方回填土中的处理方式。</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2）乙方在接到甲方通知后3个工作日内，组织人员到现场进行灭治处理，并完成施工。由上级部门交办的，须在接到甲方通知后1个工作日内完成，由蚁害户签字确认及采购人签字确认。</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3）若乙方服务时效超过甲方规定的施工时效的，每户按白蚁灭治中标价扣罚。</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4）不得私下向服务对象收取任何费用。查处一起扣罚5000元。</w:t>
      </w:r>
    </w:p>
    <w:p>
      <w:pPr>
        <w:tabs>
          <w:tab w:val="left" w:pos="0"/>
        </w:tabs>
        <w:snapToGrid w:val="0"/>
        <w:spacing w:line="360" w:lineRule="auto"/>
        <w:rPr>
          <w:rFonts w:ascii="宋体" w:hAnsi="宋体" w:cs="Helvetica"/>
          <w:b/>
          <w:bCs/>
          <w:kern w:val="0"/>
          <w:sz w:val="24"/>
        </w:rPr>
      </w:pPr>
      <w:r>
        <w:rPr>
          <w:rFonts w:hint="eastAsia" w:ascii="宋体" w:hAnsi="宋体" w:cs="Helvetica"/>
          <w:b/>
          <w:bCs/>
          <w:kern w:val="0"/>
          <w:sz w:val="24"/>
        </w:rPr>
        <w:t>三、其他要求</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1、中标供应商应根据本项目的实际需求配备其他必要的工具、工作服、劳保用品等。</w:t>
      </w:r>
    </w:p>
    <w:p>
      <w:pPr>
        <w:autoSpaceDE w:val="0"/>
        <w:autoSpaceDN w:val="0"/>
        <w:spacing w:line="360" w:lineRule="auto"/>
        <w:ind w:firstLine="480" w:firstLineChars="200"/>
        <w:jc w:val="left"/>
        <w:rPr>
          <w:rFonts w:ascii="宋体" w:hAnsi="宋体" w:cs="Helvetica"/>
          <w:kern w:val="0"/>
          <w:sz w:val="24"/>
        </w:rPr>
      </w:pPr>
      <w:r>
        <w:rPr>
          <w:rFonts w:hint="eastAsia" w:ascii="宋体" w:hAnsi="宋体" w:cs="Helvetica"/>
          <w:kern w:val="0"/>
          <w:sz w:val="24"/>
        </w:rPr>
        <w:t>2、中标供应商应建立安全施工管理制度和应急处理预案，落实施工安全责任，设立安全管理员，企业负责人为安全施工第一责任人，做好施工现场安全管理。明确应急处理措施，确保高峰期灭治服务正常开展。中标供应商在合同履行期间发生的任何交通、意外安全事故，都由中标供应自行承担负责，采购人不承担由此引起的任何安全责任和经济责任。</w:t>
      </w:r>
    </w:p>
    <w:p>
      <w:pPr>
        <w:autoSpaceDE w:val="0"/>
        <w:autoSpaceDN w:val="0"/>
        <w:spacing w:line="360" w:lineRule="auto"/>
        <w:ind w:firstLine="480" w:firstLineChars="200"/>
        <w:jc w:val="left"/>
        <w:rPr>
          <w:rFonts w:ascii="宋体" w:hAnsi="宋体" w:cs="Helvetica"/>
          <w:kern w:val="0"/>
          <w:sz w:val="24"/>
        </w:rPr>
      </w:pPr>
      <w:r>
        <w:rPr>
          <w:rFonts w:hint="eastAsia" w:ascii="宋体" w:hAnsi="宋体" w:cs="Helvetica"/>
          <w:kern w:val="0"/>
          <w:sz w:val="24"/>
        </w:rPr>
        <w:t>3、中标供应商应制定完善的档案管理制度，设立档案管理员，负责收集蚁情初查、蚁情调查、白蚁防治实施、效果验收、回访复查等资料。在合同履行期间，采购人交办的所有灭治项目的台账资料，服务期满后中标供应商汇总整理并提交采购人，不得遗失或拒交资料台账。</w:t>
      </w:r>
    </w:p>
    <w:p>
      <w:pPr>
        <w:autoSpaceDE w:val="0"/>
        <w:autoSpaceDN w:val="0"/>
        <w:spacing w:line="360" w:lineRule="auto"/>
        <w:ind w:firstLine="480" w:firstLineChars="200"/>
        <w:jc w:val="left"/>
        <w:rPr>
          <w:rFonts w:ascii="宋体" w:hAnsi="宋体" w:cs="Helvetica"/>
          <w:kern w:val="0"/>
          <w:sz w:val="24"/>
        </w:rPr>
      </w:pPr>
      <w:r>
        <w:rPr>
          <w:rFonts w:hint="eastAsia" w:ascii="宋体" w:hAnsi="宋体" w:cs="Helvetica"/>
          <w:kern w:val="0"/>
          <w:sz w:val="24"/>
        </w:rPr>
        <w:t>4、中标供应商应以“公益”为导向，主动开展公益宣传，普及白蚁防治知识，同时积极配合参与采购人、街区管理责任主体组织的科普宣传活动。</w:t>
      </w:r>
    </w:p>
    <w:p>
      <w:pPr>
        <w:autoSpaceDE w:val="0"/>
        <w:autoSpaceDN w:val="0"/>
        <w:spacing w:line="360" w:lineRule="auto"/>
        <w:ind w:firstLine="480" w:firstLineChars="200"/>
        <w:jc w:val="left"/>
        <w:rPr>
          <w:rFonts w:ascii="宋体" w:hAnsi="宋体" w:cs="Helvetica"/>
          <w:kern w:val="0"/>
          <w:sz w:val="24"/>
        </w:rPr>
      </w:pPr>
      <w:r>
        <w:rPr>
          <w:rFonts w:hint="eastAsia" w:ascii="宋体" w:hAnsi="宋体" w:cs="Helvetica"/>
          <w:kern w:val="0"/>
          <w:sz w:val="24"/>
        </w:rPr>
        <w:t>5、中标供应商需考虑本项目区域内各房屋产权人（含商户、租户等）原有设施设备等各项因素，不得损害其他单位、人员的利益。若涉及利益协调，由中标供应商承担。</w:t>
      </w:r>
    </w:p>
    <w:p>
      <w:pPr>
        <w:autoSpaceDE w:val="0"/>
        <w:autoSpaceDN w:val="0"/>
        <w:spacing w:line="360" w:lineRule="auto"/>
        <w:ind w:firstLine="480" w:firstLineChars="200"/>
        <w:jc w:val="left"/>
        <w:rPr>
          <w:rFonts w:ascii="宋体" w:hAnsi="宋体" w:cs="Helvetica"/>
          <w:kern w:val="0"/>
          <w:sz w:val="24"/>
        </w:rPr>
      </w:pPr>
      <w:r>
        <w:rPr>
          <w:rFonts w:hint="eastAsia" w:ascii="宋体" w:hAnsi="宋体" w:cs="Helvetica"/>
          <w:kern w:val="0"/>
          <w:sz w:val="24"/>
        </w:rPr>
        <w:t>6、未尽事宜根据浙建函【2024】136号《关于开展城市公园和广场白蚁危害调查工作的通知》、DB33/T1108-2018《房屋白蚁监测控制系统应用技术规程》及</w:t>
      </w:r>
      <w:r>
        <w:rPr>
          <w:rFonts w:ascii="宋体" w:hAnsi="宋体" w:cs="Helvetica"/>
          <w:kern w:val="0"/>
          <w:sz w:val="24"/>
        </w:rPr>
        <w:t>DB33/T1017-2018</w:t>
      </w:r>
      <w:r>
        <w:rPr>
          <w:rFonts w:hint="eastAsia" w:ascii="宋体" w:hAnsi="宋体" w:cs="Helvetica"/>
          <w:kern w:val="0"/>
          <w:sz w:val="24"/>
        </w:rPr>
        <w:t>《药物屏障预防房屋白蚁技术规程》执行。</w:t>
      </w:r>
    </w:p>
    <w:p>
      <w:pPr>
        <w:tabs>
          <w:tab w:val="left" w:pos="0"/>
        </w:tabs>
        <w:snapToGrid w:val="0"/>
        <w:spacing w:line="360" w:lineRule="auto"/>
        <w:rPr>
          <w:rFonts w:ascii="宋体" w:hAnsi="宋体" w:cs="Helvetica"/>
          <w:b/>
          <w:bCs/>
          <w:kern w:val="0"/>
          <w:sz w:val="24"/>
        </w:rPr>
      </w:pPr>
      <w:r>
        <w:rPr>
          <w:rFonts w:hint="eastAsia" w:ascii="宋体" w:hAnsi="宋体" w:cs="Helvetica"/>
          <w:b/>
          <w:bCs/>
          <w:kern w:val="0"/>
          <w:sz w:val="24"/>
        </w:rPr>
        <w:t>四、服务期</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合同签订后1年或者累计工程量金额达到合同价服务期终止。</w:t>
      </w:r>
    </w:p>
    <w:p>
      <w:pPr>
        <w:tabs>
          <w:tab w:val="left" w:pos="0"/>
        </w:tabs>
        <w:snapToGrid w:val="0"/>
        <w:spacing w:line="360" w:lineRule="auto"/>
        <w:rPr>
          <w:rFonts w:ascii="宋体" w:hAnsi="宋体" w:cs="Helvetica"/>
          <w:b/>
          <w:bCs/>
          <w:kern w:val="0"/>
          <w:sz w:val="24"/>
        </w:rPr>
      </w:pPr>
      <w:r>
        <w:rPr>
          <w:rFonts w:hint="eastAsia" w:ascii="宋体" w:hAnsi="宋体" w:cs="Helvetica"/>
          <w:b/>
          <w:bCs/>
          <w:kern w:val="0"/>
          <w:sz w:val="24"/>
        </w:rPr>
        <w:t>五、质保期</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1、本项目地下型监测装置质保期2年，验收合格后开始计算。</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2、质保期内地下型监测装置日常检查每年不应少于</w:t>
      </w:r>
      <w:r>
        <w:rPr>
          <w:rFonts w:ascii="宋体" w:hAnsi="宋体" w:cs="Helvetica"/>
          <w:kern w:val="0"/>
          <w:sz w:val="24"/>
        </w:rPr>
        <w:t>2</w:t>
      </w:r>
      <w:r>
        <w:rPr>
          <w:rFonts w:hint="eastAsia" w:ascii="宋体" w:hAnsi="宋体" w:cs="Helvetica"/>
          <w:kern w:val="0"/>
          <w:sz w:val="24"/>
        </w:rPr>
        <w:t>次，宜在白蚁活动盛期进行。地下型监测装置日常检查应包括下列内容：</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1）装置运行情况；</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2）白蚁入侵情况；</w:t>
      </w:r>
    </w:p>
    <w:p>
      <w:pPr>
        <w:tabs>
          <w:tab w:val="left" w:pos="0"/>
        </w:tabs>
        <w:snapToGrid w:val="0"/>
        <w:spacing w:line="360" w:lineRule="auto"/>
        <w:ind w:firstLine="480"/>
        <w:rPr>
          <w:rFonts w:ascii="宋体" w:hAnsi="宋体" w:cs="Helvetica"/>
          <w:kern w:val="0"/>
          <w:sz w:val="24"/>
        </w:rPr>
      </w:pPr>
      <w:r>
        <w:rPr>
          <w:rFonts w:ascii="宋体" w:hAnsi="宋体" w:cs="Helvetica"/>
          <w:kern w:val="0"/>
          <w:sz w:val="24"/>
        </w:rPr>
        <w:t>3</w:t>
      </w:r>
      <w:r>
        <w:rPr>
          <w:rFonts w:hint="eastAsia" w:ascii="宋体" w:hAnsi="宋体" w:cs="Helvetica"/>
          <w:kern w:val="0"/>
          <w:sz w:val="24"/>
        </w:rPr>
        <w:t>）饵料质量情况；</w:t>
      </w:r>
    </w:p>
    <w:p>
      <w:pPr>
        <w:tabs>
          <w:tab w:val="left" w:pos="0"/>
        </w:tabs>
        <w:snapToGrid w:val="0"/>
        <w:spacing w:line="360" w:lineRule="auto"/>
        <w:ind w:firstLine="480"/>
        <w:rPr>
          <w:rFonts w:ascii="宋体" w:hAnsi="宋体" w:cs="Helvetica"/>
          <w:kern w:val="0"/>
          <w:sz w:val="24"/>
        </w:rPr>
      </w:pPr>
      <w:r>
        <w:rPr>
          <w:rFonts w:ascii="宋体" w:hAnsi="宋体" w:cs="Helvetica"/>
          <w:kern w:val="0"/>
          <w:sz w:val="24"/>
        </w:rPr>
        <w:t>4</w:t>
      </w:r>
      <w:r>
        <w:rPr>
          <w:rFonts w:hint="eastAsia" w:ascii="宋体" w:hAnsi="宋体" w:cs="Helvetica"/>
          <w:kern w:val="0"/>
          <w:sz w:val="24"/>
        </w:rPr>
        <w:t>)安装环境变化情况。</w:t>
      </w:r>
    </w:p>
    <w:p>
      <w:pPr>
        <w:tabs>
          <w:tab w:val="left" w:pos="0"/>
        </w:tabs>
        <w:snapToGrid w:val="0"/>
        <w:spacing w:line="360" w:lineRule="auto"/>
        <w:ind w:firstLine="480"/>
        <w:rPr>
          <w:rFonts w:ascii="宋体" w:hAnsi="宋体" w:cs="Helvetica"/>
          <w:kern w:val="0"/>
          <w:sz w:val="24"/>
        </w:rPr>
      </w:pPr>
      <w:r>
        <w:rPr>
          <w:rFonts w:hint="eastAsia" w:ascii="宋体" w:hAnsi="宋体" w:cs="Helvetica"/>
          <w:kern w:val="0"/>
          <w:sz w:val="24"/>
        </w:rPr>
        <w:t>3、当日常检查发现地下型监测装置不能正常运行时应进行维护，日常维护应包括下列内容：</w:t>
      </w:r>
    </w:p>
    <w:p>
      <w:pPr>
        <w:tabs>
          <w:tab w:val="left" w:pos="0"/>
        </w:tabs>
        <w:snapToGrid w:val="0"/>
        <w:spacing w:line="360" w:lineRule="auto"/>
        <w:ind w:firstLine="480"/>
        <w:rPr>
          <w:rFonts w:ascii="宋体" w:hAnsi="宋体" w:cs="Helvetica"/>
          <w:kern w:val="0"/>
          <w:sz w:val="24"/>
        </w:rPr>
      </w:pPr>
      <w:r>
        <w:rPr>
          <w:rFonts w:ascii="宋体" w:hAnsi="宋体" w:cs="Helvetica"/>
          <w:kern w:val="0"/>
          <w:sz w:val="24"/>
        </w:rPr>
        <w:t>1</w:t>
      </w:r>
      <w:r>
        <w:rPr>
          <w:rFonts w:hint="eastAsia" w:ascii="宋体" w:hAnsi="宋体" w:cs="Helvetica"/>
          <w:kern w:val="0"/>
          <w:sz w:val="24"/>
        </w:rPr>
        <w:t>）更换装置内发霉、腐烂的饵料；</w:t>
      </w:r>
    </w:p>
    <w:p>
      <w:pPr>
        <w:tabs>
          <w:tab w:val="left" w:pos="0"/>
        </w:tabs>
        <w:snapToGrid w:val="0"/>
        <w:spacing w:line="360" w:lineRule="auto"/>
        <w:ind w:firstLine="480"/>
        <w:rPr>
          <w:rFonts w:ascii="宋体" w:hAnsi="宋体" w:cs="Helvetica"/>
          <w:kern w:val="0"/>
          <w:sz w:val="24"/>
        </w:rPr>
      </w:pPr>
      <w:r>
        <w:rPr>
          <w:rFonts w:ascii="宋体" w:hAnsi="宋体" w:cs="Helvetica"/>
          <w:kern w:val="0"/>
          <w:sz w:val="24"/>
        </w:rPr>
        <w:t>2</w:t>
      </w:r>
      <w:r>
        <w:rPr>
          <w:rFonts w:hint="eastAsia" w:ascii="宋体" w:hAnsi="宋体" w:cs="Helvetica"/>
          <w:kern w:val="0"/>
          <w:sz w:val="24"/>
        </w:rPr>
        <w:t>）清除装置四周的灌木、杂草，清除装置内的泥土、树根、草根等；</w:t>
      </w:r>
    </w:p>
    <w:p>
      <w:pPr>
        <w:tabs>
          <w:tab w:val="left" w:pos="0"/>
        </w:tabs>
        <w:snapToGrid w:val="0"/>
        <w:spacing w:line="360" w:lineRule="auto"/>
        <w:ind w:firstLine="480"/>
        <w:rPr>
          <w:rFonts w:ascii="宋体" w:hAnsi="宋体" w:cs="Helvetica"/>
          <w:kern w:val="0"/>
          <w:sz w:val="24"/>
        </w:rPr>
      </w:pPr>
      <w:r>
        <w:rPr>
          <w:rFonts w:ascii="宋体" w:hAnsi="宋体" w:cs="Helvetica"/>
          <w:kern w:val="0"/>
          <w:sz w:val="24"/>
        </w:rPr>
        <w:t>3</w:t>
      </w:r>
      <w:r>
        <w:rPr>
          <w:rFonts w:hint="eastAsia" w:ascii="宋体" w:hAnsi="宋体" w:cs="Helvetica"/>
          <w:kern w:val="0"/>
          <w:sz w:val="24"/>
        </w:rPr>
        <w:t>）驱赶进入装置内的其他生物；</w:t>
      </w:r>
    </w:p>
    <w:p>
      <w:pPr>
        <w:tabs>
          <w:tab w:val="left" w:pos="0"/>
        </w:tabs>
        <w:snapToGrid w:val="0"/>
        <w:spacing w:line="360" w:lineRule="auto"/>
        <w:ind w:firstLine="480"/>
        <w:rPr>
          <w:rFonts w:ascii="宋体" w:hAnsi="宋体" w:cs="Helvetica"/>
          <w:kern w:val="0"/>
          <w:sz w:val="24"/>
        </w:rPr>
      </w:pPr>
      <w:r>
        <w:rPr>
          <w:rFonts w:ascii="宋体" w:hAnsi="宋体" w:cs="Helvetica"/>
          <w:kern w:val="0"/>
          <w:sz w:val="24"/>
        </w:rPr>
        <w:t>4</w:t>
      </w:r>
      <w:r>
        <w:rPr>
          <w:rFonts w:hint="eastAsia" w:ascii="宋体" w:hAnsi="宋体" w:cs="Helvetica"/>
          <w:kern w:val="0"/>
          <w:sz w:val="24"/>
        </w:rPr>
        <w:t>）根据安装环境的变化，调整松动、积水和遭破坏的装置的安装位置，重新安装，或增减装置的数量。</w:t>
      </w:r>
    </w:p>
    <w:p>
      <w:pPr>
        <w:tabs>
          <w:tab w:val="left" w:pos="0"/>
        </w:tabs>
        <w:snapToGrid w:val="0"/>
        <w:spacing w:line="360" w:lineRule="auto"/>
        <w:rPr>
          <w:rFonts w:ascii="宋体" w:hAnsi="宋体" w:cs="Helvetica"/>
          <w:b/>
          <w:bCs/>
          <w:kern w:val="0"/>
          <w:sz w:val="24"/>
        </w:rPr>
      </w:pPr>
      <w:r>
        <w:rPr>
          <w:rFonts w:hint="eastAsia" w:ascii="宋体" w:hAnsi="宋体" w:cs="Helvetica"/>
          <w:b/>
          <w:bCs/>
          <w:kern w:val="0"/>
          <w:sz w:val="24"/>
        </w:rPr>
        <w:t>六、</w:t>
      </w:r>
      <w:r>
        <w:rPr>
          <w:rFonts w:ascii="宋体" w:hAnsi="宋体" w:cs="Helvetica"/>
          <w:b/>
          <w:bCs/>
          <w:kern w:val="0"/>
          <w:sz w:val="24"/>
        </w:rPr>
        <w:t>商务要求</w:t>
      </w:r>
    </w:p>
    <w:p>
      <w:pPr>
        <w:snapToGrid w:val="0"/>
        <w:spacing w:line="360" w:lineRule="auto"/>
        <w:ind w:firstLine="480" w:firstLineChars="200"/>
        <w:rPr>
          <w:rFonts w:ascii="宋体" w:hAnsi="宋体" w:cs="Helvetica"/>
          <w:kern w:val="0"/>
          <w:sz w:val="24"/>
        </w:rPr>
      </w:pPr>
      <w:r>
        <w:rPr>
          <w:rFonts w:hint="eastAsia" w:ascii="宋体" w:hAnsi="宋体" w:cs="Helvetica"/>
          <w:kern w:val="0"/>
          <w:sz w:val="24"/>
        </w:rPr>
        <w:t>1、付款方式：</w:t>
      </w:r>
      <w:r>
        <w:rPr>
          <w:rFonts w:hint="eastAsia" w:ascii="宋体" w:hAnsi="宋体"/>
          <w:sz w:val="24"/>
        </w:rPr>
        <w:t>本项目不支付预付款</w:t>
      </w:r>
      <w:r>
        <w:rPr>
          <w:rFonts w:hint="eastAsia" w:ascii="宋体" w:hAnsi="宋体" w:cs="Helvetica"/>
          <w:kern w:val="0"/>
          <w:sz w:val="24"/>
        </w:rPr>
        <w:t>，按月支付，每月按实际产生的工程量*中标单价。白蚁危害调查费用，经采购人审核通过后支付相应款项。</w:t>
      </w:r>
    </w:p>
    <w:p>
      <w:pPr>
        <w:pStyle w:val="2"/>
        <w:rPr>
          <w:rFonts w:hAnsi="宋体" w:cs="宋体"/>
        </w:rPr>
      </w:pPr>
      <w:r>
        <w:rPr>
          <w:rFonts w:hint="eastAsia" w:hAnsi="宋体" w:cs="Helvetica"/>
          <w:kern w:val="0"/>
          <w:szCs w:val="24"/>
          <w:lang w:val="en-US"/>
        </w:rPr>
        <w:t>2、</w:t>
      </w:r>
      <w:r>
        <w:rPr>
          <w:rFonts w:hint="eastAsia" w:hAnsi="宋体" w:cs="宋体"/>
        </w:rPr>
        <w:t>本项目</w:t>
      </w:r>
      <w:r>
        <w:rPr>
          <w:rFonts w:hint="eastAsia" w:hAnsi="宋体" w:cs="宋体"/>
          <w:lang w:val="en-US"/>
        </w:rPr>
        <w:t>不设置履约保证金。</w:t>
      </w:r>
    </w:p>
    <w:p>
      <w:pPr>
        <w:rPr>
          <w:rFonts w:ascii="宋体" w:hAnsi="宋体" w:cs="宋体"/>
          <w:b/>
          <w:sz w:val="36"/>
          <w:szCs w:val="36"/>
        </w:rPr>
      </w:pPr>
      <w:r>
        <w:rPr>
          <w:rFonts w:hint="eastAsia" w:ascii="宋体" w:hAnsi="宋体" w:cs="宋体"/>
          <w:b/>
          <w:sz w:val="36"/>
          <w:szCs w:val="36"/>
        </w:rPr>
        <w:br w:type="page"/>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8" w:name="_Toc184313282"/>
      <w:bookmarkEnd w:id="28"/>
      <w:bookmarkStart w:id="29" w:name="_Toc184308091"/>
      <w:bookmarkEnd w:id="29"/>
      <w:bookmarkStart w:id="30" w:name="_Toc184314433"/>
      <w:bookmarkEnd w:id="30"/>
      <w:bookmarkStart w:id="31" w:name="_Toc184308097"/>
      <w:bookmarkEnd w:id="31"/>
      <w:bookmarkStart w:id="32" w:name="_Toc184308096"/>
      <w:bookmarkEnd w:id="32"/>
      <w:bookmarkStart w:id="33" w:name="_Toc184308085"/>
      <w:bookmarkEnd w:id="33"/>
      <w:bookmarkStart w:id="34" w:name="_Toc184312117"/>
      <w:bookmarkEnd w:id="34"/>
      <w:bookmarkStart w:id="35" w:name="_Toc184314429"/>
      <w:bookmarkEnd w:id="35"/>
      <w:bookmarkStart w:id="36" w:name="_Toc184310282"/>
      <w:bookmarkEnd w:id="36"/>
      <w:bookmarkStart w:id="37" w:name="_Toc184314417"/>
      <w:bookmarkEnd w:id="37"/>
      <w:bookmarkStart w:id="38" w:name="_Toc184314469"/>
      <w:bookmarkEnd w:id="38"/>
      <w:bookmarkStart w:id="39" w:name="_Toc184312102"/>
      <w:bookmarkEnd w:id="39"/>
      <w:bookmarkStart w:id="40" w:name="_Toc184310296"/>
      <w:bookmarkEnd w:id="40"/>
      <w:bookmarkStart w:id="41" w:name="_Toc184308082"/>
      <w:bookmarkEnd w:id="41"/>
      <w:bookmarkStart w:id="42" w:name="_Toc184313250"/>
      <w:bookmarkEnd w:id="42"/>
      <w:bookmarkStart w:id="43" w:name="_Toc184310295"/>
      <w:bookmarkEnd w:id="43"/>
      <w:bookmarkStart w:id="44" w:name="_Toc184312116"/>
      <w:bookmarkEnd w:id="44"/>
      <w:bookmarkStart w:id="45" w:name="_Toc184310318"/>
      <w:bookmarkEnd w:id="45"/>
      <w:bookmarkStart w:id="46" w:name="_Toc184310337"/>
      <w:bookmarkEnd w:id="46"/>
      <w:bookmarkStart w:id="47" w:name="_Toc184312070"/>
      <w:bookmarkEnd w:id="47"/>
      <w:bookmarkStart w:id="48" w:name="_Toc184308036"/>
      <w:bookmarkEnd w:id="48"/>
      <w:bookmarkStart w:id="49" w:name="_Toc184313291"/>
      <w:bookmarkEnd w:id="49"/>
      <w:bookmarkStart w:id="50" w:name="_Toc184310306"/>
      <w:bookmarkEnd w:id="50"/>
      <w:bookmarkStart w:id="51" w:name="_Toc184312108"/>
      <w:bookmarkEnd w:id="51"/>
      <w:bookmarkStart w:id="52" w:name="_Toc184310305"/>
      <w:bookmarkEnd w:id="52"/>
      <w:bookmarkStart w:id="53" w:name="_Toc184313264"/>
      <w:bookmarkEnd w:id="53"/>
      <w:bookmarkStart w:id="54" w:name="_Toc184308052"/>
      <w:bookmarkEnd w:id="54"/>
      <w:bookmarkStart w:id="55" w:name="_Toc184314457"/>
      <w:bookmarkEnd w:id="55"/>
      <w:bookmarkStart w:id="56" w:name="_Toc184308088"/>
      <w:bookmarkEnd w:id="56"/>
      <w:bookmarkStart w:id="57" w:name="_Toc184313280"/>
      <w:bookmarkEnd w:id="57"/>
      <w:bookmarkStart w:id="58" w:name="_Toc184314475"/>
      <w:bookmarkEnd w:id="58"/>
      <w:bookmarkStart w:id="59" w:name="_Toc184310344"/>
      <w:bookmarkEnd w:id="59"/>
      <w:bookmarkStart w:id="60" w:name="_Toc184314439"/>
      <w:bookmarkEnd w:id="60"/>
      <w:bookmarkStart w:id="61" w:name="_Toc184314477"/>
      <w:bookmarkEnd w:id="61"/>
      <w:bookmarkStart w:id="62" w:name="_Toc184308066"/>
      <w:bookmarkEnd w:id="62"/>
      <w:bookmarkStart w:id="63" w:name="_Toc184312133"/>
      <w:bookmarkEnd w:id="63"/>
      <w:bookmarkStart w:id="64" w:name="_Toc184308046"/>
      <w:bookmarkEnd w:id="64"/>
      <w:bookmarkStart w:id="65" w:name="_Toc184310293"/>
      <w:bookmarkEnd w:id="65"/>
      <w:bookmarkStart w:id="66" w:name="_Toc184313276"/>
      <w:bookmarkEnd w:id="66"/>
      <w:bookmarkStart w:id="67" w:name="_Toc184308045"/>
      <w:bookmarkEnd w:id="67"/>
      <w:bookmarkStart w:id="68" w:name="_Toc184314423"/>
      <w:bookmarkEnd w:id="68"/>
      <w:bookmarkStart w:id="69" w:name="_Toc184308107"/>
      <w:bookmarkEnd w:id="69"/>
      <w:bookmarkStart w:id="70" w:name="_Toc184312085"/>
      <w:bookmarkEnd w:id="70"/>
      <w:bookmarkStart w:id="71" w:name="_Toc184310289"/>
      <w:bookmarkEnd w:id="71"/>
      <w:bookmarkStart w:id="72" w:name="_Toc184310330"/>
      <w:bookmarkEnd w:id="72"/>
      <w:bookmarkStart w:id="73" w:name="_Toc184313307"/>
      <w:bookmarkEnd w:id="73"/>
      <w:bookmarkStart w:id="74" w:name="_Toc184314460"/>
      <w:bookmarkEnd w:id="74"/>
      <w:bookmarkStart w:id="75" w:name="_Toc184313268"/>
      <w:bookmarkEnd w:id="75"/>
      <w:bookmarkStart w:id="76" w:name="_Toc184308042"/>
      <w:bookmarkEnd w:id="76"/>
      <w:bookmarkStart w:id="77" w:name="_Toc184314411"/>
      <w:bookmarkEnd w:id="77"/>
      <w:bookmarkStart w:id="78" w:name="_Toc184308068"/>
      <w:bookmarkEnd w:id="78"/>
      <w:bookmarkStart w:id="79" w:name="_Toc184314459"/>
      <w:bookmarkEnd w:id="79"/>
      <w:bookmarkStart w:id="80" w:name="_Toc184308037"/>
      <w:bookmarkEnd w:id="80"/>
      <w:bookmarkStart w:id="81" w:name="_Toc184312115"/>
      <w:bookmarkEnd w:id="81"/>
      <w:bookmarkStart w:id="82" w:name="_Toc184308073"/>
      <w:bookmarkEnd w:id="82"/>
      <w:bookmarkStart w:id="83" w:name="_Toc184310334"/>
      <w:bookmarkEnd w:id="83"/>
      <w:bookmarkStart w:id="84" w:name="_Toc184308049"/>
      <w:bookmarkEnd w:id="84"/>
      <w:bookmarkStart w:id="85" w:name="_Toc184314437"/>
      <w:bookmarkEnd w:id="85"/>
      <w:bookmarkStart w:id="86" w:name="_Toc184308087"/>
      <w:bookmarkEnd w:id="86"/>
      <w:bookmarkStart w:id="87" w:name="_Toc184312131"/>
      <w:bookmarkEnd w:id="87"/>
      <w:bookmarkStart w:id="88" w:name="_Toc184310326"/>
      <w:bookmarkEnd w:id="88"/>
      <w:bookmarkStart w:id="89" w:name="_Toc184308069"/>
      <w:bookmarkEnd w:id="89"/>
      <w:bookmarkStart w:id="90" w:name="_Toc184310298"/>
      <w:bookmarkEnd w:id="90"/>
      <w:bookmarkStart w:id="91" w:name="_Toc184310287"/>
      <w:bookmarkEnd w:id="91"/>
      <w:bookmarkStart w:id="92" w:name="_Toc184313265"/>
      <w:bookmarkEnd w:id="92"/>
      <w:bookmarkStart w:id="93" w:name="_Toc184313271"/>
      <w:bookmarkEnd w:id="93"/>
      <w:bookmarkStart w:id="94" w:name="_Toc184312073"/>
      <w:bookmarkEnd w:id="94"/>
      <w:bookmarkStart w:id="95" w:name="_Toc184314474"/>
      <w:bookmarkEnd w:id="95"/>
      <w:bookmarkStart w:id="96" w:name="_Toc184308086"/>
      <w:bookmarkEnd w:id="96"/>
      <w:bookmarkStart w:id="97" w:name="_Toc184310322"/>
      <w:bookmarkEnd w:id="97"/>
      <w:bookmarkStart w:id="98" w:name="_Toc184313238"/>
      <w:bookmarkEnd w:id="98"/>
      <w:bookmarkStart w:id="99" w:name="_Toc184313267"/>
      <w:bookmarkEnd w:id="99"/>
      <w:bookmarkStart w:id="100" w:name="_Toc184314421"/>
      <w:bookmarkEnd w:id="100"/>
      <w:bookmarkStart w:id="101" w:name="_Toc184314412"/>
      <w:bookmarkEnd w:id="101"/>
      <w:bookmarkStart w:id="102" w:name="_Toc184308084"/>
      <w:bookmarkEnd w:id="102"/>
      <w:bookmarkStart w:id="103" w:name="_Toc184310279"/>
      <w:bookmarkEnd w:id="103"/>
      <w:bookmarkStart w:id="104" w:name="_Toc184312104"/>
      <w:bookmarkEnd w:id="104"/>
      <w:bookmarkStart w:id="105" w:name="_Toc184314432"/>
      <w:bookmarkEnd w:id="105"/>
      <w:bookmarkStart w:id="106" w:name="_Toc184314414"/>
      <w:bookmarkEnd w:id="106"/>
      <w:bookmarkStart w:id="107" w:name="_Toc184310319"/>
      <w:bookmarkEnd w:id="107"/>
      <w:bookmarkStart w:id="108" w:name="_Toc184310343"/>
      <w:bookmarkEnd w:id="108"/>
      <w:bookmarkStart w:id="109" w:name="_Toc184313252"/>
      <w:bookmarkEnd w:id="109"/>
      <w:bookmarkStart w:id="110" w:name="_Toc184310307"/>
      <w:bookmarkEnd w:id="110"/>
      <w:bookmarkStart w:id="111" w:name="_Toc184308040"/>
      <w:bookmarkEnd w:id="111"/>
      <w:bookmarkStart w:id="112" w:name="_Toc184313279"/>
      <w:bookmarkEnd w:id="112"/>
      <w:bookmarkStart w:id="113" w:name="_Toc184310327"/>
      <w:bookmarkEnd w:id="113"/>
      <w:bookmarkStart w:id="114" w:name="_Toc184314447"/>
      <w:bookmarkEnd w:id="114"/>
      <w:bookmarkStart w:id="115" w:name="_Toc184310309"/>
      <w:bookmarkEnd w:id="115"/>
      <w:bookmarkStart w:id="116" w:name="_Toc184312132"/>
      <w:bookmarkEnd w:id="116"/>
      <w:bookmarkStart w:id="117" w:name="_Toc184313246"/>
      <w:bookmarkEnd w:id="117"/>
      <w:bookmarkStart w:id="118" w:name="_Toc184308101"/>
      <w:bookmarkEnd w:id="118"/>
      <w:bookmarkStart w:id="119" w:name="_Toc184314440"/>
      <w:bookmarkEnd w:id="119"/>
      <w:bookmarkStart w:id="120" w:name="_Toc184310335"/>
      <w:bookmarkEnd w:id="120"/>
      <w:bookmarkStart w:id="121" w:name="_Toc184310313"/>
      <w:bookmarkEnd w:id="121"/>
      <w:bookmarkStart w:id="122" w:name="_Toc184310278"/>
      <w:bookmarkEnd w:id="122"/>
      <w:bookmarkStart w:id="123" w:name="_Toc184312072"/>
      <w:bookmarkEnd w:id="123"/>
      <w:bookmarkStart w:id="124" w:name="_Toc184308105"/>
      <w:bookmarkEnd w:id="124"/>
      <w:bookmarkStart w:id="125" w:name="_Toc184313302"/>
      <w:bookmarkEnd w:id="125"/>
      <w:bookmarkStart w:id="126" w:name="_Toc184313308"/>
      <w:bookmarkEnd w:id="126"/>
      <w:bookmarkStart w:id="127" w:name="_Toc184310314"/>
      <w:bookmarkEnd w:id="127"/>
      <w:bookmarkStart w:id="128" w:name="_Toc184310292"/>
      <w:bookmarkEnd w:id="128"/>
      <w:bookmarkStart w:id="129" w:name="_Toc184313243"/>
      <w:bookmarkEnd w:id="129"/>
      <w:bookmarkStart w:id="130" w:name="_Toc184314419"/>
      <w:bookmarkEnd w:id="130"/>
      <w:bookmarkStart w:id="131" w:name="_Toc184312119"/>
      <w:bookmarkEnd w:id="131"/>
      <w:bookmarkStart w:id="132" w:name="_Toc184312078"/>
      <w:bookmarkEnd w:id="132"/>
      <w:bookmarkStart w:id="133" w:name="_Toc184313261"/>
      <w:bookmarkEnd w:id="133"/>
      <w:bookmarkStart w:id="134" w:name="_Toc184312114"/>
      <w:bookmarkEnd w:id="134"/>
      <w:bookmarkStart w:id="135" w:name="_Toc184314471"/>
      <w:bookmarkEnd w:id="135"/>
      <w:bookmarkStart w:id="136" w:name="_Toc184312122"/>
      <w:bookmarkEnd w:id="136"/>
      <w:bookmarkStart w:id="137" w:name="_Toc184308067"/>
      <w:bookmarkEnd w:id="137"/>
      <w:bookmarkStart w:id="138" w:name="_Toc184312089"/>
      <w:bookmarkEnd w:id="138"/>
      <w:bookmarkStart w:id="139" w:name="_Toc184310332"/>
      <w:bookmarkEnd w:id="139"/>
      <w:bookmarkStart w:id="140" w:name="_Toc184310317"/>
      <w:bookmarkEnd w:id="140"/>
      <w:bookmarkStart w:id="141" w:name="_Toc184312100"/>
      <w:bookmarkEnd w:id="141"/>
      <w:bookmarkStart w:id="142" w:name="_Toc184310339"/>
      <w:bookmarkEnd w:id="142"/>
      <w:bookmarkStart w:id="143" w:name="_Toc184313292"/>
      <w:bookmarkEnd w:id="143"/>
      <w:bookmarkStart w:id="144" w:name="_Toc184313244"/>
      <w:bookmarkEnd w:id="144"/>
      <w:bookmarkStart w:id="145" w:name="_Toc184313273"/>
      <w:bookmarkEnd w:id="145"/>
      <w:bookmarkStart w:id="146" w:name="_Toc184308100"/>
      <w:bookmarkEnd w:id="146"/>
      <w:bookmarkStart w:id="147" w:name="_Toc184312087"/>
      <w:bookmarkEnd w:id="147"/>
      <w:bookmarkStart w:id="148" w:name="_Toc184312097"/>
      <w:bookmarkEnd w:id="148"/>
      <w:bookmarkStart w:id="149" w:name="_Toc184312109"/>
      <w:bookmarkEnd w:id="149"/>
      <w:bookmarkStart w:id="150" w:name="_Toc184314444"/>
      <w:bookmarkEnd w:id="150"/>
      <w:bookmarkStart w:id="151" w:name="_Toc184308056"/>
      <w:bookmarkEnd w:id="151"/>
      <w:bookmarkStart w:id="152" w:name="_Toc184314436"/>
      <w:bookmarkEnd w:id="152"/>
      <w:bookmarkStart w:id="153" w:name="_Toc184314454"/>
      <w:bookmarkEnd w:id="153"/>
      <w:bookmarkStart w:id="154" w:name="_Toc184310324"/>
      <w:bookmarkEnd w:id="154"/>
      <w:bookmarkStart w:id="155" w:name="_Toc184310301"/>
      <w:bookmarkEnd w:id="155"/>
      <w:bookmarkStart w:id="156" w:name="_Toc184308062"/>
      <w:bookmarkEnd w:id="156"/>
      <w:bookmarkStart w:id="157" w:name="_Toc184312112"/>
      <w:bookmarkEnd w:id="157"/>
      <w:bookmarkStart w:id="158" w:name="_Toc184310283"/>
      <w:bookmarkEnd w:id="158"/>
      <w:bookmarkStart w:id="159" w:name="_Toc184312092"/>
      <w:bookmarkEnd w:id="159"/>
      <w:bookmarkStart w:id="160" w:name="_Toc184310341"/>
      <w:bookmarkEnd w:id="160"/>
      <w:bookmarkStart w:id="161" w:name="_Toc184308095"/>
      <w:bookmarkEnd w:id="161"/>
      <w:bookmarkStart w:id="162" w:name="_Toc184310315"/>
      <w:bookmarkEnd w:id="162"/>
      <w:bookmarkStart w:id="163" w:name="_Toc184313254"/>
      <w:bookmarkEnd w:id="163"/>
      <w:bookmarkStart w:id="164" w:name="_Toc184314464"/>
      <w:bookmarkEnd w:id="164"/>
      <w:bookmarkStart w:id="165" w:name="_Toc184312080"/>
      <w:bookmarkEnd w:id="165"/>
      <w:bookmarkStart w:id="166" w:name="_Toc184308057"/>
      <w:bookmarkEnd w:id="166"/>
      <w:bookmarkStart w:id="167" w:name="_Toc184308075"/>
      <w:bookmarkEnd w:id="167"/>
      <w:bookmarkStart w:id="168" w:name="_Toc184313239"/>
      <w:bookmarkEnd w:id="168"/>
      <w:bookmarkStart w:id="169" w:name="_Toc184310274"/>
      <w:bookmarkEnd w:id="169"/>
      <w:bookmarkStart w:id="170" w:name="_Toc184312076"/>
      <w:bookmarkEnd w:id="170"/>
      <w:bookmarkStart w:id="171" w:name="_Toc184312082"/>
      <w:bookmarkEnd w:id="171"/>
      <w:bookmarkStart w:id="172" w:name="_Toc184312113"/>
      <w:bookmarkEnd w:id="172"/>
      <w:bookmarkStart w:id="173" w:name="_Toc184314430"/>
      <w:bookmarkEnd w:id="173"/>
      <w:bookmarkStart w:id="174" w:name="_Toc184308061"/>
      <w:bookmarkEnd w:id="174"/>
      <w:bookmarkStart w:id="175" w:name="_Toc184308079"/>
      <w:bookmarkEnd w:id="175"/>
      <w:bookmarkStart w:id="176" w:name="_Toc184312079"/>
      <w:bookmarkEnd w:id="176"/>
      <w:bookmarkStart w:id="177" w:name="_Toc184312123"/>
      <w:bookmarkEnd w:id="177"/>
      <w:bookmarkStart w:id="178" w:name="_Toc184313304"/>
      <w:bookmarkEnd w:id="178"/>
      <w:bookmarkStart w:id="179" w:name="_Toc184312120"/>
      <w:bookmarkEnd w:id="179"/>
      <w:bookmarkStart w:id="180" w:name="_Toc184314466"/>
      <w:bookmarkEnd w:id="180"/>
      <w:bookmarkStart w:id="181" w:name="_Toc184310280"/>
      <w:bookmarkEnd w:id="181"/>
      <w:bookmarkStart w:id="182" w:name="_Toc184310331"/>
      <w:bookmarkEnd w:id="182"/>
      <w:bookmarkStart w:id="183" w:name="_Toc184308076"/>
      <w:bookmarkEnd w:id="183"/>
      <w:bookmarkStart w:id="184" w:name="_Toc184314458"/>
      <w:bookmarkEnd w:id="184"/>
      <w:bookmarkStart w:id="185" w:name="_Toc184313288"/>
      <w:bookmarkEnd w:id="185"/>
      <w:bookmarkStart w:id="186" w:name="_Toc184313255"/>
      <w:bookmarkEnd w:id="186"/>
      <w:bookmarkStart w:id="187" w:name="_Toc184314413"/>
      <w:bookmarkEnd w:id="187"/>
      <w:bookmarkStart w:id="188" w:name="_Toc184313253"/>
      <w:bookmarkEnd w:id="188"/>
      <w:bookmarkStart w:id="189" w:name="_Toc184314462"/>
      <w:bookmarkEnd w:id="189"/>
      <w:bookmarkStart w:id="190" w:name="_Toc184308098"/>
      <w:bookmarkEnd w:id="190"/>
      <w:bookmarkStart w:id="191" w:name="_Toc184308093"/>
      <w:bookmarkEnd w:id="191"/>
      <w:bookmarkStart w:id="192" w:name="_Toc184313281"/>
      <w:bookmarkEnd w:id="192"/>
      <w:bookmarkStart w:id="193" w:name="_Toc184312084"/>
      <w:bookmarkEnd w:id="193"/>
      <w:bookmarkStart w:id="194" w:name="_Toc184308080"/>
      <w:bookmarkEnd w:id="194"/>
      <w:bookmarkStart w:id="195" w:name="_Toc184310329"/>
      <w:bookmarkEnd w:id="195"/>
      <w:bookmarkStart w:id="196" w:name="_Toc184308102"/>
      <w:bookmarkEnd w:id="196"/>
      <w:bookmarkStart w:id="197" w:name="_Toc184313294"/>
      <w:bookmarkEnd w:id="197"/>
      <w:bookmarkStart w:id="198" w:name="_Toc184312094"/>
      <w:bookmarkEnd w:id="198"/>
      <w:bookmarkStart w:id="199" w:name="_Toc184313287"/>
      <w:bookmarkEnd w:id="199"/>
      <w:bookmarkStart w:id="200" w:name="_Toc184314416"/>
      <w:bookmarkEnd w:id="200"/>
      <w:bookmarkStart w:id="201" w:name="_Toc184310277"/>
      <w:bookmarkEnd w:id="201"/>
      <w:bookmarkStart w:id="202" w:name="_Toc184314448"/>
      <w:bookmarkEnd w:id="202"/>
      <w:bookmarkStart w:id="203" w:name="_Toc184313289"/>
      <w:bookmarkEnd w:id="203"/>
      <w:bookmarkStart w:id="204" w:name="_Toc184314415"/>
      <w:bookmarkEnd w:id="204"/>
      <w:bookmarkStart w:id="205" w:name="_Toc184313275"/>
      <w:bookmarkEnd w:id="205"/>
      <w:bookmarkStart w:id="206" w:name="_Toc184314428"/>
      <w:bookmarkEnd w:id="206"/>
      <w:bookmarkStart w:id="207" w:name="_Toc184312069"/>
      <w:bookmarkEnd w:id="207"/>
      <w:bookmarkStart w:id="208" w:name="_Toc184312081"/>
      <w:bookmarkEnd w:id="208"/>
      <w:bookmarkStart w:id="209" w:name="_Toc184312134"/>
      <w:bookmarkEnd w:id="209"/>
      <w:bookmarkStart w:id="210" w:name="_Toc184314453"/>
      <w:bookmarkEnd w:id="210"/>
      <w:bookmarkStart w:id="211" w:name="_Toc184314424"/>
      <w:bookmarkEnd w:id="211"/>
      <w:bookmarkStart w:id="212" w:name="_Toc184314426"/>
      <w:bookmarkEnd w:id="212"/>
      <w:bookmarkStart w:id="213" w:name="_Toc184312071"/>
      <w:bookmarkEnd w:id="213"/>
      <w:bookmarkStart w:id="214" w:name="_Toc184310312"/>
      <w:bookmarkEnd w:id="214"/>
      <w:bookmarkStart w:id="215" w:name="_Toc184308104"/>
      <w:bookmarkEnd w:id="215"/>
      <w:bookmarkStart w:id="216" w:name="_Toc184313296"/>
      <w:bookmarkEnd w:id="216"/>
      <w:bookmarkStart w:id="217" w:name="_Toc184312107"/>
      <w:bookmarkEnd w:id="217"/>
      <w:bookmarkStart w:id="218" w:name="_Toc184308053"/>
      <w:bookmarkEnd w:id="218"/>
      <w:bookmarkStart w:id="219" w:name="_Toc184314438"/>
      <w:bookmarkEnd w:id="219"/>
      <w:bookmarkStart w:id="220" w:name="_Toc184313242"/>
      <w:bookmarkEnd w:id="220"/>
      <w:bookmarkStart w:id="221" w:name="_Toc184313310"/>
      <w:bookmarkEnd w:id="221"/>
      <w:bookmarkStart w:id="222" w:name="_Toc184312128"/>
      <w:bookmarkEnd w:id="222"/>
      <w:bookmarkStart w:id="223" w:name="_Toc184310336"/>
      <w:bookmarkEnd w:id="223"/>
      <w:bookmarkStart w:id="224" w:name="_Toc184308055"/>
      <w:bookmarkEnd w:id="224"/>
      <w:bookmarkStart w:id="225" w:name="_Toc184313306"/>
      <w:bookmarkEnd w:id="225"/>
      <w:bookmarkStart w:id="226" w:name="_Toc184313285"/>
      <w:bookmarkEnd w:id="226"/>
      <w:bookmarkStart w:id="227" w:name="_Toc184312101"/>
      <w:bookmarkEnd w:id="227"/>
      <w:bookmarkStart w:id="228" w:name="_Toc184313263"/>
      <w:bookmarkEnd w:id="228"/>
      <w:bookmarkStart w:id="229" w:name="_Toc184310281"/>
      <w:bookmarkEnd w:id="229"/>
      <w:bookmarkStart w:id="230" w:name="_Toc184308058"/>
      <w:bookmarkEnd w:id="230"/>
      <w:bookmarkStart w:id="231" w:name="_Toc184314476"/>
      <w:bookmarkEnd w:id="231"/>
      <w:bookmarkStart w:id="232" w:name="_Toc184310328"/>
      <w:bookmarkEnd w:id="232"/>
      <w:bookmarkStart w:id="233" w:name="_Toc184313277"/>
      <w:bookmarkEnd w:id="233"/>
      <w:bookmarkStart w:id="234" w:name="_Toc184314468"/>
      <w:bookmarkEnd w:id="234"/>
      <w:bookmarkStart w:id="235" w:name="_Toc184308072"/>
      <w:bookmarkEnd w:id="235"/>
      <w:bookmarkStart w:id="236" w:name="_Toc184313259"/>
      <w:bookmarkEnd w:id="236"/>
      <w:bookmarkStart w:id="237" w:name="_Toc184310308"/>
      <w:bookmarkEnd w:id="237"/>
      <w:bookmarkStart w:id="238" w:name="_Toc184310294"/>
      <w:bookmarkEnd w:id="238"/>
      <w:bookmarkStart w:id="239" w:name="_Toc184313240"/>
      <w:bookmarkEnd w:id="239"/>
      <w:bookmarkStart w:id="240" w:name="_Toc184308048"/>
      <w:bookmarkEnd w:id="240"/>
      <w:bookmarkStart w:id="241" w:name="_Toc184310286"/>
      <w:bookmarkEnd w:id="241"/>
      <w:bookmarkStart w:id="242" w:name="_Toc184313303"/>
      <w:bookmarkEnd w:id="242"/>
      <w:bookmarkStart w:id="243" w:name="_Toc184313248"/>
      <w:bookmarkEnd w:id="243"/>
      <w:bookmarkStart w:id="244" w:name="_Toc184308092"/>
      <w:bookmarkEnd w:id="244"/>
      <w:bookmarkStart w:id="245" w:name="_Toc184310320"/>
      <w:bookmarkEnd w:id="245"/>
      <w:bookmarkStart w:id="246" w:name="_Toc184314467"/>
      <w:bookmarkEnd w:id="246"/>
      <w:bookmarkStart w:id="247" w:name="_Toc184310338"/>
      <w:bookmarkEnd w:id="247"/>
      <w:bookmarkStart w:id="248" w:name="_Toc184313300"/>
      <w:bookmarkEnd w:id="248"/>
      <w:bookmarkStart w:id="249" w:name="_Toc184313283"/>
      <w:bookmarkEnd w:id="249"/>
      <w:bookmarkStart w:id="250" w:name="_Toc184312135"/>
      <w:bookmarkEnd w:id="250"/>
      <w:bookmarkStart w:id="251" w:name="_Toc184308039"/>
      <w:bookmarkEnd w:id="251"/>
      <w:bookmarkStart w:id="252" w:name="_Toc184312127"/>
      <w:bookmarkEnd w:id="252"/>
      <w:bookmarkStart w:id="253" w:name="_Toc184314470"/>
      <w:bookmarkEnd w:id="253"/>
      <w:bookmarkStart w:id="254" w:name="_Toc184312095"/>
      <w:bookmarkEnd w:id="254"/>
      <w:bookmarkStart w:id="255" w:name="_Toc184312129"/>
      <w:bookmarkEnd w:id="255"/>
      <w:bookmarkStart w:id="256" w:name="_Toc184312126"/>
      <w:bookmarkEnd w:id="256"/>
      <w:bookmarkStart w:id="257" w:name="_Toc184313299"/>
      <w:bookmarkEnd w:id="257"/>
      <w:bookmarkStart w:id="258" w:name="_Toc184312110"/>
      <w:bookmarkEnd w:id="258"/>
      <w:bookmarkStart w:id="259" w:name="_Toc184313247"/>
      <w:bookmarkEnd w:id="259"/>
      <w:bookmarkStart w:id="260" w:name="_Toc184312093"/>
      <w:bookmarkEnd w:id="260"/>
      <w:bookmarkStart w:id="261" w:name="_Toc184314449"/>
      <w:bookmarkEnd w:id="261"/>
      <w:bookmarkStart w:id="262" w:name="_Toc184312125"/>
      <w:bookmarkEnd w:id="262"/>
      <w:bookmarkStart w:id="263" w:name="_Toc184312136"/>
      <w:bookmarkEnd w:id="263"/>
      <w:bookmarkStart w:id="264" w:name="_Toc184310300"/>
      <w:bookmarkEnd w:id="264"/>
      <w:bookmarkStart w:id="265" w:name="_Toc184312090"/>
      <w:bookmarkEnd w:id="265"/>
      <w:bookmarkStart w:id="266" w:name="_Toc184308070"/>
      <w:bookmarkEnd w:id="266"/>
      <w:bookmarkStart w:id="267" w:name="_Toc184314461"/>
      <w:bookmarkEnd w:id="267"/>
      <w:bookmarkStart w:id="268" w:name="_Toc184314451"/>
      <w:bookmarkEnd w:id="268"/>
      <w:bookmarkStart w:id="269" w:name="_Toc184310316"/>
      <w:bookmarkEnd w:id="269"/>
      <w:bookmarkStart w:id="270" w:name="_Toc184312106"/>
      <w:bookmarkEnd w:id="270"/>
      <w:bookmarkStart w:id="271" w:name="_Toc184313249"/>
      <w:bookmarkEnd w:id="271"/>
      <w:bookmarkStart w:id="272" w:name="_Toc184312091"/>
      <w:bookmarkEnd w:id="272"/>
      <w:bookmarkStart w:id="273" w:name="_Toc184314482"/>
      <w:bookmarkEnd w:id="273"/>
      <w:bookmarkStart w:id="274" w:name="_Toc184312130"/>
      <w:bookmarkEnd w:id="274"/>
      <w:bookmarkStart w:id="275" w:name="_Toc184310303"/>
      <w:bookmarkEnd w:id="275"/>
      <w:bookmarkStart w:id="276" w:name="_Toc184312111"/>
      <w:bookmarkEnd w:id="276"/>
      <w:bookmarkStart w:id="277" w:name="_Toc184314479"/>
      <w:bookmarkEnd w:id="277"/>
      <w:bookmarkStart w:id="278" w:name="_Toc184310302"/>
      <w:bookmarkEnd w:id="278"/>
      <w:bookmarkStart w:id="279" w:name="_Toc184314473"/>
      <w:bookmarkEnd w:id="279"/>
      <w:bookmarkStart w:id="280" w:name="_Toc184308054"/>
      <w:bookmarkEnd w:id="280"/>
      <w:bookmarkStart w:id="281" w:name="_Toc184314418"/>
      <w:bookmarkEnd w:id="281"/>
      <w:bookmarkStart w:id="282" w:name="_Toc184314446"/>
      <w:bookmarkEnd w:id="282"/>
      <w:bookmarkStart w:id="283" w:name="_Toc184308077"/>
      <w:bookmarkEnd w:id="283"/>
      <w:bookmarkStart w:id="284" w:name="_Toc184314443"/>
      <w:bookmarkEnd w:id="284"/>
      <w:bookmarkStart w:id="285" w:name="_Toc184308103"/>
      <w:bookmarkEnd w:id="285"/>
      <w:bookmarkStart w:id="286" w:name="_Toc184313286"/>
      <w:bookmarkEnd w:id="286"/>
      <w:bookmarkStart w:id="287" w:name="_Toc184314450"/>
      <w:bookmarkEnd w:id="287"/>
      <w:bookmarkStart w:id="288" w:name="_Toc184312139"/>
      <w:bookmarkEnd w:id="288"/>
      <w:bookmarkStart w:id="289" w:name="_Toc184313241"/>
      <w:bookmarkEnd w:id="289"/>
      <w:bookmarkStart w:id="290" w:name="_Toc184312103"/>
      <w:bookmarkEnd w:id="290"/>
      <w:bookmarkStart w:id="291" w:name="_Toc184308065"/>
      <w:bookmarkEnd w:id="291"/>
      <w:bookmarkStart w:id="292" w:name="_Toc184313260"/>
      <w:bookmarkEnd w:id="292"/>
      <w:bookmarkStart w:id="293" w:name="_Toc184308099"/>
      <w:bookmarkEnd w:id="293"/>
      <w:bookmarkStart w:id="294" w:name="_Toc184314425"/>
      <w:bookmarkEnd w:id="294"/>
      <w:bookmarkStart w:id="295" w:name="_Toc184313269"/>
      <w:bookmarkEnd w:id="295"/>
      <w:bookmarkStart w:id="296" w:name="_Toc184312077"/>
      <w:bookmarkEnd w:id="296"/>
      <w:bookmarkStart w:id="297" w:name="_Toc184312074"/>
      <w:bookmarkEnd w:id="297"/>
      <w:bookmarkStart w:id="298" w:name="_Toc184314465"/>
      <w:bookmarkEnd w:id="298"/>
      <w:bookmarkStart w:id="299" w:name="_Toc184313278"/>
      <w:bookmarkEnd w:id="299"/>
      <w:bookmarkStart w:id="300" w:name="_Toc184314455"/>
      <w:bookmarkEnd w:id="300"/>
      <w:bookmarkStart w:id="301" w:name="_Toc184310284"/>
      <w:bookmarkEnd w:id="301"/>
      <w:bookmarkStart w:id="302" w:name="_Toc184308090"/>
      <w:bookmarkEnd w:id="302"/>
      <w:bookmarkStart w:id="303" w:name="_Toc184310323"/>
      <w:bookmarkEnd w:id="303"/>
      <w:bookmarkStart w:id="304" w:name="_Toc184313251"/>
      <w:bookmarkEnd w:id="304"/>
      <w:bookmarkStart w:id="305" w:name="_Toc184308089"/>
      <w:bookmarkEnd w:id="305"/>
      <w:bookmarkStart w:id="306" w:name="_Toc184314478"/>
      <w:bookmarkEnd w:id="306"/>
      <w:bookmarkStart w:id="307" w:name="_Toc184308064"/>
      <w:bookmarkEnd w:id="307"/>
      <w:bookmarkStart w:id="308" w:name="_Toc184312067"/>
      <w:bookmarkEnd w:id="308"/>
      <w:bookmarkStart w:id="309" w:name="_Toc184310340"/>
      <w:bookmarkEnd w:id="309"/>
      <w:bookmarkStart w:id="310" w:name="_Toc184308041"/>
      <w:bookmarkEnd w:id="310"/>
      <w:bookmarkStart w:id="311" w:name="_Toc184312086"/>
      <w:bookmarkEnd w:id="311"/>
      <w:bookmarkStart w:id="312" w:name="_Toc184310311"/>
      <w:bookmarkEnd w:id="312"/>
      <w:bookmarkStart w:id="313" w:name="_Toc184313270"/>
      <w:bookmarkEnd w:id="313"/>
      <w:bookmarkStart w:id="314" w:name="_Toc184313245"/>
      <w:bookmarkEnd w:id="314"/>
      <w:bookmarkStart w:id="315" w:name="_Toc184314442"/>
      <w:bookmarkEnd w:id="315"/>
      <w:bookmarkStart w:id="316" w:name="_Toc184312105"/>
      <w:bookmarkEnd w:id="316"/>
      <w:bookmarkStart w:id="317" w:name="_Toc184312121"/>
      <w:bookmarkEnd w:id="317"/>
      <w:bookmarkStart w:id="318" w:name="_Toc184314480"/>
      <w:bookmarkEnd w:id="318"/>
      <w:bookmarkStart w:id="319" w:name="_Toc184308044"/>
      <w:bookmarkEnd w:id="319"/>
      <w:bookmarkStart w:id="320" w:name="_Toc184313258"/>
      <w:bookmarkEnd w:id="320"/>
      <w:bookmarkStart w:id="321" w:name="_Toc184314441"/>
      <w:bookmarkEnd w:id="321"/>
      <w:bookmarkStart w:id="322" w:name="_Toc184314431"/>
      <w:bookmarkEnd w:id="322"/>
      <w:bookmarkStart w:id="323" w:name="_Toc184308059"/>
      <w:bookmarkEnd w:id="323"/>
      <w:bookmarkStart w:id="324" w:name="_Toc184312083"/>
      <w:bookmarkEnd w:id="324"/>
      <w:bookmarkStart w:id="325" w:name="_Toc184313262"/>
      <w:bookmarkEnd w:id="325"/>
      <w:bookmarkStart w:id="326" w:name="_Toc184310333"/>
      <w:bookmarkEnd w:id="326"/>
      <w:bookmarkStart w:id="327" w:name="_Toc184308063"/>
      <w:bookmarkEnd w:id="327"/>
      <w:bookmarkStart w:id="328" w:name="_Toc184314410"/>
      <w:bookmarkEnd w:id="328"/>
      <w:bookmarkStart w:id="329" w:name="_Toc184313257"/>
      <w:bookmarkEnd w:id="329"/>
      <w:bookmarkStart w:id="330" w:name="_Toc184310273"/>
      <w:bookmarkEnd w:id="330"/>
      <w:bookmarkStart w:id="331" w:name="_Toc184314481"/>
      <w:bookmarkEnd w:id="331"/>
      <w:bookmarkStart w:id="332" w:name="_Toc184314445"/>
      <w:bookmarkEnd w:id="332"/>
      <w:bookmarkStart w:id="333" w:name="_Toc184308081"/>
      <w:bookmarkEnd w:id="333"/>
      <w:bookmarkStart w:id="334" w:name="_Toc184314434"/>
      <w:bookmarkEnd w:id="334"/>
      <w:bookmarkStart w:id="335" w:name="_Toc184308094"/>
      <w:bookmarkEnd w:id="335"/>
      <w:bookmarkStart w:id="336" w:name="_Toc184310342"/>
      <w:bookmarkEnd w:id="336"/>
      <w:bookmarkStart w:id="337" w:name="_Toc184308071"/>
      <w:bookmarkEnd w:id="337"/>
      <w:bookmarkStart w:id="338" w:name="_Toc184313295"/>
      <w:bookmarkEnd w:id="338"/>
      <w:bookmarkStart w:id="339" w:name="_Toc184310304"/>
      <w:bookmarkEnd w:id="339"/>
      <w:bookmarkStart w:id="340" w:name="_Toc184313284"/>
      <w:bookmarkEnd w:id="340"/>
      <w:bookmarkStart w:id="341" w:name="_Toc184314452"/>
      <w:bookmarkEnd w:id="341"/>
      <w:bookmarkStart w:id="342" w:name="_Toc184310276"/>
      <w:bookmarkEnd w:id="342"/>
      <w:bookmarkStart w:id="343" w:name="_Toc184310275"/>
      <w:bookmarkEnd w:id="343"/>
      <w:bookmarkStart w:id="344" w:name="_Toc184313293"/>
      <w:bookmarkEnd w:id="344"/>
      <w:bookmarkStart w:id="345" w:name="_Toc184313274"/>
      <w:bookmarkEnd w:id="345"/>
      <w:bookmarkStart w:id="346" w:name="_Toc184310297"/>
      <w:bookmarkEnd w:id="346"/>
      <w:bookmarkStart w:id="347" w:name="_Toc184310288"/>
      <w:bookmarkEnd w:id="347"/>
      <w:bookmarkStart w:id="348" w:name="_Toc184308106"/>
      <w:bookmarkEnd w:id="348"/>
      <w:bookmarkStart w:id="349" w:name="_Toc184314463"/>
      <w:bookmarkEnd w:id="349"/>
      <w:bookmarkStart w:id="350" w:name="_Toc184308108"/>
      <w:bookmarkEnd w:id="350"/>
      <w:bookmarkStart w:id="351" w:name="_Toc184312096"/>
      <w:bookmarkEnd w:id="351"/>
      <w:bookmarkStart w:id="352" w:name="_Toc184312124"/>
      <w:bookmarkEnd w:id="352"/>
      <w:bookmarkStart w:id="353" w:name="_Toc184308078"/>
      <w:bookmarkEnd w:id="353"/>
      <w:bookmarkStart w:id="354" w:name="_Toc184313256"/>
      <w:bookmarkEnd w:id="354"/>
      <w:bookmarkStart w:id="355" w:name="_Toc184314422"/>
      <w:bookmarkEnd w:id="355"/>
      <w:bookmarkStart w:id="356" w:name="_Toc184314472"/>
      <w:bookmarkEnd w:id="356"/>
      <w:bookmarkStart w:id="357" w:name="_Toc184313272"/>
      <w:bookmarkEnd w:id="357"/>
      <w:bookmarkStart w:id="358" w:name="_Toc184308074"/>
      <w:bookmarkEnd w:id="358"/>
      <w:bookmarkStart w:id="359" w:name="_Toc184308047"/>
      <w:bookmarkEnd w:id="359"/>
      <w:bookmarkStart w:id="360" w:name="_Toc184310310"/>
      <w:bookmarkEnd w:id="360"/>
      <w:bookmarkStart w:id="361" w:name="_Toc184313309"/>
      <w:bookmarkEnd w:id="361"/>
      <w:bookmarkStart w:id="362" w:name="_Toc184312088"/>
      <w:bookmarkEnd w:id="362"/>
      <w:bookmarkStart w:id="363" w:name="_Toc184312098"/>
      <w:bookmarkEnd w:id="363"/>
      <w:bookmarkStart w:id="364" w:name="_Toc184314435"/>
      <w:bookmarkEnd w:id="364"/>
      <w:bookmarkStart w:id="365" w:name="_Toc184310325"/>
      <w:bookmarkEnd w:id="365"/>
      <w:bookmarkStart w:id="366" w:name="_Toc184312137"/>
      <w:bookmarkEnd w:id="366"/>
      <w:bookmarkStart w:id="367" w:name="_Toc184314420"/>
      <w:bookmarkEnd w:id="367"/>
      <w:bookmarkStart w:id="368" w:name="_Toc184312075"/>
      <w:bookmarkEnd w:id="368"/>
      <w:bookmarkStart w:id="369" w:name="_Toc184308043"/>
      <w:bookmarkEnd w:id="369"/>
      <w:bookmarkStart w:id="370" w:name="_Toc184312099"/>
      <w:bookmarkEnd w:id="370"/>
      <w:bookmarkStart w:id="371" w:name="_Toc184312118"/>
      <w:bookmarkEnd w:id="371"/>
      <w:bookmarkStart w:id="372" w:name="_Toc184313298"/>
      <w:bookmarkEnd w:id="372"/>
      <w:bookmarkStart w:id="373" w:name="_Toc184312138"/>
      <w:bookmarkEnd w:id="373"/>
      <w:bookmarkStart w:id="374" w:name="_Toc184308060"/>
      <w:bookmarkEnd w:id="374"/>
      <w:bookmarkStart w:id="375" w:name="_Toc184310272"/>
      <w:bookmarkEnd w:id="375"/>
      <w:bookmarkStart w:id="376" w:name="_Toc184314427"/>
      <w:bookmarkEnd w:id="376"/>
      <w:bookmarkStart w:id="377" w:name="_Toc184310299"/>
      <w:bookmarkEnd w:id="377"/>
      <w:bookmarkStart w:id="378" w:name="_Toc184313301"/>
      <w:bookmarkEnd w:id="378"/>
      <w:bookmarkStart w:id="379" w:name="_Toc184314456"/>
      <w:bookmarkEnd w:id="379"/>
      <w:bookmarkStart w:id="380" w:name="_Toc184310321"/>
      <w:bookmarkEnd w:id="380"/>
      <w:bookmarkStart w:id="381" w:name="_Toc184308038"/>
      <w:bookmarkEnd w:id="381"/>
      <w:bookmarkStart w:id="382" w:name="_Toc184313305"/>
      <w:bookmarkEnd w:id="382"/>
      <w:bookmarkStart w:id="383" w:name="_Toc184310290"/>
      <w:bookmarkEnd w:id="383"/>
      <w:bookmarkStart w:id="384" w:name="_Toc184310285"/>
      <w:bookmarkEnd w:id="384"/>
      <w:bookmarkStart w:id="385" w:name="_Toc184313297"/>
      <w:bookmarkEnd w:id="385"/>
      <w:bookmarkStart w:id="386" w:name="_Toc184308051"/>
      <w:bookmarkEnd w:id="386"/>
      <w:bookmarkStart w:id="387" w:name="_Toc184313266"/>
      <w:bookmarkEnd w:id="387"/>
      <w:bookmarkStart w:id="388" w:name="_Toc184308050"/>
      <w:bookmarkEnd w:id="388"/>
      <w:bookmarkStart w:id="389" w:name="_Toc184312068"/>
      <w:bookmarkEnd w:id="389"/>
      <w:bookmarkStart w:id="390" w:name="_Toc184310291"/>
      <w:bookmarkEnd w:id="390"/>
      <w:bookmarkStart w:id="391" w:name="_Toc184308083"/>
      <w:bookmarkEnd w:id="391"/>
      <w:bookmarkStart w:id="392" w:name="_Toc184313290"/>
      <w:bookmarkEnd w:id="392"/>
      <w:r>
        <w:rPr>
          <w:rFonts w:hint="eastAsia" w:ascii="宋体" w:hAnsi="宋体" w:cs="宋体"/>
          <w:b/>
          <w:sz w:val="36"/>
          <w:szCs w:val="36"/>
        </w:rPr>
        <w:t>磋商原则和程序</w:t>
      </w:r>
    </w:p>
    <w:p>
      <w:pPr>
        <w:pStyle w:val="7"/>
        <w:snapToGrid w:val="0"/>
        <w:spacing w:before="0" w:after="0" w:line="360" w:lineRule="auto"/>
        <w:ind w:left="105" w:leftChars="50" w:firstLine="361" w:firstLineChars="150"/>
        <w:rPr>
          <w:rFonts w:ascii="宋体" w:hAnsi="宋体"/>
          <w:sz w:val="24"/>
          <w:szCs w:val="24"/>
        </w:rPr>
      </w:pPr>
      <w:bookmarkStart w:id="393" w:name="_Toc48147030"/>
      <w:r>
        <w:rPr>
          <w:rFonts w:ascii="宋体" w:hAnsi="宋体"/>
          <w:sz w:val="24"/>
          <w:szCs w:val="24"/>
        </w:rPr>
        <w:t>一</w:t>
      </w:r>
      <w:r>
        <w:rPr>
          <w:rFonts w:hint="eastAsia" w:ascii="宋体" w:hAnsi="宋体"/>
          <w:sz w:val="24"/>
          <w:szCs w:val="24"/>
        </w:rPr>
        <w:t>、</w:t>
      </w:r>
      <w:r>
        <w:rPr>
          <w:rFonts w:ascii="宋体" w:hAnsi="宋体"/>
          <w:sz w:val="24"/>
          <w:szCs w:val="24"/>
        </w:rPr>
        <w:t>磋商形式</w:t>
      </w:r>
      <w:bookmarkEnd w:id="393"/>
    </w:p>
    <w:p>
      <w:pPr>
        <w:pStyle w:val="34"/>
        <w:snapToGrid w:val="0"/>
        <w:spacing w:line="360" w:lineRule="auto"/>
        <w:ind w:firstLine="480" w:firstLineChars="200"/>
        <w:rPr>
          <w:rFonts w:hAnsi="宋体"/>
          <w:bCs/>
          <w:sz w:val="24"/>
          <w:szCs w:val="24"/>
        </w:rPr>
      </w:pPr>
      <w:r>
        <w:rPr>
          <w:rFonts w:hAnsi="宋体"/>
          <w:sz w:val="24"/>
          <w:szCs w:val="24"/>
        </w:rPr>
        <w:t>采购组织机构将按照采购文件规定的时间通过“政府采购云平台”组织在线磋商，所有供应商均应当准时在线参加。供应商自行承担因不参加在线磋商而产生的不利后果。</w:t>
      </w:r>
    </w:p>
    <w:p>
      <w:pPr>
        <w:pStyle w:val="34"/>
        <w:snapToGrid w:val="0"/>
        <w:spacing w:line="360" w:lineRule="auto"/>
        <w:ind w:left="719" w:leftChars="228" w:hanging="240" w:hangingChars="100"/>
        <w:rPr>
          <w:rFonts w:hAnsi="宋体"/>
          <w:b/>
          <w:sz w:val="24"/>
          <w:szCs w:val="24"/>
        </w:rPr>
      </w:pPr>
      <w:r>
        <w:rPr>
          <w:rFonts w:hAnsi="宋体"/>
          <w:sz w:val="24"/>
          <w:szCs w:val="24"/>
        </w:rPr>
        <w:t>二</w:t>
      </w:r>
      <w:r>
        <w:rPr>
          <w:rFonts w:hint="eastAsia" w:hAnsi="宋体"/>
          <w:sz w:val="24"/>
          <w:szCs w:val="24"/>
        </w:rPr>
        <w:t>、</w:t>
      </w:r>
      <w:r>
        <w:rPr>
          <w:rFonts w:hAnsi="宋体"/>
          <w:b/>
          <w:sz w:val="24"/>
          <w:szCs w:val="24"/>
        </w:rPr>
        <w:t>磋商程序</w:t>
      </w:r>
    </w:p>
    <w:p>
      <w:pPr>
        <w:snapToGrid w:val="0"/>
        <w:spacing w:line="360" w:lineRule="auto"/>
        <w:ind w:firstLine="480" w:firstLineChars="200"/>
        <w:rPr>
          <w:rFonts w:ascii="宋体" w:hAnsi="宋体"/>
          <w:sz w:val="24"/>
        </w:rPr>
      </w:pPr>
      <w:r>
        <w:rPr>
          <w:rFonts w:ascii="宋体" w:hAnsi="宋体"/>
          <w:sz w:val="24"/>
        </w:rPr>
        <w:t>1.向各供应商发出电子加密响应文件【开始解密】通知，各供应商代表应当在接到解密通知后</w:t>
      </w:r>
      <w:r>
        <w:rPr>
          <w:rFonts w:ascii="宋体" w:hAnsi="宋体"/>
          <w:i/>
          <w:sz w:val="24"/>
          <w:u w:val="single"/>
        </w:rPr>
        <w:t>30</w:t>
      </w:r>
      <w:r>
        <w:rPr>
          <w:rFonts w:ascii="宋体" w:hAnsi="宋体"/>
          <w:sz w:val="24"/>
        </w:rPr>
        <w:t>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w:t>
      </w:r>
      <w:r>
        <w:rPr>
          <w:rFonts w:hint="eastAsia" w:ascii="宋体" w:hAnsi="宋体"/>
          <w:sz w:val="24"/>
        </w:rPr>
        <w:t>；</w:t>
      </w:r>
      <w:r>
        <w:rPr>
          <w:rFonts w:ascii="宋体" w:hAnsi="宋体"/>
          <w:sz w:val="24"/>
        </w:rPr>
        <w:t xml:space="preserve"> 在“政府采购云平台”正常运行情况下，“电子备份响应文件”无法上传至“政府采购云平台”的，视为响应文件撤回。如供应商未按规定递交“电子备份响应文件”的，视为响应文件撤回。</w:t>
      </w:r>
    </w:p>
    <w:p>
      <w:pPr>
        <w:snapToGrid w:val="0"/>
        <w:spacing w:line="360" w:lineRule="auto"/>
        <w:ind w:firstLine="480" w:firstLineChars="200"/>
        <w:rPr>
          <w:rFonts w:ascii="宋体" w:hAnsi="宋体"/>
          <w:sz w:val="24"/>
        </w:rPr>
      </w:pPr>
      <w:r>
        <w:rPr>
          <w:rFonts w:ascii="宋体" w:hAnsi="宋体"/>
          <w:sz w:val="24"/>
        </w:rPr>
        <w:t>2.在评审专家中推选</w:t>
      </w:r>
      <w:r>
        <w:rPr>
          <w:rFonts w:hint="eastAsia" w:ascii="宋体" w:hAnsi="宋体"/>
          <w:sz w:val="24"/>
        </w:rPr>
        <w:t>磋商</w:t>
      </w:r>
      <w:r>
        <w:rPr>
          <w:rFonts w:ascii="宋体" w:hAnsi="宋体"/>
          <w:sz w:val="24"/>
        </w:rPr>
        <w:t>小组组长。</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磋商</w:t>
      </w:r>
      <w:r>
        <w:rPr>
          <w:rFonts w:ascii="宋体" w:hAnsi="宋体"/>
          <w:sz w:val="24"/>
        </w:rPr>
        <w:t>小组组长召集成员认真阅读采购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ascii="宋体" w:hAnsi="宋体"/>
          <w:sz w:val="24"/>
        </w:rPr>
      </w:pPr>
      <w:r>
        <w:rPr>
          <w:rFonts w:ascii="宋体" w:hAnsi="宋体"/>
          <w:sz w:val="24"/>
        </w:rPr>
        <w:t>4.磋商小组所有成员</w:t>
      </w:r>
      <w:r>
        <w:rPr>
          <w:rFonts w:hint="eastAsia" w:ascii="宋体" w:hAnsi="宋体"/>
          <w:sz w:val="24"/>
        </w:rPr>
        <w:t>视情况决定是否</w:t>
      </w:r>
      <w:r>
        <w:rPr>
          <w:rFonts w:ascii="宋体" w:hAnsi="宋体"/>
          <w:sz w:val="24"/>
        </w:rPr>
        <w:t>通过电子交易平台集中与单一供应商分别进行磋商，并给予所有参加磋商的供应商平等的磋商机会。</w:t>
      </w:r>
    </w:p>
    <w:p>
      <w:pPr>
        <w:snapToGrid w:val="0"/>
        <w:spacing w:line="360" w:lineRule="auto"/>
        <w:ind w:firstLine="480" w:firstLineChars="200"/>
        <w:rPr>
          <w:rFonts w:ascii="宋体" w:hAnsi="宋体"/>
          <w:sz w:val="24"/>
        </w:rPr>
      </w:pPr>
      <w:r>
        <w:rPr>
          <w:rFonts w:ascii="宋体" w:hAnsi="宋体"/>
          <w:sz w:val="24"/>
        </w:rPr>
        <w:t>5.磋商小组可以根据与供应商磋商情况对采购需求中的技术、服务要求以及合同草案条款作出实质性变动。</w:t>
      </w:r>
    </w:p>
    <w:p>
      <w:pPr>
        <w:snapToGrid w:val="0"/>
        <w:spacing w:line="360" w:lineRule="auto"/>
        <w:ind w:firstLine="480" w:firstLineChars="200"/>
        <w:rPr>
          <w:rFonts w:ascii="宋体" w:hAnsi="宋体"/>
          <w:sz w:val="24"/>
        </w:rPr>
      </w:pPr>
      <w:r>
        <w:rPr>
          <w:rFonts w:ascii="宋体" w:hAnsi="宋体"/>
          <w:sz w:val="24"/>
        </w:rPr>
        <w:t>6.作出实质性变动的，磋商小组应当及时通过电子交易平台通知所有参加磋商的供应商。</w:t>
      </w:r>
      <w:r>
        <w:rPr>
          <w:rFonts w:hint="eastAsia" w:ascii="宋体" w:hAnsi="宋体"/>
          <w:sz w:val="24"/>
        </w:rPr>
        <w:t>未</w:t>
      </w:r>
      <w:r>
        <w:rPr>
          <w:rFonts w:ascii="宋体" w:hAnsi="宋体"/>
          <w:sz w:val="24"/>
        </w:rPr>
        <w:t>作出实质性变动的</w:t>
      </w:r>
      <w:r>
        <w:rPr>
          <w:rFonts w:hint="eastAsia" w:ascii="宋体" w:hAnsi="宋体"/>
          <w:sz w:val="24"/>
        </w:rPr>
        <w:t>不予通知。</w:t>
      </w:r>
    </w:p>
    <w:p>
      <w:pPr>
        <w:snapToGrid w:val="0"/>
        <w:spacing w:line="360" w:lineRule="auto"/>
        <w:ind w:firstLine="480" w:firstLineChars="200"/>
        <w:rPr>
          <w:rFonts w:ascii="宋体" w:hAnsi="宋体"/>
          <w:sz w:val="24"/>
        </w:rPr>
      </w:pPr>
      <w:r>
        <w:rPr>
          <w:rFonts w:ascii="宋体" w:hAnsi="宋体"/>
          <w:sz w:val="24"/>
        </w:rPr>
        <w:t>7.供应商应当按照采购文件的变动情况和磋商小组的要求作出书面响应或重新提交响应文件。供应商在收到通知后，应当在</w:t>
      </w:r>
      <w:r>
        <w:rPr>
          <w:rFonts w:ascii="宋体" w:hAnsi="宋体"/>
          <w:sz w:val="24"/>
          <w:u w:val="single"/>
        </w:rPr>
        <w:t>规定的时间</w:t>
      </w:r>
      <w:r>
        <w:rPr>
          <w:rFonts w:ascii="宋体" w:hAnsi="宋体"/>
          <w:sz w:val="24"/>
        </w:rPr>
        <w:t>内提交答复，否则视为供应商放弃响应，并</w:t>
      </w:r>
      <w:r>
        <w:rPr>
          <w:rFonts w:ascii="宋体" w:hAnsi="宋体"/>
          <w:kern w:val="0"/>
          <w:sz w:val="24"/>
        </w:rPr>
        <w:t>自行承担因此而产生的不利后果。</w:t>
      </w:r>
      <w:r>
        <w:rPr>
          <w:rFonts w:hint="eastAsia" w:ascii="宋体" w:hAnsi="宋体"/>
          <w:sz w:val="24"/>
        </w:rPr>
        <w:t>未</w:t>
      </w:r>
      <w:r>
        <w:rPr>
          <w:rFonts w:ascii="宋体" w:hAnsi="宋体"/>
          <w:sz w:val="24"/>
        </w:rPr>
        <w:t>作出实质性变动的</w:t>
      </w:r>
      <w:r>
        <w:rPr>
          <w:rFonts w:hint="eastAsia" w:ascii="宋体" w:hAnsi="宋体"/>
          <w:sz w:val="24"/>
        </w:rPr>
        <w:t>，不需要重新提交响应文件。</w:t>
      </w:r>
    </w:p>
    <w:p>
      <w:pPr>
        <w:snapToGrid w:val="0"/>
        <w:spacing w:line="360" w:lineRule="auto"/>
        <w:ind w:firstLine="480" w:firstLineChars="200"/>
        <w:rPr>
          <w:rFonts w:ascii="宋体" w:hAnsi="宋体"/>
          <w:sz w:val="24"/>
        </w:rPr>
      </w:pPr>
      <w:r>
        <w:rPr>
          <w:rFonts w:ascii="宋体" w:hAnsi="宋体"/>
          <w:sz w:val="24"/>
        </w:rPr>
        <w:t>8.</w:t>
      </w:r>
      <w:r>
        <w:rPr>
          <w:rFonts w:ascii="宋体" w:hAnsi="宋体"/>
          <w:kern w:val="0"/>
          <w:sz w:val="24"/>
        </w:rPr>
        <w:t>磋商结束后，</w:t>
      </w:r>
      <w:r>
        <w:rPr>
          <w:rFonts w:hint="eastAsia" w:ascii="宋体" w:hAnsi="宋体"/>
          <w:kern w:val="0"/>
          <w:sz w:val="24"/>
        </w:rPr>
        <w:t>磋商</w:t>
      </w:r>
      <w:r>
        <w:rPr>
          <w:rFonts w:ascii="宋体" w:hAnsi="宋体"/>
          <w:kern w:val="0"/>
          <w:sz w:val="24"/>
        </w:rPr>
        <w:t>小组应当要求</w:t>
      </w:r>
      <w:r>
        <w:rPr>
          <w:rFonts w:ascii="宋体" w:hAnsi="宋体"/>
          <w:sz w:val="24"/>
        </w:rPr>
        <w:t>实质上响应采购文件要求的</w:t>
      </w:r>
      <w:r>
        <w:rPr>
          <w:rFonts w:ascii="宋体" w:hAnsi="宋体"/>
          <w:kern w:val="0"/>
          <w:sz w:val="24"/>
        </w:rPr>
        <w:t>供应商在规定时间内</w:t>
      </w:r>
      <w:r>
        <w:rPr>
          <w:rFonts w:ascii="宋体" w:hAnsi="宋体"/>
          <w:sz w:val="24"/>
        </w:rPr>
        <w:t>通过电子交易平台</w:t>
      </w:r>
      <w:r>
        <w:rPr>
          <w:rFonts w:ascii="宋体" w:hAnsi="宋体"/>
          <w:kern w:val="0"/>
          <w:sz w:val="24"/>
        </w:rPr>
        <w:t>提交最后报价。</w:t>
      </w:r>
      <w:r>
        <w:rPr>
          <w:rFonts w:ascii="宋体" w:hAnsi="宋体"/>
          <w:sz w:val="24"/>
        </w:rPr>
        <w:t>供应商在收到通知后，应当在</w:t>
      </w:r>
      <w:r>
        <w:rPr>
          <w:rFonts w:ascii="宋体" w:hAnsi="宋体"/>
          <w:sz w:val="24"/>
          <w:u w:val="single"/>
        </w:rPr>
        <w:t>规定的时间</w:t>
      </w:r>
      <w:r>
        <w:rPr>
          <w:rFonts w:ascii="宋体" w:hAnsi="宋体"/>
          <w:sz w:val="24"/>
        </w:rPr>
        <w:t>内提交最后报价，否则视为退出磋商</w:t>
      </w:r>
      <w:r>
        <w:rPr>
          <w:rFonts w:ascii="宋体" w:hAnsi="宋体"/>
          <w:kern w:val="0"/>
          <w:sz w:val="24"/>
        </w:rPr>
        <w:t>。</w:t>
      </w:r>
    </w:p>
    <w:p>
      <w:pPr>
        <w:snapToGrid w:val="0"/>
        <w:spacing w:line="360" w:lineRule="auto"/>
        <w:ind w:firstLine="480" w:firstLineChars="200"/>
        <w:rPr>
          <w:rFonts w:ascii="宋体" w:hAnsi="宋体"/>
          <w:kern w:val="0"/>
          <w:sz w:val="24"/>
        </w:rPr>
      </w:pPr>
      <w:r>
        <w:rPr>
          <w:rFonts w:hint="eastAsia" w:ascii="宋体" w:hAnsi="宋体"/>
          <w:bCs/>
          <w:sz w:val="24"/>
        </w:rPr>
        <w:t>9</w:t>
      </w:r>
      <w:r>
        <w:rPr>
          <w:rFonts w:ascii="宋体" w:hAnsi="宋体"/>
          <w:bCs/>
          <w:sz w:val="24"/>
        </w:rPr>
        <w:t>.</w:t>
      </w:r>
      <w:r>
        <w:rPr>
          <w:rFonts w:ascii="宋体" w:hAnsi="宋体"/>
          <w:kern w:val="0"/>
          <w:sz w:val="24"/>
        </w:rPr>
        <w:t xml:space="preserve"> 磋商结束后，通过</w:t>
      </w:r>
      <w:r>
        <w:rPr>
          <w:rFonts w:ascii="宋体" w:hAnsi="宋体"/>
          <w:sz w:val="24"/>
        </w:rPr>
        <w:t>电子交易平台</w:t>
      </w:r>
      <w:r>
        <w:rPr>
          <w:rFonts w:ascii="宋体" w:hAnsi="宋体"/>
          <w:kern w:val="0"/>
          <w:sz w:val="24"/>
        </w:rPr>
        <w:t>公布中标候选供应商名单。</w:t>
      </w:r>
    </w:p>
    <w:p>
      <w:pPr>
        <w:snapToGrid w:val="0"/>
        <w:spacing w:line="360" w:lineRule="auto"/>
        <w:ind w:firstLine="482" w:firstLineChars="200"/>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澄清问题的形式</w:t>
      </w:r>
    </w:p>
    <w:p>
      <w:pPr>
        <w:autoSpaceDE w:val="0"/>
        <w:autoSpaceDN w:val="0"/>
        <w:spacing w:line="360" w:lineRule="auto"/>
        <w:ind w:firstLine="480" w:firstLineChars="200"/>
        <w:jc w:val="left"/>
        <w:rPr>
          <w:rFonts w:ascii="宋体" w:hAnsi="宋体"/>
          <w:sz w:val="24"/>
        </w:rPr>
      </w:pPr>
      <w:r>
        <w:rPr>
          <w:rFonts w:ascii="宋体" w:hAnsi="宋体"/>
          <w:sz w:val="24"/>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snapToGrid w:val="0"/>
        <w:spacing w:line="360" w:lineRule="auto"/>
        <w:ind w:firstLine="480" w:firstLineChars="200"/>
        <w:rPr>
          <w:rFonts w:ascii="宋体" w:hAnsi="宋体"/>
          <w:sz w:val="24"/>
        </w:rPr>
      </w:pPr>
      <w:r>
        <w:rPr>
          <w:rFonts w:ascii="宋体" w:hAnsi="宋体"/>
          <w:sz w:val="24"/>
        </w:rPr>
        <w:t>评审小组发出澄清内容后，供应商应当在</w:t>
      </w:r>
      <w:r>
        <w:rPr>
          <w:rFonts w:ascii="宋体" w:hAnsi="宋体"/>
          <w:sz w:val="24"/>
          <w:u w:val="single"/>
        </w:rPr>
        <w:t>规定的时间</w:t>
      </w:r>
      <w:r>
        <w:rPr>
          <w:rFonts w:ascii="宋体" w:hAnsi="宋体"/>
          <w:sz w:val="24"/>
        </w:rPr>
        <w:t>内提交澄清说明或补正，否则视为供应商放弃答复，并</w:t>
      </w:r>
      <w:r>
        <w:rPr>
          <w:rFonts w:ascii="宋体" w:hAnsi="宋体"/>
          <w:kern w:val="0"/>
          <w:sz w:val="24"/>
        </w:rPr>
        <w:t>自行承担因此而产生的不利后果。</w:t>
      </w:r>
    </w:p>
    <w:p>
      <w:pPr>
        <w:pStyle w:val="34"/>
        <w:snapToGrid w:val="0"/>
        <w:spacing w:line="360" w:lineRule="auto"/>
        <w:ind w:left="720" w:leftChars="228" w:hanging="241" w:hangingChars="100"/>
        <w:rPr>
          <w:rFonts w:hAnsi="宋体"/>
          <w:b/>
          <w:sz w:val="24"/>
          <w:szCs w:val="24"/>
        </w:rPr>
      </w:pPr>
      <w:r>
        <w:rPr>
          <w:rFonts w:hAnsi="宋体"/>
          <w:b/>
          <w:sz w:val="24"/>
          <w:szCs w:val="24"/>
        </w:rPr>
        <w:t>四</w:t>
      </w:r>
      <w:r>
        <w:rPr>
          <w:rFonts w:hint="eastAsia" w:hAnsi="宋体"/>
          <w:b/>
          <w:sz w:val="24"/>
          <w:szCs w:val="24"/>
        </w:rPr>
        <w:t>、</w:t>
      </w:r>
      <w:r>
        <w:rPr>
          <w:rFonts w:hAnsi="宋体"/>
          <w:b/>
          <w:sz w:val="24"/>
          <w:szCs w:val="24"/>
        </w:rPr>
        <w:t>错误修正</w:t>
      </w:r>
    </w:p>
    <w:p>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pPr>
        <w:snapToGrid w:val="0"/>
        <w:spacing w:line="360" w:lineRule="auto"/>
        <w:ind w:firstLine="480" w:firstLineChars="200"/>
        <w:rPr>
          <w:rFonts w:ascii="宋体" w:hAnsi="宋体"/>
          <w:sz w:val="24"/>
        </w:rPr>
      </w:pPr>
      <w:r>
        <w:rPr>
          <w:rFonts w:ascii="宋体" w:hAnsi="宋体"/>
          <w:sz w:val="24"/>
        </w:rPr>
        <w:t>1. 电子交易平台生成的报价记录表内容与响应文件中相应内容不一致的，以电子交易平台生成的报价记录表为准；</w:t>
      </w:r>
    </w:p>
    <w:p>
      <w:pPr>
        <w:snapToGrid w:val="0"/>
        <w:spacing w:line="360" w:lineRule="auto"/>
        <w:ind w:firstLine="480" w:firstLineChars="200"/>
        <w:rPr>
          <w:rFonts w:ascii="宋体" w:hAnsi="宋体"/>
          <w:sz w:val="24"/>
        </w:rPr>
      </w:pPr>
      <w:r>
        <w:rPr>
          <w:rFonts w:ascii="宋体" w:hAnsi="宋体"/>
          <w:sz w:val="24"/>
        </w:rPr>
        <w:t>2.响应文件的大写金额和小写金额不一致的，以大写金额为准；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3.单价金额小数点或百分比有明显错位的，以总价为准，并修改单价；</w:t>
      </w:r>
    </w:p>
    <w:p>
      <w:pPr>
        <w:snapToGrid w:val="0"/>
        <w:spacing w:line="360" w:lineRule="auto"/>
        <w:ind w:firstLine="480" w:firstLineChars="200"/>
        <w:rPr>
          <w:rFonts w:ascii="宋体" w:hAnsi="宋体"/>
          <w:sz w:val="24"/>
        </w:rPr>
      </w:pPr>
      <w:r>
        <w:rPr>
          <w:rFonts w:ascii="宋体" w:hAnsi="宋体"/>
          <w:sz w:val="24"/>
        </w:rPr>
        <w:t>4.总价金额与按单价汇总金额不一致的，以单价金额计算结果为准。</w:t>
      </w:r>
    </w:p>
    <w:p>
      <w:pPr>
        <w:snapToGrid w:val="0"/>
        <w:spacing w:line="360" w:lineRule="auto"/>
        <w:ind w:firstLine="480" w:firstLineChars="200"/>
        <w:rPr>
          <w:rFonts w:ascii="宋体" w:hAnsi="宋体"/>
          <w:sz w:val="24"/>
        </w:rPr>
      </w:pPr>
      <w:r>
        <w:rPr>
          <w:rFonts w:ascii="宋体" w:hAnsi="宋体"/>
          <w:sz w:val="24"/>
        </w:rPr>
        <w:t>同时出现两种以上不一致的，按照前款规定的顺序修正。评审小组应当通过电子交易平台要求供应商对修正后的报价予以确认并对供应商产生约束力。供应商不接受修正或在</w:t>
      </w:r>
      <w:r>
        <w:rPr>
          <w:rFonts w:ascii="宋体" w:hAnsi="宋体"/>
          <w:sz w:val="24"/>
          <w:u w:val="single"/>
        </w:rPr>
        <w:t>规定的时间</w:t>
      </w:r>
      <w:r>
        <w:rPr>
          <w:rFonts w:ascii="宋体" w:hAnsi="宋体"/>
          <w:sz w:val="24"/>
        </w:rPr>
        <w:t>内不予确认的，其响应无效。</w:t>
      </w:r>
    </w:p>
    <w:p>
      <w:pPr>
        <w:pStyle w:val="34"/>
        <w:snapToGrid w:val="0"/>
        <w:spacing w:line="360" w:lineRule="auto"/>
        <w:ind w:left="720" w:leftChars="228" w:hanging="241" w:hangingChars="100"/>
        <w:rPr>
          <w:rFonts w:hAnsi="宋体"/>
          <w:b/>
          <w:sz w:val="24"/>
          <w:szCs w:val="24"/>
        </w:rPr>
      </w:pPr>
      <w:r>
        <w:rPr>
          <w:rFonts w:hint="eastAsia" w:hAnsi="宋体"/>
          <w:b/>
          <w:sz w:val="24"/>
          <w:szCs w:val="24"/>
        </w:rPr>
        <w:t>五、</w:t>
      </w:r>
      <w:r>
        <w:rPr>
          <w:rFonts w:hAnsi="宋体"/>
          <w:b/>
          <w:sz w:val="24"/>
          <w:szCs w:val="24"/>
        </w:rPr>
        <w:t>评分标准</w:t>
      </w:r>
    </w:p>
    <w:p>
      <w:pPr>
        <w:spacing w:line="360" w:lineRule="auto"/>
        <w:ind w:firstLine="420"/>
        <w:rPr>
          <w:rFonts w:ascii="宋体" w:hAnsi="宋体"/>
          <w:sz w:val="24"/>
        </w:rPr>
      </w:pPr>
      <w:r>
        <w:rPr>
          <w:rFonts w:hint="eastAsia" w:ascii="宋体" w:hAnsi="宋体"/>
          <w:sz w:val="24"/>
        </w:rPr>
        <w:t>根据《中华人民共和国政府采购法》等有关法律法规，结合本项目的实际需求，制定本办法（综合评分法）。</w:t>
      </w:r>
    </w:p>
    <w:p>
      <w:pPr>
        <w:snapToGrid w:val="0"/>
        <w:spacing w:line="360" w:lineRule="auto"/>
        <w:jc w:val="center"/>
        <w:rPr>
          <w:rFonts w:ascii="宋体" w:hAnsi="宋体" w:cs="宋体"/>
          <w:b/>
          <w:sz w:val="32"/>
          <w:szCs w:val="20"/>
        </w:rPr>
      </w:pPr>
    </w:p>
    <w:p>
      <w:pPr>
        <w:snapToGrid w:val="0"/>
        <w:spacing w:line="360" w:lineRule="auto"/>
        <w:jc w:val="center"/>
        <w:rPr>
          <w:rFonts w:ascii="宋体" w:hAnsi="宋体" w:cs="宋体"/>
          <w:b/>
          <w:sz w:val="32"/>
          <w:szCs w:val="20"/>
        </w:rPr>
      </w:pPr>
    </w:p>
    <w:p>
      <w:pPr>
        <w:pStyle w:val="44"/>
        <w:rPr>
          <w:rFonts w:ascii="宋体" w:hAnsi="宋体" w:cs="宋体"/>
          <w:b/>
          <w:sz w:val="32"/>
          <w:szCs w:val="20"/>
        </w:rPr>
      </w:pPr>
    </w:p>
    <w:p/>
    <w:p>
      <w:pPr>
        <w:snapToGrid w:val="0"/>
        <w:spacing w:line="360" w:lineRule="auto"/>
        <w:jc w:val="center"/>
        <w:rPr>
          <w:rFonts w:ascii="宋体" w:hAnsi="宋体" w:cs="宋体"/>
          <w:b/>
          <w:sz w:val="32"/>
          <w:szCs w:val="20"/>
        </w:rPr>
      </w:pPr>
    </w:p>
    <w:p>
      <w:pPr>
        <w:snapToGrid w:val="0"/>
        <w:spacing w:line="360" w:lineRule="auto"/>
        <w:jc w:val="center"/>
        <w:rPr>
          <w:rFonts w:ascii="宋体" w:hAnsi="宋体" w:cs="宋体"/>
          <w:b/>
          <w:sz w:val="32"/>
          <w:szCs w:val="20"/>
        </w:rPr>
      </w:pPr>
    </w:p>
    <w:p>
      <w:pPr>
        <w:snapToGrid w:val="0"/>
        <w:spacing w:line="360" w:lineRule="auto"/>
        <w:jc w:val="center"/>
        <w:rPr>
          <w:rFonts w:ascii="宋体" w:hAnsi="宋体" w:cs="宋体"/>
          <w:b/>
          <w:sz w:val="32"/>
          <w:szCs w:val="20"/>
        </w:rPr>
      </w:pPr>
      <w:r>
        <w:rPr>
          <w:rFonts w:hint="eastAsia" w:ascii="宋体" w:hAnsi="宋体" w:cs="宋体"/>
          <w:b/>
          <w:sz w:val="32"/>
          <w:szCs w:val="20"/>
        </w:rPr>
        <w:t>评标办法细则</w:t>
      </w:r>
    </w:p>
    <w:tbl>
      <w:tblPr>
        <w:tblStyle w:val="62"/>
        <w:tblpPr w:leftFromText="180" w:rightFromText="180" w:vertAnchor="text" w:horzAnchor="page" w:tblpX="1178" w:tblpY="610"/>
        <w:tblOverlap w:val="never"/>
        <w:tblW w:w="57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208"/>
        <w:gridCol w:w="734"/>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序号</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评标标准</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权重</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cs="宋体"/>
                <w:bCs/>
                <w:sz w:val="24"/>
              </w:rPr>
            </w:pPr>
            <w:r>
              <w:rPr>
                <w:rFonts w:hint="eastAsia" w:ascii="宋体" w:hAnsi="宋体" w:cs="宋体"/>
                <w:bCs/>
                <w:sz w:val="24"/>
              </w:rPr>
              <w:t>投标文件中评标标准相应的商务技术资料录</w:t>
            </w:r>
            <w:r>
              <w:rPr>
                <w:rFonts w:hint="eastAsia" w:ascii="宋体" w:hAnsi="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1</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napToGrid w:val="0"/>
                <w:kern w:val="0"/>
                <w:sz w:val="24"/>
              </w:rPr>
            </w:pPr>
            <w:r>
              <w:rPr>
                <w:rFonts w:hint="eastAsia" w:ascii="宋体" w:hAnsi="宋体" w:cs="宋体"/>
                <w:kern w:val="0"/>
                <w:sz w:val="24"/>
              </w:rPr>
              <w:t>供应商自2021年1月1日</w:t>
            </w:r>
            <w:r>
              <w:rPr>
                <w:rFonts w:hint="eastAsia" w:ascii="宋体" w:hAnsi="宋体" w:cs="宋体"/>
                <w:bCs/>
                <w:snapToGrid w:val="0"/>
                <w:kern w:val="0"/>
                <w:sz w:val="24"/>
              </w:rPr>
              <w:t>（以合同签订日期为准）具有白蚁防治项目类似业绩或者业主证明材料，每具有一个得1分，最高得1分。</w:t>
            </w:r>
          </w:p>
          <w:p>
            <w:pPr>
              <w:spacing w:line="360" w:lineRule="auto"/>
              <w:jc w:val="left"/>
              <w:outlineLvl w:val="0"/>
              <w:rPr>
                <w:rFonts w:ascii="宋体" w:hAnsi="宋体" w:cs="宋体"/>
                <w:bCs/>
                <w:sz w:val="24"/>
              </w:rPr>
            </w:pPr>
            <w:r>
              <w:rPr>
                <w:rFonts w:hint="eastAsia" w:ascii="宋体" w:hAnsi="宋体" w:cs="宋体"/>
                <w:b/>
                <w:kern w:val="0"/>
                <w:sz w:val="24"/>
              </w:rPr>
              <w:t>提供合同复印件等证明材料扫描件加盖本单位公章，未提供或不符合以上条件不得分。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cs="宋体"/>
                <w:bCs/>
                <w:sz w:val="24"/>
              </w:rPr>
            </w:pPr>
            <w:r>
              <w:rPr>
                <w:rFonts w:hint="eastAsia" w:ascii="宋体" w:hAnsi="宋体" w:cs="宋体"/>
                <w:bCs/>
                <w:kern w:val="0"/>
                <w:sz w:val="24"/>
              </w:rPr>
              <w:t>类似项目业绩经验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38" w:type="dxa"/>
            <w:vMerge w:val="restart"/>
            <w:tcBorders>
              <w:top w:val="single" w:color="auto" w:sz="4" w:space="0"/>
              <w:left w:val="single" w:color="auto" w:sz="4" w:space="0"/>
              <w:right w:val="single" w:color="auto" w:sz="4" w:space="0"/>
            </w:tcBorders>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2</w:t>
            </w:r>
          </w:p>
        </w:tc>
        <w:tc>
          <w:tcPr>
            <w:tcW w:w="6208" w:type="dxa"/>
            <w:tcBorders>
              <w:top w:val="single" w:color="auto" w:sz="4" w:space="0"/>
              <w:left w:val="single" w:color="auto" w:sz="4" w:space="0"/>
              <w:bottom w:val="single" w:color="auto" w:sz="4" w:space="0"/>
              <w:right w:val="single" w:color="auto" w:sz="4" w:space="0"/>
            </w:tcBorders>
            <w:vAlign w:val="center"/>
          </w:tcPr>
          <w:p>
            <w:pPr>
              <w:pStyle w:val="781"/>
              <w:widowControl w:val="0"/>
              <w:spacing w:line="360" w:lineRule="auto"/>
              <w:jc w:val="left"/>
              <w:rPr>
                <w:rFonts w:ascii="宋体" w:hAnsi="宋体" w:cs="宋体"/>
                <w:bCs/>
                <w:sz w:val="24"/>
                <w:szCs w:val="24"/>
              </w:rPr>
            </w:pPr>
            <w:r>
              <w:rPr>
                <w:rFonts w:hint="eastAsia" w:ascii="宋体" w:hAnsi="宋体" w:cs="宋体"/>
                <w:bCs/>
                <w:sz w:val="24"/>
                <w:szCs w:val="24"/>
              </w:rPr>
              <w:t>本项目范围中房屋建筑内部出现的白蚁危害，应在72小时内做出响应服务。承诺在48小时内做出响应服务的，得2分，承诺在24小时内做出响应服务的，得4分。</w:t>
            </w:r>
          </w:p>
          <w:p>
            <w:pPr>
              <w:spacing w:line="360" w:lineRule="auto"/>
              <w:jc w:val="left"/>
              <w:outlineLvl w:val="0"/>
              <w:rPr>
                <w:rFonts w:ascii="宋体" w:hAnsi="宋体" w:cs="宋体"/>
                <w:bCs/>
                <w:sz w:val="24"/>
              </w:rPr>
            </w:pPr>
            <w:r>
              <w:rPr>
                <w:rFonts w:hint="eastAsia" w:ascii="宋体" w:hAnsi="宋体" w:cs="宋体"/>
                <w:b/>
                <w:sz w:val="24"/>
              </w:rPr>
              <w:t>提供承诺函（格式自拟）；不提供不得分。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4</w:t>
            </w:r>
          </w:p>
        </w:tc>
        <w:tc>
          <w:tcPr>
            <w:tcW w:w="1954" w:type="dxa"/>
            <w:vMerge w:val="restart"/>
            <w:tcBorders>
              <w:top w:val="single" w:color="auto" w:sz="4" w:space="0"/>
              <w:left w:val="single" w:color="auto" w:sz="4" w:space="0"/>
              <w:right w:val="single" w:color="auto" w:sz="4" w:space="0"/>
            </w:tcBorders>
            <w:vAlign w:val="center"/>
          </w:tcPr>
          <w:p>
            <w:pPr>
              <w:snapToGrid w:val="0"/>
              <w:spacing w:line="360" w:lineRule="auto"/>
              <w:jc w:val="center"/>
              <w:outlineLvl w:val="0"/>
              <w:rPr>
                <w:rFonts w:ascii="宋体" w:hAnsi="宋体" w:cs="宋体"/>
                <w:bCs/>
                <w:sz w:val="24"/>
              </w:rPr>
            </w:pPr>
            <w:r>
              <w:rPr>
                <w:rFonts w:hint="eastAsia" w:ascii="宋体" w:hAnsi="宋体" w:cs="宋体"/>
                <w:bCs/>
                <w:kern w:val="0"/>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38" w:type="dxa"/>
            <w:vMerge w:val="continue"/>
            <w:tcBorders>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pStyle w:val="781"/>
              <w:widowControl w:val="0"/>
              <w:spacing w:line="360" w:lineRule="auto"/>
              <w:jc w:val="left"/>
              <w:rPr>
                <w:rFonts w:ascii="宋体" w:hAnsi="宋体" w:cs="宋体"/>
                <w:bCs/>
                <w:sz w:val="24"/>
                <w:szCs w:val="24"/>
              </w:rPr>
            </w:pPr>
            <w:r>
              <w:rPr>
                <w:rFonts w:hint="eastAsia" w:ascii="宋体" w:hAnsi="宋体" w:cs="宋体"/>
                <w:bCs/>
                <w:sz w:val="24"/>
                <w:szCs w:val="24"/>
              </w:rPr>
              <w:t>供应商承诺积极配合参与白蚁防治主管部门开展白蚁防治知识科普宣传的，得3分。</w:t>
            </w:r>
          </w:p>
          <w:p>
            <w:pPr>
              <w:spacing w:line="360" w:lineRule="auto"/>
              <w:jc w:val="left"/>
              <w:outlineLvl w:val="0"/>
              <w:rPr>
                <w:rFonts w:ascii="宋体" w:hAnsi="宋体" w:cs="宋体"/>
                <w:bCs/>
                <w:sz w:val="24"/>
              </w:rPr>
            </w:pPr>
            <w:r>
              <w:rPr>
                <w:rFonts w:hint="eastAsia" w:ascii="宋体" w:hAnsi="宋体" w:cs="宋体"/>
                <w:b/>
                <w:sz w:val="24"/>
              </w:rPr>
              <w:t>提供承诺函（格式自拟）；不提供不得分。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sz w:val="24"/>
              </w:rPr>
            </w:pPr>
            <w:r>
              <w:rPr>
                <w:rFonts w:hint="eastAsia" w:ascii="宋体" w:hAnsi="宋体" w:cs="宋体"/>
                <w:bCs/>
                <w:sz w:val="24"/>
              </w:rPr>
              <w:t>3</w:t>
            </w:r>
          </w:p>
        </w:tc>
        <w:tc>
          <w:tcPr>
            <w:tcW w:w="1954" w:type="dxa"/>
            <w:vMerge w:val="continue"/>
            <w:tcBorders>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供应商对本项目背景、现状情况的认识及理解。对本项目背景、现状情况认识理解全面且表述清晰的得4-6分，认识理解部分全面清晰的得2-4分，严重不足的得0-2分。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bCs/>
                <w:kern w:val="0"/>
                <w:sz w:val="24"/>
              </w:rPr>
              <w:t>根据项目需求，对白蚁防治预防、维护方案是否完整、准确、详实、条理清晰进行打分，</w:t>
            </w:r>
            <w:r>
              <w:rPr>
                <w:rFonts w:hint="eastAsia" w:ascii="宋体" w:hAnsi="宋体" w:cs="宋体"/>
                <w:kern w:val="0"/>
                <w:sz w:val="24"/>
              </w:rPr>
              <w:t>方案详细、合理、满足采购需求的得4-</w:t>
            </w:r>
            <w:r>
              <w:rPr>
                <w:rFonts w:hint="eastAsia" w:ascii="宋体" w:hAnsi="宋体" w:cs="宋体"/>
                <w:kern w:val="0"/>
                <w:sz w:val="24"/>
                <w:lang w:val="en-US" w:eastAsia="zh-CN"/>
              </w:rPr>
              <w:t>6</w:t>
            </w:r>
            <w:r>
              <w:rPr>
                <w:rFonts w:hint="eastAsia" w:ascii="宋体" w:hAnsi="宋体" w:cs="宋体"/>
                <w:kern w:val="0"/>
                <w:sz w:val="24"/>
              </w:rPr>
              <w:t>分；方案可行、基本满足采购需求的得2-4分；方案一般、部分满足得0-2分。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Cs/>
                <w:kern w:val="0"/>
                <w:sz w:val="24"/>
              </w:rPr>
              <w:t>综合治理方案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kern w:val="0"/>
                <w:sz w:val="24"/>
              </w:rPr>
              <w:t>白蚁防治技术先进、科学、全面，具有有效性、经济性和环保性强的优点，方案详细、合理、满足采购需求的得4-6分；方案可行、基本满足采购需求的得2-4分；方案一般、部分满足得0-2分。</w:t>
            </w:r>
          </w:p>
        </w:tc>
        <w:tc>
          <w:tcPr>
            <w:tcW w:w="734"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bCs/>
                <w:kern w:val="0"/>
                <w:sz w:val="24"/>
              </w:rPr>
              <w:t>根据项目需求，对</w:t>
            </w:r>
            <w:r>
              <w:rPr>
                <w:rFonts w:hint="eastAsia" w:ascii="宋体" w:hAnsi="宋体" w:cs="宋体"/>
                <w:kern w:val="0"/>
                <w:sz w:val="24"/>
              </w:rPr>
              <w:t>供应商提供的施工组织措施，包括施工安排等进行打分，方案详细、合理、满足采购需求的得4-6分；方案可行、基本满足采购需求的得2-4分；方案一般、部分满足得0-2分。</w:t>
            </w:r>
          </w:p>
        </w:tc>
        <w:tc>
          <w:tcPr>
            <w:tcW w:w="734" w:type="dxa"/>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kern w:val="0"/>
                <w:sz w:val="24"/>
              </w:rPr>
              <w:t>根据项目需求，对供应商提供的技术力量和人力资源安排情况方案，实施措施进行打分，方案详细、合理、满足采购需求的得4-6分；方案可行、基本满足采购需求的得2-4分；方案一般、部分满足得0-2分。</w:t>
            </w:r>
          </w:p>
        </w:tc>
        <w:tc>
          <w:tcPr>
            <w:tcW w:w="734" w:type="dxa"/>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bCs/>
                <w:kern w:val="0"/>
                <w:sz w:val="24"/>
              </w:rPr>
              <w:t>根据项目需求，对</w:t>
            </w:r>
            <w:r>
              <w:rPr>
                <w:rFonts w:hint="eastAsia" w:ascii="宋体" w:hAnsi="宋体" w:cs="宋体"/>
                <w:kern w:val="0"/>
                <w:sz w:val="24"/>
              </w:rPr>
              <w:t>供应商提供的质量控制、安全管理、验收措施进行打分，方案详细、合理、满足采购需求的得4-6分；方案可行、基本满足采购需求的得2-4分；方案一般、部分满足得0-2分。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kern w:val="0"/>
                <w:sz w:val="24"/>
              </w:rPr>
            </w:pPr>
            <w:r>
              <w:rPr>
                <w:rFonts w:hint="eastAsia" w:ascii="宋体" w:hAnsi="宋体" w:cs="宋体"/>
                <w:bCs/>
                <w:kern w:val="0"/>
                <w:sz w:val="24"/>
              </w:rPr>
              <w:t>根据项目需求，对供应商提供的</w:t>
            </w:r>
            <w:r>
              <w:rPr>
                <w:rFonts w:hint="eastAsia" w:ascii="宋体" w:hAnsi="宋体" w:cs="宋体"/>
                <w:kern w:val="0"/>
                <w:sz w:val="24"/>
              </w:rPr>
              <w:t>档案管理制度（针对本项目情况科学、合理的采取档案管理）进行打分，方案详细、合理、满足采购需求的得4-6分；方案可行、基本满足采购需求的得2-4分；方案一般、部分满足得0-2分。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kern w:val="0"/>
                <w:sz w:val="24"/>
              </w:rPr>
            </w:pPr>
            <w:r>
              <w:rPr>
                <w:rFonts w:hint="eastAsia" w:ascii="宋体" w:hAnsi="宋体" w:cs="宋体"/>
                <w:kern w:val="0"/>
                <w:sz w:val="24"/>
              </w:rPr>
              <w:t>根据项目需求，对供应商针对本项目的进度要求建立服务进度控制机制，提供方案详细、合理、满足采购需求的得4-6分；方案可行、基本满足采购需求的得2-4分；方案一般、部分满足得0-2分。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kern w:val="0"/>
                <w:sz w:val="24"/>
              </w:rPr>
            </w:pPr>
            <w:r>
              <w:rPr>
                <w:rFonts w:hint="eastAsia" w:ascii="宋体" w:hAnsi="宋体" w:cs="宋体"/>
                <w:kern w:val="0"/>
                <w:sz w:val="24"/>
              </w:rPr>
              <w:t>根据项目需求，对供应商针对本项目的工作重点、难点进行梳理分析，提供解决的方案进行打分，方案详细、合理、满足采购需求的得4-6分；方案可行、基本满足采购需求的得2-4分；方案一般、部分满足得0-2分。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bCs/>
                <w:kern w:val="0"/>
                <w:sz w:val="24"/>
              </w:rPr>
              <w:t>根据项目需求，对供应商提供的合理化建议进行打分</w:t>
            </w:r>
            <w:r>
              <w:rPr>
                <w:rFonts w:hint="eastAsia" w:ascii="宋体" w:hAnsi="宋体" w:cs="宋体"/>
                <w:kern w:val="0"/>
                <w:sz w:val="24"/>
              </w:rPr>
              <w:t>，方案详细、合理、满足采购需求的得4-6分；方案可行、基本满足采购需求的得2-4分；方案一般、部分满足得0-2分。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Cs/>
                <w:kern w:val="0"/>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z w:val="24"/>
              </w:rPr>
              <w:t>突发事件应急响应服务方案：按照要求制定发生突发事件时的应急预案及相应的措施；方案科学合理，有利于质量目标实现的得4-6分；措施基本项目需求、有较大可行性的得2-4分；措施过于简单或存在缺漏得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tcBorders>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突发事件应急响应服务方案</w:t>
            </w:r>
          </w:p>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8"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6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z w:val="24"/>
              </w:rPr>
              <w:t>根据投标人提供的技术支持和售后服务方案（服务标准、售后服务人员配置情况、响应及到达现场时间）、回访制度、备品备件及优惠承诺、合理化建议等进行打分。方案内容完整，有明确的服务</w:t>
            </w:r>
            <w:bookmarkStart w:id="516" w:name="_GoBack"/>
            <w:bookmarkEnd w:id="516"/>
            <w:r>
              <w:rPr>
                <w:rFonts w:hint="eastAsia" w:ascii="宋体" w:hAnsi="宋体" w:cs="宋体"/>
                <w:sz w:val="24"/>
              </w:rPr>
              <w:t>响应时间，技术支持的4-6分；方案内容基本完整，基本合理可行的2-4分；方案内容不完整的0-2分。</w:t>
            </w:r>
          </w:p>
        </w:tc>
        <w:tc>
          <w:tcPr>
            <w:tcW w:w="73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95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rPr>
              <w:t>售后服务情况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9</w:t>
            </w:r>
          </w:p>
        </w:tc>
        <w:tc>
          <w:tcPr>
            <w:tcW w:w="6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有效投标报价的最低价作为评标基准价，其最低报价为满分；按［投标报价得分=（评标基准价/投标报价）*20］的计算公式计算。</w:t>
            </w:r>
          </w:p>
          <w:p>
            <w:pPr>
              <w:widowControl/>
              <w:shd w:val="clear" w:color="auto" w:fill="FFFFFF"/>
              <w:snapToGrid w:val="0"/>
              <w:spacing w:line="360" w:lineRule="auto"/>
              <w:jc w:val="left"/>
              <w:rPr>
                <w:rFonts w:ascii="宋体" w:hAnsi="宋体" w:cs="宋体"/>
                <w:sz w:val="24"/>
              </w:rPr>
            </w:pPr>
            <w:r>
              <w:rPr>
                <w:rFonts w:hint="eastAsia" w:ascii="宋体" w:hAnsi="宋体" w:cs="宋体"/>
                <w:sz w:val="24"/>
              </w:rPr>
              <w:t>评标过程中，不得去掉报价中的最高报价和最低报价。</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outlineLvl w:val="0"/>
              <w:rPr>
                <w:rFonts w:ascii="宋体" w:hAnsi="宋体" w:cs="宋体"/>
                <w:sz w:val="24"/>
              </w:rPr>
            </w:pPr>
            <w:r>
              <w:rPr>
                <w:rFonts w:hint="eastAsia" w:ascii="宋体" w:hAnsi="宋体" w:cs="宋体"/>
                <w:sz w:val="24"/>
              </w:rPr>
              <w:t>20</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sz w:val="24"/>
              </w:rPr>
            </w:pPr>
            <w:r>
              <w:rPr>
                <w:rFonts w:hint="eastAsia" w:ascii="宋体" w:hAnsi="宋体" w:cs="宋体"/>
                <w:sz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32"/>
        </w:rPr>
      </w:pPr>
    </w:p>
    <w:p>
      <w:pPr>
        <w:snapToGrid w:val="0"/>
        <w:spacing w:line="360" w:lineRule="auto"/>
        <w:rPr>
          <w:rFonts w:ascii="宋体" w:hAnsi="宋体" w:cs="宋体"/>
          <w:b/>
          <w:sz w:val="32"/>
        </w:rPr>
      </w:pPr>
    </w:p>
    <w:p>
      <w:pPr>
        <w:rPr>
          <w:rFonts w:ascii="宋体" w:hAnsi="宋体" w:cs="宋体"/>
          <w:b/>
          <w:sz w:val="32"/>
        </w:rPr>
      </w:pPr>
      <w:r>
        <w:rPr>
          <w:rFonts w:hint="eastAsia" w:ascii="宋体" w:hAnsi="宋体" w:cs="宋体"/>
          <w:b/>
          <w:sz w:val="32"/>
        </w:rPr>
        <w:br w:type="page"/>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pPr>
        <w:rPr>
          <w:rFonts w:ascii="宋体" w:hAnsi="宋体" w:cs="宋体"/>
          <w:b/>
          <w:sz w:val="36"/>
          <w:szCs w:val="36"/>
        </w:rPr>
      </w:pPr>
      <w:r>
        <w:rPr>
          <w:rFonts w:hint="eastAsia" w:ascii="宋体" w:hAnsi="宋体" w:cs="宋体"/>
          <w:b/>
          <w:sz w:val="36"/>
          <w:szCs w:val="36"/>
        </w:rPr>
        <w:br w:type="page"/>
      </w:r>
    </w:p>
    <w:p>
      <w:pPr>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6"/>
      </w:pPr>
    </w:p>
    <w:p>
      <w:pPr>
        <w:spacing w:before="120" w:line="22" w:lineRule="atLeast"/>
        <w:ind w:left="960"/>
        <w:rPr>
          <w:rFonts w:ascii="宋体" w:hAnsi="宋体" w:cs="宋体"/>
          <w:sz w:val="24"/>
        </w:rPr>
      </w:pPr>
      <w:r>
        <w:rPr>
          <w:rFonts w:hint="eastAsia" w:ascii="宋体" w:hAnsi="宋体" w:cs="宋体"/>
          <w:sz w:val="24"/>
        </w:rPr>
        <w:t>项目名称：</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396" w:name="_Toc20421"/>
      <w:bookmarkStart w:id="397" w:name="_Toc19273"/>
      <w:bookmarkStart w:id="398" w:name="_Toc22967"/>
      <w:bookmarkStart w:id="399" w:name="_Toc28855"/>
      <w:bookmarkStart w:id="400"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6"/>
      <w:bookmarkEnd w:id="397"/>
      <w:bookmarkEnd w:id="398"/>
      <w:bookmarkEnd w:id="399"/>
      <w:bookmarkEnd w:id="40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1" w:name="_Toc22185"/>
      <w:bookmarkStart w:id="402" w:name="_Toc2918"/>
      <w:bookmarkStart w:id="403" w:name="_Toc18585"/>
      <w:bookmarkStart w:id="404" w:name="_Toc6773"/>
      <w:bookmarkStart w:id="405"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1"/>
      <w:bookmarkEnd w:id="402"/>
      <w:bookmarkEnd w:id="403"/>
      <w:bookmarkEnd w:id="404"/>
      <w:bookmarkEnd w:id="405"/>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06" w:name="_Toc5635"/>
      <w:bookmarkStart w:id="407" w:name="_Toc21124"/>
      <w:bookmarkStart w:id="408" w:name="_Toc13918"/>
      <w:bookmarkStart w:id="409" w:name="_Toc1386"/>
      <w:bookmarkStart w:id="410" w:name="_Toc4929"/>
      <w:r>
        <w:rPr>
          <w:rFonts w:asciiTheme="minorEastAsia" w:hAnsiTheme="minorEastAsia" w:eastAsiaTheme="minorEastAsia"/>
          <w:b/>
          <w:sz w:val="24"/>
        </w:rPr>
        <w:t>1.3 价款</w:t>
      </w:r>
      <w:bookmarkEnd w:id="406"/>
      <w:bookmarkEnd w:id="407"/>
      <w:bookmarkEnd w:id="408"/>
      <w:bookmarkEnd w:id="409"/>
      <w:bookmarkEnd w:id="41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分项价格：</w:t>
      </w:r>
    </w:p>
    <w:p>
      <w:pPr>
        <w:pStyle w:val="6"/>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bl>
    <w:p>
      <w:pPr>
        <w:snapToGrid w:val="0"/>
        <w:spacing w:line="360" w:lineRule="auto"/>
        <w:ind w:firstLine="482" w:firstLineChars="200"/>
        <w:outlineLvl w:val="0"/>
        <w:rPr>
          <w:rFonts w:asciiTheme="minorEastAsia" w:hAnsiTheme="minorEastAsia" w:eastAsiaTheme="minorEastAsia"/>
          <w:b/>
          <w:sz w:val="24"/>
        </w:rPr>
      </w:pPr>
      <w:bookmarkStart w:id="411" w:name="_Toc30506"/>
      <w:bookmarkStart w:id="412" w:name="_Toc30158"/>
      <w:bookmarkStart w:id="413" w:name="_Toc3654"/>
      <w:bookmarkStart w:id="414" w:name="_Toc14993"/>
      <w:bookmarkStart w:id="415" w:name="_Toc26916"/>
      <w:r>
        <w:rPr>
          <w:rFonts w:asciiTheme="minorEastAsia" w:hAnsiTheme="minorEastAsia" w:eastAsiaTheme="minorEastAsia"/>
          <w:b/>
          <w:sz w:val="24"/>
        </w:rPr>
        <w:t>1.4 付款方式和发票开具方式</w:t>
      </w:r>
      <w:bookmarkEnd w:id="411"/>
      <w:bookmarkEnd w:id="412"/>
      <w:bookmarkEnd w:id="413"/>
      <w:bookmarkEnd w:id="414"/>
      <w:bookmarkEnd w:id="415"/>
    </w:p>
    <w:p>
      <w:pPr>
        <w:pStyle w:val="957"/>
        <w:snapToGrid w:val="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合同预付款比例为合同金额的60</w:t>
      </w:r>
      <w:r>
        <w:rPr>
          <w:rFonts w:asciiTheme="minorEastAsia" w:hAnsiTheme="minorEastAsia" w:eastAsiaTheme="minorEastAsia"/>
          <w:sz w:val="24"/>
        </w:rPr>
        <w:t>％；项目分年安排预算的，每年预付款比例为项目年度计划支付资金额的</w:t>
      </w:r>
      <w:r>
        <w:rPr>
          <w:rFonts w:hint="eastAsia" w:asciiTheme="minorEastAsia" w:hAnsiTheme="minorEastAsia" w:eastAsiaTheme="minorEastAsia"/>
          <w:sz w:val="24"/>
        </w:rPr>
        <w:t>60</w:t>
      </w:r>
      <w:r>
        <w:rPr>
          <w:rFonts w:asciiTheme="minorEastAsia" w:hAnsiTheme="minorEastAsia" w:eastAsiaTheme="minorEastAsia"/>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3</w:t>
      </w:r>
      <w:r>
        <w:rPr>
          <w:rFonts w:asciiTheme="minorEastAsia" w:hAnsiTheme="minorEastAsia" w:eastAsiaTheme="minorEastAsia"/>
          <w:sz w:val="24"/>
        </w:rPr>
        <w:t>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16" w:name="_Toc11108"/>
      <w:bookmarkStart w:id="417" w:name="_Toc31421"/>
      <w:bookmarkStart w:id="418" w:name="_Toc3625"/>
      <w:bookmarkStart w:id="419" w:name="_Toc8772"/>
      <w:bookmarkStart w:id="420" w:name="_Toc4760"/>
      <w:r>
        <w:rPr>
          <w:rFonts w:asciiTheme="minorEastAsia" w:hAnsiTheme="minorEastAsia" w:eastAsiaTheme="minorEastAsia"/>
          <w:b/>
          <w:sz w:val="24"/>
        </w:rPr>
        <w:t>1.</w:t>
      </w:r>
      <w:r>
        <w:rPr>
          <w:rFonts w:hint="eastAsia" w:asciiTheme="minorEastAsia" w:hAnsiTheme="minorEastAsia" w:eastAsiaTheme="minorEastAsia"/>
          <w:b/>
          <w:sz w:val="24"/>
        </w:rPr>
        <w:t>5</w:t>
      </w:r>
      <w:r>
        <w:rPr>
          <w:rFonts w:asciiTheme="minorEastAsia" w:hAnsiTheme="minorEastAsia" w:eastAsiaTheme="minorEastAsia"/>
          <w:b/>
          <w:sz w:val="24"/>
        </w:rPr>
        <w:t xml:space="preserve"> 履行期限</w:t>
      </w:r>
      <w:r>
        <w:rPr>
          <w:rFonts w:hint="eastAsia" w:asciiTheme="minorEastAsia" w:hAnsiTheme="minorEastAsia" w:eastAsiaTheme="minorEastAsia"/>
          <w:b/>
          <w:sz w:val="24"/>
        </w:rPr>
        <w:t>、地点和方式</w:t>
      </w:r>
      <w:bookmarkEnd w:id="416"/>
      <w:bookmarkEnd w:id="417"/>
      <w:bookmarkEnd w:id="418"/>
      <w:bookmarkEnd w:id="419"/>
      <w:bookmarkEnd w:id="420"/>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21" w:name="_Toc5698"/>
      <w:bookmarkStart w:id="422" w:name="_Toc8586"/>
      <w:bookmarkStart w:id="423" w:name="_Toc3079"/>
      <w:bookmarkStart w:id="424" w:name="_Toc24662"/>
      <w:bookmarkStart w:id="425" w:name="_Toc2375"/>
      <w:r>
        <w:rPr>
          <w:rFonts w:asciiTheme="minorEastAsia" w:hAnsiTheme="minorEastAsia" w:eastAsiaTheme="minorEastAsia"/>
          <w:b/>
          <w:sz w:val="24"/>
        </w:rPr>
        <w:t>1.</w:t>
      </w:r>
      <w:r>
        <w:rPr>
          <w:rFonts w:hint="eastAsia" w:asciiTheme="minorEastAsia" w:hAnsiTheme="minorEastAsia" w:eastAsiaTheme="minorEastAsia"/>
          <w:b/>
          <w:sz w:val="24"/>
        </w:rPr>
        <w:t>6违约责任</w:t>
      </w:r>
      <w:bookmarkEnd w:id="421"/>
      <w:bookmarkEnd w:id="422"/>
      <w:bookmarkEnd w:id="423"/>
      <w:bookmarkEnd w:id="424"/>
      <w:bookmarkEnd w:id="42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5如果出现政府采购监督管理部门在处理投诉事项期间，书面通知甲方暂停采购活动的情形，或者询问或质疑事项可能影响中标结果的，导致甲方中止履行合同的情形，均不视为甲方违约；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w:t>
      </w:r>
      <w:r>
        <w:rPr>
          <w:rFonts w:hint="eastAsia" w:asciiTheme="minorEastAsia" w:hAnsiTheme="minorEastAsia" w:eastAsiaTheme="minorEastAsia"/>
          <w:sz w:val="24"/>
        </w:rPr>
        <w:t>6</w:t>
      </w:r>
      <w:r>
        <w:rPr>
          <w:rFonts w:asciiTheme="minorEastAsia" w:hAnsiTheme="minorEastAsia" w:eastAsiaTheme="minorEastAsia"/>
          <w:sz w:val="24"/>
        </w:rPr>
        <w:t>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bookmarkStart w:id="426" w:name="_Toc26807"/>
      <w:bookmarkStart w:id="427" w:name="_Toc18683"/>
      <w:bookmarkStart w:id="428" w:name="_Toc32454"/>
      <w:bookmarkStart w:id="429" w:name="_Toc30329"/>
      <w:bookmarkStart w:id="430" w:name="_Toc9497"/>
    </w:p>
    <w:p>
      <w:pPr>
        <w:spacing w:line="560" w:lineRule="exact"/>
        <w:ind w:left="-420" w:leftChars="-200" w:right="-420" w:rightChars="-200" w:firstLine="723" w:firstLineChars="300"/>
        <w:rPr>
          <w:rFonts w:asciiTheme="minorEastAsia" w:hAnsiTheme="minorEastAsia" w:eastAsiaTheme="minorEastAsia"/>
        </w:rPr>
      </w:pPr>
      <w:r>
        <w:rPr>
          <w:rFonts w:asciiTheme="minorEastAsia" w:hAnsiTheme="minorEastAsia" w:eastAsiaTheme="minorEastAsia"/>
          <w:b/>
          <w:sz w:val="24"/>
        </w:rPr>
        <w:t>1.</w:t>
      </w:r>
      <w:r>
        <w:rPr>
          <w:rFonts w:hint="eastAsia" w:asciiTheme="minorEastAsia" w:hAnsiTheme="minorEastAsia" w:eastAsiaTheme="minorEastAsia"/>
          <w:b/>
          <w:sz w:val="24"/>
        </w:rPr>
        <w:t>7合同</w:t>
      </w:r>
      <w:r>
        <w:rPr>
          <w:rFonts w:asciiTheme="minorEastAsia" w:hAnsiTheme="minorEastAsia" w:eastAsiaTheme="minorEastAsia"/>
          <w:b/>
          <w:sz w:val="24"/>
        </w:rPr>
        <w:t>争议的解决</w:t>
      </w:r>
      <w:bookmarkEnd w:id="426"/>
      <w:bookmarkEnd w:id="427"/>
      <w:bookmarkEnd w:id="428"/>
      <w:bookmarkEnd w:id="429"/>
      <w:bookmarkEnd w:id="430"/>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1" w:name="_Toc15827"/>
      <w:bookmarkStart w:id="432" w:name="_Toc26227"/>
      <w:bookmarkStart w:id="433" w:name="_Toc12273"/>
      <w:bookmarkStart w:id="434" w:name="_Toc16417"/>
      <w:bookmarkStart w:id="435" w:name="_Toc23784"/>
      <w:r>
        <w:rPr>
          <w:rFonts w:asciiTheme="minorEastAsia" w:hAnsiTheme="minorEastAsia" w:eastAsiaTheme="minorEastAsia"/>
          <w:b/>
          <w:sz w:val="24"/>
        </w:rPr>
        <w:t>1.</w:t>
      </w:r>
      <w:r>
        <w:rPr>
          <w:rFonts w:hint="eastAsia" w:asciiTheme="minorEastAsia" w:hAnsiTheme="minorEastAsia" w:eastAsiaTheme="minorEastAsia"/>
          <w:b/>
          <w:sz w:val="24"/>
        </w:rPr>
        <w:t>8</w:t>
      </w:r>
      <w:r>
        <w:rPr>
          <w:rFonts w:asciiTheme="minorEastAsia" w:hAnsiTheme="minorEastAsia" w:eastAsiaTheme="minorEastAsia"/>
          <w:b/>
          <w:sz w:val="24"/>
        </w:rPr>
        <w:t xml:space="preserve"> 合同生效</w:t>
      </w:r>
      <w:bookmarkEnd w:id="431"/>
      <w:bookmarkEnd w:id="432"/>
      <w:bookmarkEnd w:id="433"/>
      <w:bookmarkEnd w:id="434"/>
      <w:bookmarkEnd w:id="435"/>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tbl>
      <w:tblPr>
        <w:tblStyle w:val="62"/>
        <w:tblW w:w="9793" w:type="dxa"/>
        <w:tblInd w:w="-72" w:type="dxa"/>
        <w:tblLayout w:type="fixed"/>
        <w:tblCellMar>
          <w:top w:w="0" w:type="dxa"/>
          <w:left w:w="108" w:type="dxa"/>
          <w:bottom w:w="0" w:type="dxa"/>
          <w:right w:w="108" w:type="dxa"/>
        </w:tblCellMar>
      </w:tblPr>
      <w:tblGrid>
        <w:gridCol w:w="4784"/>
        <w:gridCol w:w="5009"/>
      </w:tblGrid>
      <w:tr>
        <w:tblPrEx>
          <w:tblCellMar>
            <w:top w:w="0" w:type="dxa"/>
            <w:left w:w="108" w:type="dxa"/>
            <w:bottom w:w="0" w:type="dxa"/>
            <w:right w:w="108" w:type="dxa"/>
          </w:tblCellMar>
        </w:tblPrEx>
        <w:trPr>
          <w:trHeight w:val="5194" w:hRule="atLeast"/>
        </w:trPr>
        <w:tc>
          <w:tcPr>
            <w:tcW w:w="4784" w:type="dxa"/>
            <w:noWrap/>
          </w:tcPr>
          <w:p>
            <w:pPr>
              <w:adjustRightInd/>
              <w:snapToGrid w:val="0"/>
              <w:spacing w:line="800" w:lineRule="exact"/>
              <w:rPr>
                <w:rFonts w:ascii="宋体" w:hAnsi="宋体"/>
                <w:sz w:val="24"/>
              </w:rPr>
            </w:pPr>
            <w:r>
              <w:rPr>
                <w:rFonts w:hint="eastAsia" w:ascii="宋体" w:hAnsi="宋体"/>
                <w:sz w:val="24"/>
              </w:rPr>
              <w:t>甲方：（盖章）</w:t>
            </w:r>
          </w:p>
          <w:p>
            <w:pPr>
              <w:adjustRightInd/>
              <w:snapToGrid w:val="0"/>
              <w:spacing w:line="800" w:lineRule="exact"/>
              <w:rPr>
                <w:rFonts w:ascii="宋体" w:hAnsi="宋体"/>
                <w:sz w:val="24"/>
              </w:rPr>
            </w:pPr>
            <w:r>
              <w:rPr>
                <w:rFonts w:ascii="宋体" w:hAnsi="宋体"/>
                <w:sz w:val="24"/>
              </w:rPr>
              <w:t>法定代表人</w:t>
            </w:r>
          </w:p>
          <w:p>
            <w:pPr>
              <w:adjustRightInd/>
              <w:snapToGrid w:val="0"/>
              <w:spacing w:line="800" w:lineRule="exact"/>
              <w:rPr>
                <w:rFonts w:ascii="宋体" w:hAnsi="宋体"/>
                <w:sz w:val="24"/>
              </w:rPr>
            </w:pPr>
            <w:r>
              <w:rPr>
                <w:rFonts w:hint="eastAsia" w:ascii="宋体" w:hAnsi="宋体"/>
                <w:sz w:val="24"/>
              </w:rPr>
              <w:t>或授权代表（签章）：</w:t>
            </w:r>
          </w:p>
          <w:p>
            <w:pPr>
              <w:adjustRightInd/>
              <w:snapToGrid w:val="0"/>
              <w:spacing w:line="800" w:lineRule="exact"/>
              <w:rPr>
                <w:rFonts w:ascii="宋体" w:hAnsi="宋体"/>
                <w:sz w:val="24"/>
              </w:rPr>
            </w:pPr>
            <w:r>
              <w:rPr>
                <w:rFonts w:hint="eastAsia" w:ascii="宋体" w:hAnsi="宋体"/>
                <w:sz w:val="24"/>
              </w:rPr>
              <w:t>地址：</w:t>
            </w:r>
          </w:p>
          <w:p>
            <w:pPr>
              <w:adjustRightInd/>
              <w:snapToGrid w:val="0"/>
              <w:spacing w:line="800" w:lineRule="exact"/>
            </w:pPr>
            <w:r>
              <w:rPr>
                <w:rFonts w:hint="eastAsia" w:ascii="宋体" w:hAnsi="宋体"/>
                <w:sz w:val="24"/>
              </w:rPr>
              <w:t>电    话：</w:t>
            </w:r>
          </w:p>
          <w:p>
            <w:pPr>
              <w:adjustRightInd/>
              <w:snapToGrid w:val="0"/>
              <w:spacing w:line="800" w:lineRule="exact"/>
              <w:rPr>
                <w:rFonts w:ascii="宋体" w:hAnsi="宋体"/>
                <w:sz w:val="24"/>
              </w:rPr>
            </w:pPr>
            <w:r>
              <w:rPr>
                <w:rFonts w:hint="eastAsia" w:ascii="宋体" w:hAnsi="宋体"/>
                <w:sz w:val="24"/>
              </w:rPr>
              <w:t>日期：  年  月  日</w:t>
            </w:r>
          </w:p>
        </w:tc>
        <w:tc>
          <w:tcPr>
            <w:tcW w:w="5009" w:type="dxa"/>
            <w:noWrap/>
          </w:tcPr>
          <w:p>
            <w:pPr>
              <w:adjustRightInd/>
              <w:snapToGrid w:val="0"/>
              <w:spacing w:line="800" w:lineRule="exact"/>
              <w:rPr>
                <w:rFonts w:ascii="宋体" w:hAnsi="宋体"/>
                <w:sz w:val="24"/>
              </w:rPr>
            </w:pPr>
            <w:r>
              <w:rPr>
                <w:rFonts w:hint="eastAsia" w:ascii="宋体" w:hAnsi="宋体"/>
                <w:sz w:val="24"/>
              </w:rPr>
              <w:t>乙方：（盖章）</w:t>
            </w:r>
          </w:p>
          <w:p>
            <w:pPr>
              <w:adjustRightInd/>
              <w:snapToGrid w:val="0"/>
              <w:spacing w:line="800" w:lineRule="exact"/>
              <w:rPr>
                <w:rFonts w:ascii="宋体" w:hAnsi="宋体"/>
                <w:sz w:val="24"/>
              </w:rPr>
            </w:pPr>
            <w:r>
              <w:rPr>
                <w:rFonts w:ascii="宋体" w:hAnsi="宋体"/>
                <w:sz w:val="24"/>
              </w:rPr>
              <w:t>法定代表人</w:t>
            </w:r>
          </w:p>
          <w:p>
            <w:pPr>
              <w:adjustRightInd/>
              <w:snapToGrid w:val="0"/>
              <w:spacing w:line="800" w:lineRule="exact"/>
              <w:rPr>
                <w:rFonts w:ascii="宋体" w:hAnsi="宋体"/>
                <w:sz w:val="24"/>
              </w:rPr>
            </w:pPr>
            <w:r>
              <w:rPr>
                <w:rFonts w:hint="eastAsia" w:ascii="宋体" w:hAnsi="宋体"/>
                <w:sz w:val="24"/>
              </w:rPr>
              <w:t>或授权代表（签章）：</w:t>
            </w:r>
          </w:p>
          <w:p>
            <w:pPr>
              <w:adjustRightInd/>
              <w:snapToGrid w:val="0"/>
              <w:spacing w:line="800" w:lineRule="exact"/>
              <w:rPr>
                <w:rFonts w:ascii="宋体" w:hAnsi="宋体"/>
                <w:sz w:val="24"/>
              </w:rPr>
            </w:pPr>
            <w:r>
              <w:rPr>
                <w:rFonts w:hint="eastAsia" w:ascii="宋体" w:hAnsi="宋体"/>
                <w:sz w:val="24"/>
              </w:rPr>
              <w:t>地址：</w:t>
            </w:r>
          </w:p>
          <w:p>
            <w:pPr>
              <w:adjustRightInd/>
              <w:snapToGrid w:val="0"/>
              <w:spacing w:line="800" w:lineRule="exact"/>
              <w:rPr>
                <w:rFonts w:ascii="宋体" w:hAnsi="宋体"/>
                <w:sz w:val="24"/>
              </w:rPr>
            </w:pPr>
            <w:r>
              <w:rPr>
                <w:rFonts w:hint="eastAsia" w:ascii="宋体" w:hAnsi="宋体"/>
                <w:sz w:val="24"/>
              </w:rPr>
              <w:t>电    话：</w:t>
            </w:r>
          </w:p>
          <w:p>
            <w:pPr>
              <w:adjustRightInd/>
              <w:snapToGrid w:val="0"/>
              <w:spacing w:line="800" w:lineRule="exact"/>
              <w:rPr>
                <w:rFonts w:ascii="宋体" w:hAnsi="宋体"/>
                <w:sz w:val="24"/>
              </w:rPr>
            </w:pPr>
            <w:r>
              <w:rPr>
                <w:rFonts w:hint="eastAsia" w:ascii="宋体" w:hAnsi="宋体"/>
                <w:sz w:val="24"/>
              </w:rPr>
              <w:t>日期：  年  月  日</w:t>
            </w:r>
          </w:p>
        </w:tc>
      </w:tr>
    </w:tbl>
    <w:p>
      <w:pPr>
        <w:widowControl/>
        <w:spacing w:line="560" w:lineRule="exact"/>
        <w:jc w:val="left"/>
        <w:rPr>
          <w:rFonts w:asciiTheme="minorEastAsia" w:hAnsiTheme="minorEastAsia" w:eastAsiaTheme="minorEastAsia"/>
          <w:b/>
          <w:sz w:val="24"/>
        </w:rPr>
      </w:pPr>
    </w:p>
    <w:p>
      <w:pPr>
        <w:pStyle w:val="699"/>
        <w:spacing w:line="560" w:lineRule="exact"/>
        <w:ind w:firstLine="482"/>
        <w:jc w:val="center"/>
        <w:rPr>
          <w:rFonts w:asciiTheme="minorEastAsia" w:hAnsiTheme="minorEastAsia" w:eastAsiaTheme="minorEastAsia"/>
          <w:b/>
          <w:szCs w:val="24"/>
        </w:rPr>
      </w:pPr>
    </w:p>
    <w:p>
      <w:pPr>
        <w:pStyle w:val="699"/>
        <w:spacing w:line="560" w:lineRule="exact"/>
        <w:ind w:firstLine="482"/>
        <w:jc w:val="center"/>
        <w:rPr>
          <w:rFonts w:asciiTheme="minorEastAsia" w:hAnsiTheme="minorEastAsia" w:eastAsiaTheme="minorEastAsia"/>
          <w:b/>
          <w:szCs w:val="24"/>
        </w:rPr>
      </w:pPr>
    </w:p>
    <w:p>
      <w:pPr>
        <w:pStyle w:val="699"/>
        <w:spacing w:line="560" w:lineRule="exact"/>
        <w:ind w:firstLine="482"/>
        <w:jc w:val="center"/>
        <w:rPr>
          <w:rFonts w:asciiTheme="minorEastAsia" w:hAnsiTheme="minorEastAsia" w:eastAsiaTheme="minorEastAsia"/>
          <w:b/>
          <w:szCs w:val="24"/>
        </w:rPr>
      </w:pPr>
    </w:p>
    <w:p>
      <w:pPr>
        <w:pStyle w:val="699"/>
        <w:spacing w:line="560" w:lineRule="exact"/>
        <w:ind w:firstLine="482"/>
        <w:jc w:val="center"/>
        <w:rPr>
          <w:rFonts w:asciiTheme="minorEastAsia" w:hAnsiTheme="minorEastAsia" w:eastAsiaTheme="minorEastAsia"/>
          <w:b/>
          <w:szCs w:val="24"/>
        </w:rPr>
      </w:pPr>
    </w:p>
    <w:p>
      <w:pPr>
        <w:pStyle w:val="699"/>
        <w:spacing w:line="560" w:lineRule="exact"/>
        <w:ind w:firstLine="482"/>
        <w:jc w:val="center"/>
        <w:rPr>
          <w:rFonts w:asciiTheme="minorEastAsia" w:hAnsiTheme="minorEastAsia" w:eastAsiaTheme="minorEastAsia"/>
          <w:b/>
          <w:szCs w:val="24"/>
        </w:rPr>
      </w:pPr>
    </w:p>
    <w:p>
      <w:pPr>
        <w:pStyle w:val="699"/>
        <w:spacing w:line="560" w:lineRule="exact"/>
        <w:ind w:firstLine="482"/>
        <w:jc w:val="center"/>
        <w:rPr>
          <w:rFonts w:asciiTheme="minorEastAsia" w:hAnsiTheme="minorEastAsia" w:eastAsiaTheme="minorEastAsia"/>
          <w:b/>
          <w:szCs w:val="24"/>
        </w:rPr>
      </w:pPr>
    </w:p>
    <w:p>
      <w:pPr>
        <w:pStyle w:val="699"/>
        <w:spacing w:after="0"/>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p>
    <w:p>
      <w:pPr>
        <w:snapToGrid w:val="0"/>
        <w:spacing w:line="360" w:lineRule="auto"/>
        <w:ind w:firstLine="482" w:firstLineChars="200"/>
        <w:outlineLvl w:val="0"/>
        <w:rPr>
          <w:rFonts w:asciiTheme="minorEastAsia" w:hAnsiTheme="minorEastAsia" w:eastAsiaTheme="minorEastAsia"/>
          <w:b/>
          <w:sz w:val="24"/>
        </w:rPr>
      </w:pPr>
      <w:bookmarkStart w:id="436" w:name="_Toc19680"/>
      <w:bookmarkStart w:id="437" w:name="_Toc25079"/>
      <w:bookmarkStart w:id="438" w:name="_Toc14021"/>
      <w:bookmarkStart w:id="439" w:name="_Toc5228"/>
      <w:bookmarkStart w:id="440" w:name="_Toc31297"/>
      <w:r>
        <w:rPr>
          <w:rFonts w:asciiTheme="minorEastAsia" w:hAnsiTheme="minorEastAsia" w:eastAsiaTheme="minorEastAsia"/>
          <w:b/>
          <w:sz w:val="24"/>
        </w:rPr>
        <w:t>2.1 定义</w:t>
      </w:r>
      <w:bookmarkEnd w:id="436"/>
      <w:bookmarkEnd w:id="437"/>
      <w:bookmarkEnd w:id="438"/>
      <w:bookmarkEnd w:id="439"/>
      <w:bookmarkEnd w:id="440"/>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napToGrid w:val="0"/>
        <w:spacing w:line="360" w:lineRule="auto"/>
        <w:ind w:firstLine="482" w:firstLineChars="200"/>
        <w:outlineLvl w:val="0"/>
        <w:rPr>
          <w:rFonts w:asciiTheme="minorEastAsia" w:hAnsiTheme="minorEastAsia" w:eastAsiaTheme="minorEastAsia"/>
          <w:b/>
          <w:sz w:val="24"/>
        </w:rPr>
      </w:pPr>
      <w:bookmarkStart w:id="441" w:name="_Toc16752"/>
      <w:bookmarkStart w:id="442" w:name="_Toc3769"/>
      <w:bookmarkStart w:id="443" w:name="_Toc31402"/>
      <w:bookmarkStart w:id="444" w:name="_Toc19539"/>
      <w:bookmarkStart w:id="445" w:name="_Toc23289"/>
      <w:r>
        <w:rPr>
          <w:rFonts w:asciiTheme="minorEastAsia" w:hAnsiTheme="minorEastAsia" w:eastAsiaTheme="minorEastAsia"/>
          <w:b/>
          <w:sz w:val="24"/>
        </w:rPr>
        <w:t>2.2 技术规范</w:t>
      </w:r>
      <w:bookmarkEnd w:id="441"/>
      <w:bookmarkEnd w:id="442"/>
      <w:bookmarkEnd w:id="443"/>
      <w:bookmarkEnd w:id="444"/>
      <w:bookmarkEnd w:id="445"/>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napToGrid w:val="0"/>
        <w:spacing w:line="360" w:lineRule="auto"/>
        <w:ind w:firstLine="482" w:firstLineChars="200"/>
        <w:outlineLvl w:val="0"/>
        <w:rPr>
          <w:rFonts w:asciiTheme="minorEastAsia" w:hAnsiTheme="minorEastAsia" w:eastAsiaTheme="minorEastAsia"/>
          <w:b/>
          <w:sz w:val="24"/>
        </w:rPr>
      </w:pPr>
      <w:bookmarkStart w:id="446" w:name="_Toc9161"/>
      <w:bookmarkStart w:id="447" w:name="_Toc12412"/>
      <w:bookmarkStart w:id="448" w:name="_Toc27945"/>
      <w:bookmarkStart w:id="449" w:name="_Toc4133"/>
      <w:bookmarkStart w:id="450" w:name="_Toc13673"/>
      <w:r>
        <w:rPr>
          <w:rFonts w:asciiTheme="minorEastAsia" w:hAnsiTheme="minorEastAsia" w:eastAsiaTheme="minorEastAsia"/>
          <w:b/>
          <w:sz w:val="24"/>
        </w:rPr>
        <w:t>2.3 知识产权</w:t>
      </w:r>
      <w:bookmarkEnd w:id="446"/>
      <w:bookmarkEnd w:id="447"/>
      <w:bookmarkEnd w:id="448"/>
      <w:bookmarkEnd w:id="449"/>
      <w:bookmarkEnd w:id="450"/>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asciiTheme="minorEastAsia" w:hAnsiTheme="minorEastAsia" w:eastAsiaTheme="minorEastAsia"/>
          <w:b/>
          <w:sz w:val="24"/>
        </w:rPr>
      </w:pPr>
      <w:bookmarkStart w:id="451" w:name="_Toc26555"/>
      <w:bookmarkStart w:id="452" w:name="_Toc22011"/>
      <w:bookmarkStart w:id="453" w:name="_Toc31233"/>
      <w:bookmarkStart w:id="454" w:name="_Toc32670"/>
      <w:bookmarkStart w:id="455" w:name="_Toc15447"/>
      <w:r>
        <w:rPr>
          <w:rFonts w:asciiTheme="minorEastAsia" w:hAnsiTheme="minorEastAsia" w:eastAsiaTheme="minorEastAsia"/>
          <w:b/>
          <w:sz w:val="24"/>
        </w:rPr>
        <w:t>2.5 结算方式和付款条件</w:t>
      </w:r>
      <w:bookmarkEnd w:id="451"/>
      <w:bookmarkEnd w:id="452"/>
      <w:bookmarkEnd w:id="453"/>
      <w:bookmarkEnd w:id="454"/>
      <w:bookmarkEnd w:id="455"/>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napToGrid w:val="0"/>
        <w:spacing w:line="360" w:lineRule="auto"/>
        <w:ind w:firstLine="482" w:firstLineChars="200"/>
        <w:outlineLvl w:val="0"/>
        <w:rPr>
          <w:rFonts w:asciiTheme="minorEastAsia" w:hAnsiTheme="minorEastAsia" w:eastAsiaTheme="minorEastAsia"/>
          <w:b/>
          <w:sz w:val="24"/>
        </w:rPr>
      </w:pPr>
      <w:bookmarkStart w:id="456" w:name="_Toc30507"/>
      <w:bookmarkStart w:id="457" w:name="_Toc18990"/>
      <w:bookmarkStart w:id="458" w:name="_Toc16163"/>
      <w:bookmarkStart w:id="459" w:name="_Toc13467"/>
      <w:bookmarkStart w:id="460" w:name="_Toc13154"/>
      <w:r>
        <w:rPr>
          <w:rFonts w:asciiTheme="minorEastAsia" w:hAnsiTheme="minorEastAsia" w:eastAsiaTheme="minorEastAsia"/>
          <w:b/>
          <w:sz w:val="24"/>
        </w:rPr>
        <w:t>2.6 技术资料和保密义务</w:t>
      </w:r>
      <w:bookmarkEnd w:id="456"/>
      <w:bookmarkEnd w:id="457"/>
      <w:bookmarkEnd w:id="458"/>
      <w:bookmarkEnd w:id="459"/>
      <w:bookmarkEnd w:id="460"/>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Theme="minorEastAsia" w:hAnsiTheme="minorEastAsia" w:eastAsiaTheme="minorEastAsia"/>
          <w:b/>
          <w:sz w:val="24"/>
        </w:rPr>
      </w:pPr>
      <w:bookmarkStart w:id="461"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1"/>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Theme="minorEastAsia" w:hAnsiTheme="minorEastAsia" w:eastAsiaTheme="minorEastAsia"/>
          <w:b/>
          <w:sz w:val="24"/>
        </w:rPr>
      </w:pPr>
      <w:bookmarkStart w:id="462"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2"/>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napToGrid w:val="0"/>
        <w:spacing w:line="360" w:lineRule="auto"/>
        <w:ind w:firstLine="482" w:firstLineChars="200"/>
        <w:outlineLvl w:val="0"/>
        <w:rPr>
          <w:rFonts w:asciiTheme="minorEastAsia" w:hAnsiTheme="minorEastAsia" w:eastAsiaTheme="minorEastAsia"/>
          <w:b/>
          <w:sz w:val="24"/>
        </w:rPr>
      </w:pPr>
      <w:bookmarkStart w:id="463"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3"/>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b/>
          <w:sz w:val="24"/>
        </w:rPr>
      </w:pPr>
      <w:bookmarkStart w:id="464" w:name="_Toc23368"/>
      <w:bookmarkStart w:id="465" w:name="_Toc21830"/>
      <w:bookmarkStart w:id="466" w:name="_Toc42"/>
      <w:bookmarkStart w:id="467" w:name="_Toc26689"/>
      <w:bookmarkStart w:id="468" w:name="_Toc10663"/>
      <w:r>
        <w:rPr>
          <w:rFonts w:asciiTheme="minorEastAsia" w:hAnsiTheme="minorEastAsia" w:eastAsiaTheme="minorEastAsia"/>
          <w:b/>
          <w:sz w:val="24"/>
        </w:rPr>
        <w:t>2.10 合同转让和分包</w:t>
      </w:r>
      <w:bookmarkEnd w:id="464"/>
      <w:bookmarkEnd w:id="465"/>
      <w:bookmarkEnd w:id="466"/>
      <w:bookmarkEnd w:id="467"/>
      <w:bookmarkEnd w:id="468"/>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napToGrid w:val="0"/>
        <w:spacing w:line="360" w:lineRule="auto"/>
        <w:ind w:firstLine="482" w:firstLineChars="200"/>
        <w:outlineLvl w:val="0"/>
        <w:rPr>
          <w:rFonts w:asciiTheme="minorEastAsia" w:hAnsiTheme="minorEastAsia" w:eastAsiaTheme="minorEastAsia"/>
          <w:b/>
          <w:sz w:val="24"/>
        </w:rPr>
      </w:pPr>
      <w:bookmarkStart w:id="469" w:name="_Toc26633"/>
      <w:bookmarkStart w:id="470" w:name="_Toc4720"/>
      <w:bookmarkStart w:id="471" w:name="_Toc32494"/>
      <w:bookmarkStart w:id="472" w:name="_Toc14371"/>
      <w:bookmarkStart w:id="473" w:name="_Toc25571"/>
      <w:r>
        <w:rPr>
          <w:rFonts w:asciiTheme="minorEastAsia" w:hAnsiTheme="minorEastAsia" w:eastAsiaTheme="minorEastAsia"/>
          <w:b/>
          <w:sz w:val="24"/>
        </w:rPr>
        <w:t>2.11 不可抗力</w:t>
      </w:r>
      <w:bookmarkEnd w:id="469"/>
      <w:bookmarkEnd w:id="470"/>
      <w:bookmarkEnd w:id="471"/>
      <w:bookmarkEnd w:id="472"/>
      <w:bookmarkEnd w:id="473"/>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napToGrid w:val="0"/>
        <w:spacing w:line="360" w:lineRule="auto"/>
        <w:ind w:firstLine="482" w:firstLineChars="200"/>
        <w:outlineLvl w:val="0"/>
        <w:rPr>
          <w:rFonts w:asciiTheme="minorEastAsia" w:hAnsiTheme="minorEastAsia" w:eastAsiaTheme="minorEastAsia"/>
          <w:b/>
          <w:sz w:val="24"/>
        </w:rPr>
      </w:pPr>
      <w:bookmarkStart w:id="474" w:name="_Toc25783"/>
      <w:bookmarkStart w:id="475" w:name="_Toc3638"/>
      <w:bookmarkStart w:id="476" w:name="_Toc24465"/>
      <w:bookmarkStart w:id="477" w:name="_Toc14115"/>
      <w:bookmarkStart w:id="478" w:name="_Toc23854"/>
      <w:r>
        <w:rPr>
          <w:rFonts w:asciiTheme="minorEastAsia" w:hAnsiTheme="minorEastAsia" w:eastAsiaTheme="minorEastAsia"/>
          <w:b/>
          <w:sz w:val="24"/>
        </w:rPr>
        <w:t>2.12 税费</w:t>
      </w:r>
      <w:bookmarkEnd w:id="474"/>
      <w:bookmarkEnd w:id="475"/>
      <w:bookmarkEnd w:id="476"/>
      <w:bookmarkEnd w:id="477"/>
      <w:bookmarkEnd w:id="478"/>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napToGrid w:val="0"/>
        <w:spacing w:line="360" w:lineRule="auto"/>
        <w:ind w:firstLine="482" w:firstLineChars="200"/>
        <w:outlineLvl w:val="0"/>
        <w:rPr>
          <w:rFonts w:asciiTheme="minorEastAsia" w:hAnsiTheme="minorEastAsia" w:eastAsiaTheme="minorEastAsia"/>
          <w:b/>
          <w:sz w:val="24"/>
        </w:rPr>
      </w:pPr>
      <w:bookmarkStart w:id="479" w:name="_Toc14814"/>
      <w:bookmarkStart w:id="480" w:name="_Toc7315"/>
      <w:bookmarkStart w:id="481" w:name="_Toc25525"/>
      <w:bookmarkStart w:id="482" w:name="_Toc30105"/>
      <w:bookmarkStart w:id="483" w:name="_Toc26883"/>
      <w:r>
        <w:rPr>
          <w:rFonts w:asciiTheme="minorEastAsia" w:hAnsiTheme="minorEastAsia" w:eastAsiaTheme="minorEastAsia"/>
          <w:b/>
          <w:sz w:val="24"/>
        </w:rPr>
        <w:t>2.13 乙方破产</w:t>
      </w:r>
      <w:bookmarkEnd w:id="479"/>
      <w:bookmarkEnd w:id="480"/>
      <w:bookmarkEnd w:id="481"/>
      <w:bookmarkEnd w:id="482"/>
      <w:bookmarkEnd w:id="483"/>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napToGrid w:val="0"/>
        <w:spacing w:line="360" w:lineRule="auto"/>
        <w:ind w:firstLine="482" w:firstLineChars="200"/>
        <w:outlineLvl w:val="0"/>
        <w:rPr>
          <w:rFonts w:asciiTheme="minorEastAsia" w:hAnsiTheme="minorEastAsia" w:eastAsiaTheme="minorEastAsia"/>
          <w:b/>
          <w:sz w:val="24"/>
        </w:rPr>
      </w:pPr>
      <w:bookmarkStart w:id="484" w:name="_Toc2016"/>
      <w:bookmarkStart w:id="485" w:name="_Toc23323"/>
      <w:bookmarkStart w:id="486" w:name="_Toc1123"/>
      <w:r>
        <w:rPr>
          <w:rFonts w:asciiTheme="minorEastAsia" w:hAnsiTheme="minorEastAsia" w:eastAsiaTheme="minorEastAsia"/>
          <w:b/>
          <w:sz w:val="24"/>
        </w:rPr>
        <w:t>2.14 合同中止、终止</w:t>
      </w:r>
      <w:bookmarkEnd w:id="484"/>
      <w:bookmarkEnd w:id="485"/>
      <w:bookmarkEnd w:id="486"/>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b/>
          <w:sz w:val="24"/>
        </w:rPr>
      </w:pPr>
      <w:bookmarkStart w:id="487" w:name="_Toc14525"/>
      <w:bookmarkStart w:id="488" w:name="_Toc17363"/>
      <w:bookmarkStart w:id="489" w:name="_Toc1969"/>
      <w:r>
        <w:rPr>
          <w:rFonts w:asciiTheme="minorEastAsia" w:hAnsiTheme="minorEastAsia" w:eastAsiaTheme="minorEastAsia"/>
          <w:b/>
          <w:sz w:val="24"/>
        </w:rPr>
        <w:t>2.15 检验和验收</w:t>
      </w:r>
      <w:bookmarkEnd w:id="487"/>
      <w:bookmarkEnd w:id="488"/>
      <w:bookmarkEnd w:id="489"/>
    </w:p>
    <w:p>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napToGrid w:val="0"/>
        <w:spacing w:line="360" w:lineRule="auto"/>
        <w:ind w:firstLine="482" w:firstLineChars="200"/>
        <w:outlineLvl w:val="0"/>
        <w:rPr>
          <w:rFonts w:asciiTheme="minorEastAsia" w:hAnsiTheme="minorEastAsia" w:eastAsiaTheme="minorEastAsia"/>
          <w:b/>
          <w:sz w:val="24"/>
        </w:rPr>
      </w:pPr>
      <w:bookmarkStart w:id="490" w:name="_Toc9808"/>
      <w:bookmarkStart w:id="491" w:name="_Toc31892"/>
      <w:bookmarkStart w:id="492" w:name="_Toc2308"/>
      <w:bookmarkStart w:id="493" w:name="_Toc25198"/>
      <w:bookmarkStart w:id="494" w:name="_Toc12666"/>
      <w:r>
        <w:rPr>
          <w:rFonts w:asciiTheme="minorEastAsia" w:hAnsiTheme="minorEastAsia" w:eastAsiaTheme="minorEastAsia"/>
          <w:b/>
          <w:sz w:val="24"/>
        </w:rPr>
        <w:t>2.16 通知和送达</w:t>
      </w:r>
      <w:bookmarkEnd w:id="490"/>
      <w:bookmarkEnd w:id="491"/>
      <w:bookmarkEnd w:id="492"/>
      <w:bookmarkEnd w:id="493"/>
      <w:bookmarkEnd w:id="494"/>
    </w:p>
    <w:p>
      <w:pPr>
        <w:snapToGrid w:val="0"/>
        <w:spacing w:line="360" w:lineRule="auto"/>
        <w:ind w:firstLine="480" w:firstLineChars="200"/>
        <w:rPr>
          <w:rFonts w:asciiTheme="minorEastAsia" w:hAnsiTheme="minorEastAsia" w:eastAsiaTheme="minorEastAsia"/>
          <w:sz w:val="24"/>
        </w:rPr>
      </w:pPr>
      <w:bookmarkStart w:id="495" w:name="_Toc18401"/>
      <w:bookmarkStart w:id="496"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5"/>
      <w:bookmarkEnd w:id="496"/>
    </w:p>
    <w:p>
      <w:pPr>
        <w:snapToGrid w:val="0"/>
        <w:spacing w:line="360" w:lineRule="auto"/>
        <w:ind w:firstLine="482" w:firstLineChars="200"/>
        <w:outlineLvl w:val="0"/>
        <w:rPr>
          <w:rFonts w:asciiTheme="minorEastAsia" w:hAnsiTheme="minorEastAsia" w:eastAsiaTheme="minorEastAsia"/>
          <w:b/>
          <w:sz w:val="24"/>
        </w:rPr>
      </w:pPr>
      <w:bookmarkStart w:id="497" w:name="_Toc12254"/>
      <w:bookmarkStart w:id="498" w:name="_Toc5063"/>
      <w:bookmarkStart w:id="499" w:name="_Toc27644"/>
      <w:bookmarkStart w:id="500" w:name="_Toc28906"/>
      <w:bookmarkStart w:id="501"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7"/>
      <w:bookmarkEnd w:id="498"/>
      <w:bookmarkEnd w:id="499"/>
      <w:bookmarkEnd w:id="500"/>
      <w:bookmarkEnd w:id="501"/>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w:t>
      </w:r>
      <w:r>
        <w:rPr>
          <w:rFonts w:hint="eastAsia" w:asciiTheme="minorEastAsia" w:hAnsiTheme="minorEastAsia" w:eastAsiaTheme="minorEastAsia"/>
          <w:sz w:val="24"/>
        </w:rPr>
        <w:t>写、</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napToGrid w:val="0"/>
        <w:spacing w:line="360" w:lineRule="auto"/>
        <w:ind w:firstLine="482" w:firstLineChars="200"/>
        <w:outlineLvl w:val="0"/>
        <w:rPr>
          <w:rFonts w:asciiTheme="minorEastAsia" w:hAnsiTheme="minorEastAsia" w:eastAsiaTheme="minorEastAsia"/>
          <w:b/>
          <w:sz w:val="24"/>
        </w:rPr>
      </w:pPr>
      <w:bookmarkStart w:id="502" w:name="_Toc27403"/>
      <w:bookmarkStart w:id="503" w:name="_Toc30096"/>
      <w:bookmarkStart w:id="504" w:name="_Toc1492"/>
      <w:bookmarkStart w:id="505" w:name="_Toc22266"/>
      <w:bookmarkStart w:id="506" w:name="_Toc27127"/>
      <w:r>
        <w:rPr>
          <w:rFonts w:asciiTheme="minorEastAsia" w:hAnsiTheme="minorEastAsia" w:eastAsiaTheme="minorEastAsia"/>
          <w:b/>
          <w:sz w:val="24"/>
        </w:rPr>
        <w:t>2.18 履约保证金</w:t>
      </w:r>
      <w:bookmarkEnd w:id="502"/>
      <w:bookmarkEnd w:id="503"/>
      <w:bookmarkEnd w:id="504"/>
      <w:bookmarkEnd w:id="505"/>
      <w:bookmarkEnd w:id="506"/>
    </w:p>
    <w:p>
      <w:pPr>
        <w:pStyle w:val="957"/>
        <w:snapToGrid w:val="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2.18.</w:t>
      </w:r>
      <w:r>
        <w:rPr>
          <w:rFonts w:hint="eastAsia" w:asciiTheme="minorEastAsia" w:hAnsiTheme="minorEastAsia" w:eastAsiaTheme="minorEastAsia"/>
          <w:sz w:val="24"/>
        </w:rPr>
        <w:t>2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pStyle w:val="699"/>
        <w:spacing w:after="0"/>
        <w:jc w:val="center"/>
        <w:rPr>
          <w:rFonts w:ascii="宋体" w:hAnsi="宋体" w:cs="宋体"/>
          <w:b/>
          <w:szCs w:val="24"/>
        </w:rPr>
      </w:pPr>
      <w:r>
        <w:rPr>
          <w:rFonts w:hint="eastAsia" w:ascii="宋体" w:hAnsi="宋体" w:cs="宋体"/>
          <w:kern w:val="0"/>
          <w:szCs w:val="24"/>
        </w:rPr>
        <w:br w:type="page"/>
      </w:r>
      <w:bookmarkStart w:id="507" w:name="_Toc331685784"/>
      <w:bookmarkEnd w:id="507"/>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highlight w:val="none"/>
              </w:rPr>
              <w:t>1.4.3</w:t>
            </w:r>
          </w:p>
        </w:tc>
        <w:tc>
          <w:tcPr>
            <w:tcW w:w="4533" w:type="pct"/>
            <w:vAlign w:val="center"/>
          </w:tcPr>
          <w:p>
            <w:pPr>
              <w:snapToGrid w:val="0"/>
              <w:spacing w:line="360" w:lineRule="auto"/>
              <w:rPr>
                <w:rFonts w:ascii="宋体" w:hAnsi="宋体"/>
                <w:color w:val="FF0000"/>
                <w:sz w:val="24"/>
                <w:highlight w:val="yellow"/>
              </w:rPr>
            </w:pPr>
            <w:r>
              <w:rPr>
                <w:rFonts w:hint="eastAsia" w:ascii="宋体" w:hAnsi="宋体"/>
                <w:sz w:val="24"/>
              </w:rPr>
              <w:t>本项目不支付预付款</w:t>
            </w:r>
            <w:r>
              <w:rPr>
                <w:rFonts w:hint="eastAsia" w:ascii="宋体" w:hAnsi="宋体" w:cs="Helvetica"/>
                <w:kern w:val="0"/>
                <w:sz w:val="24"/>
              </w:rPr>
              <w:t>，按月支付，每月按实际产生的工程量*中标单价。白蚁危害调查费用，经采购人审核通过后支付相应款项。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1.5.1</w:t>
            </w:r>
          </w:p>
        </w:tc>
        <w:tc>
          <w:tcPr>
            <w:tcW w:w="4533" w:type="pct"/>
            <w:vAlign w:val="center"/>
          </w:tcPr>
          <w:p>
            <w:pPr>
              <w:tabs>
                <w:tab w:val="left" w:pos="0"/>
              </w:tabs>
              <w:snapToGrid w:val="0"/>
              <w:spacing w:line="360" w:lineRule="auto"/>
              <w:rPr>
                <w:rFonts w:ascii="宋体" w:hAnsi="宋体" w:cs="宋体"/>
                <w:sz w:val="24"/>
              </w:rPr>
            </w:pPr>
            <w:r>
              <w:rPr>
                <w:rFonts w:hint="eastAsia" w:ascii="宋体" w:hAnsi="宋体" w:cs="Helvetica"/>
                <w:kern w:val="0"/>
                <w:sz w:val="24"/>
              </w:rPr>
              <w:t>合同签订后1年或者累计工程量金额达到合同价服务期终止。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1.5.2</w:t>
            </w:r>
          </w:p>
        </w:tc>
        <w:tc>
          <w:tcPr>
            <w:tcW w:w="4533" w:type="pct"/>
            <w:vAlign w:val="center"/>
          </w:tcPr>
          <w:p>
            <w:pPr>
              <w:spacing w:line="360" w:lineRule="auto"/>
              <w:rPr>
                <w:rFonts w:ascii="宋体" w:hAnsi="宋体" w:cs="宋体"/>
                <w:sz w:val="24"/>
              </w:rPr>
            </w:pPr>
            <w:r>
              <w:rPr>
                <w:rFonts w:hint="eastAsia" w:ascii="宋体" w:hAnsi="宋体" w:cs="宋体"/>
                <w:sz w:val="24"/>
              </w:rPr>
              <w:t>桐庐县，最终以采购人指定为准。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1.5.3</w:t>
            </w:r>
          </w:p>
        </w:tc>
        <w:tc>
          <w:tcPr>
            <w:tcW w:w="4533" w:type="pct"/>
            <w:vAlign w:val="center"/>
          </w:tcPr>
          <w:p>
            <w:pPr>
              <w:spacing w:line="360" w:lineRule="auto"/>
              <w:rPr>
                <w:rFonts w:ascii="宋体" w:hAnsi="宋体" w:cs="宋体"/>
                <w:sz w:val="24"/>
              </w:rPr>
            </w:pPr>
            <w:r>
              <w:rPr>
                <w:rFonts w:hint="eastAsia" w:ascii="宋体" w:hAnsi="宋体" w:cs="宋体"/>
                <w:sz w:val="24"/>
              </w:rPr>
              <w:t>服务总承包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1.6.6</w:t>
            </w:r>
          </w:p>
        </w:tc>
        <w:tc>
          <w:tcPr>
            <w:tcW w:w="4533" w:type="pct"/>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w:t>
            </w:r>
          </w:p>
        </w:tc>
        <w:tc>
          <w:tcPr>
            <w:tcW w:w="4533" w:type="pct"/>
            <w:vAlign w:val="center"/>
          </w:tcPr>
          <w:p>
            <w:pPr>
              <w:spacing w:line="360" w:lineRule="auto"/>
              <w:rPr>
                <w:rFonts w:ascii="宋体" w:hAnsi="宋体" w:cs="宋体"/>
                <w:sz w:val="24"/>
              </w:rPr>
            </w:pPr>
            <w:r>
              <w:rPr>
                <w:rFonts w:hint="eastAsia" w:ascii="宋体" w:hAnsi="宋体" w:cs="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1.7.1</w:t>
            </w:r>
          </w:p>
        </w:tc>
        <w:tc>
          <w:tcPr>
            <w:tcW w:w="4533" w:type="pct"/>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1.7.2</w:t>
            </w:r>
          </w:p>
        </w:tc>
        <w:tc>
          <w:tcPr>
            <w:tcW w:w="4533" w:type="pct"/>
            <w:vAlign w:val="center"/>
          </w:tcPr>
          <w:p>
            <w:pPr>
              <w:spacing w:line="360" w:lineRule="auto"/>
              <w:rPr>
                <w:rFonts w:ascii="宋体" w:hAnsi="宋体" w:cs="宋体"/>
                <w:sz w:val="24"/>
              </w:rPr>
            </w:pPr>
            <w:r>
              <w:rPr>
                <w:rFonts w:hint="eastAsia" w:ascii="宋体" w:hAnsi="宋体" w:cs="宋体"/>
                <w:sz w:val="24"/>
              </w:rPr>
              <w:t>向桐庐县人民法院起诉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2.3.2</w:t>
            </w:r>
          </w:p>
        </w:tc>
        <w:tc>
          <w:tcPr>
            <w:tcW w:w="4533"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合同涉及技术成果的归属和收益归采购人所有。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p>
        </w:tc>
        <w:tc>
          <w:tcPr>
            <w:tcW w:w="4533"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详见1.4.3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3" w:type="pc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hint="eastAsia" w:asciiTheme="minorEastAsia" w:hAnsiTheme="minorEastAsia" w:eastAsiaTheme="minorEastAsia"/>
                <w:sz w:val="24"/>
              </w:rPr>
              <w:t>30天</w:t>
            </w:r>
            <w:r>
              <w:rPr>
                <w:rFonts w:asciiTheme="minorEastAsia" w:hAnsiTheme="minorEastAsia" w:eastAsiaTheme="minorEastAsia"/>
                <w:sz w:val="24"/>
              </w:rPr>
              <w:t>内以书面形式变更合同</w:t>
            </w:r>
            <w:r>
              <w:rPr>
                <w:rFonts w:hint="eastAsia" w:asciiTheme="minorEastAsia" w:hAnsiTheme="minorEastAsia"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11.4</w:t>
            </w:r>
          </w:p>
        </w:tc>
        <w:tc>
          <w:tcPr>
            <w:tcW w:w="4533" w:type="pct"/>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hint="eastAsia" w:asciiTheme="minorEastAsia" w:hAnsiTheme="minorEastAsia" w:eastAsiaTheme="minorEastAsia"/>
                <w:sz w:val="24"/>
              </w:rPr>
              <w:t>5天</w:t>
            </w:r>
            <w:r>
              <w:rPr>
                <w:rFonts w:asciiTheme="minorEastAsia" w:hAnsiTheme="minorEastAsia" w:eastAsiaTheme="minorEastAsia"/>
                <w:sz w:val="24"/>
              </w:rPr>
              <w:t>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hint="eastAsia" w:asciiTheme="minorEastAsia" w:hAnsiTheme="minorEastAsia" w:eastAsiaTheme="minorEastAsia"/>
                <w:sz w:val="24"/>
              </w:rPr>
              <w:t>7天</w:t>
            </w:r>
            <w:r>
              <w:rPr>
                <w:rFonts w:asciiTheme="minorEastAsia" w:hAnsiTheme="minorEastAsia" w:eastAsiaTheme="minorEastAsia"/>
                <w:sz w:val="24"/>
              </w:rPr>
              <w:t>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3" w:type="pct"/>
            <w:vAlign w:val="center"/>
          </w:tcPr>
          <w:p>
            <w:pPr>
              <w:spacing w:line="360" w:lineRule="auto"/>
              <w:rPr>
                <w:rFonts w:ascii="宋体" w:hAnsi="宋体" w:cs="宋体"/>
                <w:sz w:val="24"/>
              </w:rPr>
            </w:pPr>
            <w:r>
              <w:rPr>
                <w:rFonts w:hint="eastAsia" w:ascii="宋体" w:hAnsi="宋体" w:cs="宋体"/>
                <w:sz w:val="24"/>
              </w:rPr>
              <w:t>按相关标准进行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3" w:type="pct"/>
            <w:vAlign w:val="center"/>
          </w:tcPr>
          <w:p>
            <w:pPr>
              <w:spacing w:line="360" w:lineRule="auto"/>
              <w:rPr>
                <w:rFonts w:ascii="宋体" w:hAnsi="宋体" w:cs="宋体"/>
                <w:sz w:val="24"/>
              </w:rPr>
            </w:pPr>
            <w:r>
              <w:rPr>
                <w:rFonts w:hint="eastAsia" w:ascii="宋体" w:hAnsi="宋体" w:cs="宋体"/>
                <w:sz w:val="24"/>
              </w:rPr>
              <w:t>按相关标准进行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3" w:type="pct"/>
            <w:vAlign w:val="center"/>
          </w:tcPr>
          <w:p>
            <w:pPr>
              <w:spacing w:line="360" w:lineRule="auto"/>
              <w:rPr>
                <w:rFonts w:ascii="宋体" w:hAnsi="宋体" w:cs="宋体"/>
                <w:sz w:val="24"/>
              </w:rPr>
            </w:pPr>
            <w:r>
              <w:rPr>
                <w:rFonts w:hint="eastAsia" w:ascii="宋体" w:hAnsi="宋体" w:cs="宋体"/>
                <w:sz w:val="24"/>
              </w:rPr>
              <w:t>本项目不设置履约保证金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2.20</w:t>
            </w:r>
          </w:p>
        </w:tc>
        <w:tc>
          <w:tcPr>
            <w:tcW w:w="4533" w:type="pct"/>
            <w:vAlign w:val="center"/>
          </w:tcPr>
          <w:p>
            <w:pPr>
              <w:spacing w:line="360" w:lineRule="auto"/>
              <w:rPr>
                <w:rFonts w:ascii="宋体" w:hAnsi="宋体" w:cs="宋体"/>
                <w:sz w:val="24"/>
              </w:rPr>
            </w:pPr>
            <w:r>
              <w:rPr>
                <w:rFonts w:hint="eastAsia" w:ascii="宋体" w:hAnsi="宋体" w:cs="宋体"/>
                <w:sz w:val="24"/>
              </w:rPr>
              <w:t>合同份数：7份。</w:t>
            </w:r>
          </w:p>
        </w:tc>
      </w:tr>
    </w:tbl>
    <w:p>
      <w:pPr>
        <w:spacing w:line="360" w:lineRule="auto"/>
        <w:jc w:val="center"/>
        <w:outlineLvl w:val="0"/>
        <w:rPr>
          <w:rFonts w:ascii="宋体" w:hAnsi="宋体" w:cs="宋体"/>
          <w:b/>
          <w:sz w:val="36"/>
          <w:szCs w:val="20"/>
        </w:rPr>
      </w:pPr>
    </w:p>
    <w:p>
      <w:pPr>
        <w:spacing w:line="360" w:lineRule="auto"/>
        <w:jc w:val="center"/>
        <w:outlineLvl w:val="0"/>
        <w:rPr>
          <w:rFonts w:ascii="宋体" w:hAnsi="宋体" w:cs="宋体"/>
          <w:b/>
          <w:sz w:val="36"/>
          <w:szCs w:val="20"/>
        </w:rPr>
      </w:pPr>
    </w:p>
    <w:p>
      <w:pPr>
        <w:rPr>
          <w:rFonts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4"/>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我方参与（项目名称）【招标编号：HBCG-TL2024026】政府采购活动，郑重承诺：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投标人名称(电子签名)：</w:t>
      </w:r>
    </w:p>
    <w:p>
      <w:pPr>
        <w:pStyle w:val="6"/>
      </w:pP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spacing w:line="360" w:lineRule="auto"/>
        <w:rPr>
          <w:rFonts w:ascii="宋体" w:hAnsi="宋体" w:cs="宋体"/>
          <w:b/>
          <w:kern w:val="0"/>
          <w:sz w:val="32"/>
          <w:szCs w:val="32"/>
        </w:rPr>
      </w:pPr>
    </w:p>
    <w:p>
      <w:pPr>
        <w:spacing w:line="360" w:lineRule="auto"/>
        <w:ind w:right="42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.专门面向中小企业，服务全部由符合政策要求的中小企业（或小微企业）承接的，提供相应的中小企业声明函（附件5）。 </w:t>
      </w:r>
    </w:p>
    <w:p>
      <w:pPr>
        <w:spacing w:line="360" w:lineRule="auto"/>
        <w:ind w:right="420"/>
        <w:jc w:val="center"/>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6"/>
        <w:ind w:left="0" w:firstLine="0"/>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400" w:lineRule="exact"/>
        <w:rPr>
          <w:rFonts w:ascii="宋体" w:hAnsi="宋体" w:cs="宋体"/>
          <w:sz w:val="24"/>
        </w:rPr>
      </w:pPr>
      <w:r>
        <w:rPr>
          <w:rFonts w:hint="eastAsia" w:ascii="宋体" w:hAnsi="宋体" w:cs="宋体"/>
          <w:sz w:val="24"/>
        </w:rPr>
        <w:t>（采购人）、（采购代理机构）：</w:t>
      </w:r>
    </w:p>
    <w:p>
      <w:pPr>
        <w:snapToGrid w:val="0"/>
        <w:spacing w:line="40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4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400" w:lineRule="exact"/>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2.1资格文件：</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2.1.1承诺函；</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napToGrid w:val="0"/>
          <w:kern w:val="28"/>
          <w:sz w:val="24"/>
          <w:szCs w:val="20"/>
        </w:rPr>
        <w:t>（如果有）</w:t>
      </w:r>
      <w:bookmarkEnd w:id="508"/>
    </w:p>
    <w:p>
      <w:pPr>
        <w:snapToGrid w:val="0"/>
        <w:spacing w:line="400" w:lineRule="exact"/>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4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2.2.1投标函；</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400" w:lineRule="exact"/>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400" w:lineRule="exact"/>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400" w:lineRule="exact"/>
        <w:ind w:left="210" w:leftChars="100" w:firstLine="480" w:firstLineChars="200"/>
        <w:rPr>
          <w:rFonts w:ascii="宋体" w:hAnsi="宋体" w:cs="宋体"/>
          <w:sz w:val="24"/>
        </w:rPr>
      </w:pPr>
      <w:r>
        <w:rPr>
          <w:rFonts w:hint="eastAsia" w:ascii="宋体" w:hAnsi="宋体" w:cs="宋体"/>
          <w:sz w:val="24"/>
        </w:rPr>
        <w:t>5、其他补充说明:。</w:t>
      </w:r>
    </w:p>
    <w:p>
      <w:pPr>
        <w:snapToGrid w:val="0"/>
        <w:spacing w:line="400" w:lineRule="exact"/>
        <w:ind w:firstLine="3600" w:firstLineChars="1500"/>
        <w:rPr>
          <w:rFonts w:ascii="宋体" w:hAnsi="宋体" w:cs="宋体"/>
          <w:sz w:val="24"/>
        </w:rPr>
      </w:pPr>
      <w:r>
        <w:rPr>
          <w:rFonts w:hint="eastAsia" w:ascii="宋体" w:hAnsi="宋体" w:cs="宋体"/>
          <w:sz w:val="24"/>
        </w:rPr>
        <w:t xml:space="preserve">投标人名称（电子签名）：                          </w:t>
      </w:r>
    </w:p>
    <w:p>
      <w:pPr>
        <w:snapToGrid w:val="0"/>
        <w:spacing w:line="400" w:lineRule="exact"/>
        <w:jc w:val="center"/>
        <w:rPr>
          <w:rFonts w:ascii="宋体" w:hAnsi="宋体" w:cs="宋体"/>
          <w:sz w:val="24"/>
        </w:rPr>
      </w:pPr>
      <w:r>
        <w:rPr>
          <w:rFonts w:hint="eastAsia" w:ascii="宋体" w:hAnsi="宋体" w:cs="宋体"/>
          <w:sz w:val="24"/>
        </w:rPr>
        <w:t xml:space="preserve">     日期：  年   月   日</w:t>
      </w:r>
    </w:p>
    <w:p>
      <w:pPr>
        <w:snapToGrid w:val="0"/>
        <w:spacing w:line="400" w:lineRule="exact"/>
        <w:ind w:left="420" w:leftChars="200" w:firstLine="4200" w:firstLineChars="1750"/>
        <w:rPr>
          <w:rFonts w:ascii="宋体" w:hAnsi="宋体" w:cs="宋体"/>
          <w:kern w:val="0"/>
          <w:sz w:val="24"/>
          <w:u w:val="single"/>
        </w:rPr>
      </w:pPr>
    </w:p>
    <w:p>
      <w:pPr>
        <w:snapToGrid w:val="0"/>
        <w:spacing w:line="400" w:lineRule="exact"/>
        <w:ind w:right="420"/>
        <w:rPr>
          <w:rFonts w:ascii="宋体" w:hAnsi="宋体" w:cs="宋体"/>
          <w:sz w:val="24"/>
        </w:rPr>
      </w:pPr>
      <w:r>
        <w:rPr>
          <w:rFonts w:hint="eastAsia" w:ascii="宋体" w:hAnsi="宋体" w:cs="宋体"/>
          <w:sz w:val="24"/>
        </w:rPr>
        <w:t>注：按本格式和要求提供。</w:t>
      </w:r>
    </w:p>
    <w:p>
      <w:pP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（项目名称）【招标编号：（HBCG-TL2024026）】</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（项目名称）【招标编号：（HBCG-TL2024026）】</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b/>
          <w:bCs/>
          <w:sz w:val="32"/>
          <w:szCs w:val="32"/>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3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2502"/>
        <w:gridCol w:w="2502"/>
        <w:gridCol w:w="24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3260"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502"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502"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475"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单价</w:t>
            </w:r>
          </w:p>
        </w:tc>
        <w:tc>
          <w:tcPr>
            <w:tcW w:w="2400"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3260" w:type="dxa"/>
            <w:vAlign w:val="center"/>
          </w:tcPr>
          <w:p>
            <w:pPr>
              <w:snapToGrid w:val="0"/>
              <w:spacing w:line="360" w:lineRule="auto"/>
              <w:jc w:val="center"/>
              <w:rPr>
                <w:rFonts w:ascii="宋体" w:hAnsi="宋体" w:cs="宋体"/>
                <w:sz w:val="24"/>
                <w:highlight w:val="none"/>
              </w:rPr>
            </w:pPr>
            <w:r>
              <w:rPr>
                <w:rFonts w:hint="eastAsia" w:ascii="宋体" w:hAnsi="宋体" w:cs="Helvetica"/>
                <w:kern w:val="0"/>
                <w:sz w:val="24"/>
                <w:highlight w:val="none"/>
              </w:rPr>
              <w:t>白蚁危害调查</w:t>
            </w:r>
          </w:p>
        </w:tc>
        <w:tc>
          <w:tcPr>
            <w:tcW w:w="2502"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按采购需求</w:t>
            </w:r>
          </w:p>
        </w:tc>
        <w:tc>
          <w:tcPr>
            <w:tcW w:w="2502"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按采购需求</w:t>
            </w:r>
          </w:p>
        </w:tc>
        <w:tc>
          <w:tcPr>
            <w:tcW w:w="2475"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元</w:t>
            </w:r>
          </w:p>
        </w:tc>
        <w:tc>
          <w:tcPr>
            <w:tcW w:w="2400"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restart"/>
            <w:vAlign w:val="center"/>
          </w:tcPr>
          <w:p>
            <w:pPr>
              <w:spacing w:line="360" w:lineRule="auto"/>
              <w:jc w:val="center"/>
              <w:rPr>
                <w:rFonts w:ascii="宋体" w:hAnsi="宋体" w:cs="宋体"/>
                <w:sz w:val="24"/>
              </w:rPr>
            </w:pPr>
            <w:r>
              <w:rPr>
                <w:rFonts w:hint="eastAsia" w:ascii="宋体" w:hAnsi="宋体" w:cs="宋体"/>
                <w:sz w:val="24"/>
              </w:rPr>
              <w:t>2</w:t>
            </w:r>
          </w:p>
        </w:tc>
        <w:tc>
          <w:tcPr>
            <w:tcW w:w="3260" w:type="dxa"/>
            <w:vMerge w:val="restart"/>
            <w:vAlign w:val="center"/>
          </w:tcPr>
          <w:p>
            <w:pPr>
              <w:snapToGrid w:val="0"/>
              <w:spacing w:line="360" w:lineRule="auto"/>
              <w:jc w:val="center"/>
              <w:rPr>
                <w:rFonts w:ascii="宋体" w:hAnsi="宋体" w:cs="宋体"/>
                <w:sz w:val="24"/>
              </w:rPr>
            </w:pPr>
            <w:r>
              <w:rPr>
                <w:rFonts w:hint="eastAsia" w:ascii="宋体" w:hAnsi="宋体" w:cs="Helvetica"/>
                <w:kern w:val="0"/>
                <w:sz w:val="24"/>
              </w:rPr>
              <w:t>新建房屋白蚁预防</w:t>
            </w:r>
          </w:p>
        </w:tc>
        <w:tc>
          <w:tcPr>
            <w:tcW w:w="2502"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按采购需求</w:t>
            </w:r>
          </w:p>
        </w:tc>
        <w:tc>
          <w:tcPr>
            <w:tcW w:w="2502"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按采购需求</w:t>
            </w:r>
          </w:p>
        </w:tc>
        <w:tc>
          <w:tcPr>
            <w:tcW w:w="2475" w:type="dxa"/>
            <w:vAlign w:val="center"/>
          </w:tcPr>
          <w:p>
            <w:pPr>
              <w:pStyle w:val="2"/>
              <w:ind w:firstLine="0"/>
              <w:jc w:val="center"/>
              <w:rPr>
                <w:rFonts w:hAnsi="宋体" w:cs="宋体"/>
              </w:rPr>
            </w:pPr>
            <w:r>
              <w:rPr>
                <w:rFonts w:hint="eastAsia" w:hAnsi="宋体" w:cs="宋体"/>
                <w:szCs w:val="24"/>
                <w:lang w:val="en-US"/>
              </w:rPr>
              <w:t>元/套</w:t>
            </w:r>
          </w:p>
        </w:tc>
        <w:tc>
          <w:tcPr>
            <w:tcW w:w="2400" w:type="dxa"/>
            <w:vAlign w:val="center"/>
          </w:tcPr>
          <w:p>
            <w:pPr>
              <w:pStyle w:val="2"/>
              <w:ind w:firstLine="0"/>
              <w:jc w:val="center"/>
              <w:rPr>
                <w:rFonts w:hAnsi="宋体" w:cs="宋体"/>
              </w:rPr>
            </w:pPr>
            <w:r>
              <w:rPr>
                <w:rFonts w:hint="eastAsia" w:hAnsi="宋体" w:cs="宋体"/>
                <w:szCs w:val="24"/>
                <w:lang w:val="en-US"/>
              </w:rPr>
              <w:t>地下型监控系统装置（带饵）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continue"/>
            <w:vAlign w:val="center"/>
          </w:tcPr>
          <w:p>
            <w:pPr>
              <w:spacing w:line="360" w:lineRule="auto"/>
              <w:jc w:val="center"/>
              <w:rPr>
                <w:rFonts w:ascii="宋体" w:hAnsi="宋体" w:cs="宋体"/>
                <w:sz w:val="24"/>
              </w:rPr>
            </w:pPr>
          </w:p>
        </w:tc>
        <w:tc>
          <w:tcPr>
            <w:tcW w:w="3260" w:type="dxa"/>
            <w:vMerge w:val="continue"/>
            <w:vAlign w:val="center"/>
          </w:tcPr>
          <w:p>
            <w:pPr>
              <w:snapToGrid w:val="0"/>
              <w:spacing w:line="360" w:lineRule="auto"/>
              <w:jc w:val="center"/>
              <w:rPr>
                <w:rFonts w:ascii="宋体" w:hAnsi="宋体" w:cs="Helvetica"/>
                <w:kern w:val="0"/>
                <w:sz w:val="24"/>
                <w:highlight w:val="none"/>
              </w:rPr>
            </w:pPr>
          </w:p>
        </w:tc>
        <w:tc>
          <w:tcPr>
            <w:tcW w:w="2502" w:type="dxa"/>
            <w:vMerge w:val="continue"/>
            <w:vAlign w:val="center"/>
          </w:tcPr>
          <w:p>
            <w:pPr>
              <w:snapToGrid w:val="0"/>
              <w:spacing w:line="360" w:lineRule="auto"/>
              <w:jc w:val="center"/>
              <w:rPr>
                <w:rFonts w:ascii="宋体" w:hAnsi="宋体" w:cs="宋体"/>
                <w:sz w:val="24"/>
                <w:highlight w:val="none"/>
              </w:rPr>
            </w:pPr>
          </w:p>
        </w:tc>
        <w:tc>
          <w:tcPr>
            <w:tcW w:w="2502" w:type="dxa"/>
            <w:vMerge w:val="continue"/>
            <w:vAlign w:val="center"/>
          </w:tcPr>
          <w:p>
            <w:pPr>
              <w:snapToGrid w:val="0"/>
              <w:spacing w:line="360" w:lineRule="auto"/>
              <w:jc w:val="center"/>
              <w:rPr>
                <w:rFonts w:ascii="宋体" w:hAnsi="宋体" w:cs="宋体"/>
                <w:sz w:val="24"/>
                <w:highlight w:val="none"/>
              </w:rPr>
            </w:pPr>
          </w:p>
        </w:tc>
        <w:tc>
          <w:tcPr>
            <w:tcW w:w="2475" w:type="dxa"/>
            <w:vAlign w:val="center"/>
          </w:tcPr>
          <w:p>
            <w:pPr>
              <w:pStyle w:val="2"/>
              <w:ind w:firstLine="0"/>
              <w:jc w:val="center"/>
              <w:rPr>
                <w:rFonts w:hAnsi="宋体" w:cs="宋体"/>
                <w:highlight w:val="none"/>
                <w:lang w:val="en-US"/>
              </w:rPr>
            </w:pPr>
            <w:r>
              <w:rPr>
                <w:rFonts w:hint="eastAsia" w:hAnsi="宋体" w:cs="宋体"/>
                <w:szCs w:val="24"/>
                <w:highlight w:val="none"/>
                <w:lang w:val="en-US"/>
              </w:rPr>
              <w:t>元/㎡</w:t>
            </w:r>
          </w:p>
        </w:tc>
        <w:tc>
          <w:tcPr>
            <w:tcW w:w="2400" w:type="dxa"/>
            <w:vAlign w:val="center"/>
          </w:tcPr>
          <w:p>
            <w:pPr>
              <w:pStyle w:val="2"/>
              <w:ind w:firstLine="0"/>
              <w:jc w:val="center"/>
              <w:rPr>
                <w:rFonts w:hAnsi="宋体" w:cs="宋体"/>
                <w:highlight w:val="none"/>
              </w:rPr>
            </w:pPr>
            <w:r>
              <w:rPr>
                <w:rFonts w:hint="eastAsia" w:hAnsi="宋体" w:cs="宋体"/>
                <w:szCs w:val="24"/>
                <w:highlight w:val="none"/>
                <w:lang w:val="en-US"/>
              </w:rPr>
              <w:t>药物屏障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3</w:t>
            </w:r>
          </w:p>
        </w:tc>
        <w:tc>
          <w:tcPr>
            <w:tcW w:w="3260" w:type="dxa"/>
            <w:vAlign w:val="center"/>
          </w:tcPr>
          <w:p>
            <w:pPr>
              <w:snapToGrid w:val="0"/>
              <w:spacing w:line="360" w:lineRule="auto"/>
              <w:jc w:val="center"/>
              <w:rPr>
                <w:rFonts w:ascii="宋体" w:hAnsi="宋体" w:cs="宋体"/>
                <w:sz w:val="24"/>
              </w:rPr>
            </w:pPr>
            <w:r>
              <w:rPr>
                <w:rFonts w:hint="eastAsia" w:ascii="宋体" w:hAnsi="宋体" w:cs="Helvetica"/>
                <w:kern w:val="0"/>
                <w:sz w:val="24"/>
              </w:rPr>
              <w:t>既有房屋的白蚁灭治</w:t>
            </w:r>
          </w:p>
        </w:tc>
        <w:tc>
          <w:tcPr>
            <w:tcW w:w="2502" w:type="dxa"/>
            <w:vAlign w:val="center"/>
          </w:tcPr>
          <w:p>
            <w:pPr>
              <w:snapToGrid w:val="0"/>
              <w:spacing w:line="360" w:lineRule="auto"/>
              <w:jc w:val="center"/>
              <w:rPr>
                <w:rFonts w:ascii="宋体" w:hAnsi="宋体" w:cs="宋体"/>
                <w:sz w:val="24"/>
              </w:rPr>
            </w:pPr>
            <w:r>
              <w:rPr>
                <w:rFonts w:hint="eastAsia" w:ascii="宋体" w:hAnsi="宋体" w:cs="宋体"/>
                <w:sz w:val="24"/>
              </w:rPr>
              <w:t>按采购需求</w:t>
            </w:r>
          </w:p>
        </w:tc>
        <w:tc>
          <w:tcPr>
            <w:tcW w:w="2502" w:type="dxa"/>
            <w:vAlign w:val="center"/>
          </w:tcPr>
          <w:p>
            <w:pPr>
              <w:snapToGrid w:val="0"/>
              <w:spacing w:line="360" w:lineRule="auto"/>
              <w:jc w:val="center"/>
              <w:rPr>
                <w:rFonts w:ascii="宋体" w:hAnsi="宋体" w:cs="宋体"/>
                <w:sz w:val="24"/>
              </w:rPr>
            </w:pPr>
            <w:r>
              <w:rPr>
                <w:rFonts w:hint="eastAsia" w:ascii="宋体" w:hAnsi="宋体" w:cs="宋体"/>
                <w:sz w:val="24"/>
              </w:rPr>
              <w:t>按采购需求</w:t>
            </w:r>
          </w:p>
        </w:tc>
        <w:tc>
          <w:tcPr>
            <w:tcW w:w="2475" w:type="dxa"/>
            <w:vAlign w:val="center"/>
          </w:tcPr>
          <w:p>
            <w:pPr>
              <w:pStyle w:val="2"/>
              <w:ind w:firstLine="0"/>
              <w:jc w:val="center"/>
              <w:rPr>
                <w:rFonts w:hAnsi="宋体" w:cs="宋体"/>
              </w:rPr>
            </w:pPr>
            <w:r>
              <w:rPr>
                <w:rFonts w:hint="eastAsia" w:hAnsi="宋体" w:cs="宋体"/>
                <w:szCs w:val="24"/>
                <w:lang w:val="en-US"/>
              </w:rPr>
              <w:t>元/㎡</w:t>
            </w:r>
          </w:p>
        </w:tc>
        <w:tc>
          <w:tcPr>
            <w:tcW w:w="2400" w:type="dxa"/>
            <w:vAlign w:val="center"/>
          </w:tcPr>
          <w:p>
            <w:pPr>
              <w:spacing w:line="360" w:lineRule="auto"/>
              <w:jc w:val="center"/>
              <w:rPr>
                <w:rFonts w:ascii="宋体" w:hAnsi="宋体" w:cs="宋体"/>
                <w:sz w:val="24"/>
              </w:rPr>
            </w:pPr>
          </w:p>
        </w:tc>
      </w:tr>
    </w:tbl>
    <w:p>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color w:val="FF0000"/>
          <w:kern w:val="0"/>
          <w:sz w:val="24"/>
          <w:highlight w:val="yellow"/>
          <w:u w:val="single"/>
          <w:lang w:val="zh-CN"/>
        </w:rPr>
        <w:t>名称、服务范围、服务要求、服务时间、服务标准</w:t>
      </w:r>
      <w:r>
        <w:rPr>
          <w:rFonts w:hint="eastAsia" w:ascii="宋体" w:hAnsi="宋体" w:cs="宋体"/>
          <w:kern w:val="0"/>
          <w:sz w:val="24"/>
          <w:lang w:val="zh-CN"/>
        </w:rPr>
        <w:t>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6"/>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6"/>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9" w:name="_Toc465665161"/>
      <w:r>
        <w:rPr>
          <w:rFonts w:hint="eastAsia" w:ascii="宋体" w:hAnsi="宋体" w:cs="宋体"/>
        </w:rPr>
        <w:t>附件</w:t>
      </w:r>
      <w:bookmarkEnd w:id="50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ascii="宋体" w:hAnsi="宋体" w:cs="宋体"/>
          <w:kern w:val="0"/>
          <w:sz w:val="24"/>
        </w:rPr>
      </w:pPr>
    </w:p>
    <w:p>
      <w:pPr>
        <w:spacing w:line="360" w:lineRule="auto"/>
        <w:rPr>
          <w:rFonts w:ascii="宋体" w:hAnsi="宋体" w:cs="宋体"/>
          <w:b/>
          <w:sz w:val="24"/>
        </w:rPr>
      </w:pPr>
    </w:p>
    <w:p>
      <w:pPr>
        <w:autoSpaceDE w:val="0"/>
        <w:autoSpaceDN w:val="0"/>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你方组织的（项目名称）项目【招标编号：（HBCG-TL2024026）】</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7"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path/>
            <v:fill focussize="0,0"/>
            <v:stroke miterlimit="2"/>
            <v:imagedata o:title=""/>
            <o:lock v:ext="edit"/>
          </v:rect>
        </w:pict>
      </w:r>
      <w:r>
        <w:rPr>
          <w:rFonts w:ascii="宋体" w:hAnsi="宋体" w:cs="宋体"/>
          <w:b/>
          <w:bCs/>
          <w:sz w:val="24"/>
        </w:rPr>
        <w:pict>
          <v:rect id="Rectangle 16" o:spid="_x0000_s1026"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68</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68</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58</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58</w:t>
    </w:r>
    <w:r>
      <w:rPr>
        <w:rFonts w:hint="eastAsia" w:ascii="FangSong_GB2312" w:eastAsia="FangSong_GB2312"/>
        <w:kern w:val="0"/>
        <w:szCs w:val="21"/>
      </w:rPr>
      <w:fldChar w:fldCharType="end"/>
    </w:r>
    <w:bookmarkStart w:id="512" w:name="_Toc36110187"/>
    <w:bookmarkStart w:id="513" w:name="_Toc91899912"/>
    <w:bookmarkStart w:id="514" w:name="_Toc131845147"/>
    <w:bookmarkStart w:id="515" w:name="_Toc164085800"/>
    <w:r>
      <w:rPr>
        <w:rFonts w:hint="eastAsia" w:ascii="FangSong_GB2312" w:eastAsia="FangSong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36</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53</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52</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57</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56</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68</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59"/>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FangSong_GB2312" w:eastAsia="FangSong_GB2312"/>
        <w:b/>
        <w:i/>
        <w:u w:val="single"/>
      </w:rPr>
    </w:pPr>
    <w:r>
      <w:t></w:t>
    </w: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FangSong_GB2312" w:eastAsia="FangSong_GB2312"/>
        <w:b/>
        <w:i/>
        <w:u w:val="single"/>
      </w:rPr>
    </w:pPr>
    <w:r>
      <w:t></w:t>
    </w: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FangSong_GB2312" w:eastAsia="FangSong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DCE0A"/>
    <w:multiLevelType w:val="singleLevel"/>
    <w:tmpl w:val="29ADCE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jMTkzM2Y3NWYyMzNmZWE1ZjFmYWE3MGZjOWQz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C6A"/>
    <w:rsid w:val="00026EAC"/>
    <w:rsid w:val="000270F2"/>
    <w:rsid w:val="00027439"/>
    <w:rsid w:val="00027540"/>
    <w:rsid w:val="00030572"/>
    <w:rsid w:val="00030A97"/>
    <w:rsid w:val="00030CB3"/>
    <w:rsid w:val="0003206A"/>
    <w:rsid w:val="000326A7"/>
    <w:rsid w:val="00032EA0"/>
    <w:rsid w:val="000331B0"/>
    <w:rsid w:val="000336D4"/>
    <w:rsid w:val="00034FA7"/>
    <w:rsid w:val="0003533D"/>
    <w:rsid w:val="000357E4"/>
    <w:rsid w:val="00035ACA"/>
    <w:rsid w:val="00037518"/>
    <w:rsid w:val="00040447"/>
    <w:rsid w:val="00040494"/>
    <w:rsid w:val="00040B70"/>
    <w:rsid w:val="00042441"/>
    <w:rsid w:val="00042533"/>
    <w:rsid w:val="00042DBB"/>
    <w:rsid w:val="00042E65"/>
    <w:rsid w:val="0004347C"/>
    <w:rsid w:val="00043907"/>
    <w:rsid w:val="00044F1A"/>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3E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4"/>
    <w:rsid w:val="0008057C"/>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335"/>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B60"/>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636"/>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BC"/>
    <w:rsid w:val="00141D28"/>
    <w:rsid w:val="00141DFE"/>
    <w:rsid w:val="00142185"/>
    <w:rsid w:val="001422E2"/>
    <w:rsid w:val="001423CB"/>
    <w:rsid w:val="001429D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1C"/>
    <w:rsid w:val="00183468"/>
    <w:rsid w:val="0018397E"/>
    <w:rsid w:val="00184466"/>
    <w:rsid w:val="00184DBF"/>
    <w:rsid w:val="001852A8"/>
    <w:rsid w:val="0018620A"/>
    <w:rsid w:val="001866A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9CC"/>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D8"/>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BD4"/>
    <w:rsid w:val="001E7D05"/>
    <w:rsid w:val="001E7F81"/>
    <w:rsid w:val="001F0BED"/>
    <w:rsid w:val="001F0FD1"/>
    <w:rsid w:val="001F1526"/>
    <w:rsid w:val="001F19D1"/>
    <w:rsid w:val="001F1CB9"/>
    <w:rsid w:val="001F1F18"/>
    <w:rsid w:val="001F215D"/>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85B"/>
    <w:rsid w:val="00214028"/>
    <w:rsid w:val="002141C3"/>
    <w:rsid w:val="002141DC"/>
    <w:rsid w:val="0021440C"/>
    <w:rsid w:val="00214479"/>
    <w:rsid w:val="002144F3"/>
    <w:rsid w:val="002146C3"/>
    <w:rsid w:val="00215334"/>
    <w:rsid w:val="00215514"/>
    <w:rsid w:val="00215A2A"/>
    <w:rsid w:val="00215A3F"/>
    <w:rsid w:val="00215D21"/>
    <w:rsid w:val="00215F8B"/>
    <w:rsid w:val="0021636B"/>
    <w:rsid w:val="00216387"/>
    <w:rsid w:val="00216E7B"/>
    <w:rsid w:val="00217E1F"/>
    <w:rsid w:val="002204BC"/>
    <w:rsid w:val="002208A4"/>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32"/>
    <w:rsid w:val="00234679"/>
    <w:rsid w:val="002359FC"/>
    <w:rsid w:val="002361C8"/>
    <w:rsid w:val="00236690"/>
    <w:rsid w:val="0023669D"/>
    <w:rsid w:val="0023798F"/>
    <w:rsid w:val="00237EAE"/>
    <w:rsid w:val="00237FA2"/>
    <w:rsid w:val="002403D5"/>
    <w:rsid w:val="002406EF"/>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63"/>
    <w:rsid w:val="0026212A"/>
    <w:rsid w:val="002621D7"/>
    <w:rsid w:val="00262996"/>
    <w:rsid w:val="00263044"/>
    <w:rsid w:val="00263759"/>
    <w:rsid w:val="002638BD"/>
    <w:rsid w:val="0026470B"/>
    <w:rsid w:val="0026486D"/>
    <w:rsid w:val="00264C4B"/>
    <w:rsid w:val="00264ED0"/>
    <w:rsid w:val="00265346"/>
    <w:rsid w:val="00266045"/>
    <w:rsid w:val="002660C3"/>
    <w:rsid w:val="00266516"/>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398"/>
    <w:rsid w:val="00277196"/>
    <w:rsid w:val="002775ED"/>
    <w:rsid w:val="0027771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F4"/>
    <w:rsid w:val="002E03AE"/>
    <w:rsid w:val="002E0542"/>
    <w:rsid w:val="002E05F2"/>
    <w:rsid w:val="002E0E87"/>
    <w:rsid w:val="002E12FA"/>
    <w:rsid w:val="002E13CF"/>
    <w:rsid w:val="002E201C"/>
    <w:rsid w:val="002E22CA"/>
    <w:rsid w:val="002E236F"/>
    <w:rsid w:val="002E30C6"/>
    <w:rsid w:val="002E37C5"/>
    <w:rsid w:val="002E38F7"/>
    <w:rsid w:val="002E3956"/>
    <w:rsid w:val="002E3C08"/>
    <w:rsid w:val="002E3CF2"/>
    <w:rsid w:val="002E469E"/>
    <w:rsid w:val="002E490B"/>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C9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63"/>
    <w:rsid w:val="00315D77"/>
    <w:rsid w:val="00315D8E"/>
    <w:rsid w:val="00316002"/>
    <w:rsid w:val="00316CDE"/>
    <w:rsid w:val="00316E94"/>
    <w:rsid w:val="003170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F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D9"/>
    <w:rsid w:val="00343C8C"/>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636"/>
    <w:rsid w:val="00355D75"/>
    <w:rsid w:val="00355D8F"/>
    <w:rsid w:val="00356A73"/>
    <w:rsid w:val="00356FF0"/>
    <w:rsid w:val="003577EF"/>
    <w:rsid w:val="00357A60"/>
    <w:rsid w:val="00360304"/>
    <w:rsid w:val="00360990"/>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CE"/>
    <w:rsid w:val="00381014"/>
    <w:rsid w:val="00381604"/>
    <w:rsid w:val="00381C68"/>
    <w:rsid w:val="00381F60"/>
    <w:rsid w:val="00383204"/>
    <w:rsid w:val="00383AB0"/>
    <w:rsid w:val="003847BB"/>
    <w:rsid w:val="003847CC"/>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08"/>
    <w:rsid w:val="003A56DF"/>
    <w:rsid w:val="003A6008"/>
    <w:rsid w:val="003A703F"/>
    <w:rsid w:val="003A7E2B"/>
    <w:rsid w:val="003A7E40"/>
    <w:rsid w:val="003B0336"/>
    <w:rsid w:val="003B0A3A"/>
    <w:rsid w:val="003B0D79"/>
    <w:rsid w:val="003B260A"/>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9F"/>
    <w:rsid w:val="003D514A"/>
    <w:rsid w:val="003D5ADB"/>
    <w:rsid w:val="003D6448"/>
    <w:rsid w:val="003D646C"/>
    <w:rsid w:val="003D663E"/>
    <w:rsid w:val="003D664B"/>
    <w:rsid w:val="003D6793"/>
    <w:rsid w:val="003D6B03"/>
    <w:rsid w:val="003D74D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142"/>
    <w:rsid w:val="003E7940"/>
    <w:rsid w:val="003F01BD"/>
    <w:rsid w:val="003F0486"/>
    <w:rsid w:val="003F048E"/>
    <w:rsid w:val="003F09FA"/>
    <w:rsid w:val="003F0AFF"/>
    <w:rsid w:val="003F1AA2"/>
    <w:rsid w:val="003F26DC"/>
    <w:rsid w:val="003F42FF"/>
    <w:rsid w:val="003F4B48"/>
    <w:rsid w:val="003F4DDC"/>
    <w:rsid w:val="003F56B8"/>
    <w:rsid w:val="003F57CB"/>
    <w:rsid w:val="003F5E55"/>
    <w:rsid w:val="003F5F1A"/>
    <w:rsid w:val="003F6327"/>
    <w:rsid w:val="003F7425"/>
    <w:rsid w:val="003F765B"/>
    <w:rsid w:val="003F7CB8"/>
    <w:rsid w:val="00400CB4"/>
    <w:rsid w:val="004011CE"/>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55F"/>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E3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13"/>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6B3"/>
    <w:rsid w:val="004619A5"/>
    <w:rsid w:val="00461F80"/>
    <w:rsid w:val="0046240D"/>
    <w:rsid w:val="00462898"/>
    <w:rsid w:val="00462D84"/>
    <w:rsid w:val="00463208"/>
    <w:rsid w:val="00463576"/>
    <w:rsid w:val="004636D6"/>
    <w:rsid w:val="0046399D"/>
    <w:rsid w:val="00463EA4"/>
    <w:rsid w:val="004642C9"/>
    <w:rsid w:val="00464D20"/>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C0"/>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4E8"/>
    <w:rsid w:val="004A26F5"/>
    <w:rsid w:val="004A2EF8"/>
    <w:rsid w:val="004A3A21"/>
    <w:rsid w:val="004A407A"/>
    <w:rsid w:val="004A4E3B"/>
    <w:rsid w:val="004A6110"/>
    <w:rsid w:val="004A617A"/>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E2"/>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E4B"/>
    <w:rsid w:val="004C7FFC"/>
    <w:rsid w:val="004D0223"/>
    <w:rsid w:val="004D0C4C"/>
    <w:rsid w:val="004D16A3"/>
    <w:rsid w:val="004D1934"/>
    <w:rsid w:val="004D1E41"/>
    <w:rsid w:val="004D2326"/>
    <w:rsid w:val="004D2559"/>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6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26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481"/>
    <w:rsid w:val="00514548"/>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10"/>
    <w:rsid w:val="00544BF9"/>
    <w:rsid w:val="00544F05"/>
    <w:rsid w:val="00544FCC"/>
    <w:rsid w:val="005454B8"/>
    <w:rsid w:val="00545ACB"/>
    <w:rsid w:val="00545DB9"/>
    <w:rsid w:val="005462ED"/>
    <w:rsid w:val="005464A4"/>
    <w:rsid w:val="00546585"/>
    <w:rsid w:val="00546703"/>
    <w:rsid w:val="0054680A"/>
    <w:rsid w:val="00546BF8"/>
    <w:rsid w:val="00547BA2"/>
    <w:rsid w:val="00550AC5"/>
    <w:rsid w:val="00550B7E"/>
    <w:rsid w:val="00551052"/>
    <w:rsid w:val="005524ED"/>
    <w:rsid w:val="00553F91"/>
    <w:rsid w:val="00554007"/>
    <w:rsid w:val="0055407A"/>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28B1"/>
    <w:rsid w:val="00582A78"/>
    <w:rsid w:val="00583D43"/>
    <w:rsid w:val="005846C3"/>
    <w:rsid w:val="00584F04"/>
    <w:rsid w:val="0058544C"/>
    <w:rsid w:val="00585623"/>
    <w:rsid w:val="005857F7"/>
    <w:rsid w:val="005865E9"/>
    <w:rsid w:val="005868FD"/>
    <w:rsid w:val="00586EB5"/>
    <w:rsid w:val="00587D7B"/>
    <w:rsid w:val="005904DB"/>
    <w:rsid w:val="005905ED"/>
    <w:rsid w:val="00590D11"/>
    <w:rsid w:val="00591BA6"/>
    <w:rsid w:val="00592825"/>
    <w:rsid w:val="005935DA"/>
    <w:rsid w:val="0059431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B93"/>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F38"/>
    <w:rsid w:val="005E37FD"/>
    <w:rsid w:val="005E4543"/>
    <w:rsid w:val="005E4A1C"/>
    <w:rsid w:val="005E56C9"/>
    <w:rsid w:val="005E5CF7"/>
    <w:rsid w:val="005E5FF0"/>
    <w:rsid w:val="005E642A"/>
    <w:rsid w:val="005E65A7"/>
    <w:rsid w:val="005E721E"/>
    <w:rsid w:val="005F0171"/>
    <w:rsid w:val="005F0857"/>
    <w:rsid w:val="005F1470"/>
    <w:rsid w:val="005F15A9"/>
    <w:rsid w:val="005F2807"/>
    <w:rsid w:val="005F2CD5"/>
    <w:rsid w:val="005F2E5E"/>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BF"/>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0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A5"/>
    <w:rsid w:val="006576BA"/>
    <w:rsid w:val="006600BF"/>
    <w:rsid w:val="00660AF7"/>
    <w:rsid w:val="00660D3E"/>
    <w:rsid w:val="00661691"/>
    <w:rsid w:val="00662D3D"/>
    <w:rsid w:val="00662F1F"/>
    <w:rsid w:val="00663D15"/>
    <w:rsid w:val="00663D9F"/>
    <w:rsid w:val="00665030"/>
    <w:rsid w:val="00665670"/>
    <w:rsid w:val="006657AC"/>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0B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7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2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205"/>
    <w:rsid w:val="006D060E"/>
    <w:rsid w:val="006D0665"/>
    <w:rsid w:val="006D0681"/>
    <w:rsid w:val="006D0A80"/>
    <w:rsid w:val="006D0AE8"/>
    <w:rsid w:val="006D135C"/>
    <w:rsid w:val="006D2F72"/>
    <w:rsid w:val="006D3F5E"/>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C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E5D"/>
    <w:rsid w:val="006F71A6"/>
    <w:rsid w:val="006F7974"/>
    <w:rsid w:val="006F7C2C"/>
    <w:rsid w:val="006F7FD5"/>
    <w:rsid w:val="0070009E"/>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2D"/>
    <w:rsid w:val="007249D1"/>
    <w:rsid w:val="00724FE4"/>
    <w:rsid w:val="00725780"/>
    <w:rsid w:val="00725829"/>
    <w:rsid w:val="00725D6A"/>
    <w:rsid w:val="007263A2"/>
    <w:rsid w:val="007266B9"/>
    <w:rsid w:val="00727351"/>
    <w:rsid w:val="007277A8"/>
    <w:rsid w:val="00727AC5"/>
    <w:rsid w:val="00727C65"/>
    <w:rsid w:val="007300F0"/>
    <w:rsid w:val="00730904"/>
    <w:rsid w:val="00730C12"/>
    <w:rsid w:val="00731EDE"/>
    <w:rsid w:val="0073245C"/>
    <w:rsid w:val="00732493"/>
    <w:rsid w:val="00732FE9"/>
    <w:rsid w:val="00733772"/>
    <w:rsid w:val="00733A43"/>
    <w:rsid w:val="00733AE4"/>
    <w:rsid w:val="00733D5F"/>
    <w:rsid w:val="00733FE9"/>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A1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F7E"/>
    <w:rsid w:val="007972D5"/>
    <w:rsid w:val="0079778D"/>
    <w:rsid w:val="00797D73"/>
    <w:rsid w:val="007A006C"/>
    <w:rsid w:val="007A0789"/>
    <w:rsid w:val="007A130E"/>
    <w:rsid w:val="007A18B1"/>
    <w:rsid w:val="007A1936"/>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19F"/>
    <w:rsid w:val="007F78E8"/>
    <w:rsid w:val="007F7F8F"/>
    <w:rsid w:val="00800509"/>
    <w:rsid w:val="0080078E"/>
    <w:rsid w:val="00800B7F"/>
    <w:rsid w:val="008012B1"/>
    <w:rsid w:val="00801D63"/>
    <w:rsid w:val="0080348B"/>
    <w:rsid w:val="00803690"/>
    <w:rsid w:val="00803D82"/>
    <w:rsid w:val="00803D98"/>
    <w:rsid w:val="008052CE"/>
    <w:rsid w:val="008058D0"/>
    <w:rsid w:val="00806A4C"/>
    <w:rsid w:val="00806FED"/>
    <w:rsid w:val="0080705B"/>
    <w:rsid w:val="0080723C"/>
    <w:rsid w:val="00807F71"/>
    <w:rsid w:val="0081000F"/>
    <w:rsid w:val="008104B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934"/>
    <w:rsid w:val="00835F5C"/>
    <w:rsid w:val="00836323"/>
    <w:rsid w:val="008379FF"/>
    <w:rsid w:val="00837BD1"/>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23E"/>
    <w:rsid w:val="00850A0A"/>
    <w:rsid w:val="00850A94"/>
    <w:rsid w:val="00851E96"/>
    <w:rsid w:val="00851F1C"/>
    <w:rsid w:val="0085237B"/>
    <w:rsid w:val="00852FA5"/>
    <w:rsid w:val="00853444"/>
    <w:rsid w:val="00853864"/>
    <w:rsid w:val="00853F7D"/>
    <w:rsid w:val="0085517F"/>
    <w:rsid w:val="0085562D"/>
    <w:rsid w:val="00855A78"/>
    <w:rsid w:val="00855D5C"/>
    <w:rsid w:val="00856154"/>
    <w:rsid w:val="00856286"/>
    <w:rsid w:val="0085657E"/>
    <w:rsid w:val="00856F0E"/>
    <w:rsid w:val="008573AF"/>
    <w:rsid w:val="008576B0"/>
    <w:rsid w:val="00860296"/>
    <w:rsid w:val="008602E3"/>
    <w:rsid w:val="00860DA4"/>
    <w:rsid w:val="00860E50"/>
    <w:rsid w:val="00861146"/>
    <w:rsid w:val="00861948"/>
    <w:rsid w:val="00862011"/>
    <w:rsid w:val="00862A15"/>
    <w:rsid w:val="00862CC9"/>
    <w:rsid w:val="00862D8E"/>
    <w:rsid w:val="00862EF2"/>
    <w:rsid w:val="0086598A"/>
    <w:rsid w:val="00865C3D"/>
    <w:rsid w:val="00865F4C"/>
    <w:rsid w:val="00866453"/>
    <w:rsid w:val="0086707F"/>
    <w:rsid w:val="00867477"/>
    <w:rsid w:val="00867501"/>
    <w:rsid w:val="00867D8E"/>
    <w:rsid w:val="008700C0"/>
    <w:rsid w:val="0087058B"/>
    <w:rsid w:val="0087099A"/>
    <w:rsid w:val="00870D79"/>
    <w:rsid w:val="00871333"/>
    <w:rsid w:val="00871952"/>
    <w:rsid w:val="00872006"/>
    <w:rsid w:val="00872386"/>
    <w:rsid w:val="008726D7"/>
    <w:rsid w:val="0087283B"/>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7DF"/>
    <w:rsid w:val="00893936"/>
    <w:rsid w:val="00893CE2"/>
    <w:rsid w:val="00893F41"/>
    <w:rsid w:val="00895144"/>
    <w:rsid w:val="00895963"/>
    <w:rsid w:val="00895DD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ADC"/>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BD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A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A6E"/>
    <w:rsid w:val="008F1764"/>
    <w:rsid w:val="008F1E3D"/>
    <w:rsid w:val="008F235C"/>
    <w:rsid w:val="008F290B"/>
    <w:rsid w:val="008F2CBC"/>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D64"/>
    <w:rsid w:val="00906078"/>
    <w:rsid w:val="0090629C"/>
    <w:rsid w:val="00906EA2"/>
    <w:rsid w:val="00907278"/>
    <w:rsid w:val="00910041"/>
    <w:rsid w:val="009102DB"/>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7AE"/>
    <w:rsid w:val="00936EA5"/>
    <w:rsid w:val="00937114"/>
    <w:rsid w:val="0094015D"/>
    <w:rsid w:val="00940916"/>
    <w:rsid w:val="009412B7"/>
    <w:rsid w:val="00941451"/>
    <w:rsid w:val="00941B13"/>
    <w:rsid w:val="0094215C"/>
    <w:rsid w:val="00942F8E"/>
    <w:rsid w:val="00943543"/>
    <w:rsid w:val="009441DB"/>
    <w:rsid w:val="00944834"/>
    <w:rsid w:val="00944CB1"/>
    <w:rsid w:val="00946128"/>
    <w:rsid w:val="0094633F"/>
    <w:rsid w:val="00947BA5"/>
    <w:rsid w:val="00950805"/>
    <w:rsid w:val="009517E4"/>
    <w:rsid w:val="009518D4"/>
    <w:rsid w:val="00951C4A"/>
    <w:rsid w:val="00951F8C"/>
    <w:rsid w:val="009520BC"/>
    <w:rsid w:val="009521D2"/>
    <w:rsid w:val="00952403"/>
    <w:rsid w:val="00952589"/>
    <w:rsid w:val="00952850"/>
    <w:rsid w:val="00952BD8"/>
    <w:rsid w:val="00953573"/>
    <w:rsid w:val="0095370A"/>
    <w:rsid w:val="009537C0"/>
    <w:rsid w:val="009543FB"/>
    <w:rsid w:val="009557A9"/>
    <w:rsid w:val="00956647"/>
    <w:rsid w:val="00956CF3"/>
    <w:rsid w:val="00957380"/>
    <w:rsid w:val="00957409"/>
    <w:rsid w:val="00957499"/>
    <w:rsid w:val="009578DA"/>
    <w:rsid w:val="009579EE"/>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18"/>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9DC"/>
    <w:rsid w:val="00984C2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9FE"/>
    <w:rsid w:val="009B7505"/>
    <w:rsid w:val="009C0020"/>
    <w:rsid w:val="009C03F7"/>
    <w:rsid w:val="009C10DA"/>
    <w:rsid w:val="009C19FC"/>
    <w:rsid w:val="009C27F7"/>
    <w:rsid w:val="009C3BC4"/>
    <w:rsid w:val="009C3C2F"/>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80"/>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808"/>
    <w:rsid w:val="009E758E"/>
    <w:rsid w:val="009E7BFB"/>
    <w:rsid w:val="009E7D6B"/>
    <w:rsid w:val="009E7E81"/>
    <w:rsid w:val="009F020A"/>
    <w:rsid w:val="009F05AD"/>
    <w:rsid w:val="009F0659"/>
    <w:rsid w:val="009F1109"/>
    <w:rsid w:val="009F12CA"/>
    <w:rsid w:val="009F143E"/>
    <w:rsid w:val="009F1DE8"/>
    <w:rsid w:val="009F2186"/>
    <w:rsid w:val="009F227C"/>
    <w:rsid w:val="009F28DC"/>
    <w:rsid w:val="009F2EDB"/>
    <w:rsid w:val="009F33DC"/>
    <w:rsid w:val="009F3572"/>
    <w:rsid w:val="009F4550"/>
    <w:rsid w:val="009F56C0"/>
    <w:rsid w:val="009F5C76"/>
    <w:rsid w:val="009F7B5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22"/>
    <w:rsid w:val="00A16961"/>
    <w:rsid w:val="00A176DD"/>
    <w:rsid w:val="00A209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5FB"/>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80"/>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70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F20"/>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E2"/>
    <w:rsid w:val="00AD5F0A"/>
    <w:rsid w:val="00AD61A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7B3"/>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FF"/>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D48"/>
    <w:rsid w:val="00B14F47"/>
    <w:rsid w:val="00B15282"/>
    <w:rsid w:val="00B15286"/>
    <w:rsid w:val="00B1539F"/>
    <w:rsid w:val="00B1550D"/>
    <w:rsid w:val="00B15F6C"/>
    <w:rsid w:val="00B163E8"/>
    <w:rsid w:val="00B1767E"/>
    <w:rsid w:val="00B20760"/>
    <w:rsid w:val="00B2125C"/>
    <w:rsid w:val="00B21676"/>
    <w:rsid w:val="00B219E1"/>
    <w:rsid w:val="00B21AD2"/>
    <w:rsid w:val="00B21ECF"/>
    <w:rsid w:val="00B22150"/>
    <w:rsid w:val="00B226DE"/>
    <w:rsid w:val="00B22FB5"/>
    <w:rsid w:val="00B241D5"/>
    <w:rsid w:val="00B24BE9"/>
    <w:rsid w:val="00B2551D"/>
    <w:rsid w:val="00B25F8C"/>
    <w:rsid w:val="00B260BE"/>
    <w:rsid w:val="00B260C2"/>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F50"/>
    <w:rsid w:val="00B44288"/>
    <w:rsid w:val="00B448BF"/>
    <w:rsid w:val="00B45A59"/>
    <w:rsid w:val="00B45F9F"/>
    <w:rsid w:val="00B4627C"/>
    <w:rsid w:val="00B4641F"/>
    <w:rsid w:val="00B46793"/>
    <w:rsid w:val="00B46953"/>
    <w:rsid w:val="00B46A75"/>
    <w:rsid w:val="00B47455"/>
    <w:rsid w:val="00B47979"/>
    <w:rsid w:val="00B47A59"/>
    <w:rsid w:val="00B47ECD"/>
    <w:rsid w:val="00B47FF3"/>
    <w:rsid w:val="00B503D6"/>
    <w:rsid w:val="00B51048"/>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1B"/>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58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8E"/>
    <w:rsid w:val="00BB40D1"/>
    <w:rsid w:val="00BB4483"/>
    <w:rsid w:val="00BB6EDF"/>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896"/>
    <w:rsid w:val="00BC5A29"/>
    <w:rsid w:val="00BC5AE3"/>
    <w:rsid w:val="00BC5BAD"/>
    <w:rsid w:val="00BC692A"/>
    <w:rsid w:val="00BC76C5"/>
    <w:rsid w:val="00BC7F94"/>
    <w:rsid w:val="00BD1039"/>
    <w:rsid w:val="00BD10B7"/>
    <w:rsid w:val="00BD138A"/>
    <w:rsid w:val="00BD164A"/>
    <w:rsid w:val="00BD1BDD"/>
    <w:rsid w:val="00BD1D7D"/>
    <w:rsid w:val="00BD1E27"/>
    <w:rsid w:val="00BD26AC"/>
    <w:rsid w:val="00BD2B4D"/>
    <w:rsid w:val="00BD2F08"/>
    <w:rsid w:val="00BD2FB9"/>
    <w:rsid w:val="00BD31C2"/>
    <w:rsid w:val="00BD3683"/>
    <w:rsid w:val="00BD450A"/>
    <w:rsid w:val="00BD4717"/>
    <w:rsid w:val="00BD48EA"/>
    <w:rsid w:val="00BD4B0B"/>
    <w:rsid w:val="00BD4BA8"/>
    <w:rsid w:val="00BD5624"/>
    <w:rsid w:val="00BD62E6"/>
    <w:rsid w:val="00BD6B0E"/>
    <w:rsid w:val="00BD734D"/>
    <w:rsid w:val="00BD7941"/>
    <w:rsid w:val="00BE0591"/>
    <w:rsid w:val="00BE0C55"/>
    <w:rsid w:val="00BE0F03"/>
    <w:rsid w:val="00BE11A2"/>
    <w:rsid w:val="00BE1EF0"/>
    <w:rsid w:val="00BE246C"/>
    <w:rsid w:val="00BE2657"/>
    <w:rsid w:val="00BE27E1"/>
    <w:rsid w:val="00BE2FD2"/>
    <w:rsid w:val="00BE377A"/>
    <w:rsid w:val="00BE37AE"/>
    <w:rsid w:val="00BE3B14"/>
    <w:rsid w:val="00BE3C65"/>
    <w:rsid w:val="00BE4222"/>
    <w:rsid w:val="00BE472D"/>
    <w:rsid w:val="00BE4C03"/>
    <w:rsid w:val="00BE6FD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39"/>
    <w:rsid w:val="00BF626A"/>
    <w:rsid w:val="00BF688E"/>
    <w:rsid w:val="00BF6D77"/>
    <w:rsid w:val="00BF704C"/>
    <w:rsid w:val="00BF739A"/>
    <w:rsid w:val="00BF7EF5"/>
    <w:rsid w:val="00C00BF6"/>
    <w:rsid w:val="00C01E5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57"/>
    <w:rsid w:val="00C22350"/>
    <w:rsid w:val="00C2302B"/>
    <w:rsid w:val="00C23615"/>
    <w:rsid w:val="00C2397E"/>
    <w:rsid w:val="00C23A83"/>
    <w:rsid w:val="00C24381"/>
    <w:rsid w:val="00C24801"/>
    <w:rsid w:val="00C24C2E"/>
    <w:rsid w:val="00C24C67"/>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067"/>
    <w:rsid w:val="00C464D0"/>
    <w:rsid w:val="00C46564"/>
    <w:rsid w:val="00C46BFA"/>
    <w:rsid w:val="00C46DDF"/>
    <w:rsid w:val="00C500A1"/>
    <w:rsid w:val="00C50A02"/>
    <w:rsid w:val="00C51149"/>
    <w:rsid w:val="00C5117E"/>
    <w:rsid w:val="00C512D1"/>
    <w:rsid w:val="00C51856"/>
    <w:rsid w:val="00C51B04"/>
    <w:rsid w:val="00C51DB5"/>
    <w:rsid w:val="00C5280E"/>
    <w:rsid w:val="00C53CE9"/>
    <w:rsid w:val="00C5531B"/>
    <w:rsid w:val="00C55375"/>
    <w:rsid w:val="00C5570F"/>
    <w:rsid w:val="00C56C98"/>
    <w:rsid w:val="00C56DE1"/>
    <w:rsid w:val="00C56DEE"/>
    <w:rsid w:val="00C57120"/>
    <w:rsid w:val="00C571D5"/>
    <w:rsid w:val="00C575D4"/>
    <w:rsid w:val="00C57612"/>
    <w:rsid w:val="00C60B3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BF"/>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F0"/>
    <w:rsid w:val="00C76C0C"/>
    <w:rsid w:val="00C76FFC"/>
    <w:rsid w:val="00C774E0"/>
    <w:rsid w:val="00C776BA"/>
    <w:rsid w:val="00C7791E"/>
    <w:rsid w:val="00C81716"/>
    <w:rsid w:val="00C832CB"/>
    <w:rsid w:val="00C84085"/>
    <w:rsid w:val="00C84726"/>
    <w:rsid w:val="00C852DC"/>
    <w:rsid w:val="00C854A8"/>
    <w:rsid w:val="00C85677"/>
    <w:rsid w:val="00C85E17"/>
    <w:rsid w:val="00C868A7"/>
    <w:rsid w:val="00C86ABA"/>
    <w:rsid w:val="00C86BF7"/>
    <w:rsid w:val="00C87164"/>
    <w:rsid w:val="00C8786A"/>
    <w:rsid w:val="00C87A1E"/>
    <w:rsid w:val="00C87BBA"/>
    <w:rsid w:val="00C87BD0"/>
    <w:rsid w:val="00C905E5"/>
    <w:rsid w:val="00C90754"/>
    <w:rsid w:val="00C90B95"/>
    <w:rsid w:val="00C90BC4"/>
    <w:rsid w:val="00C90CA9"/>
    <w:rsid w:val="00C91802"/>
    <w:rsid w:val="00C92E41"/>
    <w:rsid w:val="00C92F62"/>
    <w:rsid w:val="00C93097"/>
    <w:rsid w:val="00C93B40"/>
    <w:rsid w:val="00C93DB5"/>
    <w:rsid w:val="00C94641"/>
    <w:rsid w:val="00C94CB9"/>
    <w:rsid w:val="00C95853"/>
    <w:rsid w:val="00C95912"/>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200"/>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77"/>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9F"/>
    <w:rsid w:val="00D001D2"/>
    <w:rsid w:val="00D00A55"/>
    <w:rsid w:val="00D02A80"/>
    <w:rsid w:val="00D0352D"/>
    <w:rsid w:val="00D038DC"/>
    <w:rsid w:val="00D049D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269"/>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2CE"/>
    <w:rsid w:val="00D5064C"/>
    <w:rsid w:val="00D50C94"/>
    <w:rsid w:val="00D511E7"/>
    <w:rsid w:val="00D51372"/>
    <w:rsid w:val="00D517ED"/>
    <w:rsid w:val="00D5251C"/>
    <w:rsid w:val="00D52F56"/>
    <w:rsid w:val="00D539DA"/>
    <w:rsid w:val="00D54A50"/>
    <w:rsid w:val="00D54FFD"/>
    <w:rsid w:val="00D5552C"/>
    <w:rsid w:val="00D5556D"/>
    <w:rsid w:val="00D55ACA"/>
    <w:rsid w:val="00D55C34"/>
    <w:rsid w:val="00D55C81"/>
    <w:rsid w:val="00D5624A"/>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5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19"/>
    <w:rsid w:val="00D740B2"/>
    <w:rsid w:val="00D74247"/>
    <w:rsid w:val="00D743F1"/>
    <w:rsid w:val="00D744CF"/>
    <w:rsid w:val="00D7456E"/>
    <w:rsid w:val="00D7457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3E8"/>
    <w:rsid w:val="00D97EC4"/>
    <w:rsid w:val="00DA0175"/>
    <w:rsid w:val="00DA099C"/>
    <w:rsid w:val="00DA0F18"/>
    <w:rsid w:val="00DA145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5F8"/>
    <w:rsid w:val="00DB14D3"/>
    <w:rsid w:val="00DB154B"/>
    <w:rsid w:val="00DB1BDC"/>
    <w:rsid w:val="00DB2064"/>
    <w:rsid w:val="00DB243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6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49"/>
    <w:rsid w:val="00DE0229"/>
    <w:rsid w:val="00DE04E0"/>
    <w:rsid w:val="00DE101D"/>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1FA4"/>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F9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661"/>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49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C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DED"/>
    <w:rsid w:val="00EB2E1A"/>
    <w:rsid w:val="00EB2F8A"/>
    <w:rsid w:val="00EB3268"/>
    <w:rsid w:val="00EB3298"/>
    <w:rsid w:val="00EB3939"/>
    <w:rsid w:val="00EB3CE6"/>
    <w:rsid w:val="00EB3E92"/>
    <w:rsid w:val="00EB5216"/>
    <w:rsid w:val="00EB54AB"/>
    <w:rsid w:val="00EB6009"/>
    <w:rsid w:val="00EB6257"/>
    <w:rsid w:val="00EB62FD"/>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68"/>
    <w:rsid w:val="00ED7CA2"/>
    <w:rsid w:val="00EE04F9"/>
    <w:rsid w:val="00EE05E0"/>
    <w:rsid w:val="00EE13DA"/>
    <w:rsid w:val="00EE1595"/>
    <w:rsid w:val="00EE1E71"/>
    <w:rsid w:val="00EE2087"/>
    <w:rsid w:val="00EE20C2"/>
    <w:rsid w:val="00EE20CF"/>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86"/>
    <w:rsid w:val="00F0058A"/>
    <w:rsid w:val="00F00630"/>
    <w:rsid w:val="00F00922"/>
    <w:rsid w:val="00F00924"/>
    <w:rsid w:val="00F0187E"/>
    <w:rsid w:val="00F01BE6"/>
    <w:rsid w:val="00F01F75"/>
    <w:rsid w:val="00F0217A"/>
    <w:rsid w:val="00F026D3"/>
    <w:rsid w:val="00F027E8"/>
    <w:rsid w:val="00F03395"/>
    <w:rsid w:val="00F034E6"/>
    <w:rsid w:val="00F03E4C"/>
    <w:rsid w:val="00F0480F"/>
    <w:rsid w:val="00F04D19"/>
    <w:rsid w:val="00F050A3"/>
    <w:rsid w:val="00F06340"/>
    <w:rsid w:val="00F0665D"/>
    <w:rsid w:val="00F06D42"/>
    <w:rsid w:val="00F06D97"/>
    <w:rsid w:val="00F07134"/>
    <w:rsid w:val="00F0724D"/>
    <w:rsid w:val="00F07378"/>
    <w:rsid w:val="00F10B81"/>
    <w:rsid w:val="00F10BC9"/>
    <w:rsid w:val="00F11078"/>
    <w:rsid w:val="00F113C9"/>
    <w:rsid w:val="00F11542"/>
    <w:rsid w:val="00F11C01"/>
    <w:rsid w:val="00F11D80"/>
    <w:rsid w:val="00F14B08"/>
    <w:rsid w:val="00F14B4B"/>
    <w:rsid w:val="00F14CD1"/>
    <w:rsid w:val="00F15115"/>
    <w:rsid w:val="00F1560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A56"/>
    <w:rsid w:val="00F54E5E"/>
    <w:rsid w:val="00F551DB"/>
    <w:rsid w:val="00F55810"/>
    <w:rsid w:val="00F559BE"/>
    <w:rsid w:val="00F56F7E"/>
    <w:rsid w:val="00F56FEF"/>
    <w:rsid w:val="00F57521"/>
    <w:rsid w:val="00F60938"/>
    <w:rsid w:val="00F60C7E"/>
    <w:rsid w:val="00F60E0A"/>
    <w:rsid w:val="00F61606"/>
    <w:rsid w:val="00F61918"/>
    <w:rsid w:val="00F61D3B"/>
    <w:rsid w:val="00F62151"/>
    <w:rsid w:val="00F62CA8"/>
    <w:rsid w:val="00F62F92"/>
    <w:rsid w:val="00F630B4"/>
    <w:rsid w:val="00F635EF"/>
    <w:rsid w:val="00F63BF4"/>
    <w:rsid w:val="00F63C55"/>
    <w:rsid w:val="00F63C60"/>
    <w:rsid w:val="00F64337"/>
    <w:rsid w:val="00F64991"/>
    <w:rsid w:val="00F65BA9"/>
    <w:rsid w:val="00F65BC8"/>
    <w:rsid w:val="00F65D8C"/>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22"/>
    <w:rsid w:val="00F8245C"/>
    <w:rsid w:val="00F82732"/>
    <w:rsid w:val="00F82928"/>
    <w:rsid w:val="00F829B9"/>
    <w:rsid w:val="00F83045"/>
    <w:rsid w:val="00F83615"/>
    <w:rsid w:val="00F8376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15"/>
    <w:rsid w:val="00F927C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1A9"/>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955"/>
    <w:rsid w:val="00FB7823"/>
    <w:rsid w:val="00FC05B2"/>
    <w:rsid w:val="00FC08B3"/>
    <w:rsid w:val="00FC09D7"/>
    <w:rsid w:val="00FC0ABE"/>
    <w:rsid w:val="00FC1269"/>
    <w:rsid w:val="00FC218D"/>
    <w:rsid w:val="00FC22D0"/>
    <w:rsid w:val="00FC38D4"/>
    <w:rsid w:val="00FC391E"/>
    <w:rsid w:val="00FC39B3"/>
    <w:rsid w:val="00FC3A0A"/>
    <w:rsid w:val="00FC3BB7"/>
    <w:rsid w:val="00FC4345"/>
    <w:rsid w:val="00FC444A"/>
    <w:rsid w:val="00FC453D"/>
    <w:rsid w:val="00FC4A89"/>
    <w:rsid w:val="00FC57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87"/>
    <w:rsid w:val="00FE07A8"/>
    <w:rsid w:val="00FE0AD1"/>
    <w:rsid w:val="00FE0CC0"/>
    <w:rsid w:val="00FE1852"/>
    <w:rsid w:val="00FE1963"/>
    <w:rsid w:val="00FE1981"/>
    <w:rsid w:val="00FE1BF1"/>
    <w:rsid w:val="00FE1DE4"/>
    <w:rsid w:val="00FE33DB"/>
    <w:rsid w:val="00FE33F5"/>
    <w:rsid w:val="00FE352A"/>
    <w:rsid w:val="00FE35F8"/>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40"/>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6997"/>
    <w:rsid w:val="011F6449"/>
    <w:rsid w:val="01236AFB"/>
    <w:rsid w:val="016A6FD7"/>
    <w:rsid w:val="01967DCC"/>
    <w:rsid w:val="019F7441"/>
    <w:rsid w:val="01B37585"/>
    <w:rsid w:val="01D32DCE"/>
    <w:rsid w:val="01D55165"/>
    <w:rsid w:val="01DF6BF8"/>
    <w:rsid w:val="01EC2C57"/>
    <w:rsid w:val="02510197"/>
    <w:rsid w:val="025F0711"/>
    <w:rsid w:val="026B2E25"/>
    <w:rsid w:val="02824D4D"/>
    <w:rsid w:val="02DC4B10"/>
    <w:rsid w:val="02DD76CE"/>
    <w:rsid w:val="02F36323"/>
    <w:rsid w:val="02F5619C"/>
    <w:rsid w:val="0326446A"/>
    <w:rsid w:val="032D5555"/>
    <w:rsid w:val="035E6FAC"/>
    <w:rsid w:val="036634D2"/>
    <w:rsid w:val="038D6C4F"/>
    <w:rsid w:val="03DD35E4"/>
    <w:rsid w:val="04076900"/>
    <w:rsid w:val="041A5A3B"/>
    <w:rsid w:val="042311BA"/>
    <w:rsid w:val="04247911"/>
    <w:rsid w:val="042B157A"/>
    <w:rsid w:val="048F763B"/>
    <w:rsid w:val="049F330E"/>
    <w:rsid w:val="04A62A1C"/>
    <w:rsid w:val="04AA775C"/>
    <w:rsid w:val="04AF1889"/>
    <w:rsid w:val="04F03492"/>
    <w:rsid w:val="04F30E4E"/>
    <w:rsid w:val="04F66F48"/>
    <w:rsid w:val="05251E14"/>
    <w:rsid w:val="05415AF3"/>
    <w:rsid w:val="058014BF"/>
    <w:rsid w:val="05924D4E"/>
    <w:rsid w:val="05A16594"/>
    <w:rsid w:val="05A7762D"/>
    <w:rsid w:val="05E841B7"/>
    <w:rsid w:val="060E5941"/>
    <w:rsid w:val="06110FAF"/>
    <w:rsid w:val="061439B5"/>
    <w:rsid w:val="061A5F76"/>
    <w:rsid w:val="062C6F51"/>
    <w:rsid w:val="06493CA7"/>
    <w:rsid w:val="065A6178"/>
    <w:rsid w:val="066F1CF3"/>
    <w:rsid w:val="069249D0"/>
    <w:rsid w:val="06930BB8"/>
    <w:rsid w:val="07245D42"/>
    <w:rsid w:val="07264C62"/>
    <w:rsid w:val="075952DC"/>
    <w:rsid w:val="0779354C"/>
    <w:rsid w:val="07FD1FF2"/>
    <w:rsid w:val="08061376"/>
    <w:rsid w:val="080F7862"/>
    <w:rsid w:val="08452D77"/>
    <w:rsid w:val="08617E08"/>
    <w:rsid w:val="086401F8"/>
    <w:rsid w:val="086E2C9C"/>
    <w:rsid w:val="08751CAA"/>
    <w:rsid w:val="087E4C40"/>
    <w:rsid w:val="08872DDC"/>
    <w:rsid w:val="08A871D0"/>
    <w:rsid w:val="08D66AD6"/>
    <w:rsid w:val="08DA33A3"/>
    <w:rsid w:val="08E80F13"/>
    <w:rsid w:val="09214893"/>
    <w:rsid w:val="09235714"/>
    <w:rsid w:val="09335624"/>
    <w:rsid w:val="0944690F"/>
    <w:rsid w:val="09535675"/>
    <w:rsid w:val="095F057D"/>
    <w:rsid w:val="09642282"/>
    <w:rsid w:val="09645F3F"/>
    <w:rsid w:val="09733572"/>
    <w:rsid w:val="097456D5"/>
    <w:rsid w:val="09772C16"/>
    <w:rsid w:val="098353B5"/>
    <w:rsid w:val="098456AC"/>
    <w:rsid w:val="099B68C7"/>
    <w:rsid w:val="09A92330"/>
    <w:rsid w:val="09AD4012"/>
    <w:rsid w:val="09B06B87"/>
    <w:rsid w:val="09C13146"/>
    <w:rsid w:val="09E04166"/>
    <w:rsid w:val="0A0E2A66"/>
    <w:rsid w:val="0A1C0718"/>
    <w:rsid w:val="0A3E7710"/>
    <w:rsid w:val="0A5B7E63"/>
    <w:rsid w:val="0AA374A5"/>
    <w:rsid w:val="0AAB7649"/>
    <w:rsid w:val="0ABC5606"/>
    <w:rsid w:val="0AC33B19"/>
    <w:rsid w:val="0AEE0C79"/>
    <w:rsid w:val="0B30404E"/>
    <w:rsid w:val="0B4C6C14"/>
    <w:rsid w:val="0B547599"/>
    <w:rsid w:val="0B631A88"/>
    <w:rsid w:val="0B683D45"/>
    <w:rsid w:val="0B7F3F11"/>
    <w:rsid w:val="0B884417"/>
    <w:rsid w:val="0B8A2AEF"/>
    <w:rsid w:val="0B8E1505"/>
    <w:rsid w:val="0BBE0A22"/>
    <w:rsid w:val="0BF30C8F"/>
    <w:rsid w:val="0BF6188C"/>
    <w:rsid w:val="0BF73C91"/>
    <w:rsid w:val="0BF96EAD"/>
    <w:rsid w:val="0C170175"/>
    <w:rsid w:val="0C571A41"/>
    <w:rsid w:val="0C5C1171"/>
    <w:rsid w:val="0C5E1CBC"/>
    <w:rsid w:val="0C615B50"/>
    <w:rsid w:val="0C782BF8"/>
    <w:rsid w:val="0C834381"/>
    <w:rsid w:val="0C8445DA"/>
    <w:rsid w:val="0C87121B"/>
    <w:rsid w:val="0CC007F7"/>
    <w:rsid w:val="0CC617AC"/>
    <w:rsid w:val="0CE618DF"/>
    <w:rsid w:val="0CF22A69"/>
    <w:rsid w:val="0CFE707A"/>
    <w:rsid w:val="0D001986"/>
    <w:rsid w:val="0D063BDA"/>
    <w:rsid w:val="0D08375F"/>
    <w:rsid w:val="0D184CFB"/>
    <w:rsid w:val="0D3B4451"/>
    <w:rsid w:val="0D496672"/>
    <w:rsid w:val="0D4A7419"/>
    <w:rsid w:val="0D827401"/>
    <w:rsid w:val="0D84094E"/>
    <w:rsid w:val="0D8A00E9"/>
    <w:rsid w:val="0D8D589E"/>
    <w:rsid w:val="0DA01C73"/>
    <w:rsid w:val="0DD63300"/>
    <w:rsid w:val="0DF50604"/>
    <w:rsid w:val="0DF702FE"/>
    <w:rsid w:val="0E060E51"/>
    <w:rsid w:val="0E4140D0"/>
    <w:rsid w:val="0E5604B2"/>
    <w:rsid w:val="0E6D5D79"/>
    <w:rsid w:val="0E87566C"/>
    <w:rsid w:val="0E9D0089"/>
    <w:rsid w:val="0EB803EE"/>
    <w:rsid w:val="0EF425D6"/>
    <w:rsid w:val="0EF94D4B"/>
    <w:rsid w:val="0F192600"/>
    <w:rsid w:val="0F4958DC"/>
    <w:rsid w:val="0F515DF7"/>
    <w:rsid w:val="0F596BA8"/>
    <w:rsid w:val="0F62260B"/>
    <w:rsid w:val="0F6248D2"/>
    <w:rsid w:val="0F693536"/>
    <w:rsid w:val="0F694D72"/>
    <w:rsid w:val="0F69741B"/>
    <w:rsid w:val="0F7B0511"/>
    <w:rsid w:val="0F7B76D9"/>
    <w:rsid w:val="0F816ACD"/>
    <w:rsid w:val="0F960A1F"/>
    <w:rsid w:val="0F9832DB"/>
    <w:rsid w:val="0FBB51FD"/>
    <w:rsid w:val="0FBF3FD2"/>
    <w:rsid w:val="0FBF7FF3"/>
    <w:rsid w:val="0FCE4D7A"/>
    <w:rsid w:val="104345D2"/>
    <w:rsid w:val="10466E61"/>
    <w:rsid w:val="10646583"/>
    <w:rsid w:val="107B2FAF"/>
    <w:rsid w:val="107D4B15"/>
    <w:rsid w:val="10876484"/>
    <w:rsid w:val="108A3C80"/>
    <w:rsid w:val="10C26171"/>
    <w:rsid w:val="10C5422A"/>
    <w:rsid w:val="10E26E79"/>
    <w:rsid w:val="10F33360"/>
    <w:rsid w:val="10FC16EA"/>
    <w:rsid w:val="110F1D40"/>
    <w:rsid w:val="11266F33"/>
    <w:rsid w:val="118963A1"/>
    <w:rsid w:val="118C4D48"/>
    <w:rsid w:val="11C6522A"/>
    <w:rsid w:val="11D03E02"/>
    <w:rsid w:val="11E104CC"/>
    <w:rsid w:val="11E20309"/>
    <w:rsid w:val="120B409D"/>
    <w:rsid w:val="12255233"/>
    <w:rsid w:val="12530213"/>
    <w:rsid w:val="127723A9"/>
    <w:rsid w:val="12862074"/>
    <w:rsid w:val="12883966"/>
    <w:rsid w:val="129E45B4"/>
    <w:rsid w:val="12C66037"/>
    <w:rsid w:val="12D81596"/>
    <w:rsid w:val="13072A44"/>
    <w:rsid w:val="1336140F"/>
    <w:rsid w:val="135F4BE2"/>
    <w:rsid w:val="139B1A0A"/>
    <w:rsid w:val="139B6544"/>
    <w:rsid w:val="139B74C4"/>
    <w:rsid w:val="139D25C7"/>
    <w:rsid w:val="13BD5E9C"/>
    <w:rsid w:val="13BF3CE4"/>
    <w:rsid w:val="13E62E35"/>
    <w:rsid w:val="141008D8"/>
    <w:rsid w:val="14125FE6"/>
    <w:rsid w:val="14433D9A"/>
    <w:rsid w:val="146A5814"/>
    <w:rsid w:val="146D271E"/>
    <w:rsid w:val="14982588"/>
    <w:rsid w:val="149A5AD9"/>
    <w:rsid w:val="14A7619D"/>
    <w:rsid w:val="14B65B2B"/>
    <w:rsid w:val="14D12638"/>
    <w:rsid w:val="150536C3"/>
    <w:rsid w:val="150C1963"/>
    <w:rsid w:val="151447A0"/>
    <w:rsid w:val="154A6454"/>
    <w:rsid w:val="15762120"/>
    <w:rsid w:val="1584492D"/>
    <w:rsid w:val="15D171CD"/>
    <w:rsid w:val="15DD5B72"/>
    <w:rsid w:val="161517B0"/>
    <w:rsid w:val="16297009"/>
    <w:rsid w:val="164A58A2"/>
    <w:rsid w:val="166952C2"/>
    <w:rsid w:val="166E6214"/>
    <w:rsid w:val="16A8729C"/>
    <w:rsid w:val="16AA639C"/>
    <w:rsid w:val="16B33777"/>
    <w:rsid w:val="16BC70A7"/>
    <w:rsid w:val="16C6339E"/>
    <w:rsid w:val="172F2D79"/>
    <w:rsid w:val="17380414"/>
    <w:rsid w:val="17557BEF"/>
    <w:rsid w:val="17567A69"/>
    <w:rsid w:val="17BA3F9F"/>
    <w:rsid w:val="17D349C1"/>
    <w:rsid w:val="1830729E"/>
    <w:rsid w:val="1870062C"/>
    <w:rsid w:val="18774551"/>
    <w:rsid w:val="18817102"/>
    <w:rsid w:val="18830A15"/>
    <w:rsid w:val="18852B28"/>
    <w:rsid w:val="188B5321"/>
    <w:rsid w:val="18D56FD4"/>
    <w:rsid w:val="19103571"/>
    <w:rsid w:val="19430F19"/>
    <w:rsid w:val="1978041D"/>
    <w:rsid w:val="197A50EB"/>
    <w:rsid w:val="19932372"/>
    <w:rsid w:val="19A20DD5"/>
    <w:rsid w:val="19AE03F1"/>
    <w:rsid w:val="19AF5011"/>
    <w:rsid w:val="1A071A03"/>
    <w:rsid w:val="1A1F16AE"/>
    <w:rsid w:val="1A3B5C77"/>
    <w:rsid w:val="1A487EF2"/>
    <w:rsid w:val="1A936BF0"/>
    <w:rsid w:val="1A984BAD"/>
    <w:rsid w:val="1AB8220E"/>
    <w:rsid w:val="1AC13CB4"/>
    <w:rsid w:val="1AD35795"/>
    <w:rsid w:val="1AE4166C"/>
    <w:rsid w:val="1AF06CFB"/>
    <w:rsid w:val="1AF11B8D"/>
    <w:rsid w:val="1AFF47DC"/>
    <w:rsid w:val="1B0E4A1F"/>
    <w:rsid w:val="1B11359C"/>
    <w:rsid w:val="1B285340"/>
    <w:rsid w:val="1B2A271F"/>
    <w:rsid w:val="1B3E3374"/>
    <w:rsid w:val="1B530544"/>
    <w:rsid w:val="1B713184"/>
    <w:rsid w:val="1B762CF0"/>
    <w:rsid w:val="1B827738"/>
    <w:rsid w:val="1BA209CF"/>
    <w:rsid w:val="1BB4777D"/>
    <w:rsid w:val="1BD23C9F"/>
    <w:rsid w:val="1BD75AB8"/>
    <w:rsid w:val="1BE46563"/>
    <w:rsid w:val="1C0459C2"/>
    <w:rsid w:val="1C1B3B4A"/>
    <w:rsid w:val="1C4A6BDF"/>
    <w:rsid w:val="1C6B4699"/>
    <w:rsid w:val="1C827473"/>
    <w:rsid w:val="1C88086E"/>
    <w:rsid w:val="1CC93433"/>
    <w:rsid w:val="1D266CE1"/>
    <w:rsid w:val="1D3963AF"/>
    <w:rsid w:val="1D67514E"/>
    <w:rsid w:val="1D6A673C"/>
    <w:rsid w:val="1D8C1B20"/>
    <w:rsid w:val="1D9247AE"/>
    <w:rsid w:val="1DB567EC"/>
    <w:rsid w:val="1DD666D0"/>
    <w:rsid w:val="1DF22F2A"/>
    <w:rsid w:val="1DF51A98"/>
    <w:rsid w:val="1E3B5B2B"/>
    <w:rsid w:val="1E3C7B1A"/>
    <w:rsid w:val="1E3D060F"/>
    <w:rsid w:val="1E3F7D2E"/>
    <w:rsid w:val="1E4134E4"/>
    <w:rsid w:val="1E5062B3"/>
    <w:rsid w:val="1E523514"/>
    <w:rsid w:val="1E714A66"/>
    <w:rsid w:val="1E7D4396"/>
    <w:rsid w:val="1E802593"/>
    <w:rsid w:val="1E8B6156"/>
    <w:rsid w:val="1E937715"/>
    <w:rsid w:val="1E9F75F6"/>
    <w:rsid w:val="1EA703CC"/>
    <w:rsid w:val="1EB15448"/>
    <w:rsid w:val="1EB7330C"/>
    <w:rsid w:val="1EDD2A0B"/>
    <w:rsid w:val="1EF53572"/>
    <w:rsid w:val="1EF63AB7"/>
    <w:rsid w:val="1F0A0FF3"/>
    <w:rsid w:val="1F3507CD"/>
    <w:rsid w:val="1F464283"/>
    <w:rsid w:val="1F533349"/>
    <w:rsid w:val="1F5771FF"/>
    <w:rsid w:val="1F971487"/>
    <w:rsid w:val="1FA0007E"/>
    <w:rsid w:val="1FA832F5"/>
    <w:rsid w:val="1FDA5C51"/>
    <w:rsid w:val="1FDC57FE"/>
    <w:rsid w:val="1FE868A9"/>
    <w:rsid w:val="1FE97761"/>
    <w:rsid w:val="20034907"/>
    <w:rsid w:val="20173E4B"/>
    <w:rsid w:val="204E48BC"/>
    <w:rsid w:val="208921B3"/>
    <w:rsid w:val="20973DEB"/>
    <w:rsid w:val="20B26522"/>
    <w:rsid w:val="20B44310"/>
    <w:rsid w:val="20EB54D5"/>
    <w:rsid w:val="211116EB"/>
    <w:rsid w:val="213276BA"/>
    <w:rsid w:val="216133FC"/>
    <w:rsid w:val="2169341D"/>
    <w:rsid w:val="21C014F9"/>
    <w:rsid w:val="21D56769"/>
    <w:rsid w:val="21E52EF3"/>
    <w:rsid w:val="21FB5D7B"/>
    <w:rsid w:val="22015E94"/>
    <w:rsid w:val="220B1C3D"/>
    <w:rsid w:val="221D1D20"/>
    <w:rsid w:val="222D4B38"/>
    <w:rsid w:val="22334A87"/>
    <w:rsid w:val="225D036C"/>
    <w:rsid w:val="22B9072B"/>
    <w:rsid w:val="22BE6801"/>
    <w:rsid w:val="22D56314"/>
    <w:rsid w:val="233500BF"/>
    <w:rsid w:val="23377FF7"/>
    <w:rsid w:val="236B425F"/>
    <w:rsid w:val="23836192"/>
    <w:rsid w:val="23901F29"/>
    <w:rsid w:val="239C0061"/>
    <w:rsid w:val="23B908A4"/>
    <w:rsid w:val="23E80503"/>
    <w:rsid w:val="23E95BEF"/>
    <w:rsid w:val="23FD0064"/>
    <w:rsid w:val="24443260"/>
    <w:rsid w:val="24446963"/>
    <w:rsid w:val="245375B0"/>
    <w:rsid w:val="24642C0A"/>
    <w:rsid w:val="248F6BD1"/>
    <w:rsid w:val="24B22173"/>
    <w:rsid w:val="24B95AD9"/>
    <w:rsid w:val="24BE24DA"/>
    <w:rsid w:val="24CF5825"/>
    <w:rsid w:val="24D663E6"/>
    <w:rsid w:val="24D77F2B"/>
    <w:rsid w:val="254554E2"/>
    <w:rsid w:val="2564376A"/>
    <w:rsid w:val="258B00E2"/>
    <w:rsid w:val="2598716A"/>
    <w:rsid w:val="25A917A6"/>
    <w:rsid w:val="25BE27CC"/>
    <w:rsid w:val="25D66724"/>
    <w:rsid w:val="25F74A5C"/>
    <w:rsid w:val="2628662C"/>
    <w:rsid w:val="262D45DE"/>
    <w:rsid w:val="26871DC8"/>
    <w:rsid w:val="26986FD2"/>
    <w:rsid w:val="26A53EF9"/>
    <w:rsid w:val="26A94201"/>
    <w:rsid w:val="26AC274F"/>
    <w:rsid w:val="26C452F3"/>
    <w:rsid w:val="27044A29"/>
    <w:rsid w:val="271D34C8"/>
    <w:rsid w:val="275A67AD"/>
    <w:rsid w:val="276142BF"/>
    <w:rsid w:val="27724EE3"/>
    <w:rsid w:val="27783712"/>
    <w:rsid w:val="27907362"/>
    <w:rsid w:val="28247630"/>
    <w:rsid w:val="28333E1D"/>
    <w:rsid w:val="28454BD6"/>
    <w:rsid w:val="28455253"/>
    <w:rsid w:val="28551971"/>
    <w:rsid w:val="285B1C53"/>
    <w:rsid w:val="285E0D94"/>
    <w:rsid w:val="289C7B0E"/>
    <w:rsid w:val="289F7086"/>
    <w:rsid w:val="28C32028"/>
    <w:rsid w:val="28C80FFA"/>
    <w:rsid w:val="28CC490F"/>
    <w:rsid w:val="28DE40AA"/>
    <w:rsid w:val="29171A85"/>
    <w:rsid w:val="29345E77"/>
    <w:rsid w:val="29371BF8"/>
    <w:rsid w:val="294C65AD"/>
    <w:rsid w:val="29806583"/>
    <w:rsid w:val="298B3C4C"/>
    <w:rsid w:val="29C904E2"/>
    <w:rsid w:val="29F26D24"/>
    <w:rsid w:val="2A15033F"/>
    <w:rsid w:val="2A1662C1"/>
    <w:rsid w:val="2A1C7367"/>
    <w:rsid w:val="2A2815FA"/>
    <w:rsid w:val="2A412C20"/>
    <w:rsid w:val="2A431C81"/>
    <w:rsid w:val="2A6D6092"/>
    <w:rsid w:val="2A7D76B4"/>
    <w:rsid w:val="2B12230A"/>
    <w:rsid w:val="2B183877"/>
    <w:rsid w:val="2B437463"/>
    <w:rsid w:val="2B4775FD"/>
    <w:rsid w:val="2B7807EE"/>
    <w:rsid w:val="2B956FBE"/>
    <w:rsid w:val="2BA50BF7"/>
    <w:rsid w:val="2BBF00EC"/>
    <w:rsid w:val="2BC37CFD"/>
    <w:rsid w:val="2BCE7FDF"/>
    <w:rsid w:val="2BD5237F"/>
    <w:rsid w:val="2BE536CE"/>
    <w:rsid w:val="2BE758D9"/>
    <w:rsid w:val="2C09049E"/>
    <w:rsid w:val="2C0A653C"/>
    <w:rsid w:val="2C191F85"/>
    <w:rsid w:val="2C194B41"/>
    <w:rsid w:val="2C2611CC"/>
    <w:rsid w:val="2C3322A2"/>
    <w:rsid w:val="2C366D14"/>
    <w:rsid w:val="2C750476"/>
    <w:rsid w:val="2CA70830"/>
    <w:rsid w:val="2CC35972"/>
    <w:rsid w:val="2CC52F39"/>
    <w:rsid w:val="2CE82D6F"/>
    <w:rsid w:val="2D0A1084"/>
    <w:rsid w:val="2D343236"/>
    <w:rsid w:val="2D9577C3"/>
    <w:rsid w:val="2DD15014"/>
    <w:rsid w:val="2DD719AB"/>
    <w:rsid w:val="2DEC78FA"/>
    <w:rsid w:val="2DF60B78"/>
    <w:rsid w:val="2DF72DE4"/>
    <w:rsid w:val="2DFD4010"/>
    <w:rsid w:val="2E0220AF"/>
    <w:rsid w:val="2E0C2EA8"/>
    <w:rsid w:val="2E3A7BAD"/>
    <w:rsid w:val="2E4B082A"/>
    <w:rsid w:val="2E5D4E86"/>
    <w:rsid w:val="2E5D790B"/>
    <w:rsid w:val="2E721BA9"/>
    <w:rsid w:val="2E9A3C18"/>
    <w:rsid w:val="2EBB0FEE"/>
    <w:rsid w:val="2EC63002"/>
    <w:rsid w:val="2F0A6B38"/>
    <w:rsid w:val="2F5120F9"/>
    <w:rsid w:val="2F946CCB"/>
    <w:rsid w:val="2FC60D80"/>
    <w:rsid w:val="2FD25781"/>
    <w:rsid w:val="2FDB716E"/>
    <w:rsid w:val="2FDC745C"/>
    <w:rsid w:val="2FFD7934"/>
    <w:rsid w:val="303348B4"/>
    <w:rsid w:val="3045283A"/>
    <w:rsid w:val="30733ACD"/>
    <w:rsid w:val="30834A2A"/>
    <w:rsid w:val="308C3862"/>
    <w:rsid w:val="309379D8"/>
    <w:rsid w:val="30A270F7"/>
    <w:rsid w:val="30B213BF"/>
    <w:rsid w:val="30D564AC"/>
    <w:rsid w:val="30DF1478"/>
    <w:rsid w:val="30E42A7F"/>
    <w:rsid w:val="30EC586F"/>
    <w:rsid w:val="31407633"/>
    <w:rsid w:val="31692558"/>
    <w:rsid w:val="318F29B2"/>
    <w:rsid w:val="319C6071"/>
    <w:rsid w:val="31AC537E"/>
    <w:rsid w:val="31E3679B"/>
    <w:rsid w:val="31E732FD"/>
    <w:rsid w:val="32504720"/>
    <w:rsid w:val="32517576"/>
    <w:rsid w:val="32765EF0"/>
    <w:rsid w:val="32A45F3D"/>
    <w:rsid w:val="32AF7D5E"/>
    <w:rsid w:val="32BD35D3"/>
    <w:rsid w:val="32BE5C2C"/>
    <w:rsid w:val="32FB6478"/>
    <w:rsid w:val="330F38F3"/>
    <w:rsid w:val="33263B3F"/>
    <w:rsid w:val="336963EB"/>
    <w:rsid w:val="33816EEB"/>
    <w:rsid w:val="33EB55CD"/>
    <w:rsid w:val="33EC4C02"/>
    <w:rsid w:val="33FE342B"/>
    <w:rsid w:val="340D2360"/>
    <w:rsid w:val="3410665D"/>
    <w:rsid w:val="34211214"/>
    <w:rsid w:val="342E63AB"/>
    <w:rsid w:val="345E6795"/>
    <w:rsid w:val="346E7100"/>
    <w:rsid w:val="347E456C"/>
    <w:rsid w:val="3482291E"/>
    <w:rsid w:val="34950E68"/>
    <w:rsid w:val="34986E94"/>
    <w:rsid w:val="34AF62C9"/>
    <w:rsid w:val="34B334C0"/>
    <w:rsid w:val="34CB4388"/>
    <w:rsid w:val="34FA6E12"/>
    <w:rsid w:val="351B1F09"/>
    <w:rsid w:val="353F7D6C"/>
    <w:rsid w:val="35482FA8"/>
    <w:rsid w:val="354D7158"/>
    <w:rsid w:val="35862603"/>
    <w:rsid w:val="358D5588"/>
    <w:rsid w:val="35AE657E"/>
    <w:rsid w:val="35C80F39"/>
    <w:rsid w:val="35D15E83"/>
    <w:rsid w:val="36045B33"/>
    <w:rsid w:val="363A3B40"/>
    <w:rsid w:val="364D6630"/>
    <w:rsid w:val="365302AE"/>
    <w:rsid w:val="36607A0A"/>
    <w:rsid w:val="366652B8"/>
    <w:rsid w:val="366E227C"/>
    <w:rsid w:val="366F2E0D"/>
    <w:rsid w:val="367A6DA2"/>
    <w:rsid w:val="367B6A5C"/>
    <w:rsid w:val="36A74ADA"/>
    <w:rsid w:val="36AD60D5"/>
    <w:rsid w:val="36B224F9"/>
    <w:rsid w:val="36C4216C"/>
    <w:rsid w:val="36E73B9F"/>
    <w:rsid w:val="36E763F9"/>
    <w:rsid w:val="36EC0CC9"/>
    <w:rsid w:val="370E7B58"/>
    <w:rsid w:val="373F410B"/>
    <w:rsid w:val="37977E1F"/>
    <w:rsid w:val="37EE7094"/>
    <w:rsid w:val="37F92887"/>
    <w:rsid w:val="38194620"/>
    <w:rsid w:val="38296C89"/>
    <w:rsid w:val="383002EB"/>
    <w:rsid w:val="38312938"/>
    <w:rsid w:val="38586797"/>
    <w:rsid w:val="38664899"/>
    <w:rsid w:val="38BC0149"/>
    <w:rsid w:val="38D87D1C"/>
    <w:rsid w:val="38E238F1"/>
    <w:rsid w:val="391A0D07"/>
    <w:rsid w:val="391D4CD9"/>
    <w:rsid w:val="39636459"/>
    <w:rsid w:val="396B7F6C"/>
    <w:rsid w:val="39911E49"/>
    <w:rsid w:val="39B417A9"/>
    <w:rsid w:val="39DA0497"/>
    <w:rsid w:val="39F257E0"/>
    <w:rsid w:val="39FC5695"/>
    <w:rsid w:val="3A006D8E"/>
    <w:rsid w:val="3A1B647E"/>
    <w:rsid w:val="3A1F40FB"/>
    <w:rsid w:val="3A3651E5"/>
    <w:rsid w:val="3A4A1F4B"/>
    <w:rsid w:val="3A744481"/>
    <w:rsid w:val="3A86542E"/>
    <w:rsid w:val="3A8C7BEF"/>
    <w:rsid w:val="3A906246"/>
    <w:rsid w:val="3AA54601"/>
    <w:rsid w:val="3AC7788D"/>
    <w:rsid w:val="3ACA4067"/>
    <w:rsid w:val="3AF15BDC"/>
    <w:rsid w:val="3AFB3CBE"/>
    <w:rsid w:val="3B2349B7"/>
    <w:rsid w:val="3B616CFF"/>
    <w:rsid w:val="3B6259F6"/>
    <w:rsid w:val="3B876549"/>
    <w:rsid w:val="3B976654"/>
    <w:rsid w:val="3B9A20B6"/>
    <w:rsid w:val="3BC01EFC"/>
    <w:rsid w:val="3BCA786A"/>
    <w:rsid w:val="3BD31E2F"/>
    <w:rsid w:val="3BF15831"/>
    <w:rsid w:val="3C105946"/>
    <w:rsid w:val="3C471448"/>
    <w:rsid w:val="3C5F759A"/>
    <w:rsid w:val="3C6C525A"/>
    <w:rsid w:val="3C761029"/>
    <w:rsid w:val="3C771FCD"/>
    <w:rsid w:val="3C843241"/>
    <w:rsid w:val="3CBE05CE"/>
    <w:rsid w:val="3CCE23CB"/>
    <w:rsid w:val="3CD17D17"/>
    <w:rsid w:val="3D3C7F39"/>
    <w:rsid w:val="3D440F09"/>
    <w:rsid w:val="3D4504A0"/>
    <w:rsid w:val="3D8734BB"/>
    <w:rsid w:val="3D9A11D4"/>
    <w:rsid w:val="3DA16D89"/>
    <w:rsid w:val="3DA364BE"/>
    <w:rsid w:val="3DA937C7"/>
    <w:rsid w:val="3DE041CB"/>
    <w:rsid w:val="3E0D48F6"/>
    <w:rsid w:val="3E1868B4"/>
    <w:rsid w:val="3E377251"/>
    <w:rsid w:val="3E42664B"/>
    <w:rsid w:val="3E4404E8"/>
    <w:rsid w:val="3E5A7334"/>
    <w:rsid w:val="3E7B5D6B"/>
    <w:rsid w:val="3E843E66"/>
    <w:rsid w:val="3E8F51FE"/>
    <w:rsid w:val="3E926F87"/>
    <w:rsid w:val="3E9A59DE"/>
    <w:rsid w:val="3EAF4836"/>
    <w:rsid w:val="3EC33DFA"/>
    <w:rsid w:val="3F0044FB"/>
    <w:rsid w:val="3F060E16"/>
    <w:rsid w:val="3F0D6C18"/>
    <w:rsid w:val="3F1D1096"/>
    <w:rsid w:val="3F2F0234"/>
    <w:rsid w:val="3F6363FE"/>
    <w:rsid w:val="3F756B8F"/>
    <w:rsid w:val="3F95482B"/>
    <w:rsid w:val="3FBB675E"/>
    <w:rsid w:val="3FBF701F"/>
    <w:rsid w:val="3FD95731"/>
    <w:rsid w:val="3FF81676"/>
    <w:rsid w:val="4019356B"/>
    <w:rsid w:val="40592157"/>
    <w:rsid w:val="406E1CAE"/>
    <w:rsid w:val="407324F6"/>
    <w:rsid w:val="40A0133A"/>
    <w:rsid w:val="40C31A53"/>
    <w:rsid w:val="40CC6740"/>
    <w:rsid w:val="40D0098F"/>
    <w:rsid w:val="40F24F08"/>
    <w:rsid w:val="40FF545D"/>
    <w:rsid w:val="410067C8"/>
    <w:rsid w:val="410C318A"/>
    <w:rsid w:val="410D73A4"/>
    <w:rsid w:val="41641AB1"/>
    <w:rsid w:val="418F0D2A"/>
    <w:rsid w:val="41A151D1"/>
    <w:rsid w:val="41D01505"/>
    <w:rsid w:val="42005999"/>
    <w:rsid w:val="4205007B"/>
    <w:rsid w:val="42474939"/>
    <w:rsid w:val="424C3C57"/>
    <w:rsid w:val="4253528A"/>
    <w:rsid w:val="42613FF3"/>
    <w:rsid w:val="42660D96"/>
    <w:rsid w:val="428667D2"/>
    <w:rsid w:val="42AD7C2E"/>
    <w:rsid w:val="42CD1CE0"/>
    <w:rsid w:val="42E1381E"/>
    <w:rsid w:val="42ED6459"/>
    <w:rsid w:val="42FE58DD"/>
    <w:rsid w:val="43174B3D"/>
    <w:rsid w:val="434B790E"/>
    <w:rsid w:val="4360274F"/>
    <w:rsid w:val="43977AB6"/>
    <w:rsid w:val="43A3342B"/>
    <w:rsid w:val="43C77C27"/>
    <w:rsid w:val="43DE09EE"/>
    <w:rsid w:val="43EC504E"/>
    <w:rsid w:val="44002FAD"/>
    <w:rsid w:val="442F7757"/>
    <w:rsid w:val="44565FEF"/>
    <w:rsid w:val="449101DD"/>
    <w:rsid w:val="449C1CBE"/>
    <w:rsid w:val="44DE1391"/>
    <w:rsid w:val="451B225C"/>
    <w:rsid w:val="452410C9"/>
    <w:rsid w:val="45317DFB"/>
    <w:rsid w:val="456D3CE4"/>
    <w:rsid w:val="45773EE8"/>
    <w:rsid w:val="4579042C"/>
    <w:rsid w:val="457F0571"/>
    <w:rsid w:val="45851176"/>
    <w:rsid w:val="45B22152"/>
    <w:rsid w:val="45C63B94"/>
    <w:rsid w:val="46035F24"/>
    <w:rsid w:val="460E7DA5"/>
    <w:rsid w:val="46422483"/>
    <w:rsid w:val="4659254A"/>
    <w:rsid w:val="465B0637"/>
    <w:rsid w:val="465E3F0D"/>
    <w:rsid w:val="46617B17"/>
    <w:rsid w:val="466A16E6"/>
    <w:rsid w:val="46893F2B"/>
    <w:rsid w:val="46C4686E"/>
    <w:rsid w:val="47236942"/>
    <w:rsid w:val="477B778F"/>
    <w:rsid w:val="478203EC"/>
    <w:rsid w:val="47AD2D46"/>
    <w:rsid w:val="47B025FA"/>
    <w:rsid w:val="47B10A89"/>
    <w:rsid w:val="47CA3E45"/>
    <w:rsid w:val="48032AD9"/>
    <w:rsid w:val="4809698F"/>
    <w:rsid w:val="4811697D"/>
    <w:rsid w:val="482A0672"/>
    <w:rsid w:val="487A3E25"/>
    <w:rsid w:val="488B5503"/>
    <w:rsid w:val="48937E21"/>
    <w:rsid w:val="489A0361"/>
    <w:rsid w:val="489B34E7"/>
    <w:rsid w:val="48B94FF3"/>
    <w:rsid w:val="48CB77DF"/>
    <w:rsid w:val="48E37AAB"/>
    <w:rsid w:val="48FD4B4C"/>
    <w:rsid w:val="490A53BE"/>
    <w:rsid w:val="490A68E0"/>
    <w:rsid w:val="491055FE"/>
    <w:rsid w:val="495F5B3E"/>
    <w:rsid w:val="496F77D7"/>
    <w:rsid w:val="497654FD"/>
    <w:rsid w:val="497F1F6E"/>
    <w:rsid w:val="499A554C"/>
    <w:rsid w:val="49B64211"/>
    <w:rsid w:val="49DC5B65"/>
    <w:rsid w:val="49F6167F"/>
    <w:rsid w:val="4A064FA0"/>
    <w:rsid w:val="4A16615C"/>
    <w:rsid w:val="4A4424D7"/>
    <w:rsid w:val="4A6D4A0F"/>
    <w:rsid w:val="4A8E1E2A"/>
    <w:rsid w:val="4AB82D0F"/>
    <w:rsid w:val="4AB959F0"/>
    <w:rsid w:val="4AC127A5"/>
    <w:rsid w:val="4AC541CD"/>
    <w:rsid w:val="4ACF7084"/>
    <w:rsid w:val="4AE42141"/>
    <w:rsid w:val="4AEB7664"/>
    <w:rsid w:val="4AFD7C19"/>
    <w:rsid w:val="4B0567D1"/>
    <w:rsid w:val="4B236AAE"/>
    <w:rsid w:val="4B707271"/>
    <w:rsid w:val="4B881658"/>
    <w:rsid w:val="4B9739F7"/>
    <w:rsid w:val="4BBA0751"/>
    <w:rsid w:val="4BC44B03"/>
    <w:rsid w:val="4BEE2503"/>
    <w:rsid w:val="4C245A30"/>
    <w:rsid w:val="4C485734"/>
    <w:rsid w:val="4C7558C2"/>
    <w:rsid w:val="4CB6685F"/>
    <w:rsid w:val="4CBA5FC9"/>
    <w:rsid w:val="4CC367FE"/>
    <w:rsid w:val="4CE4720A"/>
    <w:rsid w:val="4D077F3C"/>
    <w:rsid w:val="4D123355"/>
    <w:rsid w:val="4D2A3B31"/>
    <w:rsid w:val="4D312C52"/>
    <w:rsid w:val="4D783DF7"/>
    <w:rsid w:val="4D905305"/>
    <w:rsid w:val="4D964A72"/>
    <w:rsid w:val="4D9C1254"/>
    <w:rsid w:val="4DC77D92"/>
    <w:rsid w:val="4DCF4404"/>
    <w:rsid w:val="4DE1374A"/>
    <w:rsid w:val="4E793892"/>
    <w:rsid w:val="4E800872"/>
    <w:rsid w:val="4EC569ED"/>
    <w:rsid w:val="4ED0364D"/>
    <w:rsid w:val="4ED50EA1"/>
    <w:rsid w:val="4EEC050C"/>
    <w:rsid w:val="4F0A6CD0"/>
    <w:rsid w:val="4F104EC3"/>
    <w:rsid w:val="4F2C30EB"/>
    <w:rsid w:val="4F47354A"/>
    <w:rsid w:val="4F911C54"/>
    <w:rsid w:val="4FE625E0"/>
    <w:rsid w:val="5021480F"/>
    <w:rsid w:val="50852092"/>
    <w:rsid w:val="50962ECB"/>
    <w:rsid w:val="50A42E38"/>
    <w:rsid w:val="50A4577F"/>
    <w:rsid w:val="50B73D1F"/>
    <w:rsid w:val="50BD5BC9"/>
    <w:rsid w:val="50C11EEE"/>
    <w:rsid w:val="50C9060B"/>
    <w:rsid w:val="50D43B60"/>
    <w:rsid w:val="50E97CFC"/>
    <w:rsid w:val="50EA6DB9"/>
    <w:rsid w:val="50EF6321"/>
    <w:rsid w:val="50FA4028"/>
    <w:rsid w:val="510C6D30"/>
    <w:rsid w:val="510D65B7"/>
    <w:rsid w:val="511157AB"/>
    <w:rsid w:val="51330E09"/>
    <w:rsid w:val="5142540C"/>
    <w:rsid w:val="517D1054"/>
    <w:rsid w:val="518832C8"/>
    <w:rsid w:val="519D3C50"/>
    <w:rsid w:val="51A0432A"/>
    <w:rsid w:val="51A76A58"/>
    <w:rsid w:val="51A86090"/>
    <w:rsid w:val="51B7396D"/>
    <w:rsid w:val="522E4CC3"/>
    <w:rsid w:val="5244713B"/>
    <w:rsid w:val="525F0910"/>
    <w:rsid w:val="52615633"/>
    <w:rsid w:val="526F4DE4"/>
    <w:rsid w:val="52977FD4"/>
    <w:rsid w:val="52A25790"/>
    <w:rsid w:val="52A96B6F"/>
    <w:rsid w:val="52B07036"/>
    <w:rsid w:val="52B45975"/>
    <w:rsid w:val="52D94AA4"/>
    <w:rsid w:val="52EA3A62"/>
    <w:rsid w:val="52F50BB8"/>
    <w:rsid w:val="53097272"/>
    <w:rsid w:val="530F6FAB"/>
    <w:rsid w:val="5343248B"/>
    <w:rsid w:val="53544462"/>
    <w:rsid w:val="53746E0E"/>
    <w:rsid w:val="53886A0F"/>
    <w:rsid w:val="539179C0"/>
    <w:rsid w:val="5397158E"/>
    <w:rsid w:val="53982AFD"/>
    <w:rsid w:val="53AE7BD2"/>
    <w:rsid w:val="53D12677"/>
    <w:rsid w:val="54013861"/>
    <w:rsid w:val="541B7F5F"/>
    <w:rsid w:val="54487265"/>
    <w:rsid w:val="544D6070"/>
    <w:rsid w:val="54605E1E"/>
    <w:rsid w:val="54B3506A"/>
    <w:rsid w:val="54CA0D16"/>
    <w:rsid w:val="54DD4057"/>
    <w:rsid w:val="54E7490F"/>
    <w:rsid w:val="54FE2E33"/>
    <w:rsid w:val="550764A4"/>
    <w:rsid w:val="550B2BF6"/>
    <w:rsid w:val="55214EB5"/>
    <w:rsid w:val="552A59D6"/>
    <w:rsid w:val="55364EFD"/>
    <w:rsid w:val="555D4828"/>
    <w:rsid w:val="556954F9"/>
    <w:rsid w:val="557A4C8B"/>
    <w:rsid w:val="558931E1"/>
    <w:rsid w:val="55923347"/>
    <w:rsid w:val="55925180"/>
    <w:rsid w:val="55983B1B"/>
    <w:rsid w:val="559917B1"/>
    <w:rsid w:val="55A8376B"/>
    <w:rsid w:val="55BA31FE"/>
    <w:rsid w:val="55DC29B6"/>
    <w:rsid w:val="55DD4241"/>
    <w:rsid w:val="566B6D1E"/>
    <w:rsid w:val="56C635A0"/>
    <w:rsid w:val="56DE542A"/>
    <w:rsid w:val="57032A2C"/>
    <w:rsid w:val="570F5219"/>
    <w:rsid w:val="575D12B5"/>
    <w:rsid w:val="57601B83"/>
    <w:rsid w:val="57610A87"/>
    <w:rsid w:val="577B1140"/>
    <w:rsid w:val="577B7F21"/>
    <w:rsid w:val="577F181B"/>
    <w:rsid w:val="57921984"/>
    <w:rsid w:val="579737F0"/>
    <w:rsid w:val="57AB7B30"/>
    <w:rsid w:val="57AF5251"/>
    <w:rsid w:val="57B26373"/>
    <w:rsid w:val="57B63F04"/>
    <w:rsid w:val="57C9362B"/>
    <w:rsid w:val="57CD20C2"/>
    <w:rsid w:val="57D675AB"/>
    <w:rsid w:val="57D95FDD"/>
    <w:rsid w:val="58237208"/>
    <w:rsid w:val="58296690"/>
    <w:rsid w:val="58917D2F"/>
    <w:rsid w:val="5894085C"/>
    <w:rsid w:val="58AE4F0C"/>
    <w:rsid w:val="58B85899"/>
    <w:rsid w:val="58E363A9"/>
    <w:rsid w:val="58E660B8"/>
    <w:rsid w:val="58E73446"/>
    <w:rsid w:val="591476FB"/>
    <w:rsid w:val="5915699E"/>
    <w:rsid w:val="595E1678"/>
    <w:rsid w:val="596D5BD4"/>
    <w:rsid w:val="597E3DD8"/>
    <w:rsid w:val="59800F2D"/>
    <w:rsid w:val="598C4EB2"/>
    <w:rsid w:val="59A246D5"/>
    <w:rsid w:val="59C7621C"/>
    <w:rsid w:val="59F80043"/>
    <w:rsid w:val="5A09252F"/>
    <w:rsid w:val="5A0B2778"/>
    <w:rsid w:val="5A2A7C7B"/>
    <w:rsid w:val="5A3B2CC9"/>
    <w:rsid w:val="5A3B7767"/>
    <w:rsid w:val="5A3E2560"/>
    <w:rsid w:val="5A5D3B6E"/>
    <w:rsid w:val="5A637A76"/>
    <w:rsid w:val="5A6D33BA"/>
    <w:rsid w:val="5A767910"/>
    <w:rsid w:val="5A792B1F"/>
    <w:rsid w:val="5A874767"/>
    <w:rsid w:val="5A955E00"/>
    <w:rsid w:val="5AA85BE2"/>
    <w:rsid w:val="5AAD6F28"/>
    <w:rsid w:val="5ABB65E5"/>
    <w:rsid w:val="5AD63A24"/>
    <w:rsid w:val="5B157129"/>
    <w:rsid w:val="5B2E1A1D"/>
    <w:rsid w:val="5B612C0E"/>
    <w:rsid w:val="5B765E19"/>
    <w:rsid w:val="5B834000"/>
    <w:rsid w:val="5B843A1C"/>
    <w:rsid w:val="5B873E3F"/>
    <w:rsid w:val="5BA30291"/>
    <w:rsid w:val="5BF32D9F"/>
    <w:rsid w:val="5C02690E"/>
    <w:rsid w:val="5C1260CE"/>
    <w:rsid w:val="5C196DA7"/>
    <w:rsid w:val="5C2A048C"/>
    <w:rsid w:val="5C384E7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66BCF"/>
    <w:rsid w:val="5EFC7377"/>
    <w:rsid w:val="5F06174D"/>
    <w:rsid w:val="5F14370C"/>
    <w:rsid w:val="5F3A3602"/>
    <w:rsid w:val="5F45733B"/>
    <w:rsid w:val="5F5A1C5D"/>
    <w:rsid w:val="5F6277C6"/>
    <w:rsid w:val="5F6B37BB"/>
    <w:rsid w:val="5F6D0B1D"/>
    <w:rsid w:val="5F8D0B82"/>
    <w:rsid w:val="5FCC5339"/>
    <w:rsid w:val="5FDE6073"/>
    <w:rsid w:val="5FE34A5B"/>
    <w:rsid w:val="5FFE1E36"/>
    <w:rsid w:val="60232584"/>
    <w:rsid w:val="607330CE"/>
    <w:rsid w:val="60825176"/>
    <w:rsid w:val="609F2AC4"/>
    <w:rsid w:val="60A24FBB"/>
    <w:rsid w:val="60AD7585"/>
    <w:rsid w:val="60D70CB9"/>
    <w:rsid w:val="60D95C38"/>
    <w:rsid w:val="60D96503"/>
    <w:rsid w:val="60E16353"/>
    <w:rsid w:val="60FA2EE8"/>
    <w:rsid w:val="61054A27"/>
    <w:rsid w:val="610A52BC"/>
    <w:rsid w:val="611D2366"/>
    <w:rsid w:val="612B1454"/>
    <w:rsid w:val="61421856"/>
    <w:rsid w:val="614525F2"/>
    <w:rsid w:val="615227C4"/>
    <w:rsid w:val="61654E3F"/>
    <w:rsid w:val="6170330B"/>
    <w:rsid w:val="6182292A"/>
    <w:rsid w:val="619F7F92"/>
    <w:rsid w:val="61BA6334"/>
    <w:rsid w:val="61F513E7"/>
    <w:rsid w:val="61F94C26"/>
    <w:rsid w:val="62000E56"/>
    <w:rsid w:val="62014BDB"/>
    <w:rsid w:val="6220780E"/>
    <w:rsid w:val="624F3E49"/>
    <w:rsid w:val="62632286"/>
    <w:rsid w:val="628042DA"/>
    <w:rsid w:val="62864468"/>
    <w:rsid w:val="62885958"/>
    <w:rsid w:val="62A24B3B"/>
    <w:rsid w:val="62F40B65"/>
    <w:rsid w:val="62FC2CFE"/>
    <w:rsid w:val="63024505"/>
    <w:rsid w:val="6320011E"/>
    <w:rsid w:val="63227A45"/>
    <w:rsid w:val="632F5C5F"/>
    <w:rsid w:val="635600A5"/>
    <w:rsid w:val="635B1DB5"/>
    <w:rsid w:val="63711FED"/>
    <w:rsid w:val="63880DDC"/>
    <w:rsid w:val="638D750D"/>
    <w:rsid w:val="63AC6CC0"/>
    <w:rsid w:val="63F55D49"/>
    <w:rsid w:val="64047D3A"/>
    <w:rsid w:val="64055776"/>
    <w:rsid w:val="64234950"/>
    <w:rsid w:val="64240056"/>
    <w:rsid w:val="643E143A"/>
    <w:rsid w:val="64491666"/>
    <w:rsid w:val="648B6EEF"/>
    <w:rsid w:val="64B559C9"/>
    <w:rsid w:val="64C158BF"/>
    <w:rsid w:val="64CE2EAA"/>
    <w:rsid w:val="653C3090"/>
    <w:rsid w:val="656344A3"/>
    <w:rsid w:val="657A02B4"/>
    <w:rsid w:val="65854376"/>
    <w:rsid w:val="658767BE"/>
    <w:rsid w:val="65892531"/>
    <w:rsid w:val="65B65064"/>
    <w:rsid w:val="65FA13F5"/>
    <w:rsid w:val="66173BAA"/>
    <w:rsid w:val="66195831"/>
    <w:rsid w:val="6621422A"/>
    <w:rsid w:val="662E75B1"/>
    <w:rsid w:val="66342C2E"/>
    <w:rsid w:val="66386FAA"/>
    <w:rsid w:val="663E784C"/>
    <w:rsid w:val="66803948"/>
    <w:rsid w:val="668B6A45"/>
    <w:rsid w:val="66D87988"/>
    <w:rsid w:val="672F3F24"/>
    <w:rsid w:val="673E055F"/>
    <w:rsid w:val="674743C8"/>
    <w:rsid w:val="67551CE3"/>
    <w:rsid w:val="676712E8"/>
    <w:rsid w:val="679B51F9"/>
    <w:rsid w:val="67A22552"/>
    <w:rsid w:val="67B22DCC"/>
    <w:rsid w:val="67BE71AA"/>
    <w:rsid w:val="67C12E69"/>
    <w:rsid w:val="67D90273"/>
    <w:rsid w:val="67DE5875"/>
    <w:rsid w:val="67E55852"/>
    <w:rsid w:val="67EB1AB4"/>
    <w:rsid w:val="67FA1285"/>
    <w:rsid w:val="683055A2"/>
    <w:rsid w:val="68383780"/>
    <w:rsid w:val="6839312D"/>
    <w:rsid w:val="68551F4F"/>
    <w:rsid w:val="685A3F49"/>
    <w:rsid w:val="687C10C9"/>
    <w:rsid w:val="68840C16"/>
    <w:rsid w:val="68876EFB"/>
    <w:rsid w:val="68884654"/>
    <w:rsid w:val="689A0C6D"/>
    <w:rsid w:val="689F444F"/>
    <w:rsid w:val="68AC4F32"/>
    <w:rsid w:val="68B04A67"/>
    <w:rsid w:val="68B04D43"/>
    <w:rsid w:val="68B96DBB"/>
    <w:rsid w:val="68CA2805"/>
    <w:rsid w:val="68E937A3"/>
    <w:rsid w:val="68EF0FB9"/>
    <w:rsid w:val="693E15D3"/>
    <w:rsid w:val="694A46F2"/>
    <w:rsid w:val="69627681"/>
    <w:rsid w:val="6977531D"/>
    <w:rsid w:val="69B2576E"/>
    <w:rsid w:val="69CC2BFF"/>
    <w:rsid w:val="69DE1822"/>
    <w:rsid w:val="69F525FF"/>
    <w:rsid w:val="69F94CDA"/>
    <w:rsid w:val="69FD55B8"/>
    <w:rsid w:val="6A0B1C62"/>
    <w:rsid w:val="6A2406C8"/>
    <w:rsid w:val="6A2F2373"/>
    <w:rsid w:val="6A3B25C6"/>
    <w:rsid w:val="6A8D36DA"/>
    <w:rsid w:val="6AAA163C"/>
    <w:rsid w:val="6ACC3C3E"/>
    <w:rsid w:val="6ACD5DB7"/>
    <w:rsid w:val="6ADE0BD1"/>
    <w:rsid w:val="6AE96859"/>
    <w:rsid w:val="6AEA0D00"/>
    <w:rsid w:val="6AEE2E89"/>
    <w:rsid w:val="6B147746"/>
    <w:rsid w:val="6B24787C"/>
    <w:rsid w:val="6B573233"/>
    <w:rsid w:val="6B5B06EC"/>
    <w:rsid w:val="6B5B6274"/>
    <w:rsid w:val="6B935D53"/>
    <w:rsid w:val="6BF948CC"/>
    <w:rsid w:val="6C0E160B"/>
    <w:rsid w:val="6C196F71"/>
    <w:rsid w:val="6C226FCB"/>
    <w:rsid w:val="6C31226F"/>
    <w:rsid w:val="6C4D70C0"/>
    <w:rsid w:val="6C552F0B"/>
    <w:rsid w:val="6C691D8E"/>
    <w:rsid w:val="6C8C67B7"/>
    <w:rsid w:val="6C9D744C"/>
    <w:rsid w:val="6CF738B6"/>
    <w:rsid w:val="6D167928"/>
    <w:rsid w:val="6D26299B"/>
    <w:rsid w:val="6D2A0812"/>
    <w:rsid w:val="6D464F20"/>
    <w:rsid w:val="6D4772EC"/>
    <w:rsid w:val="6D9078AF"/>
    <w:rsid w:val="6DAA3FEF"/>
    <w:rsid w:val="6DC0172B"/>
    <w:rsid w:val="6DCB690C"/>
    <w:rsid w:val="6DD41A5B"/>
    <w:rsid w:val="6DF43C2E"/>
    <w:rsid w:val="6DF51CA3"/>
    <w:rsid w:val="6E2C1D91"/>
    <w:rsid w:val="6E453429"/>
    <w:rsid w:val="6E8335BD"/>
    <w:rsid w:val="6E8515A0"/>
    <w:rsid w:val="6E8E12EF"/>
    <w:rsid w:val="6E972936"/>
    <w:rsid w:val="6EA64B52"/>
    <w:rsid w:val="6EAC5256"/>
    <w:rsid w:val="6ED446C5"/>
    <w:rsid w:val="6EF73676"/>
    <w:rsid w:val="6F2A7D94"/>
    <w:rsid w:val="6F8331F1"/>
    <w:rsid w:val="6FAE1A09"/>
    <w:rsid w:val="6FB72105"/>
    <w:rsid w:val="6FD75BF8"/>
    <w:rsid w:val="707723D0"/>
    <w:rsid w:val="7096169D"/>
    <w:rsid w:val="70ED297F"/>
    <w:rsid w:val="70F5661B"/>
    <w:rsid w:val="71360107"/>
    <w:rsid w:val="713B688E"/>
    <w:rsid w:val="71606CF3"/>
    <w:rsid w:val="71D43752"/>
    <w:rsid w:val="71DB657E"/>
    <w:rsid w:val="71F1796A"/>
    <w:rsid w:val="72154626"/>
    <w:rsid w:val="72262B5D"/>
    <w:rsid w:val="72283FF7"/>
    <w:rsid w:val="722E7212"/>
    <w:rsid w:val="723A0474"/>
    <w:rsid w:val="72483BA9"/>
    <w:rsid w:val="725923E4"/>
    <w:rsid w:val="726A16B0"/>
    <w:rsid w:val="72864BF7"/>
    <w:rsid w:val="729023FC"/>
    <w:rsid w:val="729A01E8"/>
    <w:rsid w:val="72D9486B"/>
    <w:rsid w:val="7315161C"/>
    <w:rsid w:val="73644352"/>
    <w:rsid w:val="73C0646E"/>
    <w:rsid w:val="73C979D4"/>
    <w:rsid w:val="742222F5"/>
    <w:rsid w:val="74476126"/>
    <w:rsid w:val="74706664"/>
    <w:rsid w:val="747F3682"/>
    <w:rsid w:val="749C4185"/>
    <w:rsid w:val="74C0380A"/>
    <w:rsid w:val="74C472BA"/>
    <w:rsid w:val="75012F38"/>
    <w:rsid w:val="75067759"/>
    <w:rsid w:val="752E6DCD"/>
    <w:rsid w:val="75385226"/>
    <w:rsid w:val="7551380D"/>
    <w:rsid w:val="75600BE5"/>
    <w:rsid w:val="7564475C"/>
    <w:rsid w:val="757067DD"/>
    <w:rsid w:val="7583797F"/>
    <w:rsid w:val="75D20F1D"/>
    <w:rsid w:val="75D91027"/>
    <w:rsid w:val="75DA2C18"/>
    <w:rsid w:val="75F54412"/>
    <w:rsid w:val="76105428"/>
    <w:rsid w:val="761D08E0"/>
    <w:rsid w:val="762D7F27"/>
    <w:rsid w:val="765D347C"/>
    <w:rsid w:val="76826699"/>
    <w:rsid w:val="76854D0B"/>
    <w:rsid w:val="768E3E20"/>
    <w:rsid w:val="769813AA"/>
    <w:rsid w:val="76C87133"/>
    <w:rsid w:val="76CD08D5"/>
    <w:rsid w:val="76DB4B92"/>
    <w:rsid w:val="76DF5D9F"/>
    <w:rsid w:val="77052AA4"/>
    <w:rsid w:val="77077871"/>
    <w:rsid w:val="77136511"/>
    <w:rsid w:val="772B1C5E"/>
    <w:rsid w:val="77340A39"/>
    <w:rsid w:val="77351FD0"/>
    <w:rsid w:val="773724A9"/>
    <w:rsid w:val="77472422"/>
    <w:rsid w:val="777D3C34"/>
    <w:rsid w:val="777F31F2"/>
    <w:rsid w:val="77CD1280"/>
    <w:rsid w:val="77D1700D"/>
    <w:rsid w:val="77E125D2"/>
    <w:rsid w:val="77EC04CC"/>
    <w:rsid w:val="77F15FC7"/>
    <w:rsid w:val="785C0566"/>
    <w:rsid w:val="78775729"/>
    <w:rsid w:val="78A42DB0"/>
    <w:rsid w:val="78A656AB"/>
    <w:rsid w:val="78B2245C"/>
    <w:rsid w:val="78C21F5C"/>
    <w:rsid w:val="78D45341"/>
    <w:rsid w:val="78E172CC"/>
    <w:rsid w:val="78EA1D1F"/>
    <w:rsid w:val="7904172F"/>
    <w:rsid w:val="790F7E27"/>
    <w:rsid w:val="792A231A"/>
    <w:rsid w:val="79316829"/>
    <w:rsid w:val="79366790"/>
    <w:rsid w:val="79690914"/>
    <w:rsid w:val="797B30FD"/>
    <w:rsid w:val="797E66A9"/>
    <w:rsid w:val="798518A4"/>
    <w:rsid w:val="79A97383"/>
    <w:rsid w:val="79E27E8B"/>
    <w:rsid w:val="79F850CE"/>
    <w:rsid w:val="79FD443C"/>
    <w:rsid w:val="7A1D1975"/>
    <w:rsid w:val="7A3E5150"/>
    <w:rsid w:val="7A4670D6"/>
    <w:rsid w:val="7A4E7C2C"/>
    <w:rsid w:val="7A534B63"/>
    <w:rsid w:val="7A615382"/>
    <w:rsid w:val="7A67303B"/>
    <w:rsid w:val="7AAB1D04"/>
    <w:rsid w:val="7ABA4368"/>
    <w:rsid w:val="7AD05746"/>
    <w:rsid w:val="7ADC75FC"/>
    <w:rsid w:val="7B1760C9"/>
    <w:rsid w:val="7B257FFD"/>
    <w:rsid w:val="7B343476"/>
    <w:rsid w:val="7B5A2978"/>
    <w:rsid w:val="7B5A7E4C"/>
    <w:rsid w:val="7B667AF9"/>
    <w:rsid w:val="7B705F89"/>
    <w:rsid w:val="7B7468F8"/>
    <w:rsid w:val="7BBB5EFE"/>
    <w:rsid w:val="7BEE0103"/>
    <w:rsid w:val="7BF81ADB"/>
    <w:rsid w:val="7C014E34"/>
    <w:rsid w:val="7C0A0FE4"/>
    <w:rsid w:val="7C254906"/>
    <w:rsid w:val="7C316837"/>
    <w:rsid w:val="7C590818"/>
    <w:rsid w:val="7C7C10F6"/>
    <w:rsid w:val="7C853BEA"/>
    <w:rsid w:val="7C881368"/>
    <w:rsid w:val="7CB24E19"/>
    <w:rsid w:val="7CE27788"/>
    <w:rsid w:val="7D0C32F1"/>
    <w:rsid w:val="7D0F408D"/>
    <w:rsid w:val="7D2B02D8"/>
    <w:rsid w:val="7D472D1A"/>
    <w:rsid w:val="7D491C6C"/>
    <w:rsid w:val="7D5429C0"/>
    <w:rsid w:val="7D6C6195"/>
    <w:rsid w:val="7D6E6D43"/>
    <w:rsid w:val="7DA168CE"/>
    <w:rsid w:val="7DB57A34"/>
    <w:rsid w:val="7DE60973"/>
    <w:rsid w:val="7DEF0916"/>
    <w:rsid w:val="7E1E5218"/>
    <w:rsid w:val="7E9A4E1F"/>
    <w:rsid w:val="7EA7723A"/>
    <w:rsid w:val="7EAB1087"/>
    <w:rsid w:val="7EBB576E"/>
    <w:rsid w:val="7EDC62D6"/>
    <w:rsid w:val="7EF04CF2"/>
    <w:rsid w:val="7EF56FBB"/>
    <w:rsid w:val="7F0768EB"/>
    <w:rsid w:val="7F143BEC"/>
    <w:rsid w:val="7F715AF2"/>
    <w:rsid w:val="7F886E69"/>
    <w:rsid w:val="7F97298E"/>
    <w:rsid w:val="7FA8767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9"/>
    <w:autoRedefine/>
    <w:qFormat/>
    <w:uiPriority w:val="0"/>
    <w:pPr>
      <w:ind w:firstLine="420"/>
    </w:pPr>
    <w:rPr>
      <w:rFonts w:hAnsi="Calibri" w:cs="Times New Roman"/>
      <w:snapToGrid/>
      <w:szCs w:val="20"/>
    </w:rPr>
  </w:style>
  <w:style w:type="paragraph" w:styleId="3">
    <w:name w:val="Body Text"/>
    <w:basedOn w:val="1"/>
    <w:next w:val="2"/>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0"/>
    <w:autoRedefine/>
    <w:qFormat/>
    <w:uiPriority w:val="0"/>
    <w:pPr>
      <w:shd w:val="clear" w:color="auto" w:fill="000080"/>
    </w:pPr>
  </w:style>
  <w:style w:type="paragraph" w:styleId="22">
    <w:name w:val="annotation text"/>
    <w:basedOn w:val="1"/>
    <w:link w:val="342"/>
    <w:autoRedefine/>
    <w:qFormat/>
    <w:uiPriority w:val="99"/>
    <w:pPr>
      <w:jc w:val="left"/>
    </w:pPr>
  </w:style>
  <w:style w:type="paragraph" w:styleId="23">
    <w:name w:val="Salutation"/>
    <w:basedOn w:val="1"/>
    <w:next w:val="1"/>
    <w:link w:val="296"/>
    <w:autoRedefine/>
    <w:qFormat/>
    <w:uiPriority w:val="0"/>
    <w:rPr>
      <w:rFonts w:ascii="FangSong_GB2312" w:eastAsia="FangSong_GB2312"/>
      <w:sz w:val="28"/>
      <w:szCs w:val="20"/>
    </w:rPr>
  </w:style>
  <w:style w:type="paragraph" w:styleId="24">
    <w:name w:val="Body Text 3"/>
    <w:basedOn w:val="1"/>
    <w:link w:val="328"/>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99"/>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0"/>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FangSong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962"/>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autoRedefine/>
    <w:qFormat/>
    <w:uiPriority w:val="0"/>
    <w:rPr>
      <w:b/>
      <w:bCs/>
    </w:rPr>
  </w:style>
  <w:style w:type="paragraph" w:styleId="61">
    <w:name w:val="Body Text First Indent 2"/>
    <w:basedOn w:val="26"/>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3"/>
    <w:basedOn w:val="1"/>
    <w:autoRedefine/>
    <w:qFormat/>
    <w:uiPriority w:val="0"/>
    <w:pPr>
      <w:adjustRightInd/>
      <w:ind w:firstLine="420" w:firstLineChars="200"/>
    </w:pPr>
    <w:rPr>
      <w:rFonts w:eastAsia="FangSong_GB2312"/>
      <w:sz w:val="2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FangSong_GB2312" w:hAnsi="FangSong_GB2312" w:eastAsia="FangSong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FangSong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FangSong_GB2312" w:hAnsi="微软雅黑" w:eastAsia="FangSong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FangSong_GB2312" w:hAnsi="宋体" w:eastAsia="FangSong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FangSong_GB2312" w:eastAsia="FangSong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FangSong_GB2312" w:hAnsi="仿宋" w:eastAsia="FangSong_GB2312"/>
      <w:kern w:val="2"/>
      <w:sz w:val="24"/>
      <w:szCs w:val="24"/>
    </w:rPr>
  </w:style>
  <w:style w:type="character" w:customStyle="1" w:styleId="126">
    <w:name w:val="样式4 Char"/>
    <w:autoRedefine/>
    <w:qFormat/>
    <w:uiPriority w:val="0"/>
    <w:rPr>
      <w:rFonts w:ascii="FangSong_GB2312" w:hAnsi="仿宋" w:eastAsia="FangSong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FangSong_GB2312" w:hAnsi="仿宋" w:eastAsia="FangSong_GB2312"/>
      <w:b/>
      <w:kern w:val="2"/>
      <w:sz w:val="24"/>
      <w:szCs w:val="24"/>
    </w:rPr>
  </w:style>
  <w:style w:type="character" w:customStyle="1" w:styleId="140">
    <w:name w:val="font12gray1"/>
    <w:autoRedefine/>
    <w:qFormat/>
    <w:uiPriority w:val="0"/>
    <w:rPr>
      <w:rFonts w:ascii="FangSong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FangSong_GB2312" w:eastAsia="FangSong_GB2312" w:cs="FangSong_GB2312"/>
      <w:color w:val="000000"/>
      <w:sz w:val="22"/>
      <w:szCs w:val="22"/>
      <w:u w:val="none"/>
    </w:rPr>
  </w:style>
  <w:style w:type="character" w:customStyle="1" w:styleId="145">
    <w:name w:val="标题 6 Char"/>
    <w:link w:val="11"/>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FangSong_GB2312" w:hAnsi="FangSong_GB2312" w:eastAsia="FangSong_GB2312"/>
      <w:kern w:val="2"/>
      <w:sz w:val="24"/>
      <w:lang w:bidi="ar-SA"/>
    </w:rPr>
  </w:style>
  <w:style w:type="character" w:customStyle="1" w:styleId="151">
    <w:name w:val="正文 项目 Char"/>
    <w:autoRedefine/>
    <w:qFormat/>
    <w:uiPriority w:val="0"/>
    <w:rPr>
      <w:rFonts w:ascii="FangSong_GB2312" w:hAnsi="FangSong_GB2312" w:eastAsia="FangSong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FangSong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FangSong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FangSong_GB2312" w:hAnsi="Times New Roman" w:eastAsia="FangSong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FangSong_GB2312" w:hAnsi="仿宋" w:eastAsia="FangSong_GB2312" w:cs="FangSong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4"/>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FangSong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FangSong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FangSong_GB2312" w:eastAsia="微软雅黑"/>
      <w:b/>
      <w:kern w:val="2"/>
      <w:sz w:val="32"/>
      <w:szCs w:val="32"/>
      <w:lang w:val="en-US" w:eastAsia="zh-CN" w:bidi="ar-SA"/>
    </w:rPr>
  </w:style>
  <w:style w:type="character" w:customStyle="1" w:styleId="200">
    <w:name w:val="文档结构图 Char1"/>
    <w:link w:val="21"/>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FangSong_GB2312" w:hAnsi="仿宋" w:eastAsia="FangSong_GB2312" w:cs="FangSong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9"/>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FangSong_GB2312" w:eastAsia="FangSong_GB2312"/>
      <w:b/>
      <w:bCs/>
      <w:kern w:val="2"/>
      <w:sz w:val="24"/>
      <w:szCs w:val="24"/>
      <w:lang w:val="zh-CN" w:eastAsia="zh-CN" w:bidi="ar-SA"/>
    </w:rPr>
  </w:style>
  <w:style w:type="character" w:customStyle="1" w:styleId="227">
    <w:name w:val="题注 Char"/>
    <w:link w:val="19"/>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FangSong_GB2312" w:eastAsia="FangSong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FangSong_GB2312" w:eastAsia="FangSong_GB2312" w:cs="FangSong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FangSong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FangSong_GB2312" w:eastAsia="FangSong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FangSong_GB2312" w:hAnsi="FangSong_GB2312" w:eastAsia="FangSong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FangSong_GB2312" w:eastAsia="FangSong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FangSong_GB2312" w:eastAsia="微软雅黑"/>
      <w:b/>
      <w:kern w:val="2"/>
      <w:sz w:val="23"/>
      <w:szCs w:val="23"/>
      <w:lang w:val="en-US" w:eastAsia="zh-CN" w:bidi="ar-SA"/>
    </w:rPr>
  </w:style>
  <w:style w:type="character" w:customStyle="1" w:styleId="288">
    <w:name w:val="样式8 Char"/>
    <w:autoRedefine/>
    <w:qFormat/>
    <w:uiPriority w:val="0"/>
    <w:rPr>
      <w:rFonts w:ascii="FangSong_GB2312" w:hAnsi="宋体" w:eastAsia="FangSong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10"/>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FangSong_GB2312" w:eastAsia="FangSong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3"/>
    <w:autoRedefine/>
    <w:qFormat/>
    <w:uiPriority w:val="0"/>
    <w:rPr>
      <w:rFonts w:ascii="FangSong_GB2312" w:eastAsia="FangSong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9"/>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2"/>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9"/>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4"/>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FangSong_GB2312" w:eastAsia="FangSong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FangSong_GB2312" w:hAnsi="Courier New" w:eastAsia="FangSong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autoRedefine/>
    <w:qFormat/>
    <w:uiPriority w:val="0"/>
    <w:rPr>
      <w:kern w:val="2"/>
      <w:sz w:val="21"/>
      <w:szCs w:val="24"/>
    </w:rPr>
  </w:style>
  <w:style w:type="character" w:customStyle="1" w:styleId="343">
    <w:name w:val="签名 Char"/>
    <w:link w:val="43"/>
    <w:autoRedefine/>
    <w:qFormat/>
    <w:uiPriority w:val="0"/>
    <w:rPr>
      <w:rFonts w:eastAsia="FangSong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FangSong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FangSong_GB2312" w:eastAsia="FangSong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FangSong_GB2312" w:eastAsia="FangSong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FangSong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FangSong_GB2312" w:eastAsia="FangSong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FangSong_GB2312" w:eastAsia="FangSong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FangSong_GB2312" w:eastAsia="FangSong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FangSong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8"/>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FangSong_GB2312" w:eastAsia="FangSong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FangSong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FangSong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FangSong_GB2312" w:eastAsia="FangSong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FangSong_GB2312" w:eastAsia="FangSong_GB2312"/>
      <w:b/>
      <w:sz w:val="32"/>
      <w:szCs w:val="32"/>
    </w:rPr>
  </w:style>
  <w:style w:type="paragraph" w:customStyle="1" w:styleId="494">
    <w:name w:val="数字标题3"/>
    <w:basedOn w:val="7"/>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10"/>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FangSong_GB2312" w:eastAsia="FangSong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FangSong_GB2312" w:eastAsia="FangSong_GB2312"/>
      <w:b/>
      <w:sz w:val="32"/>
      <w:szCs w:val="32"/>
    </w:rPr>
  </w:style>
  <w:style w:type="paragraph" w:customStyle="1" w:styleId="501">
    <w:name w:val="Char2 Char Char Char1"/>
    <w:basedOn w:val="1"/>
    <w:autoRedefine/>
    <w:qFormat/>
    <w:uiPriority w:val="6"/>
    <w:rPr>
      <w:rFonts w:ascii="FangSong_GB2312" w:eastAsia="FangSong_GB2312"/>
      <w:b/>
      <w:sz w:val="32"/>
      <w:szCs w:val="32"/>
    </w:rPr>
  </w:style>
  <w:style w:type="paragraph" w:customStyle="1" w:styleId="502">
    <w:name w:val="默认段落样式"/>
    <w:basedOn w:val="129"/>
    <w:autoRedefine/>
    <w:qFormat/>
    <w:uiPriority w:val="0"/>
    <w:pPr>
      <w:spacing w:before="0"/>
      <w:ind w:firstLine="480"/>
      <w:outlineLvl w:val="2"/>
    </w:pPr>
    <w:rPr>
      <w:rFonts w:ascii="FangSong_GB2312" w:hAnsi="宋体" w:eastAsia="FangSong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FangSong_GB2312" w:eastAsia="FangSong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FangSong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FangSong_GB2312" w:eastAsia="FangSong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FangSong_GB2312" w:eastAsia="FangSong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FangSong_GB2312" w:eastAsia="FangSong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FangSong_GB2312" w:eastAsia="FangSong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FangSong_GB2312" w:hAnsi="宋体" w:eastAsia="FangSong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FangSong_GB2312" w:eastAsia="FangSong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FangSong_GB2312" w:eastAsia="FangSong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5"/>
    <w:autoRedefine/>
    <w:qFormat/>
    <w:uiPriority w:val="0"/>
    <w:pPr>
      <w:tabs>
        <w:tab w:val="left" w:pos="840"/>
      </w:tabs>
      <w:adjustRightInd/>
      <w:ind w:left="840" w:hanging="420"/>
    </w:pPr>
  </w:style>
  <w:style w:type="paragraph" w:customStyle="1" w:styleId="623">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9"/>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FangSong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FangSong_GB2312" w:eastAsia="FangSong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FangSong_GB2312" w:eastAsia="FangSong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FangSong_GB2312" w:eastAsia="FangSong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FangSong_GB2312" w:eastAsia="FangSong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8">
    <w:name w:val="_Style 5"/>
    <w:basedOn w:val="1"/>
    <w:autoRedefine/>
    <w:qFormat/>
    <w:uiPriority w:val="34"/>
    <w:pPr>
      <w:adjustRightInd/>
      <w:ind w:firstLine="420" w:firstLineChars="200"/>
    </w:pPr>
    <w:rPr>
      <w:rFonts w:eastAsia="FangSong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FangSong_GB2312" w:eastAsia="FangSong_GB2312"/>
      <w:b/>
      <w:sz w:val="32"/>
      <w:szCs w:val="32"/>
    </w:rPr>
  </w:style>
  <w:style w:type="paragraph" w:customStyle="1" w:styleId="783">
    <w:name w:val="Char111"/>
    <w:basedOn w:val="1"/>
    <w:autoRedefine/>
    <w:qFormat/>
    <w:uiPriority w:val="0"/>
    <w:rPr>
      <w:rFonts w:ascii="FangSong_GB2312" w:eastAsia="FangSong_GB2312"/>
      <w:b/>
      <w:sz w:val="32"/>
      <w:szCs w:val="32"/>
    </w:rPr>
  </w:style>
  <w:style w:type="paragraph" w:customStyle="1" w:styleId="784">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FangSong_GB2312" w:eastAsia="FangSong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FangSong_GB2312" w:eastAsia="FangSong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FangSong_GB2312" w:eastAsia="FangSong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FangSong_GB2312"/>
      <w:sz w:val="24"/>
      <w:szCs w:val="20"/>
    </w:rPr>
  </w:style>
  <w:style w:type="paragraph" w:customStyle="1" w:styleId="837">
    <w:name w:val="正文1"/>
    <w:basedOn w:val="33"/>
    <w:autoRedefine/>
    <w:qFormat/>
    <w:uiPriority w:val="0"/>
    <w:pPr>
      <w:ind w:left="0" w:leftChars="0" w:firstLine="480" w:firstLineChars="200"/>
    </w:pPr>
    <w:rPr>
      <w:rFonts w:ascii="FangSong_GB2312" w:hAnsi="Courier New" w:eastAsia="FangSong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FangSong_GB2312" w:eastAsia="FangSong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FangSong_GB2312" w:eastAsia="FangSong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FangSong_GB2312" w:eastAsia="FangSong_GB2312"/>
      <w:b/>
      <w:sz w:val="32"/>
      <w:szCs w:val="32"/>
    </w:rPr>
  </w:style>
  <w:style w:type="paragraph" w:customStyle="1" w:styleId="854">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FangSong_GB2312"/>
      <w:sz w:val="28"/>
    </w:rPr>
  </w:style>
  <w:style w:type="paragraph" w:customStyle="1" w:styleId="858">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FangSong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1"/>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FangSong_GB2312" w:eastAsia="FangSong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8">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FangSong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autoRedefine/>
    <w:qFormat/>
    <w:uiPriority w:val="0"/>
    <w:pPr>
      <w:tabs>
        <w:tab w:val="left" w:pos="1080"/>
      </w:tabs>
      <w:ind w:left="1080" w:hanging="1080"/>
    </w:pPr>
  </w:style>
  <w:style w:type="paragraph" w:customStyle="1" w:styleId="894">
    <w:name w:val="数字标题1"/>
    <w:basedOn w:val="5"/>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FangSong_GB2312"/>
      <w:sz w:val="28"/>
    </w:rPr>
  </w:style>
  <w:style w:type="paragraph" w:customStyle="1" w:styleId="90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autoRedefine/>
    <w:qFormat/>
    <w:uiPriority w:val="34"/>
    <w:pPr>
      <w:adjustRightInd/>
      <w:ind w:firstLine="420" w:firstLineChars="200"/>
    </w:pPr>
    <w:rPr>
      <w:rFonts w:eastAsia="FangSong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FangSong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正文"/>
    <w:basedOn w:val="1"/>
    <w:autoRedefine/>
    <w:qFormat/>
    <w:uiPriority w:val="0"/>
    <w:pPr>
      <w:adjustRightInd/>
      <w:spacing w:line="360" w:lineRule="auto"/>
      <w:ind w:firstLine="200" w:firstLineChars="200"/>
    </w:pPr>
    <w:rPr>
      <w:rFonts w:ascii="Arial" w:hAnsi="Arial"/>
      <w:szCs w:val="21"/>
    </w:rPr>
  </w:style>
  <w:style w:type="character" w:customStyle="1" w:styleId="962">
    <w:name w:val="普通(网站) Char"/>
    <w:link w:val="58"/>
    <w:autoRedefine/>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11F8B-0F5D-41CF-B7CC-4271D833C8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33041</Words>
  <Characters>35197</Characters>
  <Lines>269</Lines>
  <Paragraphs>75</Paragraphs>
  <TotalTime>13</TotalTime>
  <ScaleCrop>false</ScaleCrop>
  <LinksUpToDate>false</LinksUpToDate>
  <CharactersWithSpaces>36442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开心妈咪</cp:lastModifiedBy>
  <cp:lastPrinted>2024-05-22T09:28:00Z</cp:lastPrinted>
  <dcterms:modified xsi:type="dcterms:W3CDTF">2024-06-05T08:53:18Z</dcterms:modified>
  <dc:title>杭州市市民卡扩大发卡工程</dc:title>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