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7E3993E5">
      <w:pPr>
        <w:adjustRightInd/>
        <w:spacing w:line="360" w:lineRule="auto"/>
        <w:jc w:val="both"/>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2025年塘栖镇镇区市政养护项目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ZJZFCG-YS2025-00</w:t>
      </w:r>
      <w:r>
        <w:rPr>
          <w:rFonts w:hint="eastAsia" w:ascii="宋体" w:hAnsi="宋体" w:cs="宋体"/>
          <w:color w:val="auto"/>
          <w:sz w:val="30"/>
          <w:szCs w:val="30"/>
          <w:highlight w:val="none"/>
          <w:lang w:val="en-US" w:eastAsia="zh-CN"/>
        </w:rPr>
        <w:t>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1327148E">
      <w:pPr>
        <w:pStyle w:val="2"/>
        <w:rPr>
          <w:rFonts w:ascii="宋体" w:hAnsi="宋体" w:cs="宋体"/>
          <w:color w:val="auto"/>
          <w:sz w:val="24"/>
          <w:highlight w:val="none"/>
        </w:rPr>
      </w:pPr>
    </w:p>
    <w:p w14:paraId="175DE7A7">
      <w:pPr>
        <w:pStyle w:val="3"/>
      </w:pPr>
    </w:p>
    <w:p w14:paraId="667F289F">
      <w:pPr>
        <w:pStyle w:val="79"/>
      </w:pPr>
    </w:p>
    <w:p w14:paraId="72941B48">
      <w:pPr>
        <w:spacing w:line="36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 杭州市临平区塘栖镇人民政府</w:t>
      </w:r>
    </w:p>
    <w:p w14:paraId="5A03CB9F">
      <w:pPr>
        <w:spacing w:line="360" w:lineRule="auto"/>
        <w:jc w:val="center"/>
        <w:rPr>
          <w:rFonts w:hint="eastAsia" w:ascii="宋体" w:hAnsi="宋体" w:cs="宋体"/>
          <w:bCs/>
          <w:color w:val="auto"/>
          <w:sz w:val="32"/>
          <w:szCs w:val="32"/>
          <w:highlight w:val="none"/>
          <w:lang w:eastAsia="zh-CN"/>
        </w:rPr>
      </w:pP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lang w:eastAsia="zh-CN"/>
        </w:rPr>
        <w:t>杭州永圣工程咨询代理有限公司</w:t>
      </w:r>
    </w:p>
    <w:p w14:paraId="48E09584">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 xml:space="preserve"> 四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十一 </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2025年塘栖镇镇区市政养护项目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ECD45F3">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 ZJZFCG-YS2025-00</w:t>
      </w:r>
      <w:r>
        <w:rPr>
          <w:rFonts w:hint="eastAsia" w:ascii="宋体" w:hAnsi="宋体" w:cs="宋体"/>
          <w:color w:val="auto"/>
          <w:sz w:val="24"/>
          <w:highlight w:val="none"/>
          <w:lang w:val="en-US" w:eastAsia="zh-CN"/>
        </w:rPr>
        <w:t>3</w:t>
      </w:r>
    </w:p>
    <w:p w14:paraId="0312DF7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2025年塘栖镇镇区市政养护项目 </w:t>
      </w:r>
    </w:p>
    <w:p w14:paraId="5620B1E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eastAsia="zh-CN"/>
        </w:rPr>
        <w:t>：</w:t>
      </w:r>
      <w:r>
        <w:rPr>
          <w:rFonts w:hint="eastAsia" w:ascii="宋体" w:hAnsi="宋体" w:cs="宋体"/>
          <w:b/>
          <w:bCs/>
          <w:color w:val="auto"/>
          <w:sz w:val="24"/>
          <w:highlight w:val="none"/>
          <w:lang w:val="en-US" w:eastAsia="zh-CN"/>
        </w:rPr>
        <w:t>3900000</w:t>
      </w:r>
    </w:p>
    <w:p w14:paraId="4D4FD9C6">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bCs/>
          <w:color w:val="auto"/>
          <w:sz w:val="24"/>
          <w:highlight w:val="none"/>
          <w:lang w:val="en-US" w:eastAsia="zh-CN"/>
        </w:rPr>
        <w:t>3900000</w:t>
      </w:r>
    </w:p>
    <w:p w14:paraId="690909A6">
      <w:pPr>
        <w:pStyle w:val="840"/>
        <w:ind w:left="0" w:leftChars="0" w:firstLine="482" w:firstLineChars="200"/>
        <w:rPr>
          <w:rFonts w:hAnsi="宋体" w:cs="宋体"/>
          <w:bCs/>
          <w:snapToGrid/>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采购需求：为了设施修复、绿化提升、解除市政设施安全隐患，确保道路平整、排水畅通、桥梁安全、设施完善、绿化美观。</w:t>
      </w:r>
      <w:r>
        <w:rPr>
          <w:rFonts w:hint="eastAsia" w:ascii="宋体" w:hAnsi="宋体" w:eastAsia="宋体" w:cs="宋体"/>
          <w:color w:val="auto"/>
          <w:kern w:val="2"/>
          <w:sz w:val="24"/>
          <w:szCs w:val="24"/>
          <w:highlight w:val="none"/>
          <w:lang w:val="en-US" w:eastAsia="zh-CN" w:bidi="ar-SA"/>
        </w:rPr>
        <w:t>具体以招标文件第三部分采购需求为准，供应商可点击本公告下方“浏览采购文件”查看采购需求</w:t>
      </w:r>
      <w:r>
        <w:rPr>
          <w:rFonts w:hint="eastAsia" w:ascii="宋体" w:hAnsi="宋体" w:eastAsia="宋体" w:cs="宋体"/>
          <w:color w:val="auto"/>
          <w:kern w:val="2"/>
          <w:sz w:val="24"/>
          <w:szCs w:val="24"/>
          <w:highlight w:val="none"/>
        </w:rPr>
        <w:t>。</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r>
        <w:rPr>
          <w:rFonts w:ascii="宋体" w:hAnsi="宋体" w:cs="宋体"/>
          <w:color w:val="auto"/>
          <w:highlight w:val="none"/>
        </w:rPr>
        <w:t xml:space="preserve"> </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78A2B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w:t>
      </w:r>
      <w:bookmarkStart w:id="530" w:name="_GoBack"/>
      <w:r>
        <w:rPr>
          <w:rFonts w:ascii="宋体" w:hAnsi="宋体" w:cs="宋体"/>
          <w:color w:val="auto"/>
          <w:sz w:val="24"/>
          <w:highlight w:val="none"/>
        </w:rPr>
        <w:t>月</w:t>
      </w:r>
      <w:bookmarkEnd w:id="530"/>
      <w:r>
        <w:rPr>
          <w:rFonts w:ascii="宋体" w:hAnsi="宋体" w:cs="宋体"/>
          <w:color w:val="auto"/>
          <w:sz w:val="24"/>
          <w:highlight w:val="none"/>
        </w:rPr>
        <w:t>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CB378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名    称：（采购人）杭州市临平区塘栖镇人民政府</w:t>
      </w:r>
    </w:p>
    <w:p w14:paraId="381F76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杭州市临平区塘栖镇人民路300号</w:t>
      </w:r>
    </w:p>
    <w:p w14:paraId="64AE2E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744F6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项目联系人（询问）：沈强   </w:t>
      </w:r>
    </w:p>
    <w:p w14:paraId="2B75FC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项目联系方式（询问）：0571-86316620 </w:t>
      </w:r>
    </w:p>
    <w:p w14:paraId="062CCA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质疑联系人：陈佳</w:t>
      </w:r>
    </w:p>
    <w:p w14:paraId="728B9C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质疑联系方式：0571-89026959 </w:t>
      </w:r>
    </w:p>
    <w:p w14:paraId="442E2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489B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称：（采购代理机构）杭州永圣工程咨询代理有限公司</w:t>
      </w:r>
    </w:p>
    <w:p w14:paraId="458867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址：杭州市临平区塘栖镇运溪路113号电商大楼507室 </w:t>
      </w:r>
    </w:p>
    <w:p w14:paraId="382A2F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79230E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胡丹     </w:t>
      </w:r>
    </w:p>
    <w:p w14:paraId="4B1A07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项目联系方式（询问）：13805796510 </w:t>
      </w:r>
    </w:p>
    <w:p w14:paraId="6FBC54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质疑联系人：宋启超           </w:t>
      </w:r>
    </w:p>
    <w:p w14:paraId="4170D410">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质疑联系方式：13588366887</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2"/>
                <w:sz w:val="24"/>
                <w:szCs w:val="20"/>
                <w:highlight w:val="none"/>
                <w:u w:val="single"/>
                <w:lang w:val="en-US" w:eastAsia="zh-CN" w:bidi="ar-SA"/>
              </w:rPr>
              <w:t>2025年塘栖镇镇区市政养护项目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b/>
                <w:color w:val="auto"/>
                <w:sz w:val="24"/>
                <w:szCs w:val="20"/>
                <w:highlight w:val="none"/>
                <w:u w:val="single"/>
                <w:lang w:val="en-US"/>
              </w:rPr>
              <w:t>属</w:t>
            </w:r>
            <w:r>
              <w:rPr>
                <w:rFonts w:hint="eastAsia" w:ascii="宋体" w:hAnsi="宋体" w:eastAsia="宋体" w:cs="宋体"/>
                <w:b/>
                <w:color w:val="auto"/>
                <w:sz w:val="24"/>
                <w:szCs w:val="20"/>
                <w:highlight w:val="none"/>
                <w:u w:val="single"/>
                <w:lang w:val="en-US" w:eastAsia="zh-CN"/>
              </w:rPr>
              <w:t>于其他未列明行业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bCs/>
                <w:i w:val="0"/>
                <w:iCs w:val="0"/>
                <w:caps w:val="0"/>
                <w:color w:val="000000"/>
                <w:spacing w:val="0"/>
                <w:sz w:val="24"/>
                <w:szCs w:val="24"/>
                <w:shd w:val="clear" w:fill="FFFFFF"/>
              </w:rPr>
              <w:t>其他未列明行业。</w:t>
            </w:r>
            <w:r>
              <w:rPr>
                <w:rFonts w:hint="eastAsia" w:ascii="宋体" w:hAnsi="宋体" w:eastAsia="宋体" w:cs="宋体"/>
                <w:i w:val="0"/>
                <w:iCs w:val="0"/>
                <w:caps w:val="0"/>
                <w:color w:val="000000"/>
                <w:spacing w:val="0"/>
                <w:sz w:val="24"/>
                <w:szCs w:val="24"/>
                <w:shd w:val="clear" w:fill="FFFFFF"/>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snapToGrid w:val="0"/>
                <w:color w:val="auto"/>
                <w:kern w:val="28"/>
                <w:sz w:val="24"/>
                <w:szCs w:val="24"/>
                <w:highlight w:val="none"/>
                <w:u w:val="single"/>
                <w:lang w:val="en-US" w:eastAsia="zh-CN" w:bidi="ar-SA"/>
              </w:rPr>
              <w:t>杭州市临平区塘栖镇运溪路113号电商大楼507室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eastAsia="宋体" w:cs="宋体"/>
                <w:snapToGrid w:val="0"/>
                <w:color w:val="auto"/>
                <w:kern w:val="28"/>
                <w:sz w:val="24"/>
                <w:szCs w:val="24"/>
                <w:highlight w:val="none"/>
                <w:u w:val="single"/>
                <w:lang w:val="en-US" w:eastAsia="zh-CN" w:bidi="ar-SA"/>
              </w:rPr>
              <w:t>13588366887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0"/>
                <w:highlight w:val="none"/>
              </w:rPr>
              <w:t>中标人在领取中标通知书时需向招标代理机构</w:t>
            </w:r>
            <w:r>
              <w:rPr>
                <w:rFonts w:hint="eastAsia" w:ascii="宋体" w:hAnsi="宋体" w:eastAsia="宋体" w:cs="宋体"/>
                <w:color w:val="auto"/>
                <w:sz w:val="24"/>
                <w:szCs w:val="20"/>
                <w:highlight w:val="none"/>
                <w:lang w:eastAsia="zh-CN"/>
              </w:rPr>
              <w:t>支付</w:t>
            </w:r>
            <w:r>
              <w:rPr>
                <w:rFonts w:hint="eastAsia" w:ascii="宋体" w:hAnsi="宋体" w:eastAsia="宋体" w:cs="宋体"/>
                <w:color w:val="auto"/>
                <w:sz w:val="24"/>
                <w:szCs w:val="20"/>
                <w:highlight w:val="none"/>
              </w:rPr>
              <w:t>代理服务费，代理服务费代理服务费按照国家计委印发的《招标代理服务收费管理暂行办法》计价格[2002]1980号、发改办价格[2003]857号规定进行收费</w:t>
            </w:r>
            <w:r>
              <w:rPr>
                <w:rFonts w:hint="eastAsia" w:ascii="宋体" w:hAnsi="宋体" w:eastAsia="宋体" w:cs="宋体"/>
                <w:color w:val="auto"/>
                <w:sz w:val="24"/>
                <w:szCs w:val="20"/>
                <w:highlight w:val="none"/>
                <w:lang w:val="en-US" w:eastAsia="zh-CN"/>
              </w:rPr>
              <w:t>，结合本项目的</w:t>
            </w:r>
            <w:r>
              <w:rPr>
                <w:rFonts w:hint="eastAsia" w:ascii="宋体" w:hAnsi="宋体" w:eastAsia="宋体" w:cs="宋体"/>
                <w:b w:val="0"/>
                <w:bCs w:val="0"/>
                <w:color w:val="auto"/>
                <w:sz w:val="24"/>
                <w:szCs w:val="20"/>
                <w:highlight w:val="none"/>
                <w:lang w:val="en-US" w:eastAsia="zh-CN"/>
              </w:rPr>
              <w:t>预算价格</w:t>
            </w:r>
            <w:r>
              <w:rPr>
                <w:rFonts w:hint="eastAsia" w:ascii="宋体" w:hAnsi="宋体" w:eastAsia="宋体" w:cs="宋体"/>
                <w:color w:val="auto"/>
                <w:sz w:val="24"/>
                <w:szCs w:val="20"/>
                <w:highlight w:val="none"/>
                <w:lang w:val="en-US" w:eastAsia="zh-CN"/>
              </w:rPr>
              <w:t>计取</w:t>
            </w:r>
            <w:r>
              <w:rPr>
                <w:rFonts w:hint="eastAsia" w:ascii="宋体" w:hAnsi="宋体" w:eastAsia="宋体" w:cs="宋体"/>
                <w:color w:val="auto"/>
                <w:sz w:val="24"/>
                <w:szCs w:val="20"/>
                <w:highlight w:val="none"/>
              </w:rPr>
              <w:t>，费用包含在总报价中，不单独列项报价。</w:t>
            </w:r>
          </w:p>
        </w:tc>
      </w:tr>
    </w:tbl>
    <w:p w14:paraId="1969C939">
      <w:pPr>
        <w:snapToGrid w:val="0"/>
        <w:spacing w:line="360" w:lineRule="auto"/>
        <w:jc w:val="center"/>
        <w:rPr>
          <w:rFonts w:ascii="宋体" w:hAnsi="宋体" w:cs="宋体"/>
          <w:b/>
          <w:color w:val="auto"/>
          <w:sz w:val="32"/>
          <w:szCs w:val="20"/>
          <w:highlight w:val="none"/>
        </w:rPr>
      </w:pPr>
    </w:p>
    <w:bookmarkEnd w:id="10"/>
    <w:p w14:paraId="58592451">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5439EECB">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5C0603A">
      <w:pPr>
        <w:pStyle w:val="131"/>
        <w:snapToGrid w:val="0"/>
        <w:spacing w:before="0" w:after="120"/>
        <w:ind w:firstLine="480"/>
        <w:rPr>
          <w:rFonts w:hint="eastAsia" w:ascii="宋体" w:hAnsi="宋体" w:cs="宋体"/>
          <w:color w:val="auto"/>
          <w:highlight w:val="none"/>
        </w:rPr>
      </w:pPr>
      <w:r>
        <w:rPr>
          <w:rFonts w:hint="eastAsia" w:ascii="宋体" w:hAnsi="宋体" w:eastAsia="宋体" w:cs="宋体"/>
          <w:b/>
          <w:bCs/>
          <w:color w:val="auto"/>
          <w:highlight w:val="none"/>
          <w:lang w:val="en-US" w:eastAsia="zh-CN"/>
        </w:rPr>
        <w:t>25.6合同签订依据为相关法律法规文件、招标文件、乙方投标文件等，合同条款有与前者冲突的，以前者为准。</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拟签订的合同文本要求中标供应商提交履约保证金的，供应商应当以金融机构、担保机构出具的保函提交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17F1CBFA">
      <w:pPr>
        <w:snapToGrid w:val="0"/>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本项目按季度支付费用，不支持预付款。</w:t>
      </w:r>
    </w:p>
    <w:p w14:paraId="3B9AF8D8">
      <w:pPr>
        <w:pStyle w:val="2"/>
        <w:rPr>
          <w:rFonts w:hint="default"/>
          <w:lang w:val="en-US" w:eastAsia="zh-CN"/>
        </w:rPr>
      </w:pPr>
      <w:r>
        <w:rPr>
          <w:rFonts w:hint="eastAsia"/>
          <w:lang w:val="en-US" w:eastAsia="zh-CN"/>
        </w:rPr>
        <w:t>货物/服务费用阶段支付比例：最终经塘栖镇根据政府采购法等相关规定审核通过的合同相应条款为准。</w:t>
      </w:r>
    </w:p>
    <w:p w14:paraId="0063DC66">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68072998"/>
      <w:bookmarkEnd w:id="17"/>
      <w:bookmarkStart w:id="18" w:name="_Hlt75236101"/>
      <w:bookmarkEnd w:id="18"/>
      <w:bookmarkStart w:id="19" w:name="_Hlt74729768"/>
      <w:bookmarkEnd w:id="19"/>
      <w:bookmarkStart w:id="20" w:name="_Hlt74730295"/>
      <w:bookmarkEnd w:id="20"/>
      <w:bookmarkStart w:id="21" w:name="_Hlt74707468"/>
      <w:bookmarkEnd w:id="21"/>
      <w:bookmarkStart w:id="22" w:name="_Hlt68057669"/>
      <w:bookmarkEnd w:id="22"/>
      <w:bookmarkStart w:id="23" w:name="_Hlt68072990"/>
      <w:bookmarkEnd w:id="23"/>
      <w:bookmarkStart w:id="24" w:name="_Hlt75236290"/>
      <w:bookmarkEnd w:id="24"/>
      <w:bookmarkStart w:id="25" w:name="_Hlt74714665"/>
      <w:bookmarkEnd w:id="25"/>
      <w:bookmarkStart w:id="26" w:name="_Hlt68073093"/>
      <w:bookmarkEnd w:id="26"/>
    </w:p>
    <w:bookmarkEnd w:id="11"/>
    <w:bookmarkEnd w:id="12"/>
    <w:p w14:paraId="35F085A3">
      <w:pPr>
        <w:pStyle w:val="4"/>
        <w:spacing w:line="240" w:lineRule="auto"/>
        <w:jc w:val="center"/>
        <w:rPr>
          <w:rFonts w:hint="eastAsia"/>
          <w:highlight w:val="none"/>
        </w:rPr>
      </w:pPr>
      <w:bookmarkStart w:id="27" w:name="_Toc9521"/>
      <w:bookmarkStart w:id="28" w:name="第四部分"/>
      <w:r>
        <w:rPr>
          <w:rFonts w:hint="eastAsia"/>
          <w:highlight w:val="none"/>
        </w:rPr>
        <w:t>第三部分 采购需求</w:t>
      </w:r>
      <w:bookmarkEnd w:id="27"/>
    </w:p>
    <w:p w14:paraId="56C67364">
      <w:pPr>
        <w:pStyle w:val="5"/>
        <w:numPr>
          <w:ilvl w:val="0"/>
          <w:numId w:val="1"/>
        </w:numPr>
        <w:spacing w:line="360" w:lineRule="auto"/>
        <w:rPr>
          <w:rFonts w:hint="eastAsia" w:ascii="宋体" w:hAnsi="宋体" w:eastAsia="宋体" w:cs="宋体"/>
          <w:b w:val="0"/>
          <w:bCs w:val="0"/>
          <w:color w:val="auto"/>
          <w:kern w:val="2"/>
          <w:sz w:val="24"/>
          <w:szCs w:val="24"/>
          <w:highlight w:val="none"/>
          <w:lang w:val="en-US" w:eastAsia="zh-CN" w:bidi="ar-SA"/>
        </w:rPr>
      </w:pPr>
      <w:bookmarkStart w:id="29" w:name="_Toc384033606"/>
      <w:bookmarkStart w:id="30" w:name="_Toc204483585"/>
      <w:bookmarkStart w:id="31" w:name="_Toc236047431"/>
      <w:bookmarkStart w:id="32" w:name="_Toc294777238"/>
      <w:r>
        <w:rPr>
          <w:rFonts w:hint="eastAsia" w:ascii="宋体" w:hAnsi="宋体" w:eastAsia="宋体" w:cs="宋体"/>
          <w:color w:val="auto"/>
          <w:sz w:val="24"/>
          <w:szCs w:val="24"/>
          <w:highlight w:val="none"/>
          <w:lang w:val="en-US" w:eastAsia="zh-CN"/>
        </w:rPr>
        <w:t>项目概况</w:t>
      </w:r>
      <w:bookmarkEnd w:id="29"/>
      <w:bookmarkEnd w:id="30"/>
      <w:bookmarkEnd w:id="31"/>
      <w:bookmarkEnd w:id="32"/>
    </w:p>
    <w:p w14:paraId="69267BEA">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为了设施修复、绿化提升、解除市政设施安全隐患，确保道路平整、排水畅通、桥梁安全、设施完善、绿化美观。</w:t>
      </w:r>
    </w:p>
    <w:p w14:paraId="1FF1F5B6">
      <w:pPr>
        <w:pStyle w:val="5"/>
        <w:numPr>
          <w:ilvl w:val="0"/>
          <w:numId w:val="1"/>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采购范围、内容</w:t>
      </w:r>
    </w:p>
    <w:p w14:paraId="0F96737D">
      <w:pPr>
        <w:tabs>
          <w:tab w:val="left" w:pos="0"/>
        </w:tabs>
        <w:spacing w:line="360" w:lineRule="auto"/>
        <w:ind w:firstLine="48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塘栖镇区包括</w:t>
      </w:r>
      <w:r>
        <w:rPr>
          <w:rFonts w:hint="eastAsia" w:ascii="宋体" w:hAnsi="宋体" w:eastAsia="宋体" w:cs="宋体"/>
          <w:b/>
          <w:bCs/>
          <w:color w:val="auto"/>
          <w:kern w:val="0"/>
          <w:sz w:val="24"/>
          <w:szCs w:val="24"/>
          <w:highlight w:val="none"/>
          <w:lang w:val="en-US" w:eastAsia="zh-CN"/>
        </w:rPr>
        <w:t>鼎盛街、绿荫街、重阳路、人民路、西小河街、东小河街、致和堂路、景河路、里仁路、圆满路、广济路、仓桥路、圣堂漾路、塘栖路、文苑路、石目路、西界河路、北小河街、东仁路等路段的道路，包含路面、桥梁、排水设施、标志牌及安防设施</w:t>
      </w:r>
      <w:r>
        <w:rPr>
          <w:rFonts w:hint="eastAsia" w:ascii="宋体" w:hAnsi="宋体" w:cs="宋体"/>
          <w:b/>
          <w:bCs/>
          <w:color w:val="auto"/>
          <w:kern w:val="0"/>
          <w:sz w:val="24"/>
          <w:szCs w:val="24"/>
          <w:highlight w:val="none"/>
          <w:lang w:val="en-US" w:eastAsia="zh-CN"/>
        </w:rPr>
        <w:t>、照明设施提升改造</w:t>
      </w:r>
      <w:r>
        <w:rPr>
          <w:rFonts w:hint="eastAsia" w:ascii="宋体" w:hAnsi="宋体" w:eastAsia="宋体" w:cs="宋体"/>
          <w:b/>
          <w:bCs/>
          <w:color w:val="auto"/>
          <w:kern w:val="0"/>
          <w:sz w:val="24"/>
          <w:szCs w:val="24"/>
          <w:highlight w:val="none"/>
          <w:lang w:val="en-US" w:eastAsia="zh-CN"/>
        </w:rPr>
        <w:t>等；道路养护142700平方米；侧平石28560米；人行道养护57090平方米；雨污水管道养护28550米</w:t>
      </w:r>
      <w:r>
        <w:rPr>
          <w:rFonts w:hint="eastAsia" w:ascii="宋体" w:hAnsi="宋体" w:cs="宋体"/>
          <w:b/>
          <w:bCs/>
          <w:color w:val="auto"/>
          <w:kern w:val="0"/>
          <w:sz w:val="24"/>
          <w:szCs w:val="24"/>
          <w:highlight w:val="none"/>
          <w:lang w:val="en-US" w:eastAsia="zh-CN"/>
        </w:rPr>
        <w:t>。</w:t>
      </w:r>
    </w:p>
    <w:p w14:paraId="26432D83">
      <w:pPr>
        <w:pStyle w:val="5"/>
        <w:numPr>
          <w:ilvl w:val="0"/>
          <w:numId w:val="1"/>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履行期限：</w:t>
      </w:r>
    </w:p>
    <w:p w14:paraId="0EAEC2D0">
      <w:pPr>
        <w:spacing w:line="360" w:lineRule="auto"/>
        <w:ind w:firstLine="482" w:firstLineChars="200"/>
        <w:rPr>
          <w:rFonts w:hint="default"/>
          <w:sz w:val="24"/>
          <w:szCs w:val="24"/>
          <w:highlight w:val="none"/>
          <w:u w:val="none"/>
          <w:lang w:val="en-US" w:eastAsia="zh-CN"/>
        </w:rPr>
      </w:pPr>
      <w:r>
        <w:rPr>
          <w:rFonts w:hint="eastAsia" w:ascii="宋体" w:hAnsi="宋体" w:cs="宋体"/>
          <w:b/>
          <w:bCs/>
          <w:color w:val="auto"/>
          <w:sz w:val="24"/>
          <w:szCs w:val="24"/>
          <w:highlight w:val="none"/>
          <w:u w:val="none"/>
          <w:lang w:val="en-US" w:eastAsia="zh-CN"/>
        </w:rPr>
        <w:t>服务期</w:t>
      </w:r>
      <w:r>
        <w:rPr>
          <w:rFonts w:hint="eastAsia" w:ascii="宋体" w:hAnsi="宋体" w:cs="宋体"/>
          <w:b/>
          <w:color w:val="auto"/>
          <w:sz w:val="24"/>
          <w:szCs w:val="24"/>
          <w:highlight w:val="none"/>
          <w:u w:val="none"/>
          <w:lang w:val="en-US" w:eastAsia="zh-CN"/>
        </w:rPr>
        <w:t>1年。</w:t>
      </w:r>
    </w:p>
    <w:p w14:paraId="34F4B0EB">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主要养护工作（包括但不限于）</w:t>
      </w:r>
    </w:p>
    <w:p w14:paraId="2805DE40">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小修总包：路基路面养护（如沥青路面灌缝、坑洞修补，边沟清理养护，公路挡墙、护栏、人行道板、里程碑、百米桩等设施养护）,确保路基路面完好、平整，路肩、边坡稳定，侧平石完好平整，对路面病害、坑洞及时修复（发现或雨止后24小时内，出现不利天气时，必须采取措施确保通行安全）。</w:t>
      </w:r>
    </w:p>
    <w:p w14:paraId="16EBCD36">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排水设施养护（涵洞、边沟、排水沟、截水沟、窨井、雨水篦子、排水管道等）：确保排水畅通、无堵塞现象，结构物完好。排水管渠（含暗渠、明渠）养护疏通频率要求：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w:t>
      </w:r>
    </w:p>
    <w:p w14:paraId="1C464579">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3、每年完成不少于30%的雨水管网检测工作，并做好相应检测报告的留存。养护单位要做好每季度清淤台账。</w:t>
      </w:r>
    </w:p>
    <w:p w14:paraId="303D1B5B">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项目团队人员要求</w:t>
      </w:r>
    </w:p>
    <w:p w14:paraId="7CCAF71C">
      <w:pPr>
        <w:numPr>
          <w:ilvl w:val="0"/>
          <w:numId w:val="0"/>
        </w:numPr>
        <w:spacing w:line="360" w:lineRule="auto"/>
        <w:ind w:firstLine="480" w:firstLineChars="200"/>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中标人必须成立养护班组平均每天养护专业人员不得少于</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人。巡查人员</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人，每天应急常驻人员不得少于</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人，若没达到，在日常养护巡查费里酌情扣除</w:t>
      </w:r>
      <w:r>
        <w:rPr>
          <w:rFonts w:hint="eastAsia" w:ascii="宋体" w:hAnsi="宋体" w:cs="宋体"/>
          <w:b w:val="0"/>
          <w:bCs w:val="0"/>
          <w:color w:val="auto"/>
          <w:sz w:val="24"/>
          <w:szCs w:val="24"/>
          <w:highlight w:val="none"/>
          <w:lang w:val="en-US" w:eastAsia="zh-CN"/>
        </w:rPr>
        <w:t>。</w:t>
      </w:r>
    </w:p>
    <w:p w14:paraId="0858077A">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中标人必须做好相关工作人员安全，文明的教育交底工作，交通安全、用电安全尤其是道路安全隐患（比如道路坑洞、井盖缺失或破损）的排查工作，如发生安全意外事故，一切责任由中标单位负责，负责做好赔偿事宜。</w:t>
      </w:r>
    </w:p>
    <w:p w14:paraId="1BD73166">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道路养护巡查每次至少两个人，交通工具视具体情况而定，鼓励自行车或步行为主，及时发现问题，涉及安全事宜，应立即采取措施，清除安全隐患，事后及时报告，若巡查不到位，造成不良影响的，每次罚款2000元。</w:t>
      </w:r>
    </w:p>
    <w:p w14:paraId="31488ADB">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养护人员需统一服装，并有相应上岗证，在道路上养护时，需做好用电安全、交通安全维护，如有需要须经交警部门审批后方可实施。</w:t>
      </w:r>
    </w:p>
    <w:p w14:paraId="033C2328">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服务配套设备及车辆</w:t>
      </w:r>
    </w:p>
    <w:p w14:paraId="03331766">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1、投标人应具有市政道路设施养护所需</w:t>
      </w:r>
      <w:r>
        <w:rPr>
          <w:rFonts w:hint="eastAsia" w:ascii="宋体" w:hAnsi="宋体" w:cs="宋体"/>
          <w:b w:val="0"/>
          <w:bCs w:val="0"/>
          <w:color w:val="auto"/>
          <w:sz w:val="24"/>
          <w:szCs w:val="24"/>
          <w:highlight w:val="none"/>
          <w:lang w:val="en-US" w:eastAsia="zh-CN"/>
        </w:rPr>
        <w:t>塘栖镇</w:t>
      </w:r>
      <w:r>
        <w:rPr>
          <w:rFonts w:hint="eastAsia" w:ascii="宋体" w:hAnsi="宋体" w:eastAsia="宋体" w:cs="宋体"/>
          <w:b w:val="0"/>
          <w:bCs w:val="0"/>
          <w:color w:val="auto"/>
          <w:sz w:val="24"/>
          <w:szCs w:val="24"/>
          <w:highlight w:val="none"/>
          <w:lang w:val="en-US" w:eastAsia="zh-CN"/>
        </w:rPr>
        <w:t>内的固定办公与仓库场所。</w:t>
      </w:r>
    </w:p>
    <w:p w14:paraId="1C578E80">
      <w:pPr>
        <w:numPr>
          <w:ilvl w:val="0"/>
          <w:numId w:val="0"/>
        </w:numPr>
        <w:spacing w:line="360" w:lineRule="auto"/>
        <w:ind w:leftChars="0" w:firstLine="480" w:firstLineChars="200"/>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、投标人中标后，需配备专门养护车辆，必须有道路养护车辆购置发票以确保该处道路养护车辆使用得到保证（包括运行费用、保险等）均由中标人承担</w:t>
      </w:r>
      <w:r>
        <w:rPr>
          <w:rFonts w:hint="eastAsia" w:ascii="宋体" w:hAnsi="宋体" w:cs="宋体"/>
          <w:b w:val="0"/>
          <w:bCs w:val="0"/>
          <w:color w:val="auto"/>
          <w:sz w:val="24"/>
          <w:szCs w:val="24"/>
          <w:highlight w:val="none"/>
          <w:lang w:val="en-US" w:eastAsia="zh-CN"/>
        </w:rPr>
        <w:t>。</w:t>
      </w:r>
    </w:p>
    <w:p w14:paraId="01FBE5DB">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、本项目养护设备配备排水泵规格为配备不少于150立方米/小时。</w:t>
      </w:r>
    </w:p>
    <w:p w14:paraId="42055EEE">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p w14:paraId="03541BA4">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1、在养护过程中，采购人若在该区域有新接收的市政道路设施，有权要求承包人无条件养护，养护工作量按实计算。</w:t>
      </w:r>
    </w:p>
    <w:p w14:paraId="25E1B2E7">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2、养护期限内，明确承包人只有养护权，没有管理权，市政道路设施管理由城市管理服务中心全权管理。</w:t>
      </w:r>
    </w:p>
    <w:p w14:paraId="28C895ED">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投标人中标后，采购人与中标人签订安全生产责任书，责任书中明确提出，在养护期间所发生的任何安全事故一律由承包人负责，采购人不承担任何责任。采购人会定期对安全生产进行检查，万一出现安全事故，采购人有义务帮助承包人协调解决。</w:t>
      </w:r>
    </w:p>
    <w:p w14:paraId="05B0CFDB">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4、施工养护期间，对于原市政道路设施存在的问题，承包人负有担负调查，分析原因和提出整改方案的义务，具体更换或维修由采购人统一安排。</w:t>
      </w:r>
    </w:p>
    <w:p w14:paraId="7F8CB1E2">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5、若市政道路砼、水稳、沥青砼路面存在外观欠佳、平整度差、表面松散等情况，招标人有权决定是否返工处理，投标人必须无条件接受。</w:t>
      </w:r>
    </w:p>
    <w:p w14:paraId="2E25BE3C">
      <w:pPr>
        <w:numPr>
          <w:ilvl w:val="0"/>
          <w:numId w:val="0"/>
        </w:numPr>
        <w:spacing w:line="360" w:lineRule="auto"/>
        <w:ind w:leftChars="0" w:firstLine="480" w:firstLineChars="200"/>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6、养护期间若有新的相关政策，中标人需无条件服从并执行。</w:t>
      </w:r>
    </w:p>
    <w:p w14:paraId="1B5F6A89">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道路市政养护规范</w:t>
      </w:r>
    </w:p>
    <w:p w14:paraId="0FEA7C4B">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《城镇道路养护技术规范》（CJJ36-2016）</w:t>
      </w:r>
    </w:p>
    <w:p w14:paraId="3E392578">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《沥青路面施工及验收规范》（GB50092-96）</w:t>
      </w:r>
    </w:p>
    <w:p w14:paraId="4D092B0A">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《杭州市城市道路管理养护技术要求(试行)》（杭城管〔2011〕37号）</w:t>
      </w:r>
    </w:p>
    <w:p w14:paraId="24F7A2CF">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《杭州市城市道路市政养护技术规程》（CJS-02-2000）</w:t>
      </w:r>
    </w:p>
    <w:p w14:paraId="1E238F07">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《城市桥梁养护标准》（CJJ99-2017）</w:t>
      </w:r>
    </w:p>
    <w:p w14:paraId="0DCE9232">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《城市桥梁检测和养护维修管理办法》（建设部2003年118号令）</w:t>
      </w:r>
    </w:p>
    <w:p w14:paraId="6D7E8D00">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《杭州市城市桥梁养护技术规程》（CJS-03-2000）</w:t>
      </w:r>
    </w:p>
    <w:p w14:paraId="79C41561">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《杭州市市政设施管理条例》</w:t>
      </w:r>
    </w:p>
    <w:p w14:paraId="1A5EE4EC">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《城市道路杆件及标识整合技术规范》（DB3301/T 0232—2018）</w:t>
      </w:r>
    </w:p>
    <w:p w14:paraId="2ABB7BD6">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《关于进一步加强道路、河道养护及环卫保洁作业设备管理的通知》（杭城管委〔2018〕255号）</w:t>
      </w:r>
    </w:p>
    <w:p w14:paraId="5C41D3FE">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《道路交通指示标识英文译写规范》（DB3301T0170-2016）</w:t>
      </w:r>
    </w:p>
    <w:p w14:paraId="4658E77E">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《关于印发2021年度各区县（市）政府（管委会）城市管理考核相关评分细则的通知（杭城管综执联办〔2021〕3号）》</w:t>
      </w:r>
    </w:p>
    <w:p w14:paraId="2EF7C0C5">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关于印发《杭州市区城市道路路面技术状况检测方案》的通知（杭城管委﹝2016﹞292号）</w:t>
      </w:r>
    </w:p>
    <w:p w14:paraId="02C4CE59">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《城市道路养护规范》（DB3301/T0012-2013）</w:t>
      </w:r>
    </w:p>
    <w:p w14:paraId="7B670211">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关于印发《杭州市城市道路市政检查井提升改造通用图》的通知（杭城管委〔2015〕149号）</w:t>
      </w:r>
    </w:p>
    <w:p w14:paraId="0F531655">
      <w:pPr>
        <w:pStyle w:val="7"/>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关于进一步加强临时占用挖掘城市道路批后监管的通知（杭城管委〔2015〕207号）</w:t>
      </w:r>
    </w:p>
    <w:p w14:paraId="350F3B9B">
      <w:pPr>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《建筑与市政工程无障碍通用规范》（GB55019-2021）</w:t>
      </w:r>
    </w:p>
    <w:p w14:paraId="7ECAD9BD">
      <w:pPr>
        <w:numPr>
          <w:ilvl w:val="0"/>
          <w:numId w:val="2"/>
        </w:numPr>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《杭州市市政设施无障碍环境提升改善工作指南》（杭城管知 (2023)11号）</w:t>
      </w:r>
    </w:p>
    <w:p w14:paraId="1AF71565">
      <w:pPr>
        <w:numPr>
          <w:ilvl w:val="0"/>
          <w:numId w:val="2"/>
        </w:numPr>
        <w:spacing w:line="360" w:lineRule="auto"/>
        <w:ind w:firstLine="42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《城市照明设施养护维修服务标准》（DB3301T0165-2018 ）</w:t>
      </w:r>
    </w:p>
    <w:p w14:paraId="57154550">
      <w:pPr>
        <w:pStyle w:val="7"/>
        <w:spacing w:line="360" w:lineRule="auto"/>
        <w:ind w:firstLine="480" w:firstLineChars="2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注：如市、区相应规范标准有更新，按照最新版本执行。</w:t>
      </w:r>
    </w:p>
    <w:p w14:paraId="424EF89B">
      <w:pPr>
        <w:pStyle w:val="5"/>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项目考核</w:t>
      </w:r>
    </w:p>
    <w:p w14:paraId="757B9D04">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中标人根据养护考核办法定期对养护质量进行考核，实行月度考核、季度结算的形式，由3个月的月度得分均值算出季度得分。季度得分低于90分的，当季结算金额扣减10%；季度得分低于80分的，当季结算金额扣减20%；季度考核分低于60分的，当季费用不予结算；1年中连续2个月度或者累计3个月度核分数低于60分的，采购人有权直接清退中标方。</w:t>
      </w:r>
    </w:p>
    <w:p w14:paraId="2DD390D2">
      <w:pPr>
        <w:numPr>
          <w:ilvl w:val="0"/>
          <w:numId w:val="0"/>
        </w:num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本养护项目考核评分细则中的内容，也作为本项目招标的特殊条款，为招标文件的组成部分，作为中标后养护管理的考核标准，养护期内，招标人有权修改、完善、提升养护考核细则，更新的养护细则中标人须无条件接受。</w:t>
      </w:r>
    </w:p>
    <w:p w14:paraId="0EC2B93B">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养护单位若被发现数字城管不及时导致扣分，应急响应不及时，整改不到位等情况每次罚款2000元，累计三次以上取消该年度的养护评优资格，养护期内，招标人有权制定处罚细则，对养护单位管养不力的情况采取相应的处罚措施和罚款，养护单位应无条件接受。</w:t>
      </w:r>
    </w:p>
    <w:p w14:paraId="21672A76">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.考核扣款：</w:t>
      </w:r>
    </w:p>
    <w:p w14:paraId="3C3D0B0D">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.1、根据市级检查采纳的环卫类行业问题进行扣款，市级1000元/每件，区级500元/每件；</w:t>
      </w:r>
    </w:p>
    <w:p w14:paraId="5CE61495">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.2、区城市管理领导小组办公室每月组织养护项目“红黑榜”评比，黑榜标段每次扣款1万元；</w:t>
      </w:r>
    </w:p>
    <w:p w14:paraId="341BE239">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.3、根据</w:t>
      </w:r>
      <w:r>
        <w:rPr>
          <w:rFonts w:hint="eastAsia" w:ascii="宋体" w:hAnsi="宋体" w:cs="宋体"/>
          <w:b w:val="0"/>
          <w:bCs w:val="0"/>
          <w:color w:val="auto"/>
          <w:sz w:val="24"/>
          <w:szCs w:val="24"/>
          <w:highlight w:val="none"/>
          <w:lang w:val="en-US" w:eastAsia="zh-CN"/>
        </w:rPr>
        <w:t>区级</w:t>
      </w:r>
      <w:r>
        <w:rPr>
          <w:rFonts w:hint="eastAsia" w:ascii="宋体" w:hAnsi="宋体" w:eastAsia="宋体" w:cs="宋体"/>
          <w:b w:val="0"/>
          <w:bCs w:val="0"/>
          <w:color w:val="auto"/>
          <w:sz w:val="24"/>
          <w:szCs w:val="24"/>
          <w:highlight w:val="none"/>
          <w:lang w:val="en-US" w:eastAsia="zh-CN"/>
        </w:rPr>
        <w:t>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74CBBBE1">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.4、标准落实：</w:t>
      </w:r>
    </w:p>
    <w:p w14:paraId="03D49A47">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在日常养护过程中，经查实作业人员、作业设备未达到投标文件约定的，人员每少1%或设备每少1台的应扣除总合同价的1%；作业遍次未达到要求的，每次扣0.5万元 </w:t>
      </w:r>
    </w:p>
    <w:p w14:paraId="0DEA1CA9">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.5、清退机制</w:t>
      </w:r>
    </w:p>
    <w:p w14:paraId="7C3B630C">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0256D15D">
      <w:pPr>
        <w:rPr>
          <w:rFonts w:hint="eastAsia" w:ascii="宋体" w:hAnsi="宋体" w:eastAsia="宋体" w:cs="宋体"/>
          <w:b/>
          <w:bCs/>
          <w:sz w:val="21"/>
          <w:szCs w:val="21"/>
          <w:highlight w:val="none"/>
          <w:lang w:val="en-US" w:eastAsia="zh-CN"/>
        </w:rPr>
      </w:pPr>
    </w:p>
    <w:p w14:paraId="78ECD635">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附：考核办法</w:t>
      </w:r>
    </w:p>
    <w:p w14:paraId="3F58B08B">
      <w:pPr>
        <w:numPr>
          <w:ilvl w:val="-1"/>
          <w:numId w:val="0"/>
        </w:numPr>
        <w:spacing w:line="360" w:lineRule="auto"/>
        <w:ind w:firstLine="422" w:firstLineChars="200"/>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rPr>
        <w:t>市政</w:t>
      </w:r>
      <w:r>
        <w:rPr>
          <w:rFonts w:hint="eastAsia" w:ascii="宋体" w:hAnsi="宋体" w:eastAsia="宋体" w:cs="宋体"/>
          <w:b/>
          <w:bCs/>
          <w:sz w:val="21"/>
          <w:szCs w:val="21"/>
          <w:highlight w:val="none"/>
          <w:lang w:eastAsia="zh-CN"/>
        </w:rPr>
        <w:t>养护考核</w:t>
      </w:r>
      <w:r>
        <w:rPr>
          <w:rFonts w:hint="eastAsia" w:ascii="宋体" w:hAnsi="宋体" w:eastAsia="宋体" w:cs="宋体"/>
          <w:b/>
          <w:bCs/>
          <w:sz w:val="21"/>
          <w:szCs w:val="21"/>
          <w:highlight w:val="none"/>
        </w:rPr>
        <w:t>评分细则</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参照</w:t>
      </w:r>
      <w:r>
        <w:rPr>
          <w:rFonts w:hint="eastAsia" w:ascii="宋体" w:hAnsi="宋体" w:cs="宋体"/>
          <w:b/>
          <w:bCs/>
          <w:sz w:val="21"/>
          <w:szCs w:val="21"/>
          <w:highlight w:val="none"/>
          <w:lang w:eastAsia="zh-CN"/>
        </w:rPr>
        <w:t>）</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556"/>
        <w:gridCol w:w="756"/>
      </w:tblGrid>
      <w:tr w14:paraId="5D96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14:paraId="441753A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6556" w:type="dxa"/>
            <w:noWrap w:val="0"/>
            <w:vAlign w:val="center"/>
          </w:tcPr>
          <w:p w14:paraId="59A0C2C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56" w:type="dxa"/>
            <w:noWrap w:val="0"/>
            <w:vAlign w:val="center"/>
          </w:tcPr>
          <w:p w14:paraId="5033152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考核分数</w:t>
            </w:r>
          </w:p>
        </w:tc>
      </w:tr>
      <w:tr w14:paraId="4B2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14:paraId="1F512AA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日常养护</w:t>
            </w:r>
          </w:p>
          <w:p w14:paraId="5723D1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p w14:paraId="363F7C6C">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2FFAD7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车行道</w:t>
            </w:r>
            <w:r>
              <w:rPr>
                <w:rFonts w:hint="eastAsia" w:ascii="宋体" w:hAnsi="宋体" w:eastAsia="宋体" w:cs="宋体"/>
                <w:color w:val="auto"/>
                <w:sz w:val="21"/>
                <w:szCs w:val="21"/>
                <w:highlight w:val="none"/>
              </w:rPr>
              <w:t>养护</w:t>
            </w:r>
          </w:p>
          <w:p w14:paraId="5B27630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6556" w:type="dxa"/>
            <w:noWrap w:val="0"/>
            <w:vAlign w:val="center"/>
          </w:tcPr>
          <w:p w14:paraId="52BBA6A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裂缝1米以内每处扣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1米以上每处扣1分；</w:t>
            </w:r>
          </w:p>
          <w:p w14:paraId="6B1725F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破损、网裂</w:t>
            </w:r>
            <w:r>
              <w:rPr>
                <w:rFonts w:hint="eastAsia" w:ascii="宋体" w:hAnsi="宋体" w:eastAsia="宋体" w:cs="宋体"/>
                <w:color w:val="auto"/>
                <w:sz w:val="21"/>
                <w:szCs w:val="21"/>
                <w:highlight w:val="none"/>
                <w:lang w:eastAsia="zh-CN"/>
              </w:rPr>
              <w:t>、碎裂、</w:t>
            </w:r>
            <w:r>
              <w:rPr>
                <w:rFonts w:hint="eastAsia" w:ascii="宋体" w:hAnsi="宋体" w:eastAsia="宋体" w:cs="宋体"/>
                <w:color w:val="auto"/>
                <w:sz w:val="21"/>
                <w:szCs w:val="21"/>
                <w:highlight w:val="none"/>
              </w:rPr>
              <w:t>坑洞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下沉</w:t>
            </w:r>
            <w:r>
              <w:rPr>
                <w:rFonts w:hint="eastAsia" w:ascii="宋体" w:hAnsi="宋体" w:eastAsia="宋体" w:cs="宋体"/>
                <w:color w:val="auto"/>
                <w:sz w:val="21"/>
                <w:szCs w:val="21"/>
                <w:highlight w:val="none"/>
                <w:lang w:eastAsia="zh-CN"/>
              </w:rPr>
              <w:t>、凸起等，</w:t>
            </w:r>
            <w:r>
              <w:rPr>
                <w:rFonts w:hint="eastAsia" w:ascii="宋体" w:hAnsi="宋体" w:eastAsia="宋体" w:cs="宋体"/>
                <w:color w:val="auto"/>
                <w:sz w:val="21"/>
                <w:szCs w:val="21"/>
                <w:highlight w:val="none"/>
              </w:rPr>
              <w:t>1平方米以内</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至2</w:t>
            </w:r>
            <w:r>
              <w:rPr>
                <w:rFonts w:hint="eastAsia" w:ascii="宋体" w:hAnsi="宋体" w:eastAsia="宋体" w:cs="宋体"/>
                <w:color w:val="auto"/>
                <w:sz w:val="21"/>
                <w:szCs w:val="21"/>
                <w:highlight w:val="none"/>
              </w:rPr>
              <w:t>平方米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平方米以</w:t>
            </w:r>
            <w:r>
              <w:rPr>
                <w:rFonts w:hint="eastAsia" w:ascii="宋体" w:hAnsi="宋体" w:eastAsia="宋体" w:cs="宋体"/>
                <w:color w:val="auto"/>
                <w:sz w:val="21"/>
                <w:szCs w:val="21"/>
                <w:highlight w:val="none"/>
                <w:lang w:eastAsia="zh-CN"/>
              </w:rPr>
              <w:t>上每处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96D2E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沥青修复接茬处高差大于</w:t>
            </w:r>
            <w:r>
              <w:rPr>
                <w:rFonts w:hint="eastAsia" w:ascii="宋体" w:hAnsi="宋体" w:eastAsia="宋体" w:cs="宋体"/>
                <w:color w:val="auto"/>
                <w:sz w:val="21"/>
                <w:szCs w:val="21"/>
                <w:highlight w:val="none"/>
                <w:lang w:val="en-US" w:eastAsia="zh-CN"/>
              </w:rPr>
              <w:t>5mm</w:t>
            </w:r>
            <w:r>
              <w:rPr>
                <w:rFonts w:hint="eastAsia" w:ascii="宋体" w:hAnsi="宋体" w:eastAsia="宋体" w:cs="宋体"/>
                <w:color w:val="auto"/>
                <w:sz w:val="21"/>
                <w:szCs w:val="21"/>
                <w:highlight w:val="none"/>
                <w:lang w:eastAsia="zh-CN"/>
              </w:rPr>
              <w:t>、未封边的</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3B81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检查井盖、雨水篦子破损</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路面</w:t>
            </w:r>
            <w:r>
              <w:rPr>
                <w:rFonts w:hint="eastAsia" w:ascii="宋体" w:hAnsi="宋体" w:eastAsia="宋体" w:cs="宋体"/>
                <w:color w:val="auto"/>
                <w:sz w:val="21"/>
                <w:szCs w:val="21"/>
                <w:highlight w:val="none"/>
              </w:rPr>
              <w:t>高差</w:t>
            </w:r>
            <w:r>
              <w:rPr>
                <w:rFonts w:hint="eastAsia" w:ascii="宋体" w:hAnsi="宋体" w:eastAsia="宋体" w:cs="宋体"/>
                <w:color w:val="auto"/>
                <w:sz w:val="21"/>
                <w:szCs w:val="21"/>
                <w:highlight w:val="none"/>
                <w:lang w:eastAsia="zh-CN"/>
              </w:rPr>
              <w:t>大于</w:t>
            </w:r>
            <w:r>
              <w:rPr>
                <w:rFonts w:hint="eastAsia" w:ascii="宋体" w:hAnsi="宋体" w:eastAsia="宋体" w:cs="宋体"/>
                <w:color w:val="auto"/>
                <w:sz w:val="21"/>
                <w:szCs w:val="21"/>
                <w:highlight w:val="none"/>
                <w:lang w:val="en-US" w:eastAsia="zh-CN"/>
              </w:rPr>
              <w:t>7mm每</w:t>
            </w:r>
            <w:r>
              <w:rPr>
                <w:rFonts w:hint="eastAsia" w:ascii="宋体" w:hAnsi="宋体" w:eastAsia="宋体" w:cs="宋体"/>
                <w:color w:val="auto"/>
                <w:sz w:val="21"/>
                <w:szCs w:val="21"/>
                <w:highlight w:val="none"/>
              </w:rPr>
              <w:t>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7FCCB7BB">
            <w:pPr>
              <w:spacing w:line="360" w:lineRule="auto"/>
              <w:rPr>
                <w:rFonts w:hint="eastAsia" w:ascii="宋体" w:hAnsi="宋体" w:eastAsia="宋体" w:cs="宋体"/>
                <w:color w:val="auto"/>
                <w:sz w:val="21"/>
                <w:szCs w:val="21"/>
                <w:highlight w:val="none"/>
              </w:rPr>
            </w:pPr>
          </w:p>
        </w:tc>
      </w:tr>
      <w:tr w14:paraId="1442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8" w:type="dxa"/>
            <w:vMerge w:val="continue"/>
            <w:noWrap w:val="0"/>
            <w:vAlign w:val="center"/>
          </w:tcPr>
          <w:p w14:paraId="64790B59">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772228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人行道养护</w:t>
            </w:r>
          </w:p>
          <w:p w14:paraId="5ECB2D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15分</w:t>
            </w:r>
          </w:p>
        </w:tc>
        <w:tc>
          <w:tcPr>
            <w:tcW w:w="6556" w:type="dxa"/>
            <w:noWrap w:val="0"/>
            <w:vAlign w:val="center"/>
          </w:tcPr>
          <w:p w14:paraId="242AF9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人行道破损、松动</w:t>
            </w:r>
            <w:r>
              <w:rPr>
                <w:rFonts w:hint="eastAsia" w:ascii="宋体" w:hAnsi="宋体" w:eastAsia="宋体" w:cs="宋体"/>
                <w:color w:val="auto"/>
                <w:sz w:val="21"/>
                <w:szCs w:val="21"/>
                <w:highlight w:val="none"/>
                <w:lang w:eastAsia="zh-CN"/>
              </w:rPr>
              <w:t>、沉降，</w:t>
            </w:r>
            <w:r>
              <w:rPr>
                <w:rFonts w:hint="eastAsia" w:ascii="宋体" w:hAnsi="宋体" w:eastAsia="宋体" w:cs="宋体"/>
                <w:color w:val="auto"/>
                <w:sz w:val="21"/>
                <w:szCs w:val="21"/>
                <w:highlight w:val="none"/>
              </w:rPr>
              <w:t>1平方米以内</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至2</w:t>
            </w:r>
            <w:r>
              <w:rPr>
                <w:rFonts w:hint="eastAsia" w:ascii="宋体" w:hAnsi="宋体" w:eastAsia="宋体" w:cs="宋体"/>
                <w:color w:val="auto"/>
                <w:sz w:val="21"/>
                <w:szCs w:val="21"/>
                <w:highlight w:val="none"/>
              </w:rPr>
              <w:t>平方米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平方米以</w:t>
            </w:r>
            <w:r>
              <w:rPr>
                <w:rFonts w:hint="eastAsia" w:ascii="宋体" w:hAnsi="宋体" w:eastAsia="宋体" w:cs="宋体"/>
                <w:color w:val="auto"/>
                <w:sz w:val="21"/>
                <w:szCs w:val="21"/>
                <w:highlight w:val="none"/>
                <w:lang w:eastAsia="zh-CN"/>
              </w:rPr>
              <w:t>上每处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8DA2C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平侧石破损缺失每处扣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，接坡每处扣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；无障碍设施不规范每处扣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B9444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井盖破损</w:t>
            </w:r>
            <w:r>
              <w:rPr>
                <w:rFonts w:hint="eastAsia" w:ascii="宋体" w:hAnsi="宋体" w:eastAsia="宋体" w:cs="宋体"/>
                <w:color w:val="auto"/>
                <w:sz w:val="21"/>
                <w:szCs w:val="21"/>
                <w:highlight w:val="none"/>
                <w:lang w:eastAsia="zh-CN"/>
              </w:rPr>
              <w:t>或沉降，</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2ADCF166">
            <w:pPr>
              <w:spacing w:line="360" w:lineRule="auto"/>
              <w:rPr>
                <w:rFonts w:hint="eastAsia" w:ascii="宋体" w:hAnsi="宋体" w:eastAsia="宋体" w:cs="宋体"/>
                <w:color w:val="auto"/>
                <w:sz w:val="21"/>
                <w:szCs w:val="21"/>
                <w:highlight w:val="none"/>
              </w:rPr>
            </w:pPr>
          </w:p>
        </w:tc>
      </w:tr>
      <w:tr w14:paraId="2814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14:paraId="30500D41">
            <w:pPr>
              <w:spacing w:line="360" w:lineRule="auto"/>
              <w:jc w:val="center"/>
              <w:rPr>
                <w:rFonts w:hint="eastAsia" w:ascii="宋体" w:hAnsi="宋体" w:eastAsia="宋体" w:cs="宋体"/>
                <w:color w:val="auto"/>
                <w:sz w:val="21"/>
                <w:szCs w:val="21"/>
                <w:highlight w:val="none"/>
              </w:rPr>
            </w:pPr>
          </w:p>
        </w:tc>
        <w:tc>
          <w:tcPr>
            <w:tcW w:w="920" w:type="dxa"/>
            <w:vMerge w:val="restart"/>
            <w:noWrap w:val="0"/>
            <w:vAlign w:val="center"/>
          </w:tcPr>
          <w:p w14:paraId="6A40AA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桥梁</w:t>
            </w:r>
            <w:r>
              <w:rPr>
                <w:rFonts w:hint="eastAsia" w:ascii="宋体" w:hAnsi="宋体" w:eastAsia="宋体" w:cs="宋体"/>
                <w:color w:val="auto"/>
                <w:sz w:val="21"/>
                <w:szCs w:val="21"/>
                <w:highlight w:val="none"/>
                <w:lang w:eastAsia="zh-CN"/>
              </w:rPr>
              <w:t>隧道</w:t>
            </w:r>
            <w:r>
              <w:rPr>
                <w:rFonts w:hint="eastAsia" w:ascii="宋体" w:hAnsi="宋体" w:eastAsia="宋体" w:cs="宋体"/>
                <w:color w:val="auto"/>
                <w:sz w:val="21"/>
                <w:szCs w:val="21"/>
                <w:highlight w:val="none"/>
              </w:rPr>
              <w:t>养护</w:t>
            </w:r>
          </w:p>
          <w:p w14:paraId="715948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10分</w:t>
            </w:r>
          </w:p>
        </w:tc>
        <w:tc>
          <w:tcPr>
            <w:tcW w:w="6556" w:type="dxa"/>
            <w:noWrap w:val="0"/>
            <w:vAlign w:val="center"/>
          </w:tcPr>
          <w:p w14:paraId="7CC66A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桥面裂缝、坑槽、破损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伸缩缝破损、支座破损锈蚀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等每处扣3分</w:t>
            </w:r>
            <w:r>
              <w:rPr>
                <w:rFonts w:hint="eastAsia" w:ascii="宋体" w:hAnsi="宋体" w:eastAsia="宋体" w:cs="宋体"/>
                <w:color w:val="auto"/>
                <w:sz w:val="21"/>
                <w:szCs w:val="21"/>
                <w:highlight w:val="none"/>
                <w:lang w:eastAsia="zh-CN"/>
              </w:rPr>
              <w:t>；存在桥头跳车的每处扣</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墩台墙柱开裂每处扣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分，基础下沉扣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 基础位移扣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56" w:type="dxa"/>
            <w:noWrap w:val="0"/>
            <w:vAlign w:val="center"/>
          </w:tcPr>
          <w:p w14:paraId="3E7985D0">
            <w:pPr>
              <w:spacing w:line="360" w:lineRule="auto"/>
              <w:rPr>
                <w:rFonts w:hint="eastAsia" w:ascii="宋体" w:hAnsi="宋体" w:eastAsia="宋体" w:cs="宋体"/>
                <w:color w:val="auto"/>
                <w:sz w:val="21"/>
                <w:szCs w:val="21"/>
                <w:highlight w:val="none"/>
              </w:rPr>
            </w:pPr>
          </w:p>
        </w:tc>
      </w:tr>
      <w:tr w14:paraId="1DF1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14:paraId="3EAE6AE5">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75B3A82C">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05E7E3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栏杆破损、</w:t>
            </w:r>
            <w:r>
              <w:rPr>
                <w:rFonts w:hint="eastAsia" w:ascii="宋体" w:hAnsi="宋体" w:eastAsia="宋体" w:cs="宋体"/>
                <w:color w:val="auto"/>
                <w:sz w:val="21"/>
                <w:szCs w:val="21"/>
                <w:highlight w:val="none"/>
                <w:lang w:eastAsia="zh-CN"/>
              </w:rPr>
              <w:t>松动，</w:t>
            </w:r>
            <w:r>
              <w:rPr>
                <w:rFonts w:hint="eastAsia" w:ascii="宋体" w:hAnsi="宋体" w:eastAsia="宋体" w:cs="宋体"/>
                <w:color w:val="auto"/>
                <w:sz w:val="21"/>
                <w:szCs w:val="21"/>
                <w:highlight w:val="none"/>
              </w:rPr>
              <w:t>排水设施堵塞、破损</w:t>
            </w:r>
            <w:r>
              <w:rPr>
                <w:rFonts w:hint="eastAsia" w:ascii="宋体" w:hAnsi="宋体" w:eastAsia="宋体" w:cs="宋体"/>
                <w:color w:val="auto"/>
                <w:sz w:val="21"/>
                <w:szCs w:val="21"/>
                <w:highlight w:val="none"/>
                <w:lang w:eastAsia="zh-CN"/>
              </w:rPr>
              <w:t>，挡</w:t>
            </w:r>
            <w:r>
              <w:rPr>
                <w:rFonts w:hint="eastAsia" w:ascii="宋体" w:hAnsi="宋体" w:eastAsia="宋体" w:cs="宋体"/>
                <w:color w:val="auto"/>
                <w:sz w:val="21"/>
                <w:szCs w:val="21"/>
                <w:highlight w:val="none"/>
              </w:rPr>
              <w:t>墙损坏开裂</w:t>
            </w:r>
            <w:r>
              <w:rPr>
                <w:rFonts w:hint="eastAsia" w:ascii="宋体" w:hAnsi="宋体" w:eastAsia="宋体" w:cs="宋体"/>
                <w:color w:val="auto"/>
                <w:sz w:val="21"/>
                <w:szCs w:val="21"/>
                <w:highlight w:val="none"/>
                <w:lang w:eastAsia="zh-CN"/>
              </w:rPr>
              <w:t>，隔音屏破损等，</w:t>
            </w:r>
            <w:r>
              <w:rPr>
                <w:rFonts w:hint="eastAsia" w:ascii="宋体" w:hAnsi="宋体" w:eastAsia="宋体" w:cs="宋体"/>
                <w:color w:val="auto"/>
                <w:sz w:val="21"/>
                <w:szCs w:val="21"/>
                <w:highlight w:val="none"/>
              </w:rPr>
              <w:t>每处扣2分</w:t>
            </w:r>
            <w:r>
              <w:rPr>
                <w:rFonts w:hint="eastAsia" w:ascii="宋体" w:hAnsi="宋体" w:eastAsia="宋体" w:cs="宋体"/>
                <w:color w:val="auto"/>
                <w:sz w:val="21"/>
                <w:szCs w:val="21"/>
                <w:highlight w:val="none"/>
                <w:lang w:eastAsia="zh-CN"/>
              </w:rPr>
              <w:t>。</w:t>
            </w:r>
          </w:p>
        </w:tc>
        <w:tc>
          <w:tcPr>
            <w:tcW w:w="756" w:type="dxa"/>
            <w:noWrap w:val="0"/>
            <w:vAlign w:val="center"/>
          </w:tcPr>
          <w:p w14:paraId="329D508E">
            <w:pPr>
              <w:spacing w:line="360" w:lineRule="auto"/>
              <w:rPr>
                <w:rFonts w:hint="eastAsia" w:ascii="宋体" w:hAnsi="宋体" w:eastAsia="宋体" w:cs="宋体"/>
                <w:color w:val="auto"/>
                <w:sz w:val="21"/>
                <w:szCs w:val="21"/>
                <w:highlight w:val="none"/>
              </w:rPr>
            </w:pPr>
          </w:p>
        </w:tc>
      </w:tr>
      <w:tr w14:paraId="6ADE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14:paraId="00A17052">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2349055A">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7A644C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隧道结构变形、开裂、渗漏水、剥落等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F945D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隧道照明、供配电、排水、监控、设施故障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；灭火器过期每处扣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eastAsia="zh-CN"/>
              </w:rPr>
              <w:t>设施故障每处扣</w:t>
            </w:r>
            <w:r>
              <w:rPr>
                <w:rFonts w:hint="eastAsia" w:ascii="宋体" w:hAnsi="宋体" w:eastAsia="宋体" w:cs="宋体"/>
                <w:color w:val="auto"/>
                <w:sz w:val="21"/>
                <w:szCs w:val="21"/>
                <w:highlight w:val="none"/>
                <w:lang w:val="en-US" w:eastAsia="zh-CN"/>
              </w:rPr>
              <w:t>10分；</w:t>
            </w:r>
          </w:p>
          <w:p w14:paraId="6FEFB8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管理用房</w:t>
            </w:r>
            <w:r>
              <w:rPr>
                <w:rFonts w:hint="eastAsia" w:ascii="宋体" w:hAnsi="宋体" w:eastAsia="宋体" w:cs="宋体"/>
                <w:color w:val="auto"/>
                <w:sz w:val="21"/>
                <w:szCs w:val="21"/>
                <w:highlight w:val="none"/>
              </w:rPr>
              <w:t>内不整齐，灯具积灰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；防雷设施未设置、或未检测扣</w:t>
            </w:r>
            <w:r>
              <w:rPr>
                <w:rFonts w:hint="eastAsia" w:ascii="宋体" w:hAnsi="宋体" w:eastAsia="宋体" w:cs="宋体"/>
                <w:color w:val="auto"/>
                <w:sz w:val="21"/>
                <w:szCs w:val="21"/>
                <w:highlight w:val="none"/>
                <w:lang w:val="en-US" w:eastAsia="zh-CN"/>
              </w:rPr>
              <w:t>2分。</w:t>
            </w:r>
          </w:p>
        </w:tc>
        <w:tc>
          <w:tcPr>
            <w:tcW w:w="756" w:type="dxa"/>
            <w:noWrap w:val="0"/>
            <w:vAlign w:val="center"/>
          </w:tcPr>
          <w:p w14:paraId="1353E123">
            <w:pPr>
              <w:spacing w:line="360" w:lineRule="auto"/>
              <w:rPr>
                <w:rFonts w:hint="eastAsia" w:ascii="宋体" w:hAnsi="宋体" w:eastAsia="宋体" w:cs="宋体"/>
                <w:color w:val="auto"/>
                <w:sz w:val="21"/>
                <w:szCs w:val="21"/>
                <w:highlight w:val="none"/>
              </w:rPr>
            </w:pPr>
          </w:p>
        </w:tc>
      </w:tr>
      <w:tr w14:paraId="7A4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14:paraId="6EA46BC5">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2A459A65">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09760D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桥隧名牌、</w:t>
            </w:r>
            <w:r>
              <w:rPr>
                <w:rFonts w:hint="eastAsia" w:ascii="宋体" w:hAnsi="宋体" w:eastAsia="宋体" w:cs="宋体"/>
                <w:color w:val="auto"/>
                <w:sz w:val="21"/>
                <w:szCs w:val="21"/>
                <w:highlight w:val="none"/>
              </w:rPr>
              <w:t>限载牌、限高牌缺失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破损每处扣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47160C02">
            <w:pPr>
              <w:spacing w:line="360" w:lineRule="auto"/>
              <w:rPr>
                <w:rFonts w:hint="eastAsia" w:ascii="宋体" w:hAnsi="宋体" w:eastAsia="宋体" w:cs="宋体"/>
                <w:color w:val="auto"/>
                <w:sz w:val="21"/>
                <w:szCs w:val="21"/>
                <w:highlight w:val="none"/>
              </w:rPr>
            </w:pPr>
          </w:p>
        </w:tc>
      </w:tr>
      <w:tr w14:paraId="6D8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14:paraId="39D192AF">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100AECC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排水设施</w:t>
            </w:r>
            <w:r>
              <w:rPr>
                <w:rFonts w:hint="eastAsia" w:ascii="宋体" w:hAnsi="宋体" w:eastAsia="宋体" w:cs="宋体"/>
                <w:color w:val="auto"/>
                <w:sz w:val="21"/>
                <w:szCs w:val="21"/>
                <w:highlight w:val="none"/>
                <w:lang w:eastAsia="zh-CN"/>
              </w:rPr>
              <w:t>养护</w:t>
            </w:r>
          </w:p>
          <w:p w14:paraId="5D11E48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10分</w:t>
            </w:r>
          </w:p>
        </w:tc>
        <w:tc>
          <w:tcPr>
            <w:tcW w:w="6556" w:type="dxa"/>
            <w:noWrap w:val="0"/>
            <w:vAlign w:val="center"/>
          </w:tcPr>
          <w:p w14:paraId="008592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管网堵塞每处扣2分；严重积泥每处扣2分；</w:t>
            </w:r>
            <w:r>
              <w:rPr>
                <w:rFonts w:hint="eastAsia" w:ascii="宋体" w:hAnsi="宋体" w:eastAsia="宋体" w:cs="宋体"/>
                <w:color w:val="auto"/>
                <w:sz w:val="21"/>
                <w:szCs w:val="21"/>
                <w:highlight w:val="none"/>
                <w:lang w:eastAsia="zh-CN"/>
              </w:rPr>
              <w:t>未及时清淤造成积水的，积水</w:t>
            </w:r>
            <w:r>
              <w:rPr>
                <w:rFonts w:hint="eastAsia" w:ascii="宋体" w:hAnsi="宋体" w:eastAsia="宋体" w:cs="宋体"/>
                <w:color w:val="auto"/>
                <w:sz w:val="21"/>
                <w:szCs w:val="21"/>
                <w:highlight w:val="none"/>
                <w:lang w:val="en-US" w:eastAsia="zh-CN"/>
              </w:rPr>
              <w:t>面积小于10㎡</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,10㎡至50㎡每处扣5分,面积大于50㎡</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p w14:paraId="075359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未设置</w:t>
            </w:r>
            <w:r>
              <w:rPr>
                <w:rFonts w:hint="eastAsia" w:ascii="宋体" w:hAnsi="宋体" w:eastAsia="宋体" w:cs="宋体"/>
                <w:color w:val="auto"/>
                <w:sz w:val="21"/>
                <w:szCs w:val="21"/>
                <w:highlight w:val="none"/>
              </w:rPr>
              <w:t>防坠网的每处扣3分，</w:t>
            </w:r>
            <w:r>
              <w:rPr>
                <w:rFonts w:hint="eastAsia" w:ascii="宋体" w:hAnsi="宋体" w:eastAsia="宋体" w:cs="宋体"/>
                <w:color w:val="auto"/>
                <w:sz w:val="21"/>
                <w:szCs w:val="21"/>
                <w:highlight w:val="none"/>
                <w:lang w:eastAsia="zh-CN"/>
              </w:rPr>
              <w:t>井盖</w:t>
            </w:r>
            <w:r>
              <w:rPr>
                <w:rFonts w:hint="eastAsia" w:ascii="宋体" w:hAnsi="宋体" w:eastAsia="宋体" w:cs="宋体"/>
                <w:color w:val="auto"/>
                <w:sz w:val="21"/>
                <w:szCs w:val="21"/>
                <w:highlight w:val="none"/>
              </w:rPr>
              <w:t>缺失等存在</w:t>
            </w:r>
            <w:r>
              <w:rPr>
                <w:rFonts w:hint="eastAsia" w:ascii="宋体" w:hAnsi="宋体" w:eastAsia="宋体" w:cs="宋体"/>
                <w:color w:val="auto"/>
                <w:sz w:val="21"/>
                <w:szCs w:val="21"/>
                <w:highlight w:val="none"/>
                <w:lang w:eastAsia="zh-CN"/>
              </w:rPr>
              <w:t>严重</w:t>
            </w:r>
            <w:r>
              <w:rPr>
                <w:rFonts w:hint="eastAsia" w:ascii="宋体" w:hAnsi="宋体" w:eastAsia="宋体" w:cs="宋体"/>
                <w:color w:val="auto"/>
                <w:sz w:val="21"/>
                <w:szCs w:val="21"/>
                <w:highlight w:val="none"/>
              </w:rPr>
              <w:t>安全隐患的扣10分</w:t>
            </w:r>
            <w:r>
              <w:rPr>
                <w:rFonts w:hint="eastAsia" w:ascii="宋体" w:hAnsi="宋体" w:eastAsia="宋体" w:cs="宋体"/>
                <w:color w:val="auto"/>
                <w:sz w:val="21"/>
                <w:szCs w:val="21"/>
                <w:highlight w:val="none"/>
                <w:lang w:eastAsia="zh-CN"/>
              </w:rPr>
              <w:t>；</w:t>
            </w:r>
          </w:p>
          <w:p w14:paraId="6CFFFA8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泵站</w:t>
            </w:r>
            <w:r>
              <w:rPr>
                <w:rFonts w:hint="eastAsia" w:ascii="宋体" w:hAnsi="宋体" w:eastAsia="宋体" w:cs="宋体"/>
                <w:color w:val="auto"/>
                <w:sz w:val="21"/>
                <w:szCs w:val="21"/>
                <w:highlight w:val="none"/>
              </w:rPr>
              <w:t>供配电、排水、监控</w:t>
            </w:r>
            <w:r>
              <w:rPr>
                <w:rFonts w:hint="eastAsia" w:ascii="宋体" w:hAnsi="宋体" w:eastAsia="宋体" w:cs="宋体"/>
                <w:color w:val="auto"/>
                <w:sz w:val="21"/>
                <w:szCs w:val="21"/>
                <w:highlight w:val="none"/>
                <w:lang w:eastAsia="zh-CN"/>
              </w:rPr>
              <w:t>等电器</w:t>
            </w:r>
            <w:r>
              <w:rPr>
                <w:rFonts w:hint="eastAsia" w:ascii="宋体" w:hAnsi="宋体" w:eastAsia="宋体" w:cs="宋体"/>
                <w:color w:val="auto"/>
                <w:sz w:val="21"/>
                <w:szCs w:val="21"/>
                <w:highlight w:val="none"/>
              </w:rPr>
              <w:t>设施故障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；灭火器过期每处扣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泵房防雷设施未设置、或未检测扣</w:t>
            </w:r>
            <w:r>
              <w:rPr>
                <w:rFonts w:hint="eastAsia" w:ascii="宋体" w:hAnsi="宋体" w:eastAsia="宋体" w:cs="宋体"/>
                <w:color w:val="auto"/>
                <w:sz w:val="21"/>
                <w:szCs w:val="21"/>
                <w:highlight w:val="none"/>
                <w:lang w:val="en-US" w:eastAsia="zh-CN"/>
              </w:rPr>
              <w:t>2分；监控、道闸、应急电源等“六个一律”未设置到位的，每处扣5分；排水沟、集水井清淤不到位的，每处扣3分。</w:t>
            </w:r>
          </w:p>
        </w:tc>
        <w:tc>
          <w:tcPr>
            <w:tcW w:w="756" w:type="dxa"/>
            <w:noWrap w:val="0"/>
            <w:vAlign w:val="center"/>
          </w:tcPr>
          <w:p w14:paraId="74A476A7">
            <w:pPr>
              <w:spacing w:line="360" w:lineRule="auto"/>
              <w:rPr>
                <w:rFonts w:hint="eastAsia" w:ascii="宋体" w:hAnsi="宋体" w:eastAsia="宋体" w:cs="宋体"/>
                <w:color w:val="auto"/>
                <w:sz w:val="21"/>
                <w:szCs w:val="21"/>
                <w:highlight w:val="none"/>
              </w:rPr>
            </w:pPr>
          </w:p>
        </w:tc>
      </w:tr>
      <w:tr w14:paraId="7A2A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14:paraId="0166F03B">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6C1AB0C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路灯</w:t>
            </w:r>
          </w:p>
          <w:p w14:paraId="7592F37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养护</w:t>
            </w:r>
          </w:p>
          <w:p w14:paraId="22884A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556" w:type="dxa"/>
            <w:noWrap w:val="0"/>
            <w:vAlign w:val="center"/>
          </w:tcPr>
          <w:p w14:paraId="790DB8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路灯缺亮的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882F57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路灯设施倾斜、缺损每处扣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分；油漆剥落和锈斑、外观不整洁每处扣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C715C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控制箱存在违规接电等，存在安全隐患的扣</w:t>
            </w:r>
            <w:r>
              <w:rPr>
                <w:rFonts w:hint="eastAsia" w:ascii="宋体" w:hAnsi="宋体" w:eastAsia="宋体" w:cs="宋体"/>
                <w:color w:val="auto"/>
                <w:sz w:val="21"/>
                <w:szCs w:val="21"/>
                <w:highlight w:val="none"/>
                <w:lang w:val="en-US" w:eastAsia="zh-CN"/>
              </w:rPr>
              <w:t>5分；发生漏电等安全事故的扣5分。</w:t>
            </w:r>
          </w:p>
        </w:tc>
        <w:tc>
          <w:tcPr>
            <w:tcW w:w="756" w:type="dxa"/>
            <w:noWrap w:val="0"/>
            <w:vAlign w:val="center"/>
          </w:tcPr>
          <w:p w14:paraId="7DBB6719">
            <w:pPr>
              <w:spacing w:line="360" w:lineRule="auto"/>
              <w:rPr>
                <w:rFonts w:hint="eastAsia" w:ascii="宋体" w:hAnsi="宋体" w:eastAsia="宋体" w:cs="宋体"/>
                <w:color w:val="auto"/>
                <w:sz w:val="21"/>
                <w:szCs w:val="21"/>
                <w:highlight w:val="none"/>
              </w:rPr>
            </w:pPr>
          </w:p>
        </w:tc>
      </w:tr>
      <w:tr w14:paraId="712E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14:paraId="5F961BB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应急保障</w:t>
            </w:r>
          </w:p>
          <w:p w14:paraId="43CFE1CB">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6556" w:type="dxa"/>
            <w:noWrap w:val="0"/>
            <w:vAlign w:val="center"/>
          </w:tcPr>
          <w:p w14:paraId="7FF49D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养护作业</w:t>
            </w:r>
            <w:r>
              <w:rPr>
                <w:rFonts w:hint="eastAsia" w:ascii="宋体" w:hAnsi="宋体" w:eastAsia="宋体" w:cs="宋体"/>
                <w:color w:val="auto"/>
                <w:sz w:val="21"/>
                <w:szCs w:val="21"/>
                <w:highlight w:val="none"/>
              </w:rPr>
              <w:t>围护不到位</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扣2.5分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无围护</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着装不规范</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扣2分</w:t>
            </w:r>
            <w:r>
              <w:rPr>
                <w:rFonts w:hint="eastAsia" w:ascii="宋体" w:hAnsi="宋体" w:eastAsia="宋体" w:cs="宋体"/>
                <w:color w:val="auto"/>
                <w:sz w:val="21"/>
                <w:szCs w:val="21"/>
                <w:highlight w:val="none"/>
                <w:lang w:eastAsia="zh-CN"/>
              </w:rPr>
              <w:t>；未及时发现违章施工的每处扣</w:t>
            </w:r>
            <w:r>
              <w:rPr>
                <w:rFonts w:hint="eastAsia" w:ascii="宋体" w:hAnsi="宋体" w:eastAsia="宋体" w:cs="宋体"/>
                <w:color w:val="auto"/>
                <w:sz w:val="21"/>
                <w:szCs w:val="21"/>
                <w:highlight w:val="none"/>
                <w:lang w:val="en-US" w:eastAsia="zh-CN"/>
              </w:rPr>
              <w:t>3分，批后监管不到位的每处扣3分。</w:t>
            </w:r>
          </w:p>
          <w:p w14:paraId="647AFB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防汛防台、</w:t>
            </w:r>
            <w:r>
              <w:rPr>
                <w:rFonts w:hint="eastAsia" w:ascii="宋体" w:hAnsi="宋体" w:eastAsia="宋体" w:cs="宋体"/>
                <w:color w:val="auto"/>
                <w:sz w:val="21"/>
                <w:szCs w:val="21"/>
                <w:highlight w:val="none"/>
              </w:rPr>
              <w:t>抗雪防冻等应急</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rPr>
              <w:t>不到位的每</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F245BE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下井、登高等特种作业，发生违规作业情况的每次扣</w:t>
            </w:r>
            <w:r>
              <w:rPr>
                <w:rFonts w:hint="eastAsia" w:ascii="宋体" w:hAnsi="宋体" w:eastAsia="宋体" w:cs="宋体"/>
                <w:color w:val="auto"/>
                <w:sz w:val="21"/>
                <w:szCs w:val="21"/>
                <w:highlight w:val="none"/>
                <w:lang w:val="en-US" w:eastAsia="zh-CN"/>
              </w:rPr>
              <w:t>10分。</w:t>
            </w:r>
          </w:p>
        </w:tc>
        <w:tc>
          <w:tcPr>
            <w:tcW w:w="756" w:type="dxa"/>
            <w:noWrap w:val="0"/>
            <w:vAlign w:val="center"/>
          </w:tcPr>
          <w:p w14:paraId="468772BE">
            <w:pPr>
              <w:spacing w:line="360" w:lineRule="auto"/>
              <w:rPr>
                <w:rFonts w:hint="eastAsia" w:ascii="宋体" w:hAnsi="宋体" w:eastAsia="宋体" w:cs="宋体"/>
                <w:color w:val="auto"/>
                <w:sz w:val="21"/>
                <w:szCs w:val="21"/>
                <w:highlight w:val="none"/>
              </w:rPr>
            </w:pPr>
          </w:p>
        </w:tc>
      </w:tr>
      <w:tr w14:paraId="26C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14:paraId="735C27DA">
            <w:p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合同管理</w:t>
            </w:r>
          </w:p>
          <w:p w14:paraId="7A1F5DF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6556" w:type="dxa"/>
            <w:noWrap w:val="0"/>
            <w:vAlign w:val="center"/>
          </w:tcPr>
          <w:p w14:paraId="2A19043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根据合同及招标文件要求，合理配备人员、车辆等应急物资</w:t>
            </w:r>
            <w:r>
              <w:rPr>
                <w:rFonts w:hint="eastAsia" w:ascii="宋体" w:hAnsi="宋体" w:eastAsia="宋体" w:cs="宋体"/>
                <w:color w:val="auto"/>
                <w:sz w:val="21"/>
                <w:szCs w:val="21"/>
                <w:highlight w:val="none"/>
                <w:lang w:val="en-US" w:eastAsia="zh-CN"/>
              </w:rPr>
              <w:t>设施设备，配备不到位的每次扣5分。</w:t>
            </w:r>
          </w:p>
          <w:p w14:paraId="2403783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市政设施具备一路一卡、一桥一卡、一隧一卡，台账资料不齐全、不准确的，每处扣1分。</w:t>
            </w:r>
          </w:p>
        </w:tc>
        <w:tc>
          <w:tcPr>
            <w:tcW w:w="756" w:type="dxa"/>
            <w:noWrap w:val="0"/>
            <w:vAlign w:val="center"/>
          </w:tcPr>
          <w:p w14:paraId="09978303">
            <w:pPr>
              <w:spacing w:line="360" w:lineRule="auto"/>
              <w:rPr>
                <w:rFonts w:hint="eastAsia" w:ascii="宋体" w:hAnsi="宋体" w:eastAsia="宋体" w:cs="宋体"/>
                <w:color w:val="auto"/>
                <w:sz w:val="21"/>
                <w:szCs w:val="21"/>
                <w:highlight w:val="none"/>
              </w:rPr>
            </w:pPr>
          </w:p>
        </w:tc>
      </w:tr>
      <w:tr w14:paraId="63AD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14:paraId="5F92712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p w14:paraId="55DF7EB3">
            <w:pPr>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5分</w:t>
            </w:r>
          </w:p>
        </w:tc>
        <w:tc>
          <w:tcPr>
            <w:tcW w:w="6556" w:type="dxa"/>
            <w:noWrap w:val="0"/>
            <w:vAlign w:val="center"/>
          </w:tcPr>
          <w:p w14:paraId="5BA6BF6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收到市级及以上批示表扬的每次加</w:t>
            </w:r>
            <w:r>
              <w:rPr>
                <w:rFonts w:hint="eastAsia" w:ascii="宋体" w:hAnsi="宋体" w:eastAsia="宋体" w:cs="宋体"/>
                <w:color w:val="auto"/>
                <w:sz w:val="21"/>
                <w:szCs w:val="21"/>
                <w:highlight w:val="none"/>
                <w:lang w:val="en-US" w:eastAsia="zh-CN"/>
              </w:rPr>
              <w:t>5分，批评的每次扣5分；</w:t>
            </w:r>
            <w:r>
              <w:rPr>
                <w:rFonts w:hint="eastAsia" w:ascii="宋体" w:hAnsi="宋体" w:eastAsia="宋体" w:cs="宋体"/>
                <w:color w:val="auto"/>
                <w:sz w:val="21"/>
                <w:szCs w:val="21"/>
                <w:highlight w:val="none"/>
                <w:lang w:eastAsia="zh-CN"/>
              </w:rPr>
              <w:t>区级批示表扬的每次加</w:t>
            </w:r>
            <w:r>
              <w:rPr>
                <w:rFonts w:hint="eastAsia" w:ascii="宋体" w:hAnsi="宋体" w:eastAsia="宋体" w:cs="宋体"/>
                <w:color w:val="auto"/>
                <w:sz w:val="21"/>
                <w:szCs w:val="21"/>
                <w:highlight w:val="none"/>
                <w:lang w:val="en-US" w:eastAsia="zh-CN"/>
              </w:rPr>
              <w:t>3分，批评的每次扣3分。</w:t>
            </w:r>
          </w:p>
          <w:p w14:paraId="59537DA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联系函、抄告单等超时回复或不回复的每次扣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二次抄告</w:t>
            </w:r>
            <w:r>
              <w:rPr>
                <w:rFonts w:hint="eastAsia" w:ascii="宋体" w:hAnsi="宋体" w:eastAsia="宋体" w:cs="宋体"/>
                <w:color w:val="auto"/>
                <w:sz w:val="21"/>
                <w:szCs w:val="21"/>
                <w:highlight w:val="none"/>
                <w:lang w:eastAsia="zh-CN"/>
              </w:rPr>
              <w:t>及以上的每</w:t>
            </w:r>
            <w:r>
              <w:rPr>
                <w:rFonts w:hint="eastAsia" w:ascii="宋体" w:hAnsi="宋体" w:eastAsia="宋体" w:cs="宋体"/>
                <w:color w:val="auto"/>
                <w:sz w:val="21"/>
                <w:szCs w:val="21"/>
                <w:highlight w:val="none"/>
              </w:rPr>
              <w:t>次扣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258CC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rPr>
              <w:t>媒体曝光每件扣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区级</w:t>
            </w:r>
            <w:r>
              <w:rPr>
                <w:rFonts w:hint="eastAsia" w:ascii="宋体" w:hAnsi="宋体" w:eastAsia="宋体" w:cs="宋体"/>
                <w:color w:val="auto"/>
                <w:sz w:val="21"/>
                <w:szCs w:val="21"/>
                <w:highlight w:val="none"/>
              </w:rPr>
              <w:t>媒体曝光每件扣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79BAD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发生无人员死亡有责安全生产事故的，每起扣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分；发生人员死亡有责安全生产事故的，每起扣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3827A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市政宣传报道素材（图片、文字等），经区市政绿化保障中心审核，被录用正面宣传报道的，区级媒体每件次加0.1分，市级媒体每件次加0.2分，省级媒体每件次加0.5分，国家级媒体每件次加1分，同一事项以最高加分项计。</w:t>
            </w:r>
          </w:p>
        </w:tc>
        <w:tc>
          <w:tcPr>
            <w:tcW w:w="756" w:type="dxa"/>
            <w:noWrap w:val="0"/>
            <w:vAlign w:val="center"/>
          </w:tcPr>
          <w:p w14:paraId="13ACF0D6">
            <w:pPr>
              <w:spacing w:line="360" w:lineRule="auto"/>
              <w:rPr>
                <w:rFonts w:hint="eastAsia" w:ascii="宋体" w:hAnsi="宋体" w:eastAsia="宋体" w:cs="宋体"/>
                <w:color w:val="auto"/>
                <w:sz w:val="21"/>
                <w:szCs w:val="21"/>
                <w:highlight w:val="none"/>
              </w:rPr>
            </w:pPr>
          </w:p>
        </w:tc>
      </w:tr>
      <w:tr w14:paraId="51E0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04" w:type="dxa"/>
            <w:gridSpan w:val="3"/>
            <w:noWrap w:val="0"/>
            <w:vAlign w:val="center"/>
          </w:tcPr>
          <w:p w14:paraId="7A94B0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评分合计</w:t>
            </w:r>
          </w:p>
        </w:tc>
        <w:tc>
          <w:tcPr>
            <w:tcW w:w="756" w:type="dxa"/>
            <w:noWrap w:val="0"/>
            <w:vAlign w:val="center"/>
          </w:tcPr>
          <w:p w14:paraId="6A7964BA">
            <w:pPr>
              <w:spacing w:line="360" w:lineRule="auto"/>
              <w:jc w:val="center"/>
              <w:rPr>
                <w:rFonts w:hint="eastAsia" w:ascii="宋体" w:hAnsi="宋体" w:eastAsia="宋体" w:cs="宋体"/>
                <w:color w:val="auto"/>
                <w:sz w:val="21"/>
                <w:szCs w:val="21"/>
                <w:highlight w:val="none"/>
              </w:rPr>
            </w:pPr>
          </w:p>
        </w:tc>
      </w:tr>
      <w:tr w14:paraId="5A1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14:paraId="412236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312" w:type="dxa"/>
            <w:gridSpan w:val="2"/>
            <w:noWrap w:val="0"/>
            <w:vAlign w:val="center"/>
          </w:tcPr>
          <w:p w14:paraId="5D5D9D14">
            <w:pPr>
              <w:numPr>
                <w:ilvl w:val="0"/>
                <w:numId w:val="0"/>
              </w:numPr>
              <w:spacing w:line="360" w:lineRule="auto"/>
              <w:ind w:left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考核总分为100分，</w:t>
            </w:r>
            <w:r>
              <w:rPr>
                <w:rFonts w:hint="eastAsia" w:ascii="宋体" w:hAnsi="宋体" w:eastAsia="宋体" w:cs="宋体"/>
                <w:color w:val="auto"/>
                <w:spacing w:val="-8"/>
                <w:sz w:val="21"/>
                <w:szCs w:val="21"/>
                <w:highlight w:val="none"/>
                <w:lang w:eastAsia="zh-CN"/>
              </w:rPr>
              <w:t>附加分</w:t>
            </w:r>
            <w:r>
              <w:rPr>
                <w:rFonts w:hint="eastAsia" w:ascii="宋体" w:hAnsi="宋体" w:eastAsia="宋体" w:cs="宋体"/>
                <w:color w:val="auto"/>
                <w:spacing w:val="-8"/>
                <w:sz w:val="21"/>
                <w:szCs w:val="21"/>
                <w:highlight w:val="none"/>
                <w:lang w:val="en-US" w:eastAsia="zh-CN"/>
              </w:rPr>
              <w:t>5分，</w:t>
            </w:r>
            <w:r>
              <w:rPr>
                <w:rFonts w:hint="eastAsia" w:ascii="宋体" w:hAnsi="宋体" w:eastAsia="宋体" w:cs="宋体"/>
                <w:color w:val="auto"/>
                <w:spacing w:val="-8"/>
                <w:sz w:val="21"/>
                <w:szCs w:val="21"/>
                <w:highlight w:val="none"/>
              </w:rPr>
              <w:t>每项扣分不超过项目分值，扣完为止。</w:t>
            </w:r>
          </w:p>
        </w:tc>
      </w:tr>
    </w:tbl>
    <w:p w14:paraId="732DB560">
      <w:pPr>
        <w:bidi w:val="0"/>
        <w:rPr>
          <w:rFonts w:hint="default"/>
          <w:highlight w:val="none"/>
          <w:lang w:val="en-US" w:eastAsia="zh-CN"/>
        </w:rPr>
      </w:pPr>
    </w:p>
    <w:p w14:paraId="0A1BC90E">
      <w:pPr>
        <w:pStyle w:val="5"/>
        <w:numPr>
          <w:ilvl w:val="0"/>
          <w:numId w:val="1"/>
        </w:num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履约验收要求</w:t>
      </w:r>
    </w:p>
    <w:p w14:paraId="5056B9CE">
      <w:pPr>
        <w:adjustRightInd/>
        <w:spacing w:line="360" w:lineRule="auto"/>
        <w:ind w:firstLine="480"/>
        <w:rPr>
          <w:rFonts w:hint="eastAsia" w:ascii="宋体" w:hAnsi="宋体" w:eastAsia="宋体" w:cs="宋体"/>
          <w:color w:val="auto"/>
          <w:sz w:val="24"/>
          <w:szCs w:val="24"/>
          <w:highlight w:val="none"/>
        </w:rPr>
      </w:pPr>
      <w:bookmarkStart w:id="33" w:name="_Toc9028"/>
      <w:bookmarkStart w:id="34" w:name="_Hlk102914293"/>
      <w:r>
        <w:rPr>
          <w:rFonts w:hint="eastAsia" w:ascii="宋体" w:hAnsi="宋体" w:eastAsia="宋体" w:cs="宋体"/>
          <w:color w:val="auto"/>
          <w:sz w:val="24"/>
          <w:szCs w:val="24"/>
          <w:highlight w:val="none"/>
        </w:rPr>
        <w:t>1、验收组织和程序</w:t>
      </w:r>
      <w:bookmarkEnd w:id="33"/>
    </w:p>
    <w:p w14:paraId="77B561D4">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62596990">
      <w:pPr>
        <w:adjustRightInd/>
        <w:spacing w:line="360" w:lineRule="auto"/>
        <w:ind w:firstLine="480"/>
        <w:rPr>
          <w:rFonts w:hint="eastAsia" w:ascii="宋体" w:hAnsi="宋体" w:eastAsia="宋体" w:cs="宋体"/>
          <w:color w:val="auto"/>
          <w:sz w:val="24"/>
          <w:szCs w:val="24"/>
          <w:highlight w:val="none"/>
        </w:rPr>
      </w:pPr>
      <w:bookmarkStart w:id="35" w:name="_Toc8526"/>
      <w:r>
        <w:rPr>
          <w:rFonts w:hint="eastAsia" w:ascii="宋体" w:hAnsi="宋体" w:eastAsia="宋体" w:cs="宋体"/>
          <w:color w:val="auto"/>
          <w:sz w:val="24"/>
          <w:szCs w:val="24"/>
          <w:highlight w:val="none"/>
        </w:rPr>
        <w:t>2、履约验收内容</w:t>
      </w:r>
      <w:bookmarkEnd w:id="35"/>
    </w:p>
    <w:p w14:paraId="337F82C5">
      <w:pPr>
        <w:adjustRightInd/>
        <w:spacing w:line="360" w:lineRule="auto"/>
        <w:ind w:firstLine="480"/>
        <w:rPr>
          <w:rFonts w:hint="eastAsia" w:ascii="宋体" w:hAnsi="宋体" w:eastAsia="宋体" w:cs="宋体"/>
          <w:color w:val="auto"/>
          <w:sz w:val="24"/>
          <w:szCs w:val="24"/>
          <w:highlight w:val="none"/>
        </w:rPr>
      </w:pPr>
      <w:bookmarkStart w:id="36" w:name="_Toc354"/>
      <w:r>
        <w:rPr>
          <w:rFonts w:hint="eastAsia" w:ascii="宋体" w:hAnsi="宋体" w:eastAsia="宋体" w:cs="宋体"/>
          <w:color w:val="auto"/>
          <w:sz w:val="24"/>
          <w:szCs w:val="24"/>
          <w:highlight w:val="none"/>
        </w:rPr>
        <w:t>1.技术履约内容</w:t>
      </w:r>
    </w:p>
    <w:p w14:paraId="06EB2AC9">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1）满足所有采购需求及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合同要求</w:t>
      </w:r>
      <w:r>
        <w:rPr>
          <w:rFonts w:hint="eastAsia" w:ascii="宋体" w:hAnsi="宋体" w:eastAsia="宋体" w:cs="宋体"/>
          <w:color w:val="auto"/>
          <w:sz w:val="24"/>
          <w:szCs w:val="24"/>
          <w:highlight w:val="none"/>
        </w:rPr>
        <w:t>；</w:t>
      </w:r>
    </w:p>
    <w:p w14:paraId="2AA8AE73">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2）拟投服务团队管理人员全部到位，与响应文件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合同要求（若有）</w:t>
      </w:r>
      <w:r>
        <w:rPr>
          <w:rFonts w:hint="eastAsia" w:ascii="宋体" w:hAnsi="宋体" w:eastAsia="宋体" w:cs="宋体"/>
          <w:color w:val="auto"/>
          <w:sz w:val="24"/>
          <w:szCs w:val="24"/>
          <w:highlight w:val="none"/>
        </w:rPr>
        <w:t>管理人员信息清单一致。</w:t>
      </w:r>
    </w:p>
    <w:p w14:paraId="1A49563B">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2.商务履约内容</w:t>
      </w:r>
    </w:p>
    <w:p w14:paraId="7CC76830">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1）服务周期满足采购要求。</w:t>
      </w:r>
    </w:p>
    <w:p w14:paraId="7DC950C7">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w:t>
      </w:r>
      <w:bookmarkEnd w:id="36"/>
    </w:p>
    <w:p w14:paraId="19D557D9">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1）满足所有采购需求及响应文件承诺；</w:t>
      </w:r>
    </w:p>
    <w:p w14:paraId="63B31E84">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2）拟投服务团队管理人员全部到位，与响应文件管理人员信息清单一致；</w:t>
      </w:r>
    </w:p>
    <w:p w14:paraId="1DC87337">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3）项目验收资料齐全；</w:t>
      </w:r>
    </w:p>
    <w:p w14:paraId="632F58E2">
      <w:pPr>
        <w:adjustRightInd/>
        <w:spacing w:line="360" w:lineRule="auto"/>
        <w:ind w:firstLine="480"/>
        <w:rPr>
          <w:rFonts w:hint="eastAsia" w:ascii="宋体" w:hAnsi="宋体" w:eastAsia="宋体" w:cs="宋体"/>
          <w:color w:val="auto"/>
          <w:sz w:val="24"/>
          <w:szCs w:val="24"/>
          <w:highlight w:val="none"/>
        </w:rPr>
      </w:pPr>
      <w:bookmarkStart w:id="37" w:name="_Toc24191"/>
      <w:bookmarkStart w:id="38" w:name="_Toc100838239"/>
      <w:r>
        <w:rPr>
          <w:rFonts w:hint="eastAsia" w:ascii="宋体" w:hAnsi="宋体" w:eastAsia="宋体" w:cs="宋体"/>
          <w:color w:val="auto"/>
          <w:sz w:val="24"/>
          <w:szCs w:val="24"/>
          <w:highlight w:val="none"/>
        </w:rPr>
        <w:t>4、履约验收其他事项</w:t>
      </w:r>
      <w:bookmarkEnd w:id="37"/>
      <w:bookmarkEnd w:id="38"/>
    </w:p>
    <w:p w14:paraId="43699A73">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736B8769">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2CF24E18">
      <w:pPr>
        <w:pStyle w:val="5"/>
        <w:numPr>
          <w:ilvl w:val="0"/>
          <w:numId w:val="1"/>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报价及费用要求</w:t>
      </w:r>
    </w:p>
    <w:p w14:paraId="2AE7A503">
      <w:pPr>
        <w:numPr>
          <w:ilvl w:val="0"/>
          <w:numId w:val="3"/>
        </w:numPr>
        <w:adjustRightInd/>
        <w:spacing w:line="360" w:lineRule="auto"/>
        <w:ind w:firstLine="48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投标报价包括设备费、材料费、保管费、</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费、培训、税收、售后服务、招标代理费</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采购需求中未提到但在实际</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过程中需要配置的各种设备、材料及其他费用等须由投标人支付的所有费用</w:t>
      </w:r>
      <w:r>
        <w:rPr>
          <w:rFonts w:hint="eastAsia" w:ascii="宋体" w:hAnsi="宋体" w:cs="宋体"/>
          <w:color w:val="auto"/>
          <w:sz w:val="24"/>
          <w:szCs w:val="24"/>
          <w:highlight w:val="none"/>
          <w:lang w:val="en-US" w:eastAsia="zh-CN"/>
        </w:rPr>
        <w:t>，投标人应充分考虑项目实施过程中需要承担的风险。</w:t>
      </w:r>
    </w:p>
    <w:p w14:paraId="0743395E">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、养护期内养护用水、用电的费用由中标单位承担。</w:t>
      </w:r>
    </w:p>
    <w:p w14:paraId="39971DF2">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、养护期内不论自然环境（含气候）发生变化还是其它人为（含车辆）因素而导致的市政道路设施破坏，均由中标人负责维修，其费用由</w:t>
      </w:r>
      <w:r>
        <w:rPr>
          <w:rFonts w:hint="eastAsia" w:ascii="宋体" w:hAnsi="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lang w:val="en-US" w:eastAsia="zh-CN"/>
        </w:rPr>
        <w:t>承担。</w:t>
      </w:r>
    </w:p>
    <w:p w14:paraId="64DC5247">
      <w:pPr>
        <w:numPr>
          <w:ilvl w:val="0"/>
          <w:numId w:val="0"/>
        </w:numPr>
        <w:spacing w:line="360" w:lineRule="auto"/>
        <w:ind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、管理人员费用、运行支出及与本项目有关的养护管理费用为养护费、维修费、水电费、设施设备使用费（含折旧等费用）、治安保卫费、垃圾清运费等各类费用的总和。</w:t>
      </w:r>
    </w:p>
    <w:p w14:paraId="3F3DE6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5、在养护期限内产生的各种费用（运输、装卸、堆放、场地租用费及有关费用）由投标单位负责。</w:t>
      </w:r>
    </w:p>
    <w:p w14:paraId="62F17DCC">
      <w:pPr>
        <w:pStyle w:val="30"/>
        <w:keepNext w:val="0"/>
        <w:keepLines w:val="0"/>
        <w:pageBreakBefore w:val="0"/>
        <w:widowControl w:val="0"/>
        <w:kinsoku/>
        <w:wordWrap/>
        <w:overflowPunct/>
        <w:topLinePunct w:val="0"/>
        <w:autoSpaceDE/>
        <w:autoSpaceDN/>
        <w:bidi w:val="0"/>
        <w:adjustRightInd w:val="0"/>
        <w:snapToGrid/>
        <w:spacing w:line="360" w:lineRule="auto"/>
        <w:ind w:firstLine="813" w:firstLineChars="339"/>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6、市政管养不到位导致的意外风险由中标人承担。</w:t>
      </w:r>
    </w:p>
    <w:p w14:paraId="26F881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市政养护项目根据《浙江省杭州市市政设施养护定额》（最新版本）及当月信息价，并按照中标价和预算价同比例下浮后进行结算。结算由养护单位负责编制（结算时需考虑沥青、水泥稳定碎石层、塘渣等道路拆除材料残值），招标人委托第三方进行审核。最终以审核结算价作为实际养护费用。</w:t>
      </w:r>
    </w:p>
    <w:p w14:paraId="0E6DF12D">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8、本项目累计完成工程量达到390万元或施工工期达到服务期限后，本合同终止。</w:t>
      </w:r>
    </w:p>
    <w:bookmarkEnd w:id="34"/>
    <w:p w14:paraId="57A99162">
      <w:pPr>
        <w:pStyle w:val="5"/>
        <w:numPr>
          <w:ilvl w:val="0"/>
          <w:numId w:val="1"/>
        </w:numPr>
        <w:spacing w:line="360" w:lineRule="auto"/>
        <w:ind w:left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费用支付</w:t>
      </w:r>
    </w:p>
    <w:p w14:paraId="0D719457">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本项目按季度支付费用，不支持预付款。</w:t>
      </w:r>
    </w:p>
    <w:p w14:paraId="3B7739CB">
      <w:pPr>
        <w:numPr>
          <w:ilvl w:val="0"/>
          <w:numId w:val="0"/>
        </w:numPr>
        <w:spacing w:line="360" w:lineRule="auto"/>
        <w:ind w:leftChars="0"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货物/服务费用阶段支付比例：最终经塘栖镇根据政府采购法等相关规定审核通过的合同相应条款为准。</w:t>
      </w:r>
    </w:p>
    <w:p w14:paraId="7D18B210">
      <w:pPr>
        <w:numPr>
          <w:ilvl w:val="0"/>
          <w:numId w:val="0"/>
        </w:numPr>
        <w:spacing w:line="360" w:lineRule="auto"/>
        <w:ind w:leftChars="0" w:firstLine="480" w:firstLineChars="200"/>
        <w:outlineLvl w:val="9"/>
        <w:rPr>
          <w:rFonts w:ascii="宋体" w:hAnsi="宋体" w:cs="宋体"/>
          <w:b/>
          <w:color w:val="auto"/>
          <w:sz w:val="36"/>
          <w:szCs w:val="36"/>
          <w:highlight w:val="none"/>
        </w:rPr>
      </w:pPr>
      <w:r>
        <w:rPr>
          <w:rFonts w:hint="eastAsia" w:ascii="宋体" w:hAnsi="宋体" w:cs="宋体"/>
          <w:b w:val="0"/>
          <w:bCs w:val="0"/>
          <w:color w:val="auto"/>
          <w:sz w:val="24"/>
          <w:szCs w:val="24"/>
          <w:highlight w:val="none"/>
          <w:lang w:val="en-US" w:eastAsia="zh-CN"/>
        </w:rPr>
        <w:br w:type="page"/>
      </w:r>
      <w:r>
        <w:rPr>
          <w:rFonts w:hint="eastAsia" w:ascii="宋体" w:hAnsi="宋体" w:cs="宋体"/>
          <w:b/>
          <w:color w:val="auto"/>
          <w:sz w:val="36"/>
          <w:szCs w:val="36"/>
          <w:highlight w:val="none"/>
        </w:rPr>
        <w:t xml:space="preserve">第四部分   </w:t>
      </w:r>
      <w:bookmarkStart w:id="39" w:name="_Toc184313308"/>
      <w:bookmarkEnd w:id="39"/>
      <w:bookmarkStart w:id="40" w:name="_Toc184310279"/>
      <w:bookmarkEnd w:id="40"/>
      <w:bookmarkStart w:id="41" w:name="_Toc184312071"/>
      <w:bookmarkEnd w:id="41"/>
      <w:bookmarkStart w:id="42" w:name="_Toc184313283"/>
      <w:bookmarkEnd w:id="42"/>
      <w:bookmarkStart w:id="43" w:name="_Toc184310283"/>
      <w:bookmarkEnd w:id="43"/>
      <w:bookmarkStart w:id="44" w:name="_Toc184312087"/>
      <w:bookmarkEnd w:id="44"/>
      <w:bookmarkStart w:id="45" w:name="_Toc184310304"/>
      <w:bookmarkEnd w:id="45"/>
      <w:bookmarkStart w:id="46" w:name="_Toc184310291"/>
      <w:bookmarkEnd w:id="46"/>
      <w:bookmarkStart w:id="47" w:name="_Toc184308088"/>
      <w:bookmarkEnd w:id="47"/>
      <w:bookmarkStart w:id="48" w:name="_Toc184310289"/>
      <w:bookmarkEnd w:id="48"/>
      <w:bookmarkStart w:id="49" w:name="_Toc184313289"/>
      <w:bookmarkEnd w:id="49"/>
      <w:bookmarkStart w:id="50" w:name="_Toc184308090"/>
      <w:bookmarkEnd w:id="50"/>
      <w:bookmarkStart w:id="51" w:name="_Toc184308107"/>
      <w:bookmarkEnd w:id="51"/>
      <w:bookmarkStart w:id="52" w:name="_Toc184314438"/>
      <w:bookmarkEnd w:id="52"/>
      <w:bookmarkStart w:id="53" w:name="_Toc184314413"/>
      <w:bookmarkEnd w:id="53"/>
      <w:bookmarkStart w:id="54" w:name="_Toc184310333"/>
      <w:bookmarkEnd w:id="54"/>
      <w:bookmarkStart w:id="55" w:name="_Toc184308063"/>
      <w:bookmarkEnd w:id="55"/>
      <w:bookmarkStart w:id="56" w:name="_Toc184308074"/>
      <w:bookmarkEnd w:id="56"/>
      <w:bookmarkStart w:id="57" w:name="_Toc184314436"/>
      <w:bookmarkEnd w:id="57"/>
      <w:bookmarkStart w:id="58" w:name="_Toc184310314"/>
      <w:bookmarkEnd w:id="58"/>
      <w:bookmarkStart w:id="59" w:name="_Toc184310305"/>
      <w:bookmarkEnd w:id="59"/>
      <w:bookmarkStart w:id="60" w:name="_Toc184312132"/>
      <w:bookmarkEnd w:id="60"/>
      <w:bookmarkStart w:id="61" w:name="_Toc184312130"/>
      <w:bookmarkEnd w:id="61"/>
      <w:bookmarkStart w:id="62" w:name="_Toc184310342"/>
      <w:bookmarkEnd w:id="62"/>
      <w:bookmarkStart w:id="63" w:name="_Toc184314469"/>
      <w:bookmarkEnd w:id="63"/>
      <w:bookmarkStart w:id="64" w:name="_Toc184314452"/>
      <w:bookmarkEnd w:id="64"/>
      <w:bookmarkStart w:id="65" w:name="_Toc184312102"/>
      <w:bookmarkEnd w:id="65"/>
      <w:bookmarkStart w:id="66" w:name="_Toc184314473"/>
      <w:bookmarkEnd w:id="66"/>
      <w:bookmarkStart w:id="67" w:name="_Toc184314470"/>
      <w:bookmarkEnd w:id="67"/>
      <w:bookmarkStart w:id="68" w:name="_Toc184308041"/>
      <w:bookmarkEnd w:id="68"/>
      <w:bookmarkStart w:id="69" w:name="_Toc184308046"/>
      <w:bookmarkEnd w:id="69"/>
      <w:bookmarkStart w:id="70" w:name="_Toc184314410"/>
      <w:bookmarkEnd w:id="70"/>
      <w:bookmarkStart w:id="71" w:name="_Toc184308104"/>
      <w:bookmarkEnd w:id="71"/>
      <w:bookmarkStart w:id="72" w:name="_Toc184314421"/>
      <w:bookmarkEnd w:id="72"/>
      <w:bookmarkStart w:id="73" w:name="_Toc184313278"/>
      <w:bookmarkEnd w:id="73"/>
      <w:bookmarkStart w:id="74" w:name="_Toc184308065"/>
      <w:bookmarkEnd w:id="74"/>
      <w:bookmarkStart w:id="75" w:name="_Toc184313252"/>
      <w:bookmarkEnd w:id="75"/>
      <w:bookmarkStart w:id="76" w:name="_Toc184308108"/>
      <w:bookmarkEnd w:id="76"/>
      <w:bookmarkStart w:id="77" w:name="_Toc184313310"/>
      <w:bookmarkEnd w:id="77"/>
      <w:bookmarkStart w:id="78" w:name="_Toc184308076"/>
      <w:bookmarkEnd w:id="78"/>
      <w:bookmarkStart w:id="79" w:name="_Toc184310272"/>
      <w:bookmarkEnd w:id="79"/>
      <w:bookmarkStart w:id="80" w:name="_Toc184314465"/>
      <w:bookmarkEnd w:id="80"/>
      <w:bookmarkStart w:id="81" w:name="_Toc184313298"/>
      <w:bookmarkEnd w:id="81"/>
      <w:bookmarkStart w:id="82" w:name="_Toc184310297"/>
      <w:bookmarkEnd w:id="82"/>
      <w:bookmarkStart w:id="83" w:name="_Toc184314432"/>
      <w:bookmarkEnd w:id="83"/>
      <w:bookmarkStart w:id="84" w:name="_Toc184314448"/>
      <w:bookmarkEnd w:id="84"/>
      <w:bookmarkStart w:id="85" w:name="_Toc184308091"/>
      <w:bookmarkEnd w:id="85"/>
      <w:bookmarkStart w:id="86" w:name="_Toc184308049"/>
      <w:bookmarkEnd w:id="86"/>
      <w:bookmarkStart w:id="87" w:name="_Toc184314461"/>
      <w:bookmarkEnd w:id="87"/>
      <w:bookmarkStart w:id="88" w:name="_Toc184310327"/>
      <w:bookmarkEnd w:id="88"/>
      <w:bookmarkStart w:id="89" w:name="_Toc184313255"/>
      <w:bookmarkEnd w:id="89"/>
      <w:bookmarkStart w:id="90" w:name="_Toc184314414"/>
      <w:bookmarkEnd w:id="90"/>
      <w:bookmarkStart w:id="91" w:name="_Toc184312100"/>
      <w:bookmarkEnd w:id="91"/>
      <w:bookmarkStart w:id="92" w:name="_Toc184310303"/>
      <w:bookmarkEnd w:id="92"/>
      <w:bookmarkStart w:id="93" w:name="_Toc184308037"/>
      <w:bookmarkEnd w:id="93"/>
      <w:bookmarkStart w:id="94" w:name="_Toc184313258"/>
      <w:bookmarkEnd w:id="94"/>
      <w:bookmarkStart w:id="95" w:name="_Toc184312080"/>
      <w:bookmarkEnd w:id="95"/>
      <w:bookmarkStart w:id="96" w:name="_Toc184314418"/>
      <w:bookmarkEnd w:id="96"/>
      <w:bookmarkStart w:id="97" w:name="_Toc184314475"/>
      <w:bookmarkEnd w:id="97"/>
      <w:bookmarkStart w:id="98" w:name="_Toc184313254"/>
      <w:bookmarkEnd w:id="98"/>
      <w:bookmarkStart w:id="99" w:name="_Toc184314450"/>
      <w:bookmarkEnd w:id="99"/>
      <w:bookmarkStart w:id="100" w:name="_Toc184313282"/>
      <w:bookmarkEnd w:id="100"/>
      <w:bookmarkStart w:id="101" w:name="_Toc184314449"/>
      <w:bookmarkEnd w:id="101"/>
      <w:bookmarkStart w:id="102" w:name="_Toc184314477"/>
      <w:bookmarkEnd w:id="102"/>
      <w:bookmarkStart w:id="103" w:name="_Toc184313245"/>
      <w:bookmarkEnd w:id="103"/>
      <w:bookmarkStart w:id="104" w:name="_Toc184310339"/>
      <w:bookmarkEnd w:id="104"/>
      <w:bookmarkStart w:id="105" w:name="_Toc184312117"/>
      <w:bookmarkEnd w:id="105"/>
      <w:bookmarkStart w:id="106" w:name="_Toc184312110"/>
      <w:bookmarkEnd w:id="106"/>
      <w:bookmarkStart w:id="107" w:name="_Toc184308062"/>
      <w:bookmarkEnd w:id="107"/>
      <w:bookmarkStart w:id="108" w:name="_Toc184313277"/>
      <w:bookmarkEnd w:id="108"/>
      <w:bookmarkStart w:id="109" w:name="_Toc184308055"/>
      <w:bookmarkEnd w:id="109"/>
      <w:bookmarkStart w:id="110" w:name="_Toc184308089"/>
      <w:bookmarkEnd w:id="110"/>
      <w:bookmarkStart w:id="111" w:name="_Toc184312133"/>
      <w:bookmarkEnd w:id="111"/>
      <w:bookmarkStart w:id="112" w:name="_Toc184313240"/>
      <w:bookmarkEnd w:id="112"/>
      <w:bookmarkStart w:id="113" w:name="_Toc184314416"/>
      <w:bookmarkEnd w:id="113"/>
      <w:bookmarkStart w:id="114" w:name="_Toc184308064"/>
      <w:bookmarkEnd w:id="114"/>
      <w:bookmarkStart w:id="115" w:name="_Toc184308068"/>
      <w:bookmarkEnd w:id="115"/>
      <w:bookmarkStart w:id="116" w:name="_Toc184308101"/>
      <w:bookmarkEnd w:id="116"/>
      <w:bookmarkStart w:id="117" w:name="_Toc184312111"/>
      <w:bookmarkEnd w:id="117"/>
      <w:bookmarkStart w:id="118" w:name="_Toc184312079"/>
      <w:bookmarkEnd w:id="118"/>
      <w:bookmarkStart w:id="119" w:name="_Toc184310328"/>
      <w:bookmarkEnd w:id="119"/>
      <w:bookmarkStart w:id="120" w:name="_Toc184312135"/>
      <w:bookmarkEnd w:id="120"/>
      <w:bookmarkStart w:id="121" w:name="_Toc184312103"/>
      <w:bookmarkEnd w:id="121"/>
      <w:bookmarkStart w:id="122" w:name="_Toc184312116"/>
      <w:bookmarkEnd w:id="122"/>
      <w:bookmarkStart w:id="123" w:name="_Toc184310278"/>
      <w:bookmarkEnd w:id="123"/>
      <w:bookmarkStart w:id="124" w:name="_Toc184312075"/>
      <w:bookmarkEnd w:id="124"/>
      <w:bookmarkStart w:id="125" w:name="_Toc184312069"/>
      <w:bookmarkEnd w:id="125"/>
      <w:bookmarkStart w:id="126" w:name="_Toc184308052"/>
      <w:bookmarkEnd w:id="126"/>
      <w:bookmarkStart w:id="127" w:name="_Toc184310329"/>
      <w:bookmarkEnd w:id="127"/>
      <w:bookmarkStart w:id="128" w:name="_Toc184312089"/>
      <w:bookmarkEnd w:id="128"/>
      <w:bookmarkStart w:id="129" w:name="_Toc184314433"/>
      <w:bookmarkEnd w:id="129"/>
      <w:bookmarkStart w:id="130" w:name="_Toc184308056"/>
      <w:bookmarkEnd w:id="130"/>
      <w:bookmarkStart w:id="131" w:name="_Toc184310319"/>
      <w:bookmarkEnd w:id="131"/>
      <w:bookmarkStart w:id="132" w:name="_Toc184308042"/>
      <w:bookmarkEnd w:id="132"/>
      <w:bookmarkStart w:id="133" w:name="_Toc184310292"/>
      <w:bookmarkEnd w:id="133"/>
      <w:bookmarkStart w:id="134" w:name="_Toc184313304"/>
      <w:bookmarkEnd w:id="134"/>
      <w:bookmarkStart w:id="135" w:name="_Toc184312134"/>
      <w:bookmarkEnd w:id="135"/>
      <w:bookmarkStart w:id="136" w:name="_Toc184312122"/>
      <w:bookmarkEnd w:id="136"/>
      <w:bookmarkStart w:id="137" w:name="_Toc184314412"/>
      <w:bookmarkEnd w:id="137"/>
      <w:bookmarkStart w:id="138" w:name="_Toc184313251"/>
      <w:bookmarkEnd w:id="138"/>
      <w:bookmarkStart w:id="139" w:name="_Toc184308105"/>
      <w:bookmarkEnd w:id="139"/>
      <w:bookmarkStart w:id="140" w:name="_Toc184314431"/>
      <w:bookmarkEnd w:id="140"/>
      <w:bookmarkStart w:id="141" w:name="_Toc184310317"/>
      <w:bookmarkEnd w:id="141"/>
      <w:bookmarkStart w:id="142" w:name="_Toc184310331"/>
      <w:bookmarkEnd w:id="142"/>
      <w:bookmarkStart w:id="143" w:name="_Toc184312076"/>
      <w:bookmarkEnd w:id="143"/>
      <w:bookmarkStart w:id="144" w:name="_Toc184313307"/>
      <w:bookmarkEnd w:id="144"/>
      <w:bookmarkStart w:id="145" w:name="_Toc184310341"/>
      <w:bookmarkEnd w:id="145"/>
      <w:bookmarkStart w:id="146" w:name="_Toc184314426"/>
      <w:bookmarkEnd w:id="146"/>
      <w:bookmarkStart w:id="147" w:name="_Toc184310298"/>
      <w:bookmarkEnd w:id="147"/>
      <w:bookmarkStart w:id="148" w:name="_Toc184310316"/>
      <w:bookmarkEnd w:id="148"/>
      <w:bookmarkStart w:id="149" w:name="_Toc184312088"/>
      <w:bookmarkEnd w:id="149"/>
      <w:bookmarkStart w:id="150" w:name="_Toc184313247"/>
      <w:bookmarkEnd w:id="150"/>
      <w:bookmarkStart w:id="151" w:name="_Toc184314480"/>
      <w:bookmarkEnd w:id="151"/>
      <w:bookmarkStart w:id="152" w:name="_Toc184312101"/>
      <w:bookmarkEnd w:id="152"/>
      <w:bookmarkStart w:id="153" w:name="_Toc184312118"/>
      <w:bookmarkEnd w:id="153"/>
      <w:bookmarkStart w:id="154" w:name="_Toc184310338"/>
      <w:bookmarkEnd w:id="154"/>
      <w:bookmarkStart w:id="155" w:name="_Toc184313299"/>
      <w:bookmarkEnd w:id="155"/>
      <w:bookmarkStart w:id="156" w:name="_Toc184313265"/>
      <w:bookmarkEnd w:id="156"/>
      <w:bookmarkStart w:id="157" w:name="_Toc184314466"/>
      <w:bookmarkEnd w:id="157"/>
      <w:bookmarkStart w:id="158" w:name="_Toc184308096"/>
      <w:bookmarkEnd w:id="158"/>
      <w:bookmarkStart w:id="159" w:name="_Toc184314446"/>
      <w:bookmarkEnd w:id="159"/>
      <w:bookmarkStart w:id="160" w:name="_Toc184310311"/>
      <w:bookmarkEnd w:id="160"/>
      <w:bookmarkStart w:id="161" w:name="_Toc184314424"/>
      <w:bookmarkEnd w:id="161"/>
      <w:bookmarkStart w:id="162" w:name="_Toc184312129"/>
      <w:bookmarkEnd w:id="162"/>
      <w:bookmarkStart w:id="163" w:name="_Toc184313269"/>
      <w:bookmarkEnd w:id="163"/>
      <w:bookmarkStart w:id="164" w:name="_Toc184313241"/>
      <w:bookmarkEnd w:id="164"/>
      <w:bookmarkStart w:id="165" w:name="_Toc184313293"/>
      <w:bookmarkEnd w:id="165"/>
      <w:bookmarkStart w:id="166" w:name="_Toc184312077"/>
      <w:bookmarkEnd w:id="166"/>
      <w:bookmarkStart w:id="167" w:name="_Toc184308083"/>
      <w:bookmarkEnd w:id="167"/>
      <w:bookmarkStart w:id="168" w:name="_Toc184314417"/>
      <w:bookmarkEnd w:id="168"/>
      <w:bookmarkStart w:id="169" w:name="_Toc184310323"/>
      <w:bookmarkEnd w:id="169"/>
      <w:bookmarkStart w:id="170" w:name="_Toc184313260"/>
      <w:bookmarkEnd w:id="170"/>
      <w:bookmarkStart w:id="171" w:name="_Toc184313273"/>
      <w:bookmarkEnd w:id="171"/>
      <w:bookmarkStart w:id="172" w:name="_Toc184310284"/>
      <w:bookmarkEnd w:id="172"/>
      <w:bookmarkStart w:id="173" w:name="_Toc184313303"/>
      <w:bookmarkEnd w:id="173"/>
      <w:bookmarkStart w:id="174" w:name="_Toc184312120"/>
      <w:bookmarkEnd w:id="174"/>
      <w:bookmarkStart w:id="175" w:name="_Toc184308094"/>
      <w:bookmarkEnd w:id="175"/>
      <w:bookmarkStart w:id="176" w:name="_Toc184313256"/>
      <w:bookmarkEnd w:id="176"/>
      <w:bookmarkStart w:id="177" w:name="_Toc184312091"/>
      <w:bookmarkEnd w:id="177"/>
      <w:bookmarkStart w:id="178" w:name="_Toc184312070"/>
      <w:bookmarkEnd w:id="178"/>
      <w:bookmarkStart w:id="179" w:name="_Toc184313266"/>
      <w:bookmarkEnd w:id="179"/>
      <w:bookmarkStart w:id="180" w:name="_Toc184310295"/>
      <w:bookmarkEnd w:id="180"/>
      <w:bookmarkStart w:id="181" w:name="_Toc184314447"/>
      <w:bookmarkEnd w:id="181"/>
      <w:bookmarkStart w:id="182" w:name="_Toc184310300"/>
      <w:bookmarkEnd w:id="182"/>
      <w:bookmarkStart w:id="183" w:name="_Toc184313272"/>
      <w:bookmarkEnd w:id="183"/>
      <w:bookmarkStart w:id="184" w:name="_Toc184312121"/>
      <w:bookmarkEnd w:id="184"/>
      <w:bookmarkStart w:id="185" w:name="_Toc184314467"/>
      <w:bookmarkEnd w:id="185"/>
      <w:bookmarkStart w:id="186" w:name="_Toc184312096"/>
      <w:bookmarkEnd w:id="186"/>
      <w:bookmarkStart w:id="187" w:name="_Toc184308061"/>
      <w:bookmarkEnd w:id="187"/>
      <w:bookmarkStart w:id="188" w:name="_Toc184312105"/>
      <w:bookmarkEnd w:id="188"/>
      <w:bookmarkStart w:id="189" w:name="_Toc184313288"/>
      <w:bookmarkEnd w:id="189"/>
      <w:bookmarkStart w:id="190" w:name="_Toc184314456"/>
      <w:bookmarkEnd w:id="190"/>
      <w:bookmarkStart w:id="191" w:name="_Toc184310321"/>
      <w:bookmarkEnd w:id="191"/>
      <w:bookmarkStart w:id="192" w:name="_Toc184313244"/>
      <w:bookmarkEnd w:id="192"/>
      <w:bookmarkStart w:id="193" w:name="_Toc184312095"/>
      <w:bookmarkEnd w:id="193"/>
      <w:bookmarkStart w:id="194" w:name="_Toc184314482"/>
      <w:bookmarkEnd w:id="194"/>
      <w:bookmarkStart w:id="195" w:name="_Toc184313309"/>
      <w:bookmarkEnd w:id="195"/>
      <w:bookmarkStart w:id="196" w:name="_Toc184314434"/>
      <w:bookmarkEnd w:id="196"/>
      <w:bookmarkStart w:id="197" w:name="_Toc184314451"/>
      <w:bookmarkEnd w:id="197"/>
      <w:bookmarkStart w:id="198" w:name="_Toc184313279"/>
      <w:bookmarkEnd w:id="198"/>
      <w:bookmarkStart w:id="199" w:name="_Toc184312082"/>
      <w:bookmarkEnd w:id="199"/>
      <w:bookmarkStart w:id="200" w:name="_Toc184314457"/>
      <w:bookmarkEnd w:id="200"/>
      <w:bookmarkStart w:id="201" w:name="_Toc184308073"/>
      <w:bookmarkEnd w:id="201"/>
      <w:bookmarkStart w:id="202" w:name="_Toc184312090"/>
      <w:bookmarkEnd w:id="202"/>
      <w:bookmarkStart w:id="203" w:name="_Toc184310288"/>
      <w:bookmarkEnd w:id="203"/>
      <w:bookmarkStart w:id="204" w:name="_Toc184313250"/>
      <w:bookmarkEnd w:id="204"/>
      <w:bookmarkStart w:id="205" w:name="_Toc184310330"/>
      <w:bookmarkEnd w:id="205"/>
      <w:bookmarkStart w:id="206" w:name="_Toc184308067"/>
      <w:bookmarkEnd w:id="206"/>
      <w:bookmarkStart w:id="207" w:name="_Toc184310334"/>
      <w:bookmarkEnd w:id="207"/>
      <w:bookmarkStart w:id="208" w:name="_Toc184310308"/>
      <w:bookmarkEnd w:id="208"/>
      <w:bookmarkStart w:id="209" w:name="_Toc184310307"/>
      <w:bookmarkEnd w:id="209"/>
      <w:bookmarkStart w:id="210" w:name="_Toc184310273"/>
      <w:bookmarkEnd w:id="210"/>
      <w:bookmarkStart w:id="211" w:name="_Toc184308087"/>
      <w:bookmarkEnd w:id="211"/>
      <w:bookmarkStart w:id="212" w:name="_Toc184310320"/>
      <w:bookmarkEnd w:id="212"/>
      <w:bookmarkStart w:id="213" w:name="_Toc184313270"/>
      <w:bookmarkEnd w:id="213"/>
      <w:bookmarkStart w:id="214" w:name="_Toc184308039"/>
      <w:bookmarkEnd w:id="214"/>
      <w:bookmarkStart w:id="215" w:name="_Toc184314462"/>
      <w:bookmarkEnd w:id="215"/>
      <w:bookmarkStart w:id="216" w:name="_Toc184312131"/>
      <w:bookmarkEnd w:id="216"/>
      <w:bookmarkStart w:id="217" w:name="_Toc184308071"/>
      <w:bookmarkEnd w:id="217"/>
      <w:bookmarkStart w:id="218" w:name="_Toc184308054"/>
      <w:bookmarkEnd w:id="218"/>
      <w:bookmarkStart w:id="219" w:name="_Toc184312126"/>
      <w:bookmarkEnd w:id="219"/>
      <w:bookmarkStart w:id="220" w:name="_Toc184313268"/>
      <w:bookmarkEnd w:id="220"/>
      <w:bookmarkStart w:id="221" w:name="_Toc184313301"/>
      <w:bookmarkEnd w:id="221"/>
      <w:bookmarkStart w:id="222" w:name="_Toc184313239"/>
      <w:bookmarkEnd w:id="222"/>
      <w:bookmarkStart w:id="223" w:name="_Toc184312115"/>
      <w:bookmarkEnd w:id="223"/>
      <w:bookmarkStart w:id="224" w:name="_Toc184313306"/>
      <w:bookmarkEnd w:id="224"/>
      <w:bookmarkStart w:id="225" w:name="_Toc184308097"/>
      <w:bookmarkEnd w:id="225"/>
      <w:bookmarkStart w:id="226" w:name="_Toc184313275"/>
      <w:bookmarkEnd w:id="226"/>
      <w:bookmarkStart w:id="227" w:name="_Toc184312099"/>
      <w:bookmarkEnd w:id="227"/>
      <w:bookmarkStart w:id="228" w:name="_Toc184308036"/>
      <w:bookmarkEnd w:id="228"/>
      <w:bookmarkStart w:id="229" w:name="_Toc184308084"/>
      <w:bookmarkEnd w:id="229"/>
      <w:bookmarkStart w:id="230" w:name="_Toc184310274"/>
      <w:bookmarkEnd w:id="230"/>
      <w:bookmarkStart w:id="231" w:name="_Toc184312107"/>
      <w:bookmarkEnd w:id="231"/>
      <w:bookmarkStart w:id="232" w:name="_Toc184313291"/>
      <w:bookmarkEnd w:id="232"/>
      <w:bookmarkStart w:id="233" w:name="_Toc184312136"/>
      <w:bookmarkEnd w:id="233"/>
      <w:bookmarkStart w:id="234" w:name="_Toc184308053"/>
      <w:bookmarkEnd w:id="234"/>
      <w:bookmarkStart w:id="235" w:name="_Toc184314476"/>
      <w:bookmarkEnd w:id="235"/>
      <w:bookmarkStart w:id="236" w:name="_Toc184308086"/>
      <w:bookmarkEnd w:id="236"/>
      <w:bookmarkStart w:id="237" w:name="_Toc184312138"/>
      <w:bookmarkEnd w:id="237"/>
      <w:bookmarkStart w:id="238" w:name="_Toc184313280"/>
      <w:bookmarkEnd w:id="238"/>
      <w:bookmarkStart w:id="239" w:name="_Toc184312078"/>
      <w:bookmarkEnd w:id="239"/>
      <w:bookmarkStart w:id="240" w:name="_Toc184308103"/>
      <w:bookmarkEnd w:id="240"/>
      <w:bookmarkStart w:id="241" w:name="_Toc184310287"/>
      <w:bookmarkEnd w:id="241"/>
      <w:bookmarkStart w:id="242" w:name="_Toc184313249"/>
      <w:bookmarkEnd w:id="242"/>
      <w:bookmarkStart w:id="243" w:name="_Toc184312086"/>
      <w:bookmarkEnd w:id="243"/>
      <w:bookmarkStart w:id="244" w:name="_Toc184313264"/>
      <w:bookmarkEnd w:id="244"/>
      <w:bookmarkStart w:id="245" w:name="_Toc184313248"/>
      <w:bookmarkEnd w:id="245"/>
      <w:bookmarkStart w:id="246" w:name="_Toc184314440"/>
      <w:bookmarkEnd w:id="246"/>
      <w:bookmarkStart w:id="247" w:name="_Toc184313267"/>
      <w:bookmarkEnd w:id="247"/>
      <w:bookmarkStart w:id="248" w:name="_Toc184313285"/>
      <w:bookmarkEnd w:id="248"/>
      <w:bookmarkStart w:id="249" w:name="_Toc184308082"/>
      <w:bookmarkEnd w:id="249"/>
      <w:bookmarkStart w:id="250" w:name="_Toc184314415"/>
      <w:bookmarkEnd w:id="250"/>
      <w:bookmarkStart w:id="251" w:name="_Toc184310294"/>
      <w:bookmarkEnd w:id="251"/>
      <w:bookmarkStart w:id="252" w:name="_Toc184314442"/>
      <w:bookmarkEnd w:id="252"/>
      <w:bookmarkStart w:id="253" w:name="_Toc184312097"/>
      <w:bookmarkEnd w:id="253"/>
      <w:bookmarkStart w:id="254" w:name="_Toc184310281"/>
      <w:bookmarkEnd w:id="254"/>
      <w:bookmarkStart w:id="255" w:name="_Toc184310276"/>
      <w:bookmarkEnd w:id="255"/>
      <w:bookmarkStart w:id="256" w:name="_Toc184312127"/>
      <w:bookmarkEnd w:id="256"/>
      <w:bookmarkStart w:id="257" w:name="_Toc184308098"/>
      <w:bookmarkEnd w:id="257"/>
      <w:bookmarkStart w:id="258" w:name="_Toc184314419"/>
      <w:bookmarkEnd w:id="258"/>
      <w:bookmarkStart w:id="259" w:name="_Toc184313300"/>
      <w:bookmarkEnd w:id="259"/>
      <w:bookmarkStart w:id="260" w:name="_Toc184314459"/>
      <w:bookmarkEnd w:id="260"/>
      <w:bookmarkStart w:id="261" w:name="_Toc184314445"/>
      <w:bookmarkEnd w:id="261"/>
      <w:bookmarkStart w:id="262" w:name="_Toc184312098"/>
      <w:bookmarkEnd w:id="262"/>
      <w:bookmarkStart w:id="263" w:name="_Toc184308081"/>
      <w:bookmarkEnd w:id="263"/>
      <w:bookmarkStart w:id="264" w:name="_Toc184310313"/>
      <w:bookmarkEnd w:id="264"/>
      <w:bookmarkStart w:id="265" w:name="_Toc184314463"/>
      <w:bookmarkEnd w:id="265"/>
      <w:bookmarkStart w:id="266" w:name="_Toc184308106"/>
      <w:bookmarkEnd w:id="266"/>
      <w:bookmarkStart w:id="267" w:name="_Toc184313262"/>
      <w:bookmarkEnd w:id="267"/>
      <w:bookmarkStart w:id="268" w:name="_Toc184314423"/>
      <w:bookmarkEnd w:id="268"/>
      <w:bookmarkStart w:id="269" w:name="_Toc184310306"/>
      <w:bookmarkEnd w:id="269"/>
      <w:bookmarkStart w:id="270" w:name="_Toc184314468"/>
      <w:bookmarkEnd w:id="270"/>
      <w:bookmarkStart w:id="271" w:name="_Toc184312067"/>
      <w:bookmarkEnd w:id="271"/>
      <w:bookmarkStart w:id="272" w:name="_Toc184313259"/>
      <w:bookmarkEnd w:id="272"/>
      <w:bookmarkStart w:id="273" w:name="_Toc184312119"/>
      <w:bookmarkEnd w:id="273"/>
      <w:bookmarkStart w:id="274" w:name="_Toc184312108"/>
      <w:bookmarkEnd w:id="274"/>
      <w:bookmarkStart w:id="275" w:name="_Toc184312123"/>
      <w:bookmarkEnd w:id="275"/>
      <w:bookmarkStart w:id="276" w:name="_Toc184308045"/>
      <w:bookmarkEnd w:id="276"/>
      <w:bookmarkStart w:id="277" w:name="_Toc184312094"/>
      <w:bookmarkEnd w:id="277"/>
      <w:bookmarkStart w:id="278" w:name="_Toc184312125"/>
      <w:bookmarkEnd w:id="278"/>
      <w:bookmarkStart w:id="279" w:name="_Toc184308077"/>
      <w:bookmarkEnd w:id="279"/>
      <w:bookmarkStart w:id="280" w:name="_Toc184308075"/>
      <w:bookmarkEnd w:id="280"/>
      <w:bookmarkStart w:id="281" w:name="_Toc184314437"/>
      <w:bookmarkEnd w:id="281"/>
      <w:bookmarkStart w:id="282" w:name="_Toc184310301"/>
      <w:bookmarkEnd w:id="282"/>
      <w:bookmarkStart w:id="283" w:name="_Toc184310296"/>
      <w:bookmarkEnd w:id="283"/>
      <w:bookmarkStart w:id="284" w:name="_Toc184313297"/>
      <w:bookmarkEnd w:id="284"/>
      <w:bookmarkStart w:id="285" w:name="_Toc184310343"/>
      <w:bookmarkEnd w:id="285"/>
      <w:bookmarkStart w:id="286" w:name="_Toc184314420"/>
      <w:bookmarkEnd w:id="286"/>
      <w:bookmarkStart w:id="287" w:name="_Toc184308044"/>
      <w:bookmarkEnd w:id="287"/>
      <w:bookmarkStart w:id="288" w:name="_Toc184314425"/>
      <w:bookmarkEnd w:id="288"/>
      <w:bookmarkStart w:id="289" w:name="_Toc184308057"/>
      <w:bookmarkEnd w:id="289"/>
      <w:bookmarkStart w:id="290" w:name="_Toc184310277"/>
      <w:bookmarkEnd w:id="290"/>
      <w:bookmarkStart w:id="291" w:name="_Toc184312083"/>
      <w:bookmarkEnd w:id="291"/>
      <w:bookmarkStart w:id="292" w:name="_Toc184314454"/>
      <w:bookmarkEnd w:id="292"/>
      <w:bookmarkStart w:id="293" w:name="_Toc184313290"/>
      <w:bookmarkEnd w:id="293"/>
      <w:bookmarkStart w:id="294" w:name="_Toc184313294"/>
      <w:bookmarkEnd w:id="294"/>
      <w:bookmarkStart w:id="295" w:name="_Toc184310312"/>
      <w:bookmarkEnd w:id="295"/>
      <w:bookmarkStart w:id="296" w:name="_Toc184310309"/>
      <w:bookmarkEnd w:id="296"/>
      <w:bookmarkStart w:id="297" w:name="_Toc184312093"/>
      <w:bookmarkEnd w:id="297"/>
      <w:bookmarkStart w:id="298" w:name="_Toc184312084"/>
      <w:bookmarkEnd w:id="298"/>
      <w:bookmarkStart w:id="299" w:name="_Toc184312081"/>
      <w:bookmarkEnd w:id="299"/>
      <w:bookmarkStart w:id="300" w:name="_Toc184308080"/>
      <w:bookmarkEnd w:id="300"/>
      <w:bookmarkStart w:id="301" w:name="_Toc184314422"/>
      <w:bookmarkEnd w:id="301"/>
      <w:bookmarkStart w:id="302" w:name="_Toc184308059"/>
      <w:bookmarkEnd w:id="302"/>
      <w:bookmarkStart w:id="303" w:name="_Toc184308069"/>
      <w:bookmarkEnd w:id="303"/>
      <w:bookmarkStart w:id="304" w:name="_Toc184313281"/>
      <w:bookmarkEnd w:id="304"/>
      <w:bookmarkStart w:id="305" w:name="_Toc184314430"/>
      <w:bookmarkEnd w:id="305"/>
      <w:bookmarkStart w:id="306" w:name="_Toc184308085"/>
      <w:bookmarkEnd w:id="306"/>
      <w:bookmarkStart w:id="307" w:name="_Toc184314443"/>
      <w:bookmarkEnd w:id="307"/>
      <w:bookmarkStart w:id="308" w:name="_Toc184308092"/>
      <w:bookmarkEnd w:id="308"/>
      <w:bookmarkStart w:id="309" w:name="_Toc184314429"/>
      <w:bookmarkEnd w:id="309"/>
      <w:bookmarkStart w:id="310" w:name="_Toc184310322"/>
      <w:bookmarkEnd w:id="310"/>
      <w:bookmarkStart w:id="311" w:name="_Toc184313292"/>
      <w:bookmarkEnd w:id="311"/>
      <w:bookmarkStart w:id="312" w:name="_Toc184313242"/>
      <w:bookmarkEnd w:id="312"/>
      <w:bookmarkStart w:id="313" w:name="_Toc184312112"/>
      <w:bookmarkEnd w:id="313"/>
      <w:bookmarkStart w:id="314" w:name="_Toc184313238"/>
      <w:bookmarkEnd w:id="314"/>
      <w:bookmarkStart w:id="315" w:name="_Toc184308043"/>
      <w:bookmarkEnd w:id="315"/>
      <w:bookmarkStart w:id="316" w:name="_Toc184310332"/>
      <w:bookmarkEnd w:id="316"/>
      <w:bookmarkStart w:id="317" w:name="_Toc184314411"/>
      <w:bookmarkEnd w:id="317"/>
      <w:bookmarkStart w:id="318" w:name="_Toc184310285"/>
      <w:bookmarkEnd w:id="318"/>
      <w:bookmarkStart w:id="319" w:name="_Toc184313263"/>
      <w:bookmarkEnd w:id="319"/>
      <w:bookmarkStart w:id="320" w:name="_Toc184312074"/>
      <w:bookmarkEnd w:id="320"/>
      <w:bookmarkStart w:id="321" w:name="_Toc184313257"/>
      <w:bookmarkEnd w:id="321"/>
      <w:bookmarkStart w:id="322" w:name="_Toc184314478"/>
      <w:bookmarkEnd w:id="322"/>
      <w:bookmarkStart w:id="323" w:name="_Toc184313302"/>
      <w:bookmarkEnd w:id="323"/>
      <w:bookmarkStart w:id="324" w:name="_Toc184308102"/>
      <w:bookmarkEnd w:id="324"/>
      <w:bookmarkStart w:id="325" w:name="_Toc184308079"/>
      <w:bookmarkEnd w:id="325"/>
      <w:bookmarkStart w:id="326" w:name="_Toc184308072"/>
      <w:bookmarkEnd w:id="326"/>
      <w:bookmarkStart w:id="327" w:name="_Toc184308100"/>
      <w:bookmarkEnd w:id="327"/>
      <w:bookmarkStart w:id="328" w:name="_Toc184314439"/>
      <w:bookmarkEnd w:id="328"/>
      <w:bookmarkStart w:id="329" w:name="_Toc184313296"/>
      <w:bookmarkEnd w:id="329"/>
      <w:bookmarkStart w:id="330" w:name="_Toc184312092"/>
      <w:bookmarkEnd w:id="330"/>
      <w:bookmarkStart w:id="331" w:name="_Toc184308058"/>
      <w:bookmarkEnd w:id="331"/>
      <w:bookmarkStart w:id="332" w:name="_Toc184314479"/>
      <w:bookmarkEnd w:id="332"/>
      <w:bookmarkStart w:id="333" w:name="_Toc184313287"/>
      <w:bookmarkEnd w:id="333"/>
      <w:bookmarkStart w:id="334" w:name="_Toc184308078"/>
      <w:bookmarkEnd w:id="334"/>
      <w:bookmarkStart w:id="335" w:name="_Toc184312072"/>
      <w:bookmarkEnd w:id="335"/>
      <w:bookmarkStart w:id="336" w:name="_Toc184310302"/>
      <w:bookmarkEnd w:id="336"/>
      <w:bookmarkStart w:id="337" w:name="_Toc184308066"/>
      <w:bookmarkEnd w:id="337"/>
      <w:bookmarkStart w:id="338" w:name="_Toc184312106"/>
      <w:bookmarkEnd w:id="338"/>
      <w:bookmarkStart w:id="339" w:name="_Toc184312137"/>
      <w:bookmarkEnd w:id="339"/>
      <w:bookmarkStart w:id="340" w:name="_Toc184313246"/>
      <w:bookmarkEnd w:id="340"/>
      <w:bookmarkStart w:id="341" w:name="_Toc184308040"/>
      <w:bookmarkEnd w:id="341"/>
      <w:bookmarkStart w:id="342" w:name="_Toc184310315"/>
      <w:bookmarkEnd w:id="342"/>
      <w:bookmarkStart w:id="343" w:name="_Toc184314472"/>
      <w:bookmarkEnd w:id="343"/>
      <w:bookmarkStart w:id="344" w:name="_Toc184312113"/>
      <w:bookmarkEnd w:id="344"/>
      <w:bookmarkStart w:id="345" w:name="_Toc184310286"/>
      <w:bookmarkEnd w:id="345"/>
      <w:bookmarkStart w:id="346" w:name="_Toc184310310"/>
      <w:bookmarkEnd w:id="346"/>
      <w:bookmarkStart w:id="347" w:name="_Toc184310324"/>
      <w:bookmarkEnd w:id="347"/>
      <w:bookmarkStart w:id="348" w:name="_Toc184314428"/>
      <w:bookmarkEnd w:id="348"/>
      <w:bookmarkStart w:id="349" w:name="_Toc184314441"/>
      <w:bookmarkEnd w:id="349"/>
      <w:bookmarkStart w:id="350" w:name="_Toc184308048"/>
      <w:bookmarkEnd w:id="350"/>
      <w:bookmarkStart w:id="351" w:name="_Toc184308050"/>
      <w:bookmarkEnd w:id="351"/>
      <w:bookmarkStart w:id="352" w:name="_Toc184310337"/>
      <w:bookmarkEnd w:id="352"/>
      <w:bookmarkStart w:id="353" w:name="_Toc184312068"/>
      <w:bookmarkEnd w:id="353"/>
      <w:bookmarkStart w:id="354" w:name="_Toc184312114"/>
      <w:bookmarkEnd w:id="354"/>
      <w:bookmarkStart w:id="355" w:name="_Toc184310282"/>
      <w:bookmarkEnd w:id="355"/>
      <w:bookmarkStart w:id="356" w:name="_Toc184310344"/>
      <w:bookmarkEnd w:id="356"/>
      <w:bookmarkStart w:id="357" w:name="_Toc184310335"/>
      <w:bookmarkEnd w:id="357"/>
      <w:bookmarkStart w:id="358" w:name="_Toc184314444"/>
      <w:bookmarkEnd w:id="358"/>
      <w:bookmarkStart w:id="359" w:name="_Toc184313274"/>
      <w:bookmarkEnd w:id="359"/>
      <w:bookmarkStart w:id="360" w:name="_Toc184313284"/>
      <w:bookmarkEnd w:id="360"/>
      <w:bookmarkStart w:id="361" w:name="_Toc184312073"/>
      <w:bookmarkEnd w:id="361"/>
      <w:bookmarkStart w:id="362" w:name="_Toc184313286"/>
      <w:bookmarkEnd w:id="362"/>
      <w:bookmarkStart w:id="363" w:name="_Toc184312109"/>
      <w:bookmarkEnd w:id="363"/>
      <w:bookmarkStart w:id="364" w:name="_Toc184314471"/>
      <w:bookmarkEnd w:id="364"/>
      <w:bookmarkStart w:id="365" w:name="_Toc184312139"/>
      <w:bookmarkEnd w:id="365"/>
      <w:bookmarkStart w:id="366" w:name="_Toc184310290"/>
      <w:bookmarkEnd w:id="366"/>
      <w:bookmarkStart w:id="367" w:name="_Toc184314427"/>
      <w:bookmarkEnd w:id="367"/>
      <w:bookmarkStart w:id="368" w:name="_Toc184313276"/>
      <w:bookmarkEnd w:id="368"/>
      <w:bookmarkStart w:id="369" w:name="_Toc184310325"/>
      <w:bookmarkEnd w:id="369"/>
      <w:bookmarkStart w:id="370" w:name="_Toc184308070"/>
      <w:bookmarkEnd w:id="370"/>
      <w:bookmarkStart w:id="371" w:name="_Toc184313253"/>
      <w:bookmarkEnd w:id="371"/>
      <w:bookmarkStart w:id="372" w:name="_Toc184313271"/>
      <w:bookmarkEnd w:id="372"/>
      <w:bookmarkStart w:id="373" w:name="_Toc184308099"/>
      <w:bookmarkEnd w:id="373"/>
      <w:bookmarkStart w:id="374" w:name="_Toc184312085"/>
      <w:bookmarkEnd w:id="374"/>
      <w:bookmarkStart w:id="375" w:name="_Toc184308038"/>
      <w:bookmarkEnd w:id="375"/>
      <w:bookmarkStart w:id="376" w:name="_Toc184310326"/>
      <w:bookmarkEnd w:id="376"/>
      <w:bookmarkStart w:id="377" w:name="_Toc184314460"/>
      <w:bookmarkEnd w:id="377"/>
      <w:bookmarkStart w:id="378" w:name="_Toc184310299"/>
      <w:bookmarkEnd w:id="378"/>
      <w:bookmarkStart w:id="379" w:name="_Toc184310293"/>
      <w:bookmarkEnd w:id="379"/>
      <w:bookmarkStart w:id="380" w:name="_Toc184314464"/>
      <w:bookmarkEnd w:id="380"/>
      <w:bookmarkStart w:id="381" w:name="_Toc184314474"/>
      <w:bookmarkEnd w:id="381"/>
      <w:bookmarkStart w:id="382" w:name="_Toc184310336"/>
      <w:bookmarkEnd w:id="382"/>
      <w:bookmarkStart w:id="383" w:name="_Toc184314435"/>
      <w:bookmarkEnd w:id="383"/>
      <w:bookmarkStart w:id="384" w:name="_Toc184314455"/>
      <w:bookmarkEnd w:id="384"/>
      <w:bookmarkStart w:id="385" w:name="_Toc184312128"/>
      <w:bookmarkEnd w:id="385"/>
      <w:bookmarkStart w:id="386" w:name="_Toc184310340"/>
      <w:bookmarkEnd w:id="386"/>
      <w:bookmarkStart w:id="387" w:name="_Toc184314453"/>
      <w:bookmarkEnd w:id="387"/>
      <w:bookmarkStart w:id="388" w:name="_Toc184308093"/>
      <w:bookmarkEnd w:id="388"/>
      <w:bookmarkStart w:id="389" w:name="_Toc184312124"/>
      <w:bookmarkEnd w:id="389"/>
      <w:bookmarkStart w:id="390" w:name="_Toc184312104"/>
      <w:bookmarkEnd w:id="390"/>
      <w:bookmarkStart w:id="391" w:name="_Toc184308060"/>
      <w:bookmarkEnd w:id="391"/>
      <w:bookmarkStart w:id="392" w:name="_Toc184308095"/>
      <w:bookmarkEnd w:id="392"/>
      <w:bookmarkStart w:id="393" w:name="_Toc184310318"/>
      <w:bookmarkEnd w:id="393"/>
      <w:bookmarkStart w:id="394" w:name="_Toc184313305"/>
      <w:bookmarkEnd w:id="394"/>
      <w:bookmarkStart w:id="395" w:name="_Toc184314458"/>
      <w:bookmarkEnd w:id="395"/>
      <w:bookmarkStart w:id="396" w:name="_Toc184308051"/>
      <w:bookmarkEnd w:id="396"/>
      <w:bookmarkStart w:id="397" w:name="_Toc184313261"/>
      <w:bookmarkEnd w:id="397"/>
      <w:bookmarkStart w:id="398" w:name="_Toc184313243"/>
      <w:bookmarkEnd w:id="398"/>
      <w:bookmarkStart w:id="399" w:name="_Toc184310275"/>
      <w:bookmarkEnd w:id="399"/>
      <w:bookmarkStart w:id="400" w:name="_Toc184308047"/>
      <w:bookmarkEnd w:id="400"/>
      <w:bookmarkStart w:id="401" w:name="_Toc184313295"/>
      <w:bookmarkEnd w:id="401"/>
      <w:bookmarkStart w:id="402" w:name="_Toc184314481"/>
      <w:bookmarkEnd w:id="402"/>
      <w:bookmarkStart w:id="403" w:name="_Toc184310280"/>
      <w:bookmarkEnd w:id="403"/>
      <w:r>
        <w:rPr>
          <w:rFonts w:hint="eastAsia" w:ascii="宋体" w:hAnsi="宋体" w:cs="宋体"/>
          <w:b/>
          <w:color w:val="auto"/>
          <w:sz w:val="36"/>
          <w:szCs w:val="36"/>
          <w:highlight w:val="none"/>
        </w:rPr>
        <w:t>评标办法</w:t>
      </w:r>
    </w:p>
    <w:p w14:paraId="3901B68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525" w:tblpY="867"/>
        <w:tblW w:w="11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761"/>
        <w:gridCol w:w="571"/>
        <w:gridCol w:w="1080"/>
        <w:gridCol w:w="2111"/>
      </w:tblGrid>
      <w:tr w14:paraId="029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58" w:type="dxa"/>
            <w:vAlign w:val="center"/>
          </w:tcPr>
          <w:p w14:paraId="727AB57A">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61" w:type="dxa"/>
            <w:vAlign w:val="center"/>
          </w:tcPr>
          <w:p w14:paraId="380117F1">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71" w:type="dxa"/>
            <w:vAlign w:val="center"/>
          </w:tcPr>
          <w:p w14:paraId="2961CF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80" w:type="dxa"/>
            <w:vAlign w:val="top"/>
          </w:tcPr>
          <w:p w14:paraId="06526B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2111" w:type="dxa"/>
            <w:vAlign w:val="top"/>
          </w:tcPr>
          <w:p w14:paraId="10B1169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 *</w:t>
            </w:r>
          </w:p>
        </w:tc>
      </w:tr>
      <w:tr w14:paraId="3C0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16A250B9">
            <w:pPr>
              <w:spacing w:line="360" w:lineRule="auto"/>
              <w:ind w:firstLine="240" w:firstLineChars="100"/>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761" w:type="dxa"/>
            <w:vAlign w:val="center"/>
          </w:tcPr>
          <w:p w14:paraId="4C03CC89">
            <w:pPr>
              <w:pStyle w:val="5"/>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负责人具有市政公用工程专业二级及以上建造师执业资格证书，且同时具备有中级及以上工程师职称(市政专业或给排水专业)得4分；本项最高得4分（需提供证书及开标前本单位3个月及以上社保缴纳证明，缺一项得不得分）</w:t>
            </w:r>
          </w:p>
          <w:p w14:paraId="6F68A2A8">
            <w:pPr>
              <w:pStyle w:val="5"/>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2、技术负责人具备有中级及以上工程师职称(市政专业或给排水专业)得2分；本项最高得2分（需提供证书及开标前本单位3个月及以上社保缴纳证明，缺一项得不得分）</w:t>
            </w:r>
          </w:p>
          <w:p w14:paraId="2E96DD12">
            <w:pPr>
              <w:pStyle w:val="5"/>
              <w:ind w:left="0" w:leftChars="0" w:firstLine="0" w:firstLineChars="0"/>
              <w:rPr>
                <w:rFonts w:hint="eastAsia" w:ascii="宋体" w:hAnsi="宋体" w:eastAsia="宋体" w:cs="宋体"/>
                <w:lang w:val="en-US" w:eastAsia="zh-CN"/>
              </w:rPr>
            </w:pPr>
            <w:r>
              <w:rPr>
                <w:rFonts w:hint="eastAsia" w:ascii="宋体" w:hAnsi="宋体" w:eastAsia="宋体" w:cs="宋体"/>
                <w:color w:val="auto"/>
                <w:sz w:val="24"/>
                <w:szCs w:val="24"/>
                <w:lang w:val="en-US" w:eastAsia="zh-CN"/>
              </w:rPr>
              <w:t>（以上项目负责人与技术负责人不能为同一人。）</w:t>
            </w:r>
          </w:p>
          <w:p w14:paraId="0F307BAD">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auto"/>
                <w:sz w:val="24"/>
                <w:szCs w:val="24"/>
                <w:lang w:eastAsia="zh-CN"/>
              </w:rPr>
              <w:t>（以上证明文件需复印件或扫描件加盖公章</w:t>
            </w:r>
            <w:r>
              <w:rPr>
                <w:rFonts w:hint="eastAsia" w:ascii="宋体" w:hAnsi="宋体" w:eastAsia="宋体" w:cs="宋体"/>
                <w:b/>
                <w:color w:val="auto"/>
                <w:sz w:val="24"/>
                <w:szCs w:val="24"/>
                <w:lang w:val="en-US" w:eastAsia="zh-CN"/>
              </w:rPr>
              <w:t>，否则不得分</w:t>
            </w:r>
            <w:r>
              <w:rPr>
                <w:rFonts w:hint="eastAsia" w:ascii="宋体" w:hAnsi="宋体" w:eastAsia="宋体" w:cs="宋体"/>
                <w:b/>
                <w:color w:val="auto"/>
                <w:sz w:val="24"/>
                <w:szCs w:val="24"/>
                <w:lang w:eastAsia="zh-CN"/>
              </w:rPr>
              <w:t>）</w:t>
            </w:r>
          </w:p>
        </w:tc>
        <w:tc>
          <w:tcPr>
            <w:tcW w:w="571" w:type="dxa"/>
            <w:vAlign w:val="center"/>
          </w:tcPr>
          <w:p w14:paraId="2D8856A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80" w:type="dxa"/>
            <w:vAlign w:val="center"/>
          </w:tcPr>
          <w:p w14:paraId="6C966449">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47D36317">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主要人员</w:t>
            </w:r>
          </w:p>
        </w:tc>
      </w:tr>
      <w:tr w14:paraId="405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58" w:type="dxa"/>
            <w:vAlign w:val="center"/>
          </w:tcPr>
          <w:p w14:paraId="4FAB03B6">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761" w:type="dxa"/>
            <w:vAlign w:val="center"/>
          </w:tcPr>
          <w:p w14:paraId="56880D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投标人针对本项目配备的</w:t>
            </w:r>
            <w:r>
              <w:rPr>
                <w:rFonts w:hint="eastAsia" w:ascii="宋体" w:hAnsi="宋体" w:eastAsia="宋体" w:cs="宋体"/>
                <w:bCs/>
                <w:color w:val="auto"/>
                <w:sz w:val="24"/>
                <w:szCs w:val="24"/>
                <w:lang w:eastAsia="zh-CN"/>
              </w:rPr>
              <w:t>设备</w:t>
            </w:r>
            <w:r>
              <w:rPr>
                <w:rFonts w:hint="eastAsia" w:ascii="宋体" w:hAnsi="宋体" w:eastAsia="宋体" w:cs="宋体"/>
                <w:bCs/>
                <w:color w:val="auto"/>
                <w:sz w:val="24"/>
                <w:szCs w:val="24"/>
              </w:rPr>
              <w:t>情况：</w:t>
            </w:r>
          </w:p>
          <w:p w14:paraId="1CFA01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1、投标人自有或租赁工具车（货车）</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辆</w:t>
            </w:r>
            <w:r>
              <w:rPr>
                <w:rFonts w:hint="eastAsia" w:ascii="宋体" w:hAnsi="宋体" w:eastAsia="宋体" w:cs="宋体"/>
                <w:color w:val="auto"/>
                <w:sz w:val="24"/>
                <w:szCs w:val="24"/>
                <w:lang w:eastAsia="zh-CN"/>
              </w:rPr>
              <w:t>及以上</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 xml:space="preserve"> 5</w:t>
            </w:r>
            <w:r>
              <w:rPr>
                <w:rFonts w:hint="eastAsia" w:ascii="宋体" w:hAnsi="宋体" w:eastAsia="宋体" w:cs="宋体"/>
                <w:color w:val="auto"/>
                <w:sz w:val="24"/>
                <w:szCs w:val="24"/>
              </w:rPr>
              <w:t xml:space="preserve">分，最高得分 </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53095E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2、投标人自有或租赁</w:t>
            </w:r>
            <w:r>
              <w:rPr>
                <w:rFonts w:hint="eastAsia" w:ascii="宋体" w:hAnsi="宋体" w:eastAsia="宋体" w:cs="宋体"/>
                <w:color w:val="auto"/>
                <w:sz w:val="24"/>
                <w:szCs w:val="24"/>
                <w:lang w:eastAsia="zh-CN"/>
              </w:rPr>
              <w:t>挖掘机</w:t>
            </w:r>
            <w:r>
              <w:rPr>
                <w:rFonts w:hint="eastAsia" w:ascii="宋体" w:hAnsi="宋体" w:eastAsia="宋体" w:cs="宋体"/>
                <w:color w:val="auto"/>
                <w:sz w:val="24"/>
                <w:szCs w:val="24"/>
              </w:rPr>
              <w:t>有一辆</w:t>
            </w:r>
            <w:r>
              <w:rPr>
                <w:rFonts w:hint="eastAsia" w:ascii="宋体" w:hAnsi="宋体" w:eastAsia="宋体" w:cs="宋体"/>
                <w:color w:val="auto"/>
                <w:sz w:val="24"/>
                <w:szCs w:val="24"/>
                <w:lang w:eastAsia="zh-CN"/>
              </w:rPr>
              <w:t>及以上</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4C754549">
            <w:pPr>
              <w:spacing w:line="360" w:lineRule="auto"/>
              <w:outlineLvl w:val="0"/>
              <w:rPr>
                <w:rFonts w:hint="eastAsia"/>
              </w:rPr>
            </w:pPr>
            <w:r>
              <w:rPr>
                <w:rFonts w:hint="eastAsia" w:ascii="宋体" w:hAnsi="宋体" w:eastAsia="宋体" w:cs="宋体"/>
                <w:b/>
                <w:color w:val="auto"/>
                <w:sz w:val="24"/>
                <w:szCs w:val="24"/>
                <w:lang w:eastAsia="zh-CN"/>
              </w:rPr>
              <w:t>（以上设备需自有或租赁，若自有需提供购买发票等证明文件复印件或扫描件加盖公章，若租赁</w:t>
            </w:r>
            <w:r>
              <w:rPr>
                <w:rFonts w:hint="eastAsia" w:ascii="宋体" w:hAnsi="宋体" w:cs="宋体"/>
                <w:b/>
                <w:color w:val="auto"/>
                <w:sz w:val="24"/>
                <w:szCs w:val="24"/>
                <w:lang w:eastAsia="zh-CN"/>
              </w:rPr>
              <w:t>还</w:t>
            </w:r>
            <w:r>
              <w:rPr>
                <w:rFonts w:hint="eastAsia" w:ascii="宋体" w:hAnsi="宋体" w:eastAsia="宋体" w:cs="宋体"/>
                <w:b/>
                <w:color w:val="auto"/>
                <w:sz w:val="24"/>
                <w:szCs w:val="24"/>
                <w:lang w:eastAsia="zh-CN"/>
              </w:rPr>
              <w:t>需提供租赁合同等证明文件复印件或扫描件加盖公章（租赁期需包含项目服务期）</w:t>
            </w:r>
            <w:r>
              <w:rPr>
                <w:rFonts w:hint="eastAsia" w:ascii="宋体" w:hAnsi="宋体" w:eastAsia="宋体" w:cs="宋体"/>
                <w:b/>
                <w:color w:val="auto"/>
                <w:sz w:val="24"/>
                <w:szCs w:val="24"/>
                <w:lang w:val="en-US" w:eastAsia="zh-CN"/>
              </w:rPr>
              <w:t>，工具车提供清晰带有车牌号的正面、后面、45度斜侧面的照片，挖掘机提供清晰的正面、后面、45度斜侧面的照片否则不得分</w:t>
            </w:r>
            <w:r>
              <w:rPr>
                <w:rFonts w:hint="eastAsia" w:ascii="宋体" w:hAnsi="宋体" w:eastAsia="宋体" w:cs="宋体"/>
                <w:b/>
                <w:color w:val="auto"/>
                <w:sz w:val="24"/>
                <w:szCs w:val="24"/>
                <w:lang w:eastAsia="zh-CN"/>
              </w:rPr>
              <w:t>）</w:t>
            </w:r>
          </w:p>
        </w:tc>
        <w:tc>
          <w:tcPr>
            <w:tcW w:w="571" w:type="dxa"/>
            <w:vAlign w:val="center"/>
          </w:tcPr>
          <w:p w14:paraId="2DB1BB55">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80" w:type="dxa"/>
            <w:vAlign w:val="center"/>
          </w:tcPr>
          <w:p w14:paraId="099E9C2B">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25E42585">
            <w:pPr>
              <w:spacing w:line="360" w:lineRule="auto"/>
              <w:jc w:val="center"/>
              <w:outlineLvl w:val="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设备投入</w:t>
            </w:r>
          </w:p>
        </w:tc>
      </w:tr>
      <w:tr w14:paraId="19D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58" w:type="dxa"/>
            <w:vAlign w:val="center"/>
          </w:tcPr>
          <w:p w14:paraId="334EA456">
            <w:pPr>
              <w:spacing w:line="360" w:lineRule="auto"/>
              <w:ind w:firstLine="240" w:firstLineChars="100"/>
              <w:jc w:val="center"/>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6761" w:type="dxa"/>
            <w:vAlign w:val="center"/>
          </w:tcPr>
          <w:p w14:paraId="2706C665">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w:t>
            </w:r>
            <w:r>
              <w:rPr>
                <w:rFonts w:hint="eastAsia" w:ascii="宋体" w:hAnsi="宋体" w:eastAsia="宋体" w:cs="宋体"/>
                <w:color w:val="auto"/>
                <w:sz w:val="24"/>
                <w:szCs w:val="24"/>
                <w:highlight w:val="none"/>
              </w:rPr>
              <w:t>以来承担过</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养护项目业绩的,一个得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分，最高得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时间以合同签订日期为准。</w:t>
            </w:r>
          </w:p>
          <w:p w14:paraId="724A105B">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rPr>
              <w:t>注：须提供合同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中标通知书</w:t>
            </w:r>
            <w:r>
              <w:rPr>
                <w:rFonts w:hint="eastAsia" w:ascii="宋体" w:hAnsi="宋体" w:cs="宋体"/>
                <w:b/>
                <w:bCs/>
                <w:color w:val="auto"/>
                <w:sz w:val="24"/>
                <w:szCs w:val="24"/>
                <w:highlight w:val="none"/>
                <w:lang w:eastAsia="zh-CN"/>
              </w:rPr>
              <w:t>的</w:t>
            </w:r>
            <w:r>
              <w:rPr>
                <w:rFonts w:hint="eastAsia" w:ascii="宋体" w:hAnsi="宋体" w:eastAsia="宋体" w:cs="宋体"/>
                <w:b/>
                <w:color w:val="auto"/>
                <w:sz w:val="24"/>
                <w:szCs w:val="24"/>
                <w:lang w:eastAsia="zh-CN"/>
              </w:rPr>
              <w:t>复印件或扫描件</w:t>
            </w:r>
            <w:r>
              <w:rPr>
                <w:rFonts w:hint="eastAsia" w:ascii="宋体" w:hAnsi="宋体" w:eastAsia="宋体" w:cs="宋体"/>
                <w:b/>
                <w:bCs/>
                <w:color w:val="auto"/>
                <w:spacing w:val="-1"/>
                <w:sz w:val="24"/>
                <w:szCs w:val="24"/>
                <w:highlight w:val="none"/>
              </w:rPr>
              <w:t>并加盖投标人公章</w:t>
            </w:r>
            <w:r>
              <w:rPr>
                <w:rFonts w:hint="eastAsia" w:ascii="宋体" w:hAnsi="宋体" w:eastAsia="宋体" w:cs="宋体"/>
                <w:b/>
                <w:bCs/>
                <w:color w:val="auto"/>
                <w:spacing w:val="-1"/>
                <w:sz w:val="24"/>
                <w:szCs w:val="24"/>
                <w:highlight w:val="none"/>
                <w:lang w:eastAsia="zh-CN"/>
              </w:rPr>
              <w:t>，否则不得分。</w:t>
            </w:r>
          </w:p>
        </w:tc>
        <w:tc>
          <w:tcPr>
            <w:tcW w:w="571" w:type="dxa"/>
            <w:vAlign w:val="center"/>
          </w:tcPr>
          <w:p w14:paraId="708B03A0">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80" w:type="dxa"/>
            <w:vAlign w:val="center"/>
          </w:tcPr>
          <w:p w14:paraId="2F983D47">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1C3BCE00">
            <w:pPr>
              <w:spacing w:line="360" w:lineRule="auto"/>
              <w:jc w:val="center"/>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业绩</w:t>
            </w:r>
          </w:p>
        </w:tc>
      </w:tr>
      <w:tr w14:paraId="6DF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58" w:type="dxa"/>
            <w:vAlign w:val="center"/>
          </w:tcPr>
          <w:p w14:paraId="16E659C0">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761" w:type="dxa"/>
            <w:vAlign w:val="center"/>
          </w:tcPr>
          <w:p w14:paraId="69B9D7FC">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lang w:val="en-US" w:eastAsia="zh-CN"/>
              </w:rPr>
            </w:pPr>
            <w:r>
              <w:rPr>
                <w:rFonts w:hint="eastAsia" w:ascii="宋体" w:hAnsi="宋体" w:eastAsia="宋体" w:cs="宋体"/>
                <w:b w:val="0"/>
                <w:bCs w:val="0"/>
                <w:kern w:val="2"/>
                <w:sz w:val="24"/>
                <w:szCs w:val="24"/>
                <w:lang w:val="zh-CN" w:eastAsia="zh-CN" w:bidi="zh-CN"/>
              </w:rPr>
              <w:t>投标单位具有质量管理体系认证证书的得</w:t>
            </w:r>
            <w:r>
              <w:rPr>
                <w:rFonts w:hint="eastAsia" w:ascii="宋体" w:hAnsi="宋体" w:eastAsia="宋体" w:cs="宋体"/>
                <w:b w:val="0"/>
                <w:bCs w:val="0"/>
                <w:kern w:val="2"/>
                <w:sz w:val="24"/>
                <w:szCs w:val="24"/>
                <w:lang w:val="en-US" w:eastAsia="zh-CN" w:bidi="zh-CN"/>
              </w:rPr>
              <w:t>2</w:t>
            </w:r>
            <w:r>
              <w:rPr>
                <w:rFonts w:hint="eastAsia" w:ascii="宋体" w:hAnsi="宋体" w:eastAsia="宋体" w:cs="宋体"/>
                <w:b w:val="0"/>
                <w:bCs w:val="0"/>
                <w:kern w:val="2"/>
                <w:sz w:val="24"/>
                <w:szCs w:val="24"/>
                <w:lang w:val="zh-CN" w:eastAsia="zh-CN" w:bidi="zh-CN"/>
              </w:rPr>
              <w:t>分；具有环境管理体系认证证书的得</w:t>
            </w:r>
            <w:r>
              <w:rPr>
                <w:rFonts w:hint="eastAsia" w:ascii="宋体" w:hAnsi="宋体" w:eastAsia="宋体" w:cs="宋体"/>
                <w:b w:val="0"/>
                <w:bCs w:val="0"/>
                <w:kern w:val="2"/>
                <w:sz w:val="24"/>
                <w:szCs w:val="24"/>
                <w:lang w:val="en-US" w:eastAsia="zh-CN" w:bidi="zh-CN"/>
              </w:rPr>
              <w:t>2</w:t>
            </w:r>
            <w:r>
              <w:rPr>
                <w:rFonts w:hint="eastAsia" w:ascii="宋体" w:hAnsi="宋体" w:eastAsia="宋体" w:cs="宋体"/>
                <w:b w:val="0"/>
                <w:bCs w:val="0"/>
                <w:kern w:val="2"/>
                <w:sz w:val="24"/>
                <w:szCs w:val="24"/>
                <w:lang w:val="zh-CN" w:eastAsia="zh-CN" w:bidi="zh-CN"/>
              </w:rPr>
              <w:t>分；具有职业健康安全管理体系认证证书的得</w:t>
            </w:r>
            <w:r>
              <w:rPr>
                <w:rFonts w:hint="eastAsia" w:ascii="宋体" w:hAnsi="宋体" w:eastAsia="宋体" w:cs="宋体"/>
                <w:b w:val="0"/>
                <w:bCs w:val="0"/>
                <w:kern w:val="2"/>
                <w:sz w:val="24"/>
                <w:szCs w:val="24"/>
                <w:lang w:val="en-US" w:eastAsia="zh-CN" w:bidi="zh-CN"/>
              </w:rPr>
              <w:t>2</w:t>
            </w:r>
            <w:r>
              <w:rPr>
                <w:rFonts w:hint="eastAsia" w:ascii="宋体" w:hAnsi="宋体" w:eastAsia="宋体" w:cs="宋体"/>
                <w:b w:val="0"/>
                <w:bCs w:val="0"/>
                <w:kern w:val="2"/>
                <w:sz w:val="24"/>
                <w:szCs w:val="24"/>
                <w:lang w:val="zh-CN" w:eastAsia="zh-CN" w:bidi="zh-CN"/>
              </w:rPr>
              <w:t>分；</w:t>
            </w:r>
            <w:r>
              <w:rPr>
                <w:rFonts w:hint="eastAsia" w:ascii="宋体" w:hAnsi="宋体" w:eastAsia="宋体" w:cs="宋体"/>
                <w:b/>
                <w:bCs/>
                <w:kern w:val="2"/>
                <w:sz w:val="24"/>
                <w:szCs w:val="24"/>
                <w:lang w:val="zh-CN" w:eastAsia="zh-CN" w:bidi="zh-CN"/>
              </w:rPr>
              <w:t>证书必须在有效期内。（投标人需</w:t>
            </w:r>
            <w:r>
              <w:rPr>
                <w:rFonts w:hint="eastAsia" w:ascii="宋体" w:hAnsi="宋体" w:eastAsia="宋体" w:cs="宋体"/>
                <w:b/>
                <w:bCs/>
                <w:kern w:val="2"/>
                <w:sz w:val="24"/>
                <w:szCs w:val="24"/>
                <w:lang w:val="en-US" w:eastAsia="zh-CN" w:bidi="zh-CN"/>
              </w:rPr>
              <w:t>提供</w:t>
            </w:r>
            <w:r>
              <w:rPr>
                <w:rFonts w:hint="eastAsia" w:ascii="宋体" w:hAnsi="宋体" w:eastAsia="宋体" w:cs="宋体"/>
                <w:b/>
                <w:bCs/>
                <w:kern w:val="2"/>
                <w:sz w:val="24"/>
                <w:szCs w:val="24"/>
                <w:lang w:val="zh-CN" w:eastAsia="zh-CN" w:bidi="zh-CN"/>
              </w:rPr>
              <w:t>复印件或扫描件</w:t>
            </w:r>
            <w:r>
              <w:rPr>
                <w:rFonts w:hint="eastAsia" w:cs="宋体"/>
                <w:b/>
                <w:bCs/>
                <w:kern w:val="2"/>
                <w:sz w:val="24"/>
                <w:szCs w:val="24"/>
                <w:lang w:val="zh-CN" w:eastAsia="zh-CN" w:bidi="zh-CN"/>
              </w:rPr>
              <w:t>并</w:t>
            </w:r>
            <w:r>
              <w:rPr>
                <w:rFonts w:hint="eastAsia" w:ascii="宋体" w:hAnsi="宋体" w:eastAsia="宋体" w:cs="宋体"/>
                <w:b/>
                <w:bCs/>
                <w:kern w:val="2"/>
                <w:sz w:val="24"/>
                <w:szCs w:val="24"/>
                <w:lang w:val="zh-CN" w:eastAsia="zh-CN" w:bidi="zh-CN"/>
              </w:rPr>
              <w:t>加盖公章</w:t>
            </w:r>
            <w:r>
              <w:rPr>
                <w:rFonts w:hint="eastAsia" w:ascii="宋体" w:hAnsi="宋体" w:eastAsia="宋体" w:cs="宋体"/>
                <w:b/>
                <w:bCs/>
                <w:kern w:val="2"/>
                <w:sz w:val="24"/>
                <w:szCs w:val="24"/>
                <w:lang w:val="en-US" w:eastAsia="zh-CN" w:bidi="zh-CN"/>
              </w:rPr>
              <w:t>，否则不得分</w:t>
            </w:r>
            <w:r>
              <w:rPr>
                <w:rFonts w:hint="eastAsia" w:ascii="宋体" w:hAnsi="宋体" w:eastAsia="宋体" w:cs="宋体"/>
                <w:b/>
                <w:bCs/>
                <w:kern w:val="2"/>
                <w:sz w:val="24"/>
                <w:szCs w:val="24"/>
                <w:lang w:val="zh-CN" w:eastAsia="zh-CN" w:bidi="zh-CN"/>
              </w:rPr>
              <w:t>）。</w:t>
            </w:r>
          </w:p>
        </w:tc>
        <w:tc>
          <w:tcPr>
            <w:tcW w:w="571" w:type="dxa"/>
            <w:vAlign w:val="center"/>
          </w:tcPr>
          <w:p w14:paraId="662FE3E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80" w:type="dxa"/>
            <w:vAlign w:val="center"/>
          </w:tcPr>
          <w:p w14:paraId="1F2232BA">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03F03755">
            <w:pPr>
              <w:spacing w:line="360" w:lineRule="auto"/>
              <w:jc w:val="center"/>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管理体系</w:t>
            </w:r>
          </w:p>
          <w:p w14:paraId="1207437E">
            <w:pPr>
              <w:spacing w:line="360" w:lineRule="auto"/>
              <w:jc w:val="center"/>
              <w:outlineLvl w:val="0"/>
              <w:rPr>
                <w:rFonts w:hint="eastAsia" w:ascii="宋体" w:hAnsi="宋体" w:eastAsia="宋体" w:cs="宋体"/>
                <w:sz w:val="24"/>
                <w:highlight w:val="none"/>
                <w:lang w:val="en-US" w:eastAsia="zh-CN"/>
              </w:rPr>
            </w:pPr>
          </w:p>
        </w:tc>
      </w:tr>
      <w:tr w14:paraId="1A0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58" w:type="dxa"/>
            <w:vMerge w:val="restart"/>
            <w:vAlign w:val="center"/>
          </w:tcPr>
          <w:p w14:paraId="204F6773">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761" w:type="dxa"/>
            <w:vAlign w:val="center"/>
          </w:tcPr>
          <w:p w14:paraId="716B0A5D">
            <w:pPr>
              <w:pStyle w:val="131"/>
              <w:pageBreakBefore w:val="0"/>
              <w:widowControl w:val="0"/>
              <w:kinsoku/>
              <w:wordWrap/>
              <w:overflowPunct/>
              <w:topLinePunct w:val="0"/>
              <w:autoSpaceDE/>
              <w:autoSpaceDN/>
              <w:bidi w:val="0"/>
              <w:adjustRightInd w:val="0"/>
              <w:snapToGrid w:val="0"/>
              <w:spacing w:before="0" w:line="460" w:lineRule="exact"/>
              <w:ind w:left="-105" w:leftChars="-50" w:right="-105" w:rightChars="-5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b w:val="0"/>
                <w:bCs w:val="0"/>
                <w:sz w:val="24"/>
                <w:szCs w:val="24"/>
              </w:rPr>
              <w:t>投标人根据对现有市政</w:t>
            </w:r>
            <w:r>
              <w:rPr>
                <w:rFonts w:hint="eastAsia" w:ascii="宋体" w:hAnsi="宋体" w:eastAsia="宋体" w:cs="宋体"/>
                <w:b w:val="0"/>
                <w:bCs w:val="0"/>
                <w:sz w:val="24"/>
                <w:szCs w:val="24"/>
                <w:lang w:eastAsia="zh-CN"/>
              </w:rPr>
              <w:t>设施情况</w:t>
            </w:r>
            <w:r>
              <w:rPr>
                <w:rFonts w:hint="eastAsia" w:ascii="宋体" w:hAnsi="宋体" w:eastAsia="宋体" w:cs="宋体"/>
                <w:b w:val="0"/>
                <w:bCs w:val="0"/>
                <w:sz w:val="24"/>
                <w:szCs w:val="24"/>
              </w:rPr>
              <w:t>现状了解、存在问题进行分析，提出全面性、科学性的方案</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268172AF">
            <w:pPr>
              <w:widowControl w:val="0"/>
              <w:adjustRightInd w:val="0"/>
              <w:spacing w:before="0" w:beforeAutospacing="0" w:after="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0" w:type="dxa"/>
            <w:vAlign w:val="center"/>
          </w:tcPr>
          <w:p w14:paraId="18FF7856">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restart"/>
            <w:vAlign w:val="center"/>
          </w:tcPr>
          <w:p w14:paraId="2C4BC219">
            <w:pPr>
              <w:jc w:val="center"/>
              <w:rPr>
                <w:rFonts w:hint="eastAsia" w:ascii="宋体" w:hAnsi="宋体" w:eastAsia="宋体" w:cs="宋体"/>
                <w:sz w:val="24"/>
                <w:highlight w:val="none"/>
                <w:lang w:val="en-US" w:eastAsia="zh-CN"/>
              </w:rPr>
            </w:pPr>
            <w:r>
              <w:rPr>
                <w:rFonts w:hint="eastAsia" w:ascii="宋体" w:hAnsi="宋体" w:eastAsia="宋体" w:cs="宋体"/>
                <w:sz w:val="24"/>
                <w:szCs w:val="24"/>
              </w:rPr>
              <w:t>市政</w:t>
            </w:r>
            <w:r>
              <w:rPr>
                <w:rFonts w:hint="eastAsia" w:ascii="宋体" w:hAnsi="宋体" w:eastAsia="宋体" w:cs="宋体"/>
                <w:sz w:val="24"/>
                <w:szCs w:val="24"/>
                <w:lang w:eastAsia="zh-CN"/>
              </w:rPr>
              <w:t>养护组织方</w:t>
            </w:r>
            <w:r>
              <w:rPr>
                <w:rFonts w:hint="eastAsia" w:ascii="宋体" w:hAnsi="宋体" w:eastAsia="宋体" w:cs="宋体"/>
                <w:sz w:val="24"/>
                <w:szCs w:val="24"/>
              </w:rPr>
              <w:t>案</w:t>
            </w:r>
          </w:p>
        </w:tc>
      </w:tr>
      <w:tr w14:paraId="014E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58" w:type="dxa"/>
            <w:vMerge w:val="continue"/>
            <w:vAlign w:val="center"/>
          </w:tcPr>
          <w:p w14:paraId="734F9D6E">
            <w:pPr>
              <w:pStyle w:val="5"/>
              <w:ind w:leftChars="0"/>
              <w:jc w:val="center"/>
              <w:rPr>
                <w:rFonts w:hint="eastAsia" w:ascii="宋体" w:hAnsi="宋体" w:eastAsia="宋体" w:cs="宋体"/>
                <w:b w:val="0"/>
                <w:bCs w:val="0"/>
                <w:sz w:val="24"/>
                <w:szCs w:val="24"/>
              </w:rPr>
            </w:pPr>
          </w:p>
        </w:tc>
        <w:tc>
          <w:tcPr>
            <w:tcW w:w="6761" w:type="dxa"/>
            <w:vAlign w:val="center"/>
          </w:tcPr>
          <w:p w14:paraId="540A63E9">
            <w:pPr>
              <w:pStyle w:val="5"/>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b w:val="0"/>
                <w:bCs w:val="0"/>
                <w:kern w:val="2"/>
                <w:sz w:val="24"/>
                <w:szCs w:val="24"/>
              </w:rPr>
              <w:t>根据</w:t>
            </w:r>
            <w:r>
              <w:rPr>
                <w:rFonts w:hint="eastAsia" w:ascii="宋体" w:hAnsi="宋体" w:eastAsia="宋体" w:cs="宋体"/>
                <w:b w:val="0"/>
                <w:bCs w:val="0"/>
                <w:kern w:val="2"/>
                <w:sz w:val="24"/>
                <w:szCs w:val="24"/>
                <w:lang w:val="zh-CN"/>
              </w:rPr>
              <w:t>本项目制</w:t>
            </w:r>
            <w:r>
              <w:rPr>
                <w:rFonts w:hint="eastAsia" w:ascii="宋体" w:hAnsi="宋体" w:eastAsia="宋体" w:cs="宋体"/>
                <w:b w:val="0"/>
                <w:bCs w:val="0"/>
                <w:kern w:val="2"/>
                <w:sz w:val="24"/>
                <w:szCs w:val="24"/>
              </w:rPr>
              <w:t>定具有针对性和可操作性的</w:t>
            </w:r>
            <w:r>
              <w:rPr>
                <w:rFonts w:hint="eastAsia" w:ascii="宋体" w:hAnsi="宋体" w:eastAsia="宋体" w:cs="宋体"/>
                <w:b w:val="0"/>
                <w:bCs w:val="0"/>
                <w:kern w:val="2"/>
                <w:sz w:val="24"/>
                <w:szCs w:val="24"/>
                <w:lang w:val="zh-CN"/>
              </w:rPr>
              <w:t>内部管理制度，</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338C4EAE">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80" w:type="dxa"/>
            <w:vAlign w:val="center"/>
          </w:tcPr>
          <w:p w14:paraId="323C5E39">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top"/>
          </w:tcPr>
          <w:p w14:paraId="2685203E">
            <w:pPr>
              <w:pStyle w:val="5"/>
              <w:ind w:leftChars="0"/>
              <w:rPr>
                <w:rFonts w:hint="eastAsia" w:ascii="宋体" w:hAnsi="宋体" w:eastAsia="宋体" w:cs="宋体"/>
                <w:highlight w:val="none"/>
                <w:lang w:val="en-US" w:eastAsia="zh-CN"/>
              </w:rPr>
            </w:pPr>
          </w:p>
        </w:tc>
      </w:tr>
      <w:tr w14:paraId="10D3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58" w:type="dxa"/>
            <w:vMerge w:val="continue"/>
            <w:vAlign w:val="center"/>
          </w:tcPr>
          <w:p w14:paraId="6F126DC4">
            <w:pPr>
              <w:pStyle w:val="5"/>
              <w:ind w:leftChars="0"/>
              <w:jc w:val="center"/>
              <w:rPr>
                <w:rFonts w:hint="eastAsia" w:ascii="宋体" w:hAnsi="宋体" w:eastAsia="宋体" w:cs="宋体"/>
                <w:b w:val="0"/>
                <w:bCs w:val="0"/>
                <w:sz w:val="24"/>
                <w:szCs w:val="24"/>
                <w:highlight w:val="none"/>
                <w:lang w:val="en-US" w:eastAsia="zh-CN"/>
              </w:rPr>
            </w:pPr>
          </w:p>
        </w:tc>
        <w:tc>
          <w:tcPr>
            <w:tcW w:w="6761" w:type="dxa"/>
            <w:vAlign w:val="center"/>
          </w:tcPr>
          <w:p w14:paraId="3E0B4311">
            <w:pPr>
              <w:pStyle w:val="5"/>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b w:val="0"/>
                <w:bCs w:val="0"/>
                <w:kern w:val="2"/>
                <w:sz w:val="24"/>
                <w:szCs w:val="24"/>
              </w:rPr>
              <w:t>投标人制定科学合理并具有针对性和可操作性的</w:t>
            </w:r>
            <w:r>
              <w:rPr>
                <w:rFonts w:hint="eastAsia" w:ascii="宋体" w:hAnsi="宋体" w:eastAsia="宋体" w:cs="宋体"/>
                <w:b w:val="0"/>
                <w:bCs w:val="0"/>
                <w:kern w:val="2"/>
                <w:sz w:val="24"/>
                <w:szCs w:val="24"/>
                <w:lang w:val="zh-CN"/>
              </w:rPr>
              <w:t>市政养护方案，</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2B13D682">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80" w:type="dxa"/>
            <w:vAlign w:val="center"/>
          </w:tcPr>
          <w:p w14:paraId="7817196B">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top"/>
          </w:tcPr>
          <w:p w14:paraId="513464C9">
            <w:pPr>
              <w:pStyle w:val="5"/>
              <w:ind w:leftChars="0"/>
              <w:rPr>
                <w:rFonts w:hint="eastAsia" w:ascii="宋体" w:hAnsi="宋体" w:eastAsia="宋体" w:cs="宋体"/>
                <w:highlight w:val="none"/>
                <w:lang w:val="en-US" w:eastAsia="zh-CN"/>
              </w:rPr>
            </w:pPr>
          </w:p>
        </w:tc>
      </w:tr>
      <w:tr w14:paraId="1E94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58" w:type="dxa"/>
            <w:vMerge w:val="continue"/>
            <w:vAlign w:val="center"/>
          </w:tcPr>
          <w:p w14:paraId="7E1C0322">
            <w:pPr>
              <w:pStyle w:val="5"/>
              <w:ind w:leftChars="0"/>
              <w:jc w:val="center"/>
              <w:rPr>
                <w:rFonts w:hint="eastAsia" w:ascii="宋体" w:hAnsi="宋体" w:eastAsia="宋体" w:cs="宋体"/>
                <w:b w:val="0"/>
                <w:bCs w:val="0"/>
                <w:sz w:val="24"/>
                <w:szCs w:val="24"/>
                <w:highlight w:val="none"/>
                <w:lang w:val="en-US" w:eastAsia="zh-CN"/>
              </w:rPr>
            </w:pPr>
          </w:p>
        </w:tc>
        <w:tc>
          <w:tcPr>
            <w:tcW w:w="6761" w:type="dxa"/>
            <w:vAlign w:val="center"/>
          </w:tcPr>
          <w:p w14:paraId="159D4D9A">
            <w:pPr>
              <w:pStyle w:val="5"/>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b w:val="0"/>
                <w:bCs w:val="0"/>
                <w:kern w:val="2"/>
                <w:sz w:val="24"/>
                <w:szCs w:val="24"/>
              </w:rPr>
              <w:t>投标人制定科学合理并具有针对性和可操作性</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能及时响应城市应急和项目实施过程中各类应急保障</w:t>
            </w:r>
            <w:r>
              <w:rPr>
                <w:rFonts w:hint="eastAsia" w:ascii="宋体" w:hAnsi="宋体" w:eastAsia="宋体" w:cs="宋体"/>
                <w:b w:val="0"/>
                <w:bCs w:val="0"/>
                <w:kern w:val="2"/>
                <w:sz w:val="24"/>
                <w:szCs w:val="24"/>
                <w:lang w:eastAsia="zh-CN"/>
              </w:rPr>
              <w:t>预案，</w:t>
            </w:r>
            <w:r>
              <w:rPr>
                <w:rFonts w:hint="eastAsia" w:ascii="宋体" w:hAnsi="宋体" w:eastAsia="宋体" w:cs="宋体"/>
                <w:color w:val="auto"/>
                <w:sz w:val="24"/>
                <w:szCs w:val="24"/>
              </w:rPr>
              <w:t>按照预案的全面性、科学性、可操作性等</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65E13D03">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80" w:type="dxa"/>
            <w:vAlign w:val="center"/>
          </w:tcPr>
          <w:p w14:paraId="1F8750CE">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top"/>
          </w:tcPr>
          <w:p w14:paraId="528865F3">
            <w:pPr>
              <w:pStyle w:val="5"/>
              <w:ind w:leftChars="0"/>
              <w:rPr>
                <w:rFonts w:hint="eastAsia" w:ascii="宋体" w:hAnsi="宋体" w:eastAsia="宋体" w:cs="宋体"/>
                <w:highlight w:val="none"/>
                <w:lang w:val="en-US" w:eastAsia="zh-CN"/>
              </w:rPr>
            </w:pPr>
          </w:p>
        </w:tc>
      </w:tr>
      <w:tr w14:paraId="4E75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658" w:type="dxa"/>
            <w:vMerge w:val="continue"/>
            <w:vAlign w:val="center"/>
          </w:tcPr>
          <w:p w14:paraId="674E4BF5">
            <w:pPr>
              <w:pStyle w:val="5"/>
              <w:ind w:leftChars="0"/>
              <w:jc w:val="center"/>
              <w:rPr>
                <w:rFonts w:hint="eastAsia" w:ascii="宋体" w:hAnsi="宋体" w:eastAsia="宋体" w:cs="宋体"/>
                <w:b w:val="0"/>
                <w:bCs w:val="0"/>
                <w:sz w:val="24"/>
                <w:szCs w:val="24"/>
                <w:highlight w:val="none"/>
                <w:lang w:val="en-US" w:eastAsia="zh-CN"/>
              </w:rPr>
            </w:pPr>
          </w:p>
        </w:tc>
        <w:tc>
          <w:tcPr>
            <w:tcW w:w="6761" w:type="dxa"/>
            <w:vAlign w:val="center"/>
          </w:tcPr>
          <w:p w14:paraId="4CAA2F8C">
            <w:pPr>
              <w:pStyle w:val="131"/>
              <w:pageBreakBefore w:val="0"/>
              <w:widowControl w:val="0"/>
              <w:kinsoku/>
              <w:wordWrap/>
              <w:overflowPunct/>
              <w:topLinePunct w:val="0"/>
              <w:autoSpaceDE/>
              <w:autoSpaceDN/>
              <w:bidi w:val="0"/>
              <w:adjustRightInd w:val="0"/>
              <w:snapToGrid w:val="0"/>
              <w:spacing w:before="0" w:line="460" w:lineRule="exact"/>
              <w:ind w:left="-105" w:leftChars="-50" w:right="-105" w:rightChars="-5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sz w:val="24"/>
                <w:szCs w:val="24"/>
                <w:lang w:val="zh-CN"/>
              </w:rPr>
              <w:t>根据安全、文明施工保证措施是否切实可行、完善</w:t>
            </w:r>
            <w:r>
              <w:rPr>
                <w:rFonts w:hint="eastAsia" w:ascii="宋体" w:hAnsi="宋体" w:eastAsia="宋体" w:cs="宋体"/>
                <w:b w:val="0"/>
                <w:bCs w:val="0"/>
                <w:kern w:val="2"/>
                <w:sz w:val="24"/>
                <w:szCs w:val="24"/>
                <w:lang w:val="zh-CN"/>
              </w:rPr>
              <w:t>，</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13943275">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80" w:type="dxa"/>
            <w:vAlign w:val="center"/>
          </w:tcPr>
          <w:p w14:paraId="6955F37A">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top"/>
          </w:tcPr>
          <w:p w14:paraId="4D71B9F8">
            <w:pPr>
              <w:pStyle w:val="5"/>
              <w:ind w:leftChars="0"/>
              <w:rPr>
                <w:rFonts w:hint="eastAsia" w:ascii="宋体" w:hAnsi="宋体" w:eastAsia="宋体" w:cs="宋体"/>
                <w:highlight w:val="none"/>
                <w:lang w:val="en-US" w:eastAsia="zh-CN"/>
              </w:rPr>
            </w:pPr>
          </w:p>
        </w:tc>
      </w:tr>
      <w:tr w14:paraId="51AF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658" w:type="dxa"/>
            <w:vMerge w:val="continue"/>
            <w:vAlign w:val="center"/>
          </w:tcPr>
          <w:p w14:paraId="3B604598">
            <w:pPr>
              <w:pStyle w:val="5"/>
              <w:ind w:leftChars="0"/>
              <w:jc w:val="center"/>
              <w:rPr>
                <w:rFonts w:hint="eastAsia" w:ascii="宋体" w:hAnsi="宋体" w:eastAsia="宋体" w:cs="宋体"/>
                <w:b w:val="0"/>
                <w:bCs w:val="0"/>
                <w:sz w:val="24"/>
                <w:szCs w:val="24"/>
                <w:highlight w:val="none"/>
                <w:lang w:val="en-US" w:eastAsia="zh-CN"/>
              </w:rPr>
            </w:pPr>
          </w:p>
        </w:tc>
        <w:tc>
          <w:tcPr>
            <w:tcW w:w="6761" w:type="dxa"/>
            <w:vAlign w:val="center"/>
          </w:tcPr>
          <w:p w14:paraId="0A9928D3">
            <w:pPr>
              <w:pStyle w:val="5"/>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b w:val="0"/>
                <w:bCs w:val="0"/>
                <w:kern w:val="2"/>
                <w:sz w:val="24"/>
                <w:szCs w:val="24"/>
              </w:rPr>
              <w:t>投标人制定科学合理并具有针对性和可操作性的能圆满完成大型活动、节庆假日等重大活动保障任务的重大活动保障方案</w:t>
            </w:r>
            <w:r>
              <w:rPr>
                <w:rFonts w:hint="eastAsia" w:ascii="宋体" w:hAnsi="宋体" w:eastAsia="宋体" w:cs="宋体"/>
                <w:b w:val="0"/>
                <w:bCs w:val="0"/>
                <w:kern w:val="2"/>
                <w:sz w:val="24"/>
                <w:szCs w:val="24"/>
                <w:lang w:val="zh-CN"/>
              </w:rPr>
              <w:t>，</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0AD8C66D">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80" w:type="dxa"/>
            <w:vAlign w:val="center"/>
          </w:tcPr>
          <w:p w14:paraId="2B8507B7">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top"/>
          </w:tcPr>
          <w:p w14:paraId="4761C35E">
            <w:pPr>
              <w:pStyle w:val="5"/>
              <w:ind w:leftChars="0"/>
              <w:rPr>
                <w:rFonts w:hint="eastAsia" w:ascii="宋体" w:hAnsi="宋体" w:eastAsia="宋体" w:cs="宋体"/>
                <w:highlight w:val="none"/>
                <w:lang w:val="en-US" w:eastAsia="zh-CN"/>
              </w:rPr>
            </w:pPr>
          </w:p>
        </w:tc>
      </w:tr>
      <w:tr w14:paraId="4301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3B37178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761" w:type="dxa"/>
            <w:vAlign w:val="center"/>
          </w:tcPr>
          <w:p w14:paraId="7BA23B5F">
            <w:pPr>
              <w:pStyle w:val="25"/>
              <w:keepNext w:val="0"/>
              <w:keepLines w:val="0"/>
              <w:pageBreakBefore w:val="0"/>
              <w:widowControl w:val="0"/>
              <w:kinsoku/>
              <w:wordWrap/>
              <w:overflowPunct/>
              <w:topLinePunct w:val="0"/>
              <w:autoSpaceDE w:val="0"/>
              <w:autoSpaceDN w:val="0"/>
              <w:bidi w:val="0"/>
              <w:adjustRightInd/>
              <w:snapToGrid/>
              <w:spacing w:line="460" w:lineRule="exact"/>
              <w:ind w:right="521" w:rightChars="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b w:val="0"/>
                <w:bCs w:val="0"/>
                <w:kern w:val="2"/>
                <w:sz w:val="24"/>
                <w:szCs w:val="24"/>
                <w:lang w:val="zh-CN" w:eastAsia="zh-CN" w:bidi="zh-CN"/>
              </w:rPr>
              <w:t>投标人制定具有针对性和可操作的绿化提升改造的方案，</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46AAD24D">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c>
          <w:tcPr>
            <w:tcW w:w="1080" w:type="dxa"/>
            <w:shd w:val="clear" w:color="auto" w:fill="auto"/>
            <w:vAlign w:val="center"/>
          </w:tcPr>
          <w:p w14:paraId="263DD0A3">
            <w:pPr>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p>
        </w:tc>
        <w:tc>
          <w:tcPr>
            <w:tcW w:w="2111" w:type="dxa"/>
            <w:vAlign w:val="center"/>
          </w:tcPr>
          <w:p w14:paraId="6CBB80F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eastAsia="zh-CN"/>
              </w:rPr>
              <w:t>绿化提升改造</w:t>
            </w:r>
          </w:p>
        </w:tc>
      </w:tr>
      <w:tr w14:paraId="3808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687EFECF">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6761" w:type="dxa"/>
            <w:vAlign w:val="center"/>
          </w:tcPr>
          <w:p w14:paraId="5253E963">
            <w:pPr>
              <w:pStyle w:val="25"/>
              <w:keepNext w:val="0"/>
              <w:keepLines w:val="0"/>
              <w:pageBreakBefore w:val="0"/>
              <w:widowControl w:val="0"/>
              <w:kinsoku/>
              <w:wordWrap/>
              <w:overflowPunct/>
              <w:topLinePunct w:val="0"/>
              <w:autoSpaceDE w:val="0"/>
              <w:autoSpaceDN w:val="0"/>
              <w:bidi w:val="0"/>
              <w:adjustRightInd/>
              <w:snapToGrid/>
              <w:spacing w:line="460" w:lineRule="exact"/>
              <w:ind w:right="521" w:rightChars="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b w:val="0"/>
                <w:bCs w:val="0"/>
                <w:kern w:val="2"/>
                <w:sz w:val="24"/>
                <w:szCs w:val="24"/>
              </w:rPr>
              <w:t>投标人制定科学合理并具有针对性和可操作性的</w:t>
            </w:r>
            <w:r>
              <w:rPr>
                <w:rFonts w:hint="eastAsia" w:ascii="宋体" w:hAnsi="宋体" w:eastAsia="宋体" w:cs="宋体"/>
                <w:b w:val="0"/>
                <w:bCs w:val="0"/>
                <w:kern w:val="2"/>
                <w:sz w:val="24"/>
                <w:szCs w:val="24"/>
                <w:lang w:val="zh-CN"/>
              </w:rPr>
              <w:t>桥梁安全整治方案，</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3.5</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1F7006BB">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c>
          <w:tcPr>
            <w:tcW w:w="1080" w:type="dxa"/>
            <w:shd w:val="clear" w:color="auto" w:fill="auto"/>
            <w:vAlign w:val="center"/>
          </w:tcPr>
          <w:p w14:paraId="2D378768">
            <w:pPr>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p>
        </w:tc>
        <w:tc>
          <w:tcPr>
            <w:tcW w:w="2111" w:type="dxa"/>
            <w:vAlign w:val="center"/>
          </w:tcPr>
          <w:p w14:paraId="2961CBA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eastAsia="zh-CN"/>
              </w:rPr>
              <w:t>桥梁安全</w:t>
            </w:r>
          </w:p>
        </w:tc>
      </w:tr>
      <w:tr w14:paraId="14C3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0B00938E">
            <w:pPr>
              <w:spacing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w:t>
            </w:r>
          </w:p>
        </w:tc>
        <w:tc>
          <w:tcPr>
            <w:tcW w:w="6761" w:type="dxa"/>
            <w:vAlign w:val="top"/>
          </w:tcPr>
          <w:p w14:paraId="2302689D">
            <w:pPr>
              <w:widowControl/>
              <w:shd w:val="clear" w:color="auto" w:fill="FFFFFF"/>
              <w:adjustRightInd/>
              <w:spacing w:after="225" w:line="315" w:lineRule="atLeast"/>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color w:val="auto"/>
                <w:sz w:val="24"/>
                <w:highlight w:val="none"/>
                <w:lang w:eastAsia="zh-CN"/>
              </w:rPr>
              <w:t>根据本项目特征，提供</w:t>
            </w:r>
            <w:r>
              <w:rPr>
                <w:rFonts w:hint="eastAsia" w:ascii="宋体" w:hAnsi="宋体" w:eastAsia="宋体" w:cs="宋体"/>
                <w:color w:val="auto"/>
                <w:sz w:val="24"/>
                <w:highlight w:val="none"/>
              </w:rPr>
              <w:t>健全的管理组织和管理制度。</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2063DDD9">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shd w:val="clear" w:color="auto" w:fill="auto"/>
            <w:vAlign w:val="center"/>
          </w:tcPr>
          <w:p w14:paraId="632BA65B">
            <w:pPr>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p>
        </w:tc>
        <w:tc>
          <w:tcPr>
            <w:tcW w:w="2111" w:type="dxa"/>
            <w:vAlign w:val="center"/>
          </w:tcPr>
          <w:p w14:paraId="15CCACD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rPr>
              <w:t>健全的管理组织和管理制度</w:t>
            </w:r>
          </w:p>
        </w:tc>
      </w:tr>
      <w:tr w14:paraId="075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3C85FE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6761" w:type="dxa"/>
            <w:vAlign w:val="center"/>
          </w:tcPr>
          <w:p w14:paraId="35F26B34">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本项目，对</w:t>
            </w:r>
            <w:r>
              <w:rPr>
                <w:rFonts w:hint="eastAsia" w:ascii="宋体" w:hAnsi="宋体" w:eastAsia="宋体" w:cs="宋体"/>
                <w:color w:val="auto"/>
                <w:sz w:val="24"/>
                <w:highlight w:val="none"/>
              </w:rPr>
              <w:t>进场作业安排打分。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00E7BB98">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shd w:val="clear" w:color="auto" w:fill="auto"/>
            <w:vAlign w:val="center"/>
          </w:tcPr>
          <w:p w14:paraId="33D52FC3">
            <w:pPr>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p>
        </w:tc>
        <w:tc>
          <w:tcPr>
            <w:tcW w:w="2111" w:type="dxa"/>
            <w:vAlign w:val="center"/>
          </w:tcPr>
          <w:p w14:paraId="4675525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rPr>
              <w:t>进场作业机构</w:t>
            </w:r>
          </w:p>
        </w:tc>
      </w:tr>
      <w:tr w14:paraId="2F8D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F4329D8">
            <w:pPr>
              <w:pStyle w:val="5"/>
              <w:ind w:left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6761" w:type="dxa"/>
            <w:vAlign w:val="center"/>
          </w:tcPr>
          <w:p w14:paraId="0827C0B6">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养护作业规范和标准进行打分。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4176D43C">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shd w:val="clear" w:color="auto" w:fill="auto"/>
            <w:vAlign w:val="center"/>
          </w:tcPr>
          <w:p w14:paraId="2D8EBDDE">
            <w:pPr>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p>
        </w:tc>
        <w:tc>
          <w:tcPr>
            <w:tcW w:w="2111" w:type="dxa"/>
            <w:vAlign w:val="center"/>
          </w:tcPr>
          <w:p w14:paraId="5C9781E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highlight w:val="none"/>
                <w:lang w:val="en-US" w:eastAsia="zh-CN"/>
              </w:rPr>
            </w:pPr>
            <w:r>
              <w:rPr>
                <w:rFonts w:hint="eastAsia" w:ascii="宋体" w:hAnsi="宋体" w:eastAsia="宋体" w:cs="宋体"/>
                <w:b w:val="0"/>
                <w:bCs w:val="0"/>
                <w:color w:val="auto"/>
                <w:sz w:val="24"/>
                <w:highlight w:val="none"/>
              </w:rPr>
              <w:t>作业规范和标准</w:t>
            </w:r>
          </w:p>
        </w:tc>
      </w:tr>
      <w:tr w14:paraId="4C87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B8F24EB">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6761" w:type="dxa"/>
            <w:vAlign w:val="center"/>
          </w:tcPr>
          <w:p w14:paraId="476F43E0">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本项目，对</w:t>
            </w:r>
            <w:r>
              <w:rPr>
                <w:rFonts w:hint="eastAsia" w:ascii="宋体" w:hAnsi="宋体" w:eastAsia="宋体" w:cs="宋体"/>
                <w:color w:val="auto"/>
                <w:sz w:val="24"/>
                <w:highlight w:val="none"/>
              </w:rPr>
              <w:t>质量保证体系和质量保证措施的完善、先进进行打分。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68122C9F">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25D2A2F2">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0047D2EE">
            <w:pPr>
              <w:pStyle w:val="5"/>
              <w:ind w:left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color w:val="auto"/>
                <w:sz w:val="24"/>
                <w:highlight w:val="none"/>
              </w:rPr>
              <w:t>质量保证体系和质量保证措施</w:t>
            </w:r>
          </w:p>
        </w:tc>
      </w:tr>
      <w:tr w14:paraId="595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58" w:type="dxa"/>
            <w:vAlign w:val="center"/>
          </w:tcPr>
          <w:p w14:paraId="6D642269">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w:t>
            </w:r>
          </w:p>
        </w:tc>
        <w:tc>
          <w:tcPr>
            <w:tcW w:w="6761" w:type="dxa"/>
            <w:vAlign w:val="center"/>
          </w:tcPr>
          <w:p w14:paraId="1E40595C">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文明安全保证体系和安全保证措施进行打分。</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061554B4">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55D3767E">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0FF491D2">
            <w:pPr>
              <w:pStyle w:val="5"/>
              <w:jc w:val="both"/>
              <w:rPr>
                <w:rFonts w:hint="eastAsia" w:ascii="宋体" w:hAnsi="宋体" w:eastAsia="宋体" w:cs="宋体"/>
                <w:b w:val="0"/>
                <w:bCs w:val="0"/>
                <w:highlight w:val="none"/>
                <w:lang w:val="en-US" w:eastAsia="zh-CN"/>
              </w:rPr>
            </w:pPr>
            <w:r>
              <w:rPr>
                <w:rFonts w:hint="eastAsia" w:ascii="宋体" w:hAnsi="宋体" w:eastAsia="宋体" w:cs="宋体"/>
                <w:b w:val="0"/>
                <w:bCs w:val="0"/>
                <w:color w:val="auto"/>
                <w:sz w:val="24"/>
                <w:highlight w:val="none"/>
              </w:rPr>
              <w:t>文明安全保证体系和安全保证措施</w:t>
            </w:r>
          </w:p>
        </w:tc>
      </w:tr>
      <w:tr w14:paraId="0A89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BD2D0F8">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w:t>
            </w:r>
          </w:p>
        </w:tc>
        <w:tc>
          <w:tcPr>
            <w:tcW w:w="6761" w:type="dxa"/>
            <w:vAlign w:val="center"/>
          </w:tcPr>
          <w:p w14:paraId="65270490">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b/>
                <w:bCs/>
                <w:color w:val="auto"/>
                <w:sz w:val="24"/>
                <w:highlight w:val="none"/>
                <w:lang w:eastAsia="zh-CN"/>
              </w:rPr>
              <w:t>根据本项目，对</w:t>
            </w:r>
            <w:r>
              <w:rPr>
                <w:rFonts w:hint="eastAsia" w:ascii="宋体" w:hAnsi="宋体" w:eastAsia="宋体" w:cs="宋体"/>
                <w:color w:val="auto"/>
                <w:sz w:val="24"/>
                <w:highlight w:val="none"/>
              </w:rPr>
              <w:t>建立各项检查制度全面合理性进行打分</w:t>
            </w:r>
            <w:r>
              <w:rPr>
                <w:rFonts w:hint="eastAsia" w:ascii="宋体" w:hAnsi="宋体" w:eastAsia="宋体" w:cs="宋体"/>
                <w:b/>
                <w:bCs/>
                <w:color w:val="auto"/>
                <w:sz w:val="24"/>
                <w:highlight w:val="none"/>
              </w:rPr>
              <w:t>。</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分，一般得2分，较差得1分，不符合或不提供不得分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33071111">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278048F9">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06E30859">
            <w:pPr>
              <w:pStyle w:val="5"/>
              <w:ind w:left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color w:val="auto"/>
                <w:sz w:val="24"/>
                <w:highlight w:val="none"/>
              </w:rPr>
              <w:t>台帐管理</w:t>
            </w:r>
          </w:p>
        </w:tc>
      </w:tr>
      <w:tr w14:paraId="7FF3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132A46E">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w:t>
            </w:r>
          </w:p>
        </w:tc>
        <w:tc>
          <w:tcPr>
            <w:tcW w:w="6761" w:type="dxa"/>
            <w:vAlign w:val="center"/>
          </w:tcPr>
          <w:p w14:paraId="1DE17F27">
            <w:pPr>
              <w:widowControl/>
              <w:shd w:val="clear" w:color="auto" w:fill="FFFFFF"/>
              <w:adjustRightInd/>
              <w:spacing w:after="225" w:line="315" w:lineRule="atLeast"/>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提出的合理化建议进行打分</w:t>
            </w:r>
            <w:r>
              <w:rPr>
                <w:rFonts w:hint="eastAsia" w:ascii="宋体" w:hAnsi="宋体" w:cs="宋体"/>
                <w:color w:val="auto"/>
                <w:sz w:val="24"/>
                <w:highlight w:val="none"/>
                <w:lang w:eastAsia="zh-CN"/>
              </w:rPr>
              <w:t>，</w:t>
            </w:r>
            <w:r>
              <w:rPr>
                <w:rFonts w:hint="eastAsia" w:ascii="宋体" w:hAnsi="宋体" w:eastAsia="宋体" w:cs="宋体"/>
                <w:b/>
                <w:bCs/>
                <w:sz w:val="24"/>
                <w:szCs w:val="24"/>
                <w:highlight w:val="none"/>
                <w:lang w:eastAsia="zh-CN"/>
              </w:rPr>
              <w:t>好的得</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分，较好得</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分，一般得</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分，较差得</w:t>
            </w:r>
            <w:r>
              <w:rPr>
                <w:rFonts w:hint="eastAsia" w:ascii="宋体" w:hAnsi="宋体" w:cs="宋体"/>
                <w:b/>
                <w:bCs/>
                <w:sz w:val="24"/>
                <w:szCs w:val="24"/>
                <w:highlight w:val="none"/>
                <w:lang w:val="en-US" w:eastAsia="zh-CN"/>
              </w:rPr>
              <w:t>0.5</w:t>
            </w:r>
            <w:r>
              <w:rPr>
                <w:rFonts w:hint="eastAsia" w:ascii="宋体" w:hAnsi="宋体" w:eastAsia="宋体" w:cs="宋体"/>
                <w:b/>
                <w:bCs/>
                <w:sz w:val="24"/>
                <w:szCs w:val="24"/>
                <w:highlight w:val="none"/>
                <w:lang w:val="en-US" w:eastAsia="zh-CN"/>
              </w:rPr>
              <w:t>分，不符合或不提供不得分</w:t>
            </w:r>
            <w:r>
              <w:rPr>
                <w:rFonts w:hint="eastAsia" w:ascii="宋体" w:hAnsi="宋体" w:eastAsia="宋体" w:cs="宋体"/>
                <w:sz w:val="24"/>
                <w:szCs w:val="24"/>
                <w:highlight w:val="none"/>
                <w:lang w:val="en-US" w:eastAsia="zh-CN"/>
              </w:rPr>
              <w:t>。</w:t>
            </w:r>
          </w:p>
        </w:tc>
        <w:tc>
          <w:tcPr>
            <w:tcW w:w="571" w:type="dxa"/>
            <w:vAlign w:val="center"/>
          </w:tcPr>
          <w:p w14:paraId="38DA2553">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1080" w:type="dxa"/>
            <w:vAlign w:val="center"/>
          </w:tcPr>
          <w:p w14:paraId="2943CF02">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03A68592">
            <w:pPr>
              <w:pStyle w:val="5"/>
              <w:ind w:left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color w:val="auto"/>
                <w:sz w:val="24"/>
                <w:highlight w:val="none"/>
              </w:rPr>
              <w:t>合理化建议</w:t>
            </w:r>
          </w:p>
        </w:tc>
      </w:tr>
      <w:tr w14:paraId="28A2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8" w:type="dxa"/>
            <w:vAlign w:val="center"/>
          </w:tcPr>
          <w:p w14:paraId="4C62E806">
            <w:pPr>
              <w:spacing w:line="360" w:lineRule="auto"/>
              <w:jc w:val="both"/>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6761" w:type="dxa"/>
            <w:vAlign w:val="top"/>
          </w:tcPr>
          <w:p w14:paraId="1EF841C3">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0FEA4CB4">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718C5AB8">
            <w:pPr>
              <w:widowControl/>
              <w:shd w:val="clear" w:color="auto" w:fill="FFFFFF"/>
              <w:adjustRightInd/>
              <w:spacing w:after="225" w:line="315" w:lineRule="atLeast"/>
              <w:ind w:firstLine="420"/>
              <w:jc w:val="left"/>
              <w:rPr>
                <w:rFonts w:hint="eastAsia" w:ascii="宋体" w:hAnsi="宋体" w:eastAsia="宋体" w:cs="宋体"/>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color w:val="auto"/>
                <w:sz w:val="24"/>
                <w:highlight w:val="none"/>
              </w:rPr>
              <w:t>。</w:t>
            </w:r>
          </w:p>
        </w:tc>
        <w:tc>
          <w:tcPr>
            <w:tcW w:w="571" w:type="dxa"/>
            <w:vAlign w:val="center"/>
          </w:tcPr>
          <w:p w14:paraId="1DF3A25B">
            <w:pPr>
              <w:spacing w:line="360" w:lineRule="auto"/>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1080" w:type="dxa"/>
            <w:vAlign w:val="center"/>
          </w:tcPr>
          <w:p w14:paraId="22699E03">
            <w:pPr>
              <w:spacing w:line="360" w:lineRule="auto"/>
              <w:ind w:firstLine="240" w:firstLineChars="100"/>
              <w:jc w:val="both"/>
              <w:outlineLvl w:val="0"/>
              <w:rPr>
                <w:rFonts w:hint="eastAsia" w:ascii="宋体" w:hAnsi="宋体" w:eastAsia="宋体" w:cs="宋体"/>
                <w:b w:val="0"/>
                <w:bCs w:val="0"/>
                <w:color w:val="auto"/>
                <w:kern w:val="2"/>
                <w:sz w:val="24"/>
                <w:szCs w:val="24"/>
                <w:highlight w:val="none"/>
                <w:lang w:val="en-US" w:eastAsia="zh-CN" w:bidi="ar-SA"/>
              </w:rPr>
            </w:pPr>
          </w:p>
        </w:tc>
        <w:tc>
          <w:tcPr>
            <w:tcW w:w="2111" w:type="dxa"/>
            <w:vAlign w:val="center"/>
          </w:tcPr>
          <w:p w14:paraId="2C6E1BE5">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p>
        </w:tc>
      </w:tr>
    </w:tbl>
    <w:p w14:paraId="121BCD70">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kern w:val="0"/>
          <w:sz w:val="24"/>
          <w:highlight w:val="none"/>
          <w:u w:val="single"/>
          <w:lang w:val="en-US" w:eastAsia="zh-CN"/>
        </w:rPr>
        <w:t xml:space="preserve">1  </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8"/>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04" w:name="第五部分"/>
      <w:bookmarkStart w:id="40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2DC69E72">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 杭州市临平区塘栖镇人民政府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2025年塘栖镇镇区市政养护项目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r>
        <w:rPr>
          <w:rFonts w:hint="eastAsia" w:ascii="宋体" w:hAnsi="宋体" w:eastAsia="宋体" w:cs="宋体"/>
          <w:b/>
          <w:bCs/>
          <w:color w:val="auto"/>
          <w:sz w:val="24"/>
          <w:highlight w:val="none"/>
          <w:lang w:val="en-US" w:eastAsia="zh-CN"/>
        </w:rPr>
        <w:t>合同签订依据为相关法律法规文件、招标文件、乙方投标文件等，合同条款有与前者冲突的，以前者为准。</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 杭州市临平区塘栖镇人民政府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6" w:name="_Toc28855"/>
      <w:bookmarkStart w:id="407" w:name="_Toc22967"/>
      <w:bookmarkStart w:id="408" w:name="_Toc20421"/>
      <w:bookmarkStart w:id="409" w:name="_Toc19273"/>
      <w:bookmarkStart w:id="41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11" w:name="_Toc6311"/>
      <w:bookmarkStart w:id="412" w:name="_Toc6773"/>
      <w:bookmarkStart w:id="413" w:name="_Toc18585"/>
      <w:bookmarkStart w:id="414" w:name="_Toc2918"/>
      <w:bookmarkStart w:id="41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6" w:name="_Toc4929"/>
      <w:bookmarkStart w:id="417" w:name="_Toc21124"/>
      <w:bookmarkStart w:id="418" w:name="_Toc13918"/>
      <w:bookmarkStart w:id="419" w:name="_Toc1386"/>
      <w:bookmarkStart w:id="42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1" w:name="_Toc30506"/>
      <w:bookmarkStart w:id="422" w:name="_Toc30158"/>
      <w:bookmarkStart w:id="423" w:name="_Toc26916"/>
      <w:bookmarkStart w:id="424" w:name="_Toc14993"/>
      <w:bookmarkStart w:id="42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1"/>
    <w:bookmarkEnd w:id="422"/>
    <w:bookmarkEnd w:id="423"/>
    <w:bookmarkEnd w:id="424"/>
    <w:bookmarkEnd w:id="425"/>
    <w:p w14:paraId="2F5CCC91">
      <w:pPr>
        <w:pStyle w:val="960"/>
        <w:spacing w:before="0" w:beforeAutospacing="0" w:after="0" w:afterAutospacing="0" w:line="360" w:lineRule="auto"/>
        <w:ind w:firstLine="480"/>
        <w:rPr>
          <w:b/>
          <w:color w:val="auto"/>
          <w:highlight w:val="none"/>
        </w:rPr>
      </w:pPr>
      <w:bookmarkStart w:id="426" w:name="_Toc1814"/>
      <w:bookmarkStart w:id="427" w:name="_Toc10340"/>
      <w:bookmarkStart w:id="428" w:name="_Toc22618"/>
      <w:bookmarkStart w:id="429" w:name="_Toc31421"/>
      <w:bookmarkStart w:id="430" w:name="_Toc8772"/>
      <w:bookmarkStart w:id="431" w:name="_Toc3625"/>
      <w:bookmarkStart w:id="432" w:name="_Toc4760"/>
      <w:bookmarkStart w:id="433" w:name="_Toc11108"/>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C2B3F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r>
        <w:rPr>
          <w:rFonts w:hint="eastAsia" w:ascii="宋体" w:hAnsi="宋体" w:eastAsia="宋体" w:cs="宋体"/>
          <w:b/>
          <w:bCs/>
          <w:color w:val="auto"/>
          <w:sz w:val="24"/>
          <w:highlight w:val="none"/>
          <w:lang w:val="en-US" w:eastAsia="zh-CN"/>
        </w:rPr>
        <w:t>以经塘栖镇根据政府采购法等相关规定审核通过的合同相应条款为准。</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34" w:name="_Toc24662"/>
      <w:bookmarkStart w:id="435" w:name="_Toc3079"/>
      <w:bookmarkStart w:id="436" w:name="_Toc5698"/>
      <w:bookmarkStart w:id="437" w:name="_Toc2375"/>
      <w:bookmarkStart w:id="43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9" w:name="_Toc18683"/>
      <w:bookmarkStart w:id="440" w:name="_Toc32454"/>
      <w:bookmarkStart w:id="441" w:name="_Toc9497"/>
      <w:bookmarkStart w:id="442" w:name="_Toc26807"/>
      <w:bookmarkStart w:id="44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1A3040A7">
      <w:pPr>
        <w:spacing w:line="560" w:lineRule="exact"/>
        <w:ind w:firstLine="482" w:firstLineChars="200"/>
        <w:outlineLvl w:val="0"/>
        <w:rPr>
          <w:rFonts w:ascii="宋体" w:hAnsi="宋体" w:cs="宋体"/>
          <w:b/>
          <w:color w:val="auto"/>
          <w:sz w:val="24"/>
          <w:highlight w:val="none"/>
        </w:rPr>
      </w:pPr>
      <w:bookmarkStart w:id="444" w:name="_Toc15583"/>
      <w:bookmarkStart w:id="445" w:name="_Toc28375"/>
      <w:bookmarkStart w:id="446" w:name="_Toc16021"/>
      <w:r>
        <w:rPr>
          <w:rFonts w:hint="eastAsia" w:ascii="宋体" w:hAnsi="宋体" w:cs="宋体"/>
          <w:b/>
          <w:color w:val="auto"/>
          <w:sz w:val="24"/>
          <w:highlight w:val="none"/>
        </w:rPr>
        <w:t>1.9合同争议的解决</w:t>
      </w:r>
      <w:bookmarkEnd w:id="444"/>
      <w:bookmarkEnd w:id="445"/>
      <w:bookmarkEnd w:id="44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7" w:name="_Toc7245"/>
      <w:bookmarkStart w:id="448" w:name="_Toc15322"/>
      <w:bookmarkStart w:id="449" w:name="_Toc11173"/>
      <w:r>
        <w:rPr>
          <w:rFonts w:hint="eastAsia" w:ascii="宋体" w:hAnsi="宋体" w:cs="宋体"/>
          <w:b/>
          <w:color w:val="auto"/>
          <w:sz w:val="24"/>
          <w:highlight w:val="none"/>
        </w:rPr>
        <w:t>2.0 合同生效</w:t>
      </w:r>
      <w:bookmarkEnd w:id="447"/>
      <w:bookmarkEnd w:id="448"/>
      <w:bookmarkEnd w:id="44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50" w:name="_Toc14021"/>
      <w:bookmarkStart w:id="451" w:name="_Toc19680"/>
      <w:bookmarkStart w:id="452" w:name="_Toc31297"/>
      <w:bookmarkStart w:id="453" w:name="_Toc25079"/>
      <w:bookmarkStart w:id="454" w:name="_Toc5228"/>
      <w:r>
        <w:rPr>
          <w:rFonts w:ascii="宋体" w:hAnsi="宋体"/>
          <w:b/>
          <w:color w:val="auto"/>
          <w:sz w:val="24"/>
          <w:highlight w:val="none"/>
        </w:rPr>
        <w:t>2.1 定义</w:t>
      </w:r>
      <w:bookmarkEnd w:id="450"/>
      <w:bookmarkEnd w:id="451"/>
      <w:bookmarkEnd w:id="452"/>
      <w:bookmarkEnd w:id="453"/>
      <w:bookmarkEnd w:id="45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5" w:name="_Toc31402"/>
      <w:bookmarkStart w:id="456" w:name="_Toc19539"/>
      <w:bookmarkStart w:id="457" w:name="_Toc3769"/>
      <w:bookmarkStart w:id="458" w:name="_Toc23289"/>
      <w:bookmarkStart w:id="459" w:name="_Toc16752"/>
      <w:r>
        <w:rPr>
          <w:rFonts w:ascii="宋体" w:hAnsi="宋体"/>
          <w:b/>
          <w:color w:val="auto"/>
          <w:sz w:val="24"/>
          <w:highlight w:val="none"/>
        </w:rPr>
        <w:t>2.2 技术规范</w:t>
      </w:r>
      <w:bookmarkEnd w:id="455"/>
      <w:bookmarkEnd w:id="456"/>
      <w:bookmarkEnd w:id="457"/>
      <w:bookmarkEnd w:id="458"/>
      <w:bookmarkEnd w:id="45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60" w:name="_Toc27945"/>
      <w:bookmarkStart w:id="461" w:name="_Toc12412"/>
      <w:bookmarkStart w:id="462" w:name="_Toc9161"/>
      <w:bookmarkStart w:id="463" w:name="_Toc13673"/>
      <w:bookmarkStart w:id="464" w:name="_Toc4133"/>
      <w:r>
        <w:rPr>
          <w:rFonts w:ascii="宋体" w:hAnsi="宋体"/>
          <w:b/>
          <w:color w:val="auto"/>
          <w:sz w:val="24"/>
          <w:highlight w:val="none"/>
        </w:rPr>
        <w:t>2.3 知识产权</w:t>
      </w:r>
      <w:bookmarkEnd w:id="460"/>
      <w:bookmarkEnd w:id="461"/>
      <w:bookmarkEnd w:id="462"/>
      <w:bookmarkEnd w:id="463"/>
      <w:bookmarkEnd w:id="46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5" w:name="_Toc26555"/>
      <w:bookmarkStart w:id="466" w:name="_Toc31233"/>
      <w:bookmarkStart w:id="467" w:name="_Toc32670"/>
      <w:bookmarkStart w:id="468" w:name="_Toc22011"/>
      <w:bookmarkStart w:id="469" w:name="_Toc15447"/>
      <w:r>
        <w:rPr>
          <w:rFonts w:ascii="宋体" w:hAnsi="宋体"/>
          <w:b/>
          <w:color w:val="auto"/>
          <w:sz w:val="24"/>
          <w:highlight w:val="none"/>
        </w:rPr>
        <w:t>2.5 结算方式和付款条件</w:t>
      </w:r>
      <w:bookmarkEnd w:id="465"/>
      <w:bookmarkEnd w:id="466"/>
      <w:bookmarkEnd w:id="467"/>
      <w:bookmarkEnd w:id="468"/>
      <w:bookmarkEnd w:id="46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70" w:name="_Toc13154"/>
      <w:bookmarkStart w:id="471" w:name="_Toc16163"/>
      <w:bookmarkStart w:id="472" w:name="_Toc30507"/>
      <w:bookmarkStart w:id="473" w:name="_Toc13467"/>
      <w:bookmarkStart w:id="474" w:name="_Toc18990"/>
      <w:r>
        <w:rPr>
          <w:rFonts w:ascii="宋体" w:hAnsi="宋体"/>
          <w:b/>
          <w:color w:val="auto"/>
          <w:sz w:val="24"/>
          <w:highlight w:val="none"/>
        </w:rPr>
        <w:t>2.6 技术资料和保密义务</w:t>
      </w:r>
      <w:bookmarkEnd w:id="470"/>
      <w:bookmarkEnd w:id="471"/>
      <w:bookmarkEnd w:id="472"/>
      <w:bookmarkEnd w:id="473"/>
      <w:bookmarkEnd w:id="47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8" w:name="_Toc21830"/>
      <w:bookmarkStart w:id="479" w:name="_Toc10663"/>
      <w:bookmarkStart w:id="480" w:name="_Toc23368"/>
      <w:bookmarkStart w:id="481" w:name="_Toc42"/>
      <w:bookmarkStart w:id="482" w:name="_Toc26689"/>
      <w:r>
        <w:rPr>
          <w:rFonts w:ascii="宋体" w:hAnsi="宋体"/>
          <w:b/>
          <w:color w:val="auto"/>
          <w:sz w:val="24"/>
          <w:highlight w:val="none"/>
        </w:rPr>
        <w:t>2.10 合同转让和分包</w:t>
      </w:r>
      <w:bookmarkEnd w:id="478"/>
      <w:bookmarkEnd w:id="479"/>
      <w:bookmarkEnd w:id="480"/>
      <w:bookmarkEnd w:id="481"/>
      <w:bookmarkEnd w:id="48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83" w:name="_Toc26633"/>
      <w:bookmarkStart w:id="484" w:name="_Toc32494"/>
      <w:bookmarkStart w:id="485" w:name="_Toc14371"/>
      <w:bookmarkStart w:id="486" w:name="_Toc25571"/>
      <w:bookmarkStart w:id="487" w:name="_Toc4720"/>
      <w:r>
        <w:rPr>
          <w:rFonts w:ascii="宋体" w:hAnsi="宋体"/>
          <w:b/>
          <w:color w:val="auto"/>
          <w:sz w:val="24"/>
          <w:highlight w:val="none"/>
        </w:rPr>
        <w:t>2.11 不可抗力</w:t>
      </w:r>
      <w:bookmarkEnd w:id="483"/>
      <w:bookmarkEnd w:id="484"/>
      <w:bookmarkEnd w:id="485"/>
      <w:bookmarkEnd w:id="486"/>
      <w:bookmarkEnd w:id="48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8" w:name="_Toc3638"/>
      <w:bookmarkStart w:id="489" w:name="_Toc25783"/>
      <w:bookmarkStart w:id="490" w:name="_Toc14115"/>
      <w:bookmarkStart w:id="491" w:name="_Toc24465"/>
      <w:bookmarkStart w:id="492" w:name="_Toc23854"/>
      <w:r>
        <w:rPr>
          <w:rFonts w:ascii="宋体" w:hAnsi="宋体"/>
          <w:b/>
          <w:color w:val="auto"/>
          <w:sz w:val="24"/>
          <w:highlight w:val="none"/>
        </w:rPr>
        <w:t>2.12 税费</w:t>
      </w:r>
      <w:bookmarkEnd w:id="488"/>
      <w:bookmarkEnd w:id="489"/>
      <w:bookmarkEnd w:id="490"/>
      <w:bookmarkEnd w:id="491"/>
      <w:bookmarkEnd w:id="49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93" w:name="_Toc26883"/>
      <w:bookmarkStart w:id="494" w:name="_Toc7315"/>
      <w:bookmarkStart w:id="495" w:name="_Toc25525"/>
      <w:bookmarkStart w:id="496" w:name="_Toc30105"/>
      <w:bookmarkStart w:id="497" w:name="_Toc14814"/>
      <w:r>
        <w:rPr>
          <w:rFonts w:ascii="宋体" w:hAnsi="宋体"/>
          <w:b/>
          <w:color w:val="auto"/>
          <w:sz w:val="24"/>
          <w:highlight w:val="none"/>
        </w:rPr>
        <w:t>2.13 乙方破产</w:t>
      </w:r>
      <w:bookmarkEnd w:id="493"/>
      <w:bookmarkEnd w:id="494"/>
      <w:bookmarkEnd w:id="495"/>
      <w:bookmarkEnd w:id="496"/>
      <w:bookmarkEnd w:id="49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8" w:name="_Toc1123"/>
      <w:bookmarkStart w:id="499" w:name="_Toc2016"/>
      <w:bookmarkStart w:id="500" w:name="_Toc23323"/>
      <w:r>
        <w:rPr>
          <w:rFonts w:ascii="宋体" w:hAnsi="宋体"/>
          <w:b/>
          <w:color w:val="auto"/>
          <w:sz w:val="24"/>
          <w:highlight w:val="none"/>
        </w:rPr>
        <w:t>2.14 合同中止、终止</w:t>
      </w:r>
      <w:bookmarkEnd w:id="498"/>
      <w:bookmarkEnd w:id="499"/>
      <w:bookmarkEnd w:id="50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01" w:name="_Toc14525"/>
      <w:bookmarkStart w:id="502" w:name="_Toc1969"/>
      <w:bookmarkStart w:id="503" w:name="_Toc17363"/>
      <w:r>
        <w:rPr>
          <w:rFonts w:ascii="宋体" w:hAnsi="宋体"/>
          <w:b/>
          <w:color w:val="auto"/>
          <w:sz w:val="24"/>
          <w:highlight w:val="none"/>
        </w:rPr>
        <w:t>2.15 检验和验收</w:t>
      </w:r>
      <w:bookmarkEnd w:id="501"/>
      <w:bookmarkEnd w:id="502"/>
      <w:bookmarkEnd w:id="50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04" w:name="_Toc9808"/>
      <w:bookmarkStart w:id="505" w:name="_Toc31892"/>
      <w:bookmarkStart w:id="506" w:name="_Toc25198"/>
      <w:bookmarkStart w:id="507" w:name="_Toc12666"/>
      <w:bookmarkStart w:id="508" w:name="_Toc2308"/>
      <w:r>
        <w:rPr>
          <w:rFonts w:ascii="宋体" w:hAnsi="宋体"/>
          <w:b/>
          <w:color w:val="auto"/>
          <w:sz w:val="24"/>
          <w:highlight w:val="none"/>
        </w:rPr>
        <w:t>2.16 通知和送达</w:t>
      </w:r>
      <w:bookmarkEnd w:id="504"/>
      <w:bookmarkEnd w:id="505"/>
      <w:bookmarkEnd w:id="506"/>
      <w:bookmarkEnd w:id="507"/>
      <w:bookmarkEnd w:id="508"/>
    </w:p>
    <w:p w14:paraId="2D57AD58">
      <w:pPr>
        <w:spacing w:line="560" w:lineRule="exact"/>
        <w:ind w:firstLine="480" w:firstLineChars="200"/>
        <w:rPr>
          <w:rFonts w:ascii="宋体" w:hAnsi="宋体"/>
          <w:color w:val="auto"/>
          <w:sz w:val="24"/>
          <w:highlight w:val="none"/>
        </w:rPr>
      </w:pPr>
      <w:bookmarkStart w:id="509" w:name="_Toc27674"/>
      <w:bookmarkStart w:id="51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9"/>
      <w:bookmarkEnd w:id="510"/>
    </w:p>
    <w:p w14:paraId="79494EF1">
      <w:pPr>
        <w:spacing w:line="560" w:lineRule="exact"/>
        <w:ind w:firstLine="482" w:firstLineChars="200"/>
        <w:outlineLvl w:val="0"/>
        <w:rPr>
          <w:rFonts w:ascii="宋体" w:hAnsi="宋体"/>
          <w:b/>
          <w:color w:val="auto"/>
          <w:sz w:val="24"/>
          <w:highlight w:val="none"/>
        </w:rPr>
      </w:pPr>
      <w:bookmarkStart w:id="511" w:name="_Toc12254"/>
      <w:bookmarkStart w:id="512" w:name="_Toc27644"/>
      <w:bookmarkStart w:id="513" w:name="_Toc20808"/>
      <w:bookmarkStart w:id="514" w:name="_Toc28906"/>
      <w:bookmarkStart w:id="51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1"/>
      <w:bookmarkEnd w:id="512"/>
      <w:bookmarkEnd w:id="513"/>
      <w:bookmarkEnd w:id="514"/>
      <w:bookmarkEnd w:id="51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6" w:name="_Toc30599"/>
      <w:bookmarkStart w:id="517" w:name="_Toc18540"/>
      <w:bookmarkStart w:id="518" w:name="_Toc4355"/>
      <w:r>
        <w:rPr>
          <w:rFonts w:hint="eastAsia" w:ascii="宋体" w:hAnsi="宋体" w:cs="宋体"/>
          <w:b/>
          <w:color w:val="auto"/>
          <w:sz w:val="24"/>
          <w:highlight w:val="none"/>
        </w:rPr>
        <w:t>2.18 计量单位</w:t>
      </w:r>
      <w:bookmarkEnd w:id="516"/>
      <w:bookmarkEnd w:id="517"/>
      <w:bookmarkEnd w:id="51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9" w:name="_Toc331685784"/>
      <w:r>
        <w:rPr>
          <w:rFonts w:hint="eastAsia" w:ascii="宋体" w:hAnsi="宋体" w:cs="宋体"/>
          <w:b/>
          <w:color w:val="auto"/>
          <w:sz w:val="24"/>
          <w:highlight w:val="none"/>
        </w:rPr>
        <w:t xml:space="preserve"> </w:t>
      </w:r>
      <w:bookmarkEnd w:id="51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color w:val="auto"/>
          <w:sz w:val="24"/>
          <w:highlight w:val="none"/>
        </w:rPr>
        <w:t>（如果有)</w:t>
      </w:r>
      <w:bookmarkEnd w:id="52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28BDC443">
      <w:pPr>
        <w:pStyle w:val="2"/>
        <w:rPr>
          <w:rFonts w:ascii="宋体" w:hAnsi="宋体" w:cs="宋体"/>
          <w:b/>
          <w:color w:val="auto"/>
          <w:kern w:val="0"/>
          <w:sz w:val="32"/>
          <w:szCs w:val="32"/>
          <w:highlight w:val="none"/>
        </w:rPr>
      </w:pPr>
    </w:p>
    <w:p w14:paraId="0052BEF6">
      <w:pPr>
        <w:pStyle w:val="3"/>
        <w:rPr>
          <w:rFonts w:ascii="宋体" w:hAnsi="宋体" w:cs="宋体"/>
          <w:b/>
          <w:color w:val="auto"/>
          <w:kern w:val="0"/>
          <w:sz w:val="32"/>
          <w:szCs w:val="32"/>
          <w:highlight w:val="none"/>
        </w:rPr>
      </w:pPr>
    </w:p>
    <w:p w14:paraId="3BF3C48C">
      <w:pPr>
        <w:rPr>
          <w:rFonts w:ascii="宋体" w:hAnsi="宋体" w:cs="宋体"/>
          <w:b/>
          <w:color w:val="auto"/>
          <w:kern w:val="0"/>
          <w:sz w:val="32"/>
          <w:szCs w:val="32"/>
          <w:highlight w:val="none"/>
        </w:rPr>
      </w:pPr>
    </w:p>
    <w:p w14:paraId="062B8285">
      <w:pPr>
        <w:pStyle w:val="2"/>
        <w:rPr>
          <w:rFonts w:ascii="宋体" w:hAnsi="宋体" w:cs="宋体"/>
          <w:b/>
          <w:color w:val="auto"/>
          <w:kern w:val="0"/>
          <w:sz w:val="32"/>
          <w:szCs w:val="32"/>
          <w:highlight w:val="none"/>
        </w:rPr>
      </w:pPr>
    </w:p>
    <w:p w14:paraId="23589C79">
      <w:pPr>
        <w:pStyle w:val="3"/>
        <w:rPr>
          <w:rFonts w:ascii="宋体" w:hAnsi="宋体" w:cs="宋体"/>
          <w:b/>
          <w:color w:val="auto"/>
          <w:kern w:val="0"/>
          <w:sz w:val="32"/>
          <w:szCs w:val="32"/>
          <w:highlight w:val="none"/>
        </w:rPr>
      </w:pPr>
    </w:p>
    <w:p w14:paraId="609C82DE">
      <w:pPr>
        <w:rPr>
          <w:rFonts w:ascii="宋体" w:hAnsi="宋体" w:cs="宋体"/>
          <w:b/>
          <w:color w:val="auto"/>
          <w:kern w:val="0"/>
          <w:sz w:val="32"/>
          <w:szCs w:val="32"/>
          <w:highlight w:val="none"/>
        </w:rPr>
      </w:pPr>
    </w:p>
    <w:p w14:paraId="7166DEF1">
      <w:pPr>
        <w:pStyle w:val="2"/>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3057BF1F">
      <w:pPr>
        <w:pStyle w:val="2"/>
        <w:rPr>
          <w:rFonts w:ascii="宋体" w:hAnsi="宋体" w:cs="宋体"/>
          <w:b/>
          <w:color w:val="auto"/>
          <w:kern w:val="0"/>
          <w:sz w:val="32"/>
          <w:szCs w:val="32"/>
          <w:highlight w:val="none"/>
          <w:lang w:val="zh-CN"/>
        </w:rPr>
      </w:pPr>
    </w:p>
    <w:p w14:paraId="5D924C8D">
      <w:pPr>
        <w:pStyle w:val="3"/>
        <w:rPr>
          <w:rFonts w:ascii="宋体" w:hAnsi="宋体" w:cs="宋体"/>
          <w:b/>
          <w:color w:val="auto"/>
          <w:kern w:val="0"/>
          <w:sz w:val="32"/>
          <w:szCs w:val="32"/>
          <w:highlight w:val="none"/>
          <w:lang w:val="zh-CN"/>
        </w:rPr>
      </w:pPr>
    </w:p>
    <w:p w14:paraId="70A5C16E">
      <w:pPr>
        <w:rPr>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03F1F885">
      <w:pPr>
        <w:pStyle w:val="2"/>
        <w:rPr>
          <w:rFonts w:ascii="宋体" w:hAnsi="宋体" w:cs="宋体"/>
          <w:b/>
          <w:color w:val="auto"/>
          <w:kern w:val="0"/>
          <w:sz w:val="32"/>
          <w:szCs w:val="32"/>
          <w:highlight w:val="none"/>
        </w:rPr>
      </w:pPr>
    </w:p>
    <w:p w14:paraId="0B071EDA">
      <w:pPr>
        <w:pStyle w:val="3"/>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杭州永圣工程咨询代理有限公司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54"/>
        <w:gridCol w:w="1785"/>
        <w:gridCol w:w="3915"/>
        <w:gridCol w:w="3263"/>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354"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85"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915" w:type="dxa"/>
            <w:vAlign w:val="center"/>
          </w:tcPr>
          <w:p w14:paraId="5722E16A">
            <w:pPr>
              <w:spacing w:line="360" w:lineRule="auto"/>
              <w:jc w:val="center"/>
              <w:rPr>
                <w:rFonts w:ascii="宋体" w:hAnsi="宋体" w:cs="宋体"/>
                <w:b/>
                <w:color w:val="auto"/>
                <w:sz w:val="24"/>
                <w:highlight w:val="none"/>
              </w:rPr>
            </w:pPr>
            <w:r>
              <w:rPr>
                <w:rFonts w:hint="eastAsia" w:eastAsia="宋体"/>
                <w:sz w:val="24"/>
                <w:lang w:val="en-US" w:eastAsia="zh-CN"/>
              </w:rPr>
              <w:t>我单位投标报价</w:t>
            </w:r>
            <w:r>
              <w:rPr>
                <w:rFonts w:hint="eastAsia" w:ascii="Times New Roman" w:hAnsi="Times New Roman" w:eastAsia="宋体" w:cs="Times New Roman"/>
                <w:sz w:val="24"/>
                <w:lang w:val="en-US" w:eastAsia="zh-CN"/>
              </w:rPr>
              <w:t>为信息价的</w:t>
            </w:r>
            <w:r>
              <w:rPr>
                <w:rFonts w:hint="eastAsia" w:eastAsia="宋体"/>
                <w:b/>
                <w:bCs/>
                <w:sz w:val="24"/>
                <w:u w:val="single"/>
                <w:lang w:val="en-US" w:eastAsia="zh-CN"/>
              </w:rPr>
              <w:t xml:space="preserve">    </w:t>
            </w:r>
            <w:r>
              <w:rPr>
                <w:rFonts w:hint="eastAsia" w:eastAsia="宋体"/>
                <w:sz w:val="24"/>
                <w:lang w:val="en-US" w:eastAsia="zh-CN"/>
              </w:rPr>
              <w:t>%收取（最多保留两位小数）</w:t>
            </w:r>
          </w:p>
        </w:tc>
        <w:tc>
          <w:tcPr>
            <w:tcW w:w="3263" w:type="dxa"/>
            <w:vAlign w:val="center"/>
          </w:tcPr>
          <w:p w14:paraId="285DC68C">
            <w:pPr>
              <w:spacing w:line="360" w:lineRule="auto"/>
              <w:ind w:firstLine="964" w:firstLineChars="400"/>
              <w:jc w:val="both"/>
              <w:rPr>
                <w:rFonts w:ascii="宋体" w:hAnsi="宋体" w:cs="宋体"/>
                <w:b/>
                <w:color w:val="auto"/>
                <w:sz w:val="24"/>
                <w:highlight w:val="none"/>
              </w:rPr>
            </w:pPr>
            <w:r>
              <w:rPr>
                <w:rFonts w:hint="eastAsia" w:ascii="宋体" w:hAnsi="宋体" w:cs="宋体"/>
                <w:b/>
                <w:color w:val="auto"/>
                <w:sz w:val="24"/>
                <w:highlight w:val="none"/>
              </w:rPr>
              <w:t>备</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注</w:t>
            </w:r>
          </w:p>
          <w:p w14:paraId="3A3951D7">
            <w:pPr>
              <w:spacing w:line="360" w:lineRule="auto"/>
              <w:jc w:val="center"/>
              <w:rPr>
                <w:rFonts w:ascii="宋体" w:hAnsi="宋体" w:cs="宋体"/>
                <w:b/>
                <w:color w:val="auto"/>
                <w:sz w:val="24"/>
                <w:highlight w:val="none"/>
              </w:rPr>
            </w:pPr>
            <w:r>
              <w:rPr>
                <w:rFonts w:hint="eastAsia" w:ascii="宋体" w:hAnsi="宋体" w:eastAsia="宋体" w:cs="宋体"/>
                <w:b/>
                <w:color w:val="0000FF"/>
                <w:sz w:val="24"/>
              </w:rPr>
              <w:t>（投标报价为折扣率，非下浮率，各投标单位仔细阅读招标文件后，进行报价）</w:t>
            </w: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354" w:type="dxa"/>
            <w:vAlign w:val="center"/>
          </w:tcPr>
          <w:p w14:paraId="490110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 xml:space="preserve">2025年塘栖镇镇区市政养护项目 </w:t>
            </w:r>
          </w:p>
        </w:tc>
        <w:tc>
          <w:tcPr>
            <w:tcW w:w="1785" w:type="dxa"/>
            <w:vAlign w:val="center"/>
          </w:tcPr>
          <w:p w14:paraId="07DD5525">
            <w:pPr>
              <w:snapToGrid w:val="0"/>
              <w:spacing w:line="360" w:lineRule="auto"/>
              <w:jc w:val="center"/>
              <w:rPr>
                <w:rFonts w:hint="eastAsia" w:ascii="宋体" w:hAnsi="宋体" w:eastAsia="宋体" w:cs="宋体"/>
                <w:color w:val="auto"/>
                <w:sz w:val="24"/>
                <w:highlight w:val="none"/>
                <w:lang w:val="en-US" w:eastAsia="zh-CN"/>
              </w:rPr>
            </w:pPr>
          </w:p>
        </w:tc>
        <w:tc>
          <w:tcPr>
            <w:tcW w:w="3915" w:type="dxa"/>
            <w:vAlign w:val="center"/>
          </w:tcPr>
          <w:p w14:paraId="30C10E6C">
            <w:pPr>
              <w:spacing w:line="360" w:lineRule="auto"/>
              <w:jc w:val="center"/>
              <w:rPr>
                <w:rFonts w:ascii="宋体" w:hAnsi="宋体" w:cs="宋体"/>
                <w:color w:val="auto"/>
                <w:sz w:val="24"/>
                <w:highlight w:val="none"/>
              </w:rPr>
            </w:pPr>
          </w:p>
        </w:tc>
        <w:tc>
          <w:tcPr>
            <w:tcW w:w="3263" w:type="dxa"/>
            <w:vAlign w:val="center"/>
          </w:tcPr>
          <w:p w14:paraId="09E11B5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eastAsia="zh-CN"/>
              </w:rPr>
              <w:t>本项目的最高限价为：折扣率为</w:t>
            </w:r>
            <w:r>
              <w:rPr>
                <w:rFonts w:hint="eastAsia" w:ascii="宋体" w:hAnsi="宋体" w:cs="宋体"/>
                <w:b/>
                <w:bCs/>
                <w:color w:val="auto"/>
                <w:sz w:val="24"/>
                <w:highlight w:val="none"/>
                <w:lang w:val="en-US" w:eastAsia="zh-CN"/>
              </w:rPr>
              <w:t>90%。</w:t>
            </w:r>
          </w:p>
        </w:tc>
      </w:tr>
      <w:tr w14:paraId="4DF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434A87">
            <w:pPr>
              <w:spacing w:line="360" w:lineRule="auto"/>
              <w:jc w:val="center"/>
              <w:rPr>
                <w:rFonts w:hint="eastAsia" w:ascii="宋体" w:hAnsi="宋体" w:cs="宋体"/>
                <w:color w:val="auto"/>
                <w:sz w:val="24"/>
                <w:highlight w:val="none"/>
              </w:rPr>
            </w:pPr>
          </w:p>
        </w:tc>
        <w:tc>
          <w:tcPr>
            <w:tcW w:w="5354" w:type="dxa"/>
            <w:vAlign w:val="center"/>
          </w:tcPr>
          <w:p w14:paraId="0C8D00B8">
            <w:pPr>
              <w:snapToGrid w:val="0"/>
              <w:spacing w:line="360" w:lineRule="auto"/>
              <w:jc w:val="center"/>
              <w:rPr>
                <w:rFonts w:hint="eastAsia" w:ascii="宋体" w:hAnsi="宋体" w:cs="宋体"/>
                <w:color w:val="auto"/>
                <w:sz w:val="24"/>
                <w:highlight w:val="none"/>
                <w:lang w:eastAsia="zh-CN"/>
              </w:rPr>
            </w:pPr>
          </w:p>
        </w:tc>
        <w:tc>
          <w:tcPr>
            <w:tcW w:w="1785" w:type="dxa"/>
            <w:vAlign w:val="center"/>
          </w:tcPr>
          <w:p w14:paraId="0FDECE4F">
            <w:pPr>
              <w:snapToGrid w:val="0"/>
              <w:spacing w:line="360" w:lineRule="auto"/>
              <w:jc w:val="center"/>
              <w:rPr>
                <w:rFonts w:hint="eastAsia" w:ascii="宋体" w:hAnsi="宋体" w:eastAsia="宋体" w:cs="宋体"/>
                <w:color w:val="auto"/>
                <w:sz w:val="24"/>
                <w:highlight w:val="none"/>
                <w:lang w:val="en-US" w:eastAsia="zh-CN"/>
              </w:rPr>
            </w:pPr>
          </w:p>
        </w:tc>
        <w:tc>
          <w:tcPr>
            <w:tcW w:w="3915" w:type="dxa"/>
            <w:vAlign w:val="center"/>
          </w:tcPr>
          <w:p w14:paraId="0BA8EF3B">
            <w:pPr>
              <w:spacing w:line="360" w:lineRule="auto"/>
              <w:jc w:val="center"/>
              <w:rPr>
                <w:rFonts w:ascii="宋体" w:hAnsi="宋体" w:cs="宋体"/>
                <w:color w:val="auto"/>
                <w:sz w:val="24"/>
                <w:highlight w:val="none"/>
              </w:rPr>
            </w:pPr>
          </w:p>
        </w:tc>
        <w:tc>
          <w:tcPr>
            <w:tcW w:w="3263" w:type="dxa"/>
            <w:vAlign w:val="center"/>
          </w:tcPr>
          <w:p w14:paraId="09F4AE65">
            <w:pPr>
              <w:spacing w:line="360" w:lineRule="auto"/>
              <w:jc w:val="center"/>
              <w:rPr>
                <w:rFonts w:hint="eastAsia" w:ascii="宋体" w:hAnsi="宋体" w:cs="宋体"/>
                <w:b/>
                <w:bCs/>
                <w:color w:val="auto"/>
                <w:sz w:val="24"/>
                <w:highlight w:val="none"/>
                <w:lang w:eastAsia="zh-CN"/>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71" w:type="dxa"/>
            <w:gridSpan w:val="2"/>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963" w:type="dxa"/>
            <w:gridSpan w:val="3"/>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71" w:type="dxa"/>
            <w:gridSpan w:val="2"/>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963" w:type="dxa"/>
            <w:gridSpan w:val="3"/>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21" w:name="OLE_LINK13"/>
      <w:bookmarkStart w:id="522" w:name="OLE_LINK14"/>
      <w:r>
        <w:rPr>
          <w:rFonts w:hint="eastAsia" w:ascii="宋体" w:hAnsi="宋体" w:cs="宋体"/>
          <w:b/>
          <w:color w:val="auto"/>
          <w:spacing w:val="6"/>
          <w:sz w:val="32"/>
          <w:szCs w:val="32"/>
          <w:highlight w:val="none"/>
        </w:rPr>
        <w:t>残疾人福利性单位声明函</w:t>
      </w:r>
    </w:p>
    <w:bookmarkEnd w:id="521"/>
    <w:bookmarkEnd w:id="52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2025年塘栖镇镇区市政养护项目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47A98D2E">
      <w:pPr>
        <w:pStyle w:val="2"/>
        <w:rPr>
          <w:rFonts w:ascii="宋体" w:hAnsi="宋体" w:cs="宋体"/>
          <w:b/>
          <w:color w:val="auto"/>
          <w:sz w:val="24"/>
          <w:highlight w:val="none"/>
        </w:rPr>
      </w:pPr>
    </w:p>
    <w:p w14:paraId="194C840B">
      <w:pPr>
        <w:pStyle w:val="3"/>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233B053D">
      <w:pPr>
        <w:pStyle w:val="2"/>
        <w:rPr>
          <w:rFonts w:hint="eastAsia" w:ascii="宋体" w:hAnsi="宋体" w:cs="宋体"/>
          <w:b/>
          <w:color w:val="auto"/>
          <w:spacing w:val="6"/>
          <w:sz w:val="32"/>
          <w:szCs w:val="32"/>
          <w:highlight w:val="none"/>
        </w:rPr>
      </w:pPr>
    </w:p>
    <w:p w14:paraId="2DBB43A8">
      <w:pPr>
        <w:pStyle w:val="3"/>
        <w:rPr>
          <w:rFonts w:hint="eastAsia" w:ascii="宋体" w:hAnsi="宋体" w:cs="宋体"/>
          <w:b/>
          <w:color w:val="auto"/>
          <w:spacing w:val="6"/>
          <w:sz w:val="32"/>
          <w:szCs w:val="32"/>
          <w:highlight w:val="none"/>
        </w:rPr>
      </w:pPr>
    </w:p>
    <w:p w14:paraId="429E8538">
      <w:pPr>
        <w:rPr>
          <w:rFonts w:hint="eastAsia" w:ascii="宋体" w:hAnsi="宋体" w:cs="宋体"/>
          <w:b/>
          <w:color w:val="auto"/>
          <w:spacing w:val="6"/>
          <w:sz w:val="32"/>
          <w:szCs w:val="32"/>
          <w:highlight w:val="none"/>
        </w:rPr>
      </w:pPr>
    </w:p>
    <w:p w14:paraId="48E39C4B">
      <w:pPr>
        <w:pStyle w:val="2"/>
        <w:rPr>
          <w:rFonts w:hint="eastAsia" w:ascii="宋体" w:hAnsi="宋体" w:cs="宋体"/>
          <w:b/>
          <w:color w:val="auto"/>
          <w:spacing w:val="6"/>
          <w:sz w:val="32"/>
          <w:szCs w:val="32"/>
          <w:highlight w:val="none"/>
        </w:rPr>
      </w:pPr>
    </w:p>
    <w:p w14:paraId="51229F84">
      <w:pPr>
        <w:pStyle w:val="3"/>
        <w:rPr>
          <w:rFonts w:hint="eastAsia"/>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 杭州市临平区塘栖镇人民政府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杭州永圣工程咨询代理有限公司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16F14ABB">
      <w:pPr>
        <w:autoSpaceDE w:val="0"/>
        <w:autoSpaceDN w:val="0"/>
        <w:jc w:val="both"/>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2025年塘栖镇镇区市政养护项目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ZJZFCG-YS2025-003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52DA6C04">
      <w:pPr>
        <w:pStyle w:val="2"/>
        <w:rPr>
          <w:rFonts w:ascii="宋体" w:hAnsi="宋体" w:cs="宋体"/>
          <w:b/>
          <w:color w:val="auto"/>
          <w:spacing w:val="6"/>
          <w:sz w:val="32"/>
          <w:szCs w:val="32"/>
          <w:highlight w:val="none"/>
        </w:rPr>
      </w:pPr>
    </w:p>
    <w:p w14:paraId="17FB4E68">
      <w:pPr>
        <w:pStyle w:val="3"/>
        <w:rPr>
          <w:rFonts w:ascii="宋体" w:hAnsi="宋体" w:cs="宋体"/>
          <w:b/>
          <w:color w:val="auto"/>
          <w:spacing w:val="6"/>
          <w:sz w:val="32"/>
          <w:szCs w:val="32"/>
          <w:highlight w:val="none"/>
        </w:rPr>
      </w:pPr>
    </w:p>
    <w:p w14:paraId="6894EF5E">
      <w:pPr>
        <w:rPr>
          <w:rFonts w:ascii="宋体" w:hAnsi="宋体" w:cs="宋体"/>
          <w:b/>
          <w:color w:val="auto"/>
          <w:spacing w:val="6"/>
          <w:sz w:val="32"/>
          <w:szCs w:val="32"/>
          <w:highlight w:val="none"/>
        </w:rPr>
      </w:pPr>
    </w:p>
    <w:p w14:paraId="27922032">
      <w:pPr>
        <w:pStyle w:val="2"/>
        <w:rPr>
          <w:rFonts w:ascii="宋体" w:hAnsi="宋体" w:cs="宋体"/>
          <w:b/>
          <w:color w:val="auto"/>
          <w:spacing w:val="6"/>
          <w:sz w:val="32"/>
          <w:szCs w:val="32"/>
          <w:highlight w:val="none"/>
        </w:rPr>
      </w:pPr>
    </w:p>
    <w:p w14:paraId="6057EC7F">
      <w:pPr>
        <w:pStyle w:val="3"/>
        <w:rPr>
          <w:rFonts w:ascii="宋体" w:hAnsi="宋体" w:cs="宋体"/>
          <w:b/>
          <w:color w:val="auto"/>
          <w:spacing w:val="6"/>
          <w:sz w:val="32"/>
          <w:szCs w:val="32"/>
          <w:highlight w:val="none"/>
        </w:rPr>
      </w:pPr>
    </w:p>
    <w:p w14:paraId="6FDC010A">
      <w:pPr>
        <w:rPr>
          <w:rFonts w:ascii="宋体" w:hAnsi="宋体" w:cs="宋体"/>
          <w:b/>
          <w:color w:val="auto"/>
          <w:spacing w:val="6"/>
          <w:sz w:val="32"/>
          <w:szCs w:val="32"/>
          <w:highlight w:val="none"/>
        </w:rPr>
      </w:pPr>
    </w:p>
    <w:p w14:paraId="19641019">
      <w:pPr>
        <w:pStyle w:val="2"/>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 杭州市临平区塘栖镇人民政府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2025年塘栖镇镇区市政养护项目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2"/>
      </w:rPr>
    </w:pPr>
    <w:r>
      <w:fldChar w:fldCharType="begin"/>
    </w:r>
    <w:r>
      <w:rPr>
        <w:rStyle w:val="72"/>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31845147"/>
    <w:bookmarkStart w:id="527" w:name="_Toc91899912"/>
    <w:bookmarkStart w:id="528" w:name="_Toc36110187"/>
    <w:bookmarkStart w:id="529" w:name="_Toc164085800"/>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2"/>
      </w:rPr>
    </w:pPr>
    <w:r>
      <w:fldChar w:fldCharType="begin"/>
    </w:r>
    <w:r>
      <w:rPr>
        <w:rStyle w:val="72"/>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CED8"/>
    <w:multiLevelType w:val="singleLevel"/>
    <w:tmpl w:val="033CCED8"/>
    <w:lvl w:ilvl="0" w:tentative="0">
      <w:start w:val="1"/>
      <w:numFmt w:val="decimal"/>
      <w:suff w:val="nothing"/>
      <w:lvlText w:val="%1．"/>
      <w:lvlJc w:val="left"/>
      <w:pPr>
        <w:ind w:left="0" w:firstLine="400"/>
      </w:pPr>
      <w:rPr>
        <w:rFonts w:hint="default"/>
        <w:sz w:val="24"/>
        <w:szCs w:val="24"/>
      </w:rPr>
    </w:lvl>
  </w:abstractNum>
  <w:abstractNum w:abstractNumId="1">
    <w:nsid w:val="3C6B310A"/>
    <w:multiLevelType w:val="singleLevel"/>
    <w:tmpl w:val="3C6B310A"/>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1FF4234"/>
    <w:multiLevelType w:val="multilevel"/>
    <w:tmpl w:val="61FF42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4DC1"/>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4B3"/>
    <w:rsid w:val="019F7441"/>
    <w:rsid w:val="01B37585"/>
    <w:rsid w:val="01D55165"/>
    <w:rsid w:val="01DF6BF8"/>
    <w:rsid w:val="01EC2C57"/>
    <w:rsid w:val="01F35A3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C5217"/>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24AA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6B7800"/>
    <w:rsid w:val="1870062C"/>
    <w:rsid w:val="18817102"/>
    <w:rsid w:val="18830A15"/>
    <w:rsid w:val="18852B28"/>
    <w:rsid w:val="188B5321"/>
    <w:rsid w:val="19932372"/>
    <w:rsid w:val="19A20DD5"/>
    <w:rsid w:val="19AE03F1"/>
    <w:rsid w:val="19BC1F42"/>
    <w:rsid w:val="1A071A03"/>
    <w:rsid w:val="1A1F16AE"/>
    <w:rsid w:val="1A2E4BE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5184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50375"/>
    <w:rsid w:val="289F7086"/>
    <w:rsid w:val="28C32028"/>
    <w:rsid w:val="28CC490F"/>
    <w:rsid w:val="28DE40AA"/>
    <w:rsid w:val="28E7613D"/>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6406D"/>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8019D6"/>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44782"/>
    <w:rsid w:val="495F5B3E"/>
    <w:rsid w:val="49601FE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000D7C"/>
    <w:rsid w:val="50074FD7"/>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35C2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B4C1C"/>
    <w:rsid w:val="64C158BF"/>
    <w:rsid w:val="64CE2EAA"/>
    <w:rsid w:val="653C3090"/>
    <w:rsid w:val="65854376"/>
    <w:rsid w:val="658767BE"/>
    <w:rsid w:val="65892531"/>
    <w:rsid w:val="65B03CD6"/>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97ABB"/>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DE7F6F"/>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1"/>
    <w:link w:val="121"/>
    <w:qFormat/>
    <w:uiPriority w:val="0"/>
    <w:pPr>
      <w:adjustRightInd/>
      <w:spacing w:after="120" w:line="240" w:lineRule="auto"/>
      <w:ind w:left="420" w:leftChars="200" w:firstLine="210"/>
    </w:pPr>
    <w:rPr>
      <w:sz w:val="21"/>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4475</Words>
  <Characters>4932</Characters>
  <Lines>281</Lines>
  <Paragraphs>79</Paragraphs>
  <TotalTime>24</TotalTime>
  <ScaleCrop>false</ScaleCrop>
  <LinksUpToDate>false</LinksUpToDate>
  <CharactersWithSpaces>5332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cp:lastModifiedBy>
  <cp:lastPrinted>2025-03-11T03:06:00Z</cp:lastPrinted>
  <dcterms:modified xsi:type="dcterms:W3CDTF">2025-04-10T08:00:09Z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7C3E6D71DD2144D79CEF779B47DC0920_13</vt:lpwstr>
  </property>
  <property fmtid="{D5CDD505-2E9C-101B-9397-08002B2CF9AE}" pid="5" name="KSOTemplateDocerSaveRecord">
    <vt:lpwstr>eyJoZGlkIjoiOTQ0NzRkYTAwZGVhNDc1MjlkMTA2M2UxZDk2NzEzOTkiLCJ1c2VySWQiOiI0MTgzMTMwMzgifQ==</vt:lpwstr>
  </property>
</Properties>
</file>