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0"/>
        <w:jc w:val="center"/>
        <w:rPr>
          <w:rFonts w:hint="eastAsia" w:ascii="仿宋" w:hAnsi="仿宋" w:eastAsia="仿宋" w:cs="宋体"/>
          <w:b/>
          <w:sz w:val="24"/>
          <w:lang w:val="en-US" w:eastAsia="zh-CN"/>
        </w:rPr>
      </w:pPr>
      <w:r>
        <w:rPr>
          <w:rFonts w:hint="eastAsia" w:ascii="仿宋" w:hAnsi="仿宋" w:eastAsia="仿宋" w:cs="宋体"/>
          <w:b/>
          <w:sz w:val="24"/>
          <w:lang w:val="en-US" w:eastAsia="zh-CN"/>
        </w:rPr>
        <w:t>`</w:t>
      </w:r>
    </w:p>
    <w:p>
      <w:pPr>
        <w:adjustRightInd/>
        <w:spacing w:line="360" w:lineRule="auto"/>
        <w:jc w:val="center"/>
        <w:rPr>
          <w:rFonts w:ascii="仿宋" w:hAnsi="仿宋" w:eastAsia="仿宋" w:cs="仿宋"/>
          <w:b/>
          <w:sz w:val="48"/>
          <w:szCs w:val="48"/>
        </w:rPr>
      </w:pPr>
    </w:p>
    <w:p>
      <w:pPr>
        <w:adjustRightInd/>
        <w:spacing w:line="360" w:lineRule="auto"/>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2024年临平区高层次人才疗休养服务项目</w:t>
      </w:r>
    </w:p>
    <w:p>
      <w:pPr>
        <w:adjustRightInd/>
        <w:spacing w:line="360" w:lineRule="auto"/>
        <w:jc w:val="center"/>
        <w:rPr>
          <w:rFonts w:ascii="仿宋" w:hAnsi="仿宋" w:eastAsia="仿宋" w:cs="仿宋"/>
          <w:b/>
          <w:sz w:val="48"/>
          <w:szCs w:val="48"/>
        </w:rPr>
      </w:pPr>
      <w:r>
        <w:rPr>
          <w:rFonts w:hint="eastAsia" w:ascii="仿宋" w:hAnsi="仿宋" w:eastAsia="仿宋" w:cs="仿宋"/>
          <w:b/>
          <w:sz w:val="48"/>
          <w:szCs w:val="48"/>
        </w:rPr>
        <w:t xml:space="preserve">招标文件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ascii="仿宋" w:hAnsi="仿宋" w:eastAsia="仿宋" w:cs="仿宋"/>
          <w:b w:val="0"/>
          <w:bCs/>
          <w:sz w:val="32"/>
          <w:szCs w:val="32"/>
        </w:rPr>
      </w:pPr>
      <w:r>
        <w:rPr>
          <w:rFonts w:hint="eastAsia" w:ascii="仿宋" w:hAnsi="仿宋" w:eastAsia="仿宋" w:cs="仿宋"/>
          <w:b w:val="0"/>
          <w:bCs/>
          <w:sz w:val="32"/>
          <w:szCs w:val="32"/>
        </w:rPr>
        <w:t>编号:（</w:t>
      </w:r>
      <w:r>
        <w:rPr>
          <w:rFonts w:hint="eastAsia" w:ascii="仿宋" w:hAnsi="仿宋" w:eastAsia="仿宋" w:cs="仿宋"/>
          <w:b w:val="0"/>
          <w:bCs/>
          <w:color w:val="auto"/>
          <w:sz w:val="32"/>
          <w:szCs w:val="32"/>
          <w:lang w:eastAsia="zh-CN"/>
        </w:rPr>
        <w:t>CHZFCG-2024-019</w:t>
      </w:r>
      <w:r>
        <w:rPr>
          <w:rFonts w:hint="eastAsia" w:ascii="仿宋" w:hAnsi="仿宋" w:eastAsia="仿宋" w:cs="仿宋"/>
          <w:b w:val="0"/>
          <w:bCs/>
          <w:sz w:val="32"/>
          <w:szCs w:val="32"/>
        </w:rPr>
        <w:t>）</w:t>
      </w:r>
    </w:p>
    <w:p>
      <w:pPr>
        <w:adjustRightInd/>
        <w:spacing w:line="360" w:lineRule="auto"/>
        <w:jc w:val="center"/>
        <w:rPr>
          <w:rFonts w:ascii="仿宋" w:hAnsi="仿宋" w:eastAsia="仿宋" w:cs="仿宋"/>
          <w:sz w:val="28"/>
          <w:szCs w:val="20"/>
        </w:rPr>
      </w:pPr>
    </w:p>
    <w:p>
      <w:pPr>
        <w:pStyle w:val="4"/>
        <w:rPr>
          <w:rFonts w:ascii="仿宋" w:eastAsia="仿宋" w:cs="仿宋"/>
          <w:sz w:val="28"/>
          <w:szCs w:val="20"/>
        </w:rPr>
      </w:pPr>
    </w:p>
    <w:p>
      <w:pPr>
        <w:rPr>
          <w:rFonts w:ascii="仿宋" w:hAnsi="仿宋" w:eastAsia="仿宋" w:cs="仿宋"/>
          <w:sz w:val="28"/>
          <w:szCs w:val="20"/>
        </w:rPr>
      </w:pPr>
    </w:p>
    <w:p>
      <w:pPr>
        <w:pStyle w:val="4"/>
        <w:rPr>
          <w:rFonts w:ascii="仿宋" w:eastAsia="仿宋" w:cs="仿宋"/>
          <w:sz w:val="28"/>
          <w:szCs w:val="20"/>
        </w:rPr>
      </w:pPr>
    </w:p>
    <w:p>
      <w:pPr>
        <w:rPr>
          <w:rFonts w:ascii="仿宋" w:hAnsi="仿宋" w:eastAsia="仿宋" w:cs="仿宋"/>
          <w:sz w:val="28"/>
          <w:szCs w:val="20"/>
        </w:rPr>
      </w:pPr>
    </w:p>
    <w:p>
      <w:pPr>
        <w:pStyle w:val="4"/>
        <w:rPr>
          <w:rFonts w:ascii="仿宋" w:eastAsia="仿宋" w:cs="仿宋"/>
          <w:sz w:val="28"/>
          <w:szCs w:val="20"/>
        </w:rPr>
      </w:pPr>
    </w:p>
    <w:p>
      <w:pPr>
        <w:rPr>
          <w:rFonts w:ascii="仿宋" w:hAnsi="仿宋" w:eastAsia="仿宋" w:cs="仿宋"/>
          <w:sz w:val="28"/>
          <w:szCs w:val="20"/>
        </w:rPr>
      </w:pPr>
    </w:p>
    <w:p>
      <w:pPr>
        <w:pStyle w:val="4"/>
        <w:rPr>
          <w:rFonts w:ascii="仿宋" w:eastAsia="仿宋" w:cs="仿宋"/>
          <w:sz w:val="28"/>
          <w:szCs w:val="20"/>
        </w:rPr>
      </w:pPr>
    </w:p>
    <w:p>
      <w:pPr>
        <w:rPr>
          <w:rFonts w:ascii="仿宋" w:hAnsi="仿宋" w:eastAsia="仿宋" w:cs="仿宋"/>
          <w:sz w:val="28"/>
          <w:szCs w:val="20"/>
        </w:rPr>
      </w:pPr>
    </w:p>
    <w:p>
      <w:pPr>
        <w:pStyle w:val="4"/>
        <w:rPr>
          <w:rFonts w:ascii="仿宋" w:eastAsia="仿宋" w:cs="仿宋"/>
        </w:rPr>
      </w:pPr>
    </w:p>
    <w:p>
      <w:pPr>
        <w:spacing w:line="360" w:lineRule="auto"/>
        <w:jc w:val="center"/>
        <w:rPr>
          <w:rFonts w:ascii="仿宋" w:hAnsi="仿宋" w:eastAsia="仿宋" w:cs="仿宋"/>
          <w:sz w:val="24"/>
        </w:rPr>
      </w:pPr>
    </w:p>
    <w:p>
      <w:pPr>
        <w:snapToGrid w:val="0"/>
        <w:spacing w:line="360" w:lineRule="auto"/>
        <w:ind w:firstLine="1600" w:firstLineChars="500"/>
        <w:jc w:val="both"/>
        <w:rPr>
          <w:rFonts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val="en-US" w:eastAsia="zh-CN"/>
        </w:rPr>
        <w:t>杭州市临平区人力资源和社会保障局</w:t>
      </w:r>
      <w:r>
        <w:rPr>
          <w:rFonts w:hint="eastAsia" w:ascii="仿宋" w:hAnsi="仿宋" w:eastAsia="仿宋" w:cs="仿宋"/>
          <w:sz w:val="32"/>
          <w:szCs w:val="32"/>
        </w:rPr>
        <w:t xml:space="preserve"> </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采购代理机构：杭州诚华工程项目管理有限公司</w:t>
      </w:r>
    </w:p>
    <w:p>
      <w:pPr>
        <w:spacing w:line="360" w:lineRule="auto"/>
        <w:jc w:val="center"/>
        <w:rPr>
          <w:rFonts w:ascii="仿宋" w:hAnsi="仿宋" w:eastAsia="仿宋" w:cs="仿宋"/>
          <w:sz w:val="24"/>
        </w:rPr>
      </w:pPr>
      <w:r>
        <w:rPr>
          <w:rFonts w:hint="eastAsia" w:ascii="仿宋" w:hAnsi="仿宋" w:eastAsia="仿宋" w:cs="仿宋"/>
          <w:bCs/>
          <w:sz w:val="32"/>
          <w:szCs w:val="32"/>
        </w:rPr>
        <w:t>二〇二四年</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月</w:t>
      </w: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sz w:val="24"/>
          <w:lang w:val="en-US" w:eastAsia="zh-CN"/>
        </w:rPr>
        <w:t>2024年临平区高层次人才疗休养服务项目</w:t>
      </w:r>
      <w:r>
        <w:rPr>
          <w:rFonts w:hint="eastAsia" w:ascii="仿宋" w:hAnsi="仿宋" w:eastAsia="仿宋" w:cs="仿宋"/>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仿宋" w:hAnsi="仿宋" w:eastAsia="仿宋" w:cs="仿宋"/>
          <w:color w:val="auto"/>
          <w:kern w:val="2"/>
          <w:sz w:val="24"/>
          <w:szCs w:val="24"/>
        </w:rPr>
        <w:t>https://www.zcygov.cn/）获取（下载）招标文件，并于</w:t>
      </w:r>
      <w:r>
        <w:rPr>
          <w:rStyle w:val="76"/>
          <w:rFonts w:hint="eastAsia" w:ascii="仿宋" w:hAnsi="仿宋" w:eastAsia="仿宋" w:cs="仿宋"/>
          <w:color w:val="auto"/>
          <w:kern w:val="2"/>
          <w:sz w:val="24"/>
          <w:szCs w:val="24"/>
          <w:shd w:val="clear" w:color="auto" w:fill="auto"/>
        </w:rPr>
        <w:t>2024年</w:t>
      </w:r>
      <w:r>
        <w:rPr>
          <w:rStyle w:val="76"/>
          <w:rFonts w:hint="eastAsia" w:ascii="仿宋" w:hAnsi="仿宋" w:eastAsia="仿宋" w:cs="仿宋"/>
          <w:color w:val="auto"/>
          <w:kern w:val="2"/>
          <w:sz w:val="24"/>
          <w:szCs w:val="24"/>
          <w:shd w:val="clear" w:color="auto" w:fill="auto"/>
          <w:lang w:val="en-US" w:eastAsia="zh-CN"/>
        </w:rPr>
        <w:t>6月24日</w:t>
      </w:r>
      <w:r>
        <w:rPr>
          <w:rStyle w:val="76"/>
          <w:rFonts w:hint="eastAsia" w:ascii="仿宋" w:hAnsi="仿宋" w:eastAsia="仿宋" w:cs="仿宋"/>
          <w:color w:val="auto"/>
          <w:kern w:val="2"/>
          <w:sz w:val="24"/>
          <w:szCs w:val="24"/>
          <w:lang w:val="en-US" w:eastAsia="zh-CN"/>
        </w:rPr>
        <w:t>14点00分00秒</w:t>
      </w:r>
      <w:r>
        <w:rPr>
          <w:rStyle w:val="76"/>
          <w:rFonts w:hint="eastAsia" w:ascii="仿宋" w:hAnsi="仿宋" w:eastAsia="仿宋" w:cs="仿宋"/>
          <w:bCs/>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val="en-US" w:eastAsia="zh-CN"/>
        </w:rPr>
      </w:pPr>
      <w:r>
        <w:rPr>
          <w:rFonts w:hint="eastAsia" w:ascii="仿宋" w:hAnsi="仿宋" w:eastAsia="仿宋" w:cs="仿宋"/>
          <w:b/>
          <w:sz w:val="24"/>
        </w:rPr>
        <w:t>项目编号：</w:t>
      </w:r>
      <w:r>
        <w:rPr>
          <w:rFonts w:hint="eastAsia" w:ascii="仿宋" w:hAnsi="仿宋" w:eastAsia="仿宋" w:cs="仿宋"/>
          <w:b/>
          <w:color w:val="auto"/>
          <w:sz w:val="24"/>
          <w:lang w:eastAsia="zh-CN"/>
        </w:rPr>
        <w:t>CHZFCG-2024-019</w:t>
      </w:r>
    </w:p>
    <w:p>
      <w:pPr>
        <w:spacing w:line="360" w:lineRule="auto"/>
        <w:rPr>
          <w:rFonts w:hint="eastAsia" w:ascii="仿宋" w:hAnsi="仿宋" w:eastAsia="仿宋" w:cs="仿宋"/>
          <w:b/>
          <w:sz w:val="24"/>
          <w:lang w:eastAsia="zh-CN"/>
        </w:rPr>
      </w:pPr>
      <w:r>
        <w:rPr>
          <w:rFonts w:hint="eastAsia" w:ascii="仿宋" w:hAnsi="仿宋" w:eastAsia="仿宋" w:cs="仿宋"/>
          <w:b/>
          <w:sz w:val="24"/>
        </w:rPr>
        <w:t>项目名称：</w:t>
      </w:r>
      <w:r>
        <w:rPr>
          <w:rFonts w:hint="eastAsia" w:ascii="仿宋" w:hAnsi="仿宋" w:eastAsia="仿宋" w:cs="仿宋"/>
          <w:b/>
          <w:sz w:val="24"/>
          <w:lang w:eastAsia="zh-CN"/>
        </w:rPr>
        <w:t>2024年临平区高层次人才疗休养服务项目</w:t>
      </w:r>
    </w:p>
    <w:p>
      <w:pPr>
        <w:spacing w:line="360" w:lineRule="auto"/>
        <w:rPr>
          <w:rFonts w:hint="eastAsia" w:ascii="仿宋" w:hAnsi="仿宋" w:eastAsia="仿宋" w:cs="仿宋"/>
          <w:sz w:val="24"/>
          <w:szCs w:val="24"/>
          <w:lang w:val="en-US" w:eastAsia="zh-CN"/>
        </w:rPr>
      </w:pPr>
      <w:r>
        <w:rPr>
          <w:rFonts w:hint="eastAsia" w:ascii="仿宋" w:hAnsi="仿宋" w:eastAsia="仿宋" w:cs="仿宋"/>
          <w:b/>
          <w:sz w:val="24"/>
          <w:szCs w:val="24"/>
        </w:rPr>
        <w:t>预算金额（元）：</w:t>
      </w:r>
      <w:r>
        <w:rPr>
          <w:rFonts w:hint="eastAsia" w:ascii="仿宋" w:hAnsi="仿宋" w:eastAsia="仿宋" w:cs="仿宋"/>
          <w:b/>
          <w:sz w:val="24"/>
          <w:szCs w:val="24"/>
          <w:lang w:val="en-US" w:eastAsia="zh-CN"/>
        </w:rPr>
        <w:t>1300000</w:t>
      </w:r>
    </w:p>
    <w:p>
      <w:pPr>
        <w:pStyle w:val="6"/>
        <w:spacing w:line="360" w:lineRule="auto"/>
        <w:ind w:left="0" w:leftChars="0" w:firstLine="0" w:firstLineChars="0"/>
        <w:rPr>
          <w:rFonts w:hint="eastAsia" w:ascii="仿宋" w:hAnsi="仿宋" w:eastAsia="仿宋" w:cs="仿宋"/>
          <w:b/>
          <w:sz w:val="24"/>
          <w:szCs w:val="24"/>
          <w:lang w:val="en-US" w:eastAsia="zh-CN"/>
        </w:rPr>
      </w:pPr>
      <w:r>
        <w:rPr>
          <w:rFonts w:hint="eastAsia" w:ascii="仿宋" w:hAnsi="仿宋" w:eastAsia="仿宋" w:cs="仿宋"/>
          <w:b/>
          <w:sz w:val="24"/>
          <w:szCs w:val="24"/>
        </w:rPr>
        <w:t>最高限价（元）：</w:t>
      </w:r>
      <w:r>
        <w:rPr>
          <w:rFonts w:hint="eastAsia" w:ascii="仿宋" w:hAnsi="仿宋" w:eastAsia="仿宋" w:cs="仿宋"/>
          <w:b/>
          <w:sz w:val="24"/>
          <w:szCs w:val="24"/>
          <w:lang w:val="en-US" w:eastAsia="zh-CN"/>
        </w:rPr>
        <w:t>1300000</w:t>
      </w:r>
    </w:p>
    <w:p>
      <w:pPr>
        <w:pStyle w:val="6"/>
        <w:spacing w:line="360" w:lineRule="auto"/>
        <w:ind w:left="0" w:leftChars="0" w:firstLine="0" w:firstLineChars="0"/>
        <w:rPr>
          <w:rFonts w:ascii="仿宋" w:hAnsi="仿宋" w:eastAsia="仿宋" w:cs="仿宋"/>
          <w:bCs/>
          <w:color w:val="auto"/>
          <w:kern w:val="2"/>
          <w:sz w:val="24"/>
          <w:szCs w:val="24"/>
        </w:rPr>
      </w:pPr>
      <w:r>
        <w:rPr>
          <w:rFonts w:hint="eastAsia" w:ascii="仿宋" w:hAnsi="仿宋" w:eastAsia="仿宋" w:cs="仿宋"/>
          <w:b/>
          <w:color w:val="auto"/>
          <w:sz w:val="24"/>
          <w:szCs w:val="24"/>
        </w:rPr>
        <w:t>采购需求：</w:t>
      </w:r>
      <w:r>
        <w:rPr>
          <w:rFonts w:hint="eastAsia" w:ascii="仿宋" w:hAnsi="仿宋" w:eastAsia="仿宋" w:cs="仿宋"/>
          <w:b w:val="0"/>
          <w:bCs/>
          <w:color w:val="auto"/>
          <w:sz w:val="24"/>
          <w:szCs w:val="24"/>
          <w:lang w:val="en-US" w:eastAsia="zh-CN"/>
        </w:rPr>
        <w:t>2024年临平区高层次人才疗休养服务项目</w:t>
      </w:r>
      <w:r>
        <w:rPr>
          <w:rFonts w:hint="eastAsia" w:ascii="仿宋" w:hAnsi="仿宋" w:eastAsia="仿宋" w:cs="仿宋"/>
          <w:bCs/>
          <w:color w:val="auto"/>
          <w:kern w:val="2"/>
          <w:sz w:val="24"/>
          <w:szCs w:val="24"/>
        </w:rPr>
        <w:t>主要内容：</w:t>
      </w:r>
      <w:r>
        <w:rPr>
          <w:rFonts w:hint="eastAsia" w:ascii="仿宋" w:hAnsi="仿宋" w:eastAsia="仿宋" w:cs="仿宋"/>
          <w:color w:val="auto"/>
          <w:kern w:val="2"/>
          <w:sz w:val="24"/>
          <w:szCs w:val="24"/>
        </w:rPr>
        <w:t>具体以招标文件第三部分采购需求为准，供应商可点击本公告下方“浏览采购文件”查看采购需求。</w:t>
      </w:r>
    </w:p>
    <w:p>
      <w:pPr>
        <w:pStyle w:val="90"/>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b/>
          <w:color w:val="auto"/>
          <w:lang w:val="en-US" w:eastAsia="zh-CN"/>
        </w:rPr>
        <w:t>详见“第三部分采购需求”</w:t>
      </w:r>
      <w:r>
        <w:rPr>
          <w:rFonts w:hint="eastAsia" w:ascii="仿宋" w:hAnsi="仿宋" w:eastAsia="仿宋" w:cs="仿宋"/>
          <w:b/>
          <w:color w:val="auto"/>
        </w:rPr>
        <w:t>。</w:t>
      </w:r>
    </w:p>
    <w:p>
      <w:pPr>
        <w:pStyle w:val="6"/>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 xml:space="preserve">服务全部由符合政策要求的小微企业承接，提供中小企业声明函。  </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4.本项目的特定资格要求：具备国家测绘与地理信息管理部门颁发的测绘</w:t>
      </w:r>
      <w:r>
        <w:rPr>
          <w:rFonts w:hint="eastAsia" w:ascii="仿宋" w:hAnsi="仿宋" w:eastAsia="仿宋" w:cs="仿宋"/>
          <w:sz w:val="24"/>
          <w:highlight w:val="none"/>
          <w:lang w:eastAsia="zh-CN"/>
        </w:rPr>
        <w:t>甲</w:t>
      </w:r>
      <w:r>
        <w:rPr>
          <w:rFonts w:hint="eastAsia" w:ascii="仿宋" w:hAnsi="仿宋" w:eastAsia="仿宋" w:cs="仿宋"/>
          <w:sz w:val="24"/>
          <w:highlight w:val="none"/>
        </w:rPr>
        <w:t>级及以上资质(专业范围必须包含工程测量、</w:t>
      </w:r>
      <w:r>
        <w:rPr>
          <w:rFonts w:hint="eastAsia" w:ascii="仿宋" w:hAnsi="仿宋" w:eastAsia="仿宋" w:cs="仿宋"/>
          <w:sz w:val="24"/>
          <w:highlight w:val="none"/>
          <w:lang w:val="en-US" w:eastAsia="zh-CN"/>
        </w:rPr>
        <w:t>测绘</w:t>
      </w:r>
      <w:r>
        <w:rPr>
          <w:rFonts w:hint="eastAsia" w:ascii="仿宋" w:hAnsi="仿宋" w:eastAsia="仿宋" w:cs="仿宋"/>
          <w:sz w:val="24"/>
          <w:highlight w:val="none"/>
        </w:rPr>
        <w:t>航空摄影)；</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Style w:val="76"/>
          <w:rFonts w:hint="eastAsia" w:ascii="仿宋" w:hAnsi="仿宋" w:eastAsia="仿宋" w:cs="仿宋"/>
          <w:color w:val="auto"/>
          <w:kern w:val="2"/>
          <w:sz w:val="24"/>
          <w:szCs w:val="24"/>
        </w:rPr>
        <w:t>2024年</w:t>
      </w:r>
      <w:r>
        <w:rPr>
          <w:rStyle w:val="76"/>
          <w:rFonts w:hint="eastAsia" w:ascii="仿宋" w:hAnsi="仿宋" w:eastAsia="仿宋" w:cs="仿宋"/>
          <w:color w:val="auto"/>
          <w:kern w:val="2"/>
          <w:sz w:val="24"/>
          <w:szCs w:val="24"/>
          <w:lang w:eastAsia="zh-CN"/>
        </w:rPr>
        <w:t>6月</w:t>
      </w:r>
      <w:r>
        <w:rPr>
          <w:rStyle w:val="76"/>
          <w:rFonts w:hint="eastAsia" w:ascii="仿宋" w:hAnsi="仿宋" w:eastAsia="仿宋" w:cs="仿宋"/>
          <w:color w:val="auto"/>
          <w:kern w:val="2"/>
          <w:sz w:val="24"/>
          <w:szCs w:val="24"/>
          <w:lang w:val="en-US" w:eastAsia="zh-CN"/>
        </w:rPr>
        <w:t>24</w:t>
      </w:r>
      <w:r>
        <w:rPr>
          <w:rStyle w:val="76"/>
          <w:rFonts w:hint="eastAsia" w:ascii="仿宋" w:hAnsi="仿宋" w:eastAsia="仿宋" w:cs="仿宋"/>
          <w:color w:val="auto"/>
          <w:kern w:val="2"/>
          <w:sz w:val="24"/>
          <w:szCs w:val="24"/>
          <w:lang w:eastAsia="zh-CN"/>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b/>
          <w:color w:val="auto"/>
          <w:sz w:val="24"/>
          <w:u w:val="none"/>
        </w:rPr>
        <w:t>：</w:t>
      </w:r>
      <w:r>
        <w:rPr>
          <w:rStyle w:val="76"/>
          <w:rFonts w:hint="eastAsia" w:ascii="仿宋" w:hAnsi="仿宋" w:eastAsia="仿宋" w:cs="仿宋"/>
          <w:color w:val="auto"/>
          <w:kern w:val="2"/>
          <w:sz w:val="24"/>
          <w:szCs w:val="24"/>
          <w:u w:val="single"/>
        </w:rPr>
        <w:t>2024年</w:t>
      </w:r>
      <w:r>
        <w:rPr>
          <w:rStyle w:val="76"/>
          <w:rFonts w:hint="eastAsia" w:ascii="仿宋" w:hAnsi="仿宋" w:eastAsia="仿宋" w:cs="仿宋"/>
          <w:color w:val="auto"/>
          <w:kern w:val="2"/>
          <w:sz w:val="24"/>
          <w:szCs w:val="24"/>
          <w:u w:val="single"/>
          <w:lang w:eastAsia="zh-CN"/>
        </w:rPr>
        <w:t>6月</w:t>
      </w:r>
      <w:r>
        <w:rPr>
          <w:rStyle w:val="76"/>
          <w:rFonts w:hint="eastAsia" w:ascii="仿宋" w:hAnsi="仿宋" w:eastAsia="仿宋" w:cs="仿宋"/>
          <w:color w:val="auto"/>
          <w:kern w:val="2"/>
          <w:sz w:val="24"/>
          <w:szCs w:val="24"/>
          <w:u w:val="single"/>
          <w:lang w:val="en-US" w:eastAsia="zh-CN"/>
        </w:rPr>
        <w:t>24</w:t>
      </w:r>
      <w:r>
        <w:rPr>
          <w:rStyle w:val="76"/>
          <w:rFonts w:hint="eastAsia" w:ascii="仿宋" w:hAnsi="仿宋" w:eastAsia="仿宋" w:cs="仿宋"/>
          <w:color w:val="auto"/>
          <w:kern w:val="2"/>
          <w:sz w:val="24"/>
          <w:szCs w:val="24"/>
          <w:u w:val="single"/>
          <w:lang w:eastAsia="zh-CN"/>
        </w:rPr>
        <w:t>日</w:t>
      </w:r>
      <w:r>
        <w:rPr>
          <w:rStyle w:val="76"/>
          <w:rFonts w:hint="eastAsia" w:ascii="仿宋" w:hAnsi="仿宋" w:eastAsia="仿宋" w:cs="仿宋"/>
          <w:color w:val="auto"/>
          <w:kern w:val="2"/>
          <w:sz w:val="24"/>
          <w:szCs w:val="24"/>
          <w:u w:val="single"/>
          <w:lang w:val="en-US" w:eastAsia="zh-CN"/>
        </w:rPr>
        <w:t>14点00分00秒</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b/>
          <w:color w:val="auto"/>
          <w:sz w:val="24"/>
          <w:u w:val="none"/>
        </w:rPr>
        <w:t>：</w:t>
      </w:r>
      <w:r>
        <w:rPr>
          <w:rStyle w:val="76"/>
          <w:rFonts w:hint="eastAsia" w:ascii="仿宋" w:hAnsi="仿宋" w:eastAsia="仿宋" w:cs="仿宋"/>
          <w:color w:val="auto"/>
          <w:kern w:val="2"/>
          <w:sz w:val="24"/>
          <w:szCs w:val="24"/>
          <w:u w:val="single"/>
        </w:rPr>
        <w:t>2024年</w:t>
      </w:r>
      <w:r>
        <w:rPr>
          <w:rStyle w:val="76"/>
          <w:rFonts w:hint="eastAsia" w:ascii="仿宋" w:hAnsi="仿宋" w:eastAsia="仿宋" w:cs="仿宋"/>
          <w:color w:val="auto"/>
          <w:kern w:val="2"/>
          <w:sz w:val="24"/>
          <w:szCs w:val="24"/>
          <w:u w:val="single"/>
          <w:lang w:eastAsia="zh-CN"/>
        </w:rPr>
        <w:t>6月</w:t>
      </w:r>
      <w:r>
        <w:rPr>
          <w:rStyle w:val="76"/>
          <w:rFonts w:hint="eastAsia" w:ascii="仿宋" w:hAnsi="仿宋" w:eastAsia="仿宋" w:cs="仿宋"/>
          <w:color w:val="auto"/>
          <w:kern w:val="2"/>
          <w:sz w:val="24"/>
          <w:szCs w:val="24"/>
          <w:u w:val="single"/>
          <w:lang w:val="en-US" w:eastAsia="zh-CN"/>
        </w:rPr>
        <w:t>24</w:t>
      </w:r>
      <w:r>
        <w:rPr>
          <w:rStyle w:val="76"/>
          <w:rFonts w:hint="eastAsia" w:ascii="仿宋" w:hAnsi="仿宋" w:eastAsia="仿宋" w:cs="仿宋"/>
          <w:color w:val="auto"/>
          <w:kern w:val="2"/>
          <w:sz w:val="24"/>
          <w:szCs w:val="24"/>
          <w:u w:val="single"/>
          <w:lang w:eastAsia="zh-CN"/>
        </w:rPr>
        <w:t>日</w:t>
      </w:r>
      <w:r>
        <w:rPr>
          <w:rStyle w:val="76"/>
          <w:rFonts w:hint="eastAsia" w:ascii="仿宋" w:hAnsi="仿宋" w:eastAsia="仿宋" w:cs="仿宋"/>
          <w:color w:val="auto"/>
          <w:kern w:val="2"/>
          <w:sz w:val="24"/>
          <w:szCs w:val="24"/>
          <w:u w:val="single"/>
          <w:lang w:val="en-US" w:eastAsia="zh-CN"/>
        </w:rPr>
        <w:t>14点00分00秒</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numPr>
          <w:ilvl w:val="0"/>
          <w:numId w:val="1"/>
        </w:numPr>
        <w:spacing w:line="360" w:lineRule="auto"/>
        <w:rPr>
          <w:rFonts w:ascii="仿宋" w:hAnsi="仿宋" w:eastAsia="仿宋" w:cs="仿宋"/>
          <w:b/>
          <w:sz w:val="24"/>
        </w:rPr>
      </w:pPr>
      <w:r>
        <w:rPr>
          <w:rFonts w:hint="eastAsia" w:ascii="仿宋" w:hAnsi="仿宋" w:eastAsia="仿宋" w:cs="仿宋"/>
          <w:b/>
          <w:sz w:val="24"/>
        </w:rPr>
        <w:t>采购意向公开链接：</w:t>
      </w:r>
    </w:p>
    <w:p>
      <w:pPr>
        <w:spacing w:line="360" w:lineRule="auto"/>
        <w:rPr>
          <w:rFonts w:hint="eastAsia" w:ascii="仿宋" w:hAnsi="仿宋" w:eastAsia="仿宋" w:cs="仿宋"/>
          <w:b w:val="0"/>
          <w:bCs/>
          <w:sz w:val="24"/>
        </w:rPr>
      </w:pPr>
      <w:r>
        <w:rPr>
          <w:rFonts w:hint="eastAsia" w:ascii="仿宋" w:hAnsi="仿宋" w:eastAsia="仿宋" w:cs="仿宋"/>
          <w:b w:val="0"/>
          <w:bCs/>
          <w:sz w:val="24"/>
        </w:rPr>
        <w:fldChar w:fldCharType="begin"/>
      </w:r>
      <w:r>
        <w:rPr>
          <w:rFonts w:hint="eastAsia" w:ascii="仿宋" w:hAnsi="仿宋" w:eastAsia="仿宋" w:cs="仿宋"/>
          <w:b w:val="0"/>
          <w:bCs/>
          <w:sz w:val="24"/>
        </w:rPr>
        <w:instrText xml:space="preserve"> HYPERLINK "https://zfcg.czt.zj.gov.cn/site/detail?categoryCode=ZcyAnnouncement&amp;parentId=600007&amp;articleId=YycZjVhDJciQKIF6AHvt5g==&amp;utm=site.site-PC-36449.972-pc-websitegroup-zhejiang-mainSearchPage-front.1.bc495800173a11ef837d054be8c7b090" </w:instrText>
      </w:r>
      <w:r>
        <w:rPr>
          <w:rFonts w:hint="eastAsia" w:ascii="仿宋" w:hAnsi="仿宋" w:eastAsia="仿宋" w:cs="仿宋"/>
          <w:b w:val="0"/>
          <w:bCs/>
          <w:sz w:val="24"/>
        </w:rPr>
        <w:fldChar w:fldCharType="separate"/>
      </w:r>
      <w:r>
        <w:rPr>
          <w:rStyle w:val="76"/>
          <w:rFonts w:hint="eastAsia" w:ascii="仿宋" w:hAnsi="仿宋" w:eastAsia="仿宋" w:cs="仿宋"/>
          <w:b w:val="0"/>
          <w:bCs/>
          <w:sz w:val="24"/>
        </w:rPr>
        <w:t>https://zfcg.czt.zj.gov.cn/site/detail?categoryCode=ZcyAnnouncement&amp;parentId=600007&amp;articleId=YycZjVhDJciQKIF6AHvt5g==&amp;utm=site.site-PC-36449.972-pc-websitegroup-zhejiang-mainSearchPage-front.1.bc495800173a11ef837d054be8c7b090</w:t>
      </w:r>
      <w:r>
        <w:rPr>
          <w:rFonts w:hint="eastAsia" w:ascii="仿宋" w:hAnsi="仿宋" w:eastAsia="仿宋" w:cs="仿宋"/>
          <w:b w:val="0"/>
          <w:bCs/>
          <w:sz w:val="24"/>
        </w:rPr>
        <w:fldChar w:fldCharType="end"/>
      </w:r>
    </w:p>
    <w:p>
      <w:pPr>
        <w:spacing w:line="360" w:lineRule="auto"/>
        <w:rPr>
          <w:rFonts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rPr>
        <w:t xml:space="preserve"> </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rPr>
          <w:rFonts w:ascii="仿宋" w:hAnsi="仿宋" w:eastAsia="仿宋" w:cs="仿宋"/>
          <w:color w:val="auto"/>
          <w:sz w:val="24"/>
        </w:rPr>
      </w:pPr>
      <w:r>
        <w:rPr>
          <w:rFonts w:hint="eastAsia" w:ascii="仿宋" w:hAnsi="仿宋" w:eastAsia="仿宋" w:cs="仿宋"/>
          <w:color w:val="auto"/>
          <w:sz w:val="24"/>
        </w:rPr>
        <w:t>1.采购人信息</w:t>
      </w:r>
    </w:p>
    <w:p>
      <w:pPr>
        <w:spacing w:line="360" w:lineRule="auto"/>
        <w:rPr>
          <w:rFonts w:ascii="仿宋" w:hAnsi="仿宋" w:eastAsia="仿宋" w:cs="仿宋"/>
          <w:color w:val="FF0000"/>
          <w:sz w:val="24"/>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杭州市临平区人力资源和社会保障局</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址：杭州市临平区南大街265号7楼</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金锲</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项目联系方式（询问）：0571-89530437</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李小军</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质疑联系方式：</w:t>
      </w:r>
      <w:r>
        <w:rPr>
          <w:rFonts w:hint="eastAsia" w:ascii="仿宋" w:hAnsi="仿宋" w:eastAsia="仿宋" w:cs="仿宋"/>
          <w:color w:val="auto"/>
          <w:sz w:val="24"/>
          <w:highlight w:val="none"/>
        </w:rPr>
        <w:t xml:space="preserve">0571-89530439 </w:t>
      </w:r>
    </w:p>
    <w:p>
      <w:pPr>
        <w:spacing w:line="360" w:lineRule="auto"/>
        <w:rPr>
          <w:rFonts w:ascii="仿宋" w:hAnsi="仿宋" w:eastAsia="仿宋" w:cs="仿宋"/>
          <w:sz w:val="24"/>
        </w:rPr>
      </w:pPr>
      <w:r>
        <w:rPr>
          <w:rFonts w:hint="eastAsia" w:ascii="仿宋" w:hAnsi="仿宋" w:eastAsia="仿宋" w:cs="仿宋"/>
          <w:sz w:val="24"/>
        </w:rPr>
        <w:t xml:space="preserve">2.采购代理机构信息            </w:t>
      </w:r>
    </w:p>
    <w:p>
      <w:pPr>
        <w:spacing w:line="360" w:lineRule="auto"/>
        <w:rPr>
          <w:rFonts w:ascii="仿宋" w:hAnsi="仿宋" w:eastAsia="仿宋" w:cs="仿宋"/>
          <w:sz w:val="24"/>
        </w:rPr>
      </w:pPr>
      <w:r>
        <w:rPr>
          <w:rFonts w:hint="eastAsia" w:ascii="仿宋" w:hAnsi="仿宋" w:eastAsia="仿宋" w:cs="仿宋"/>
          <w:sz w:val="24"/>
        </w:rPr>
        <w:t>名    称：杭州诚华工程项目管理有限公司</w:t>
      </w:r>
    </w:p>
    <w:p>
      <w:pPr>
        <w:spacing w:line="360" w:lineRule="auto"/>
        <w:rPr>
          <w:rFonts w:ascii="仿宋" w:hAnsi="仿宋" w:eastAsia="仿宋" w:cs="仿宋"/>
          <w:sz w:val="24"/>
        </w:rPr>
      </w:pPr>
      <w:r>
        <w:rPr>
          <w:rFonts w:hint="eastAsia" w:ascii="仿宋" w:hAnsi="仿宋" w:eastAsia="仿宋" w:cs="仿宋"/>
          <w:sz w:val="24"/>
        </w:rPr>
        <w:t xml:space="preserve">地    址：杭州市临平区东湖街道超峰东路36号        </w:t>
      </w:r>
    </w:p>
    <w:p>
      <w:pPr>
        <w:spacing w:line="360" w:lineRule="auto"/>
        <w:rPr>
          <w:rFonts w:ascii="仿宋" w:hAnsi="仿宋" w:eastAsia="仿宋" w:cs="仿宋"/>
          <w:sz w:val="24"/>
        </w:rPr>
      </w:pPr>
      <w:r>
        <w:rPr>
          <w:rFonts w:hint="eastAsia" w:ascii="仿宋" w:hAnsi="仿宋" w:eastAsia="仿宋" w:cs="仿宋"/>
          <w:sz w:val="24"/>
        </w:rPr>
        <w:t xml:space="preserve">项目联系人（询问）：邱康宁       联系电话：0571-88771103   </w:t>
      </w:r>
    </w:p>
    <w:p>
      <w:pPr>
        <w:spacing w:line="360" w:lineRule="auto"/>
        <w:rPr>
          <w:rFonts w:ascii="仿宋" w:hAnsi="仿宋" w:eastAsia="仿宋" w:cs="仿宋"/>
          <w:sz w:val="24"/>
        </w:rPr>
      </w:pPr>
      <w:r>
        <w:rPr>
          <w:rFonts w:hint="eastAsia" w:ascii="仿宋" w:hAnsi="仿宋" w:eastAsia="仿宋" w:cs="仿宋"/>
          <w:sz w:val="24"/>
        </w:rPr>
        <w:t xml:space="preserve">质疑联系人：商良钢               联系电话：13735597865 </w:t>
      </w:r>
    </w:p>
    <w:p>
      <w:pPr>
        <w:spacing w:line="360" w:lineRule="auto"/>
        <w:rPr>
          <w:rFonts w:ascii="仿宋" w:hAnsi="仿宋" w:eastAsia="仿宋" w:cs="仿宋"/>
          <w:color w:val="auto"/>
          <w:sz w:val="24"/>
        </w:rPr>
      </w:pPr>
      <w:r>
        <w:rPr>
          <w:rFonts w:hint="eastAsia" w:ascii="仿宋" w:hAnsi="仿宋" w:eastAsia="仿宋" w:cs="仿宋"/>
          <w:color w:val="FF0000"/>
          <w:sz w:val="24"/>
        </w:rPr>
        <w:t xml:space="preserve"> </w:t>
      </w:r>
      <w:r>
        <w:rPr>
          <w:rFonts w:hint="eastAsia" w:ascii="仿宋" w:hAnsi="仿宋" w:eastAsia="仿宋" w:cs="仿宋"/>
          <w:color w:val="auto"/>
          <w:sz w:val="24"/>
        </w:rPr>
        <w:t xml:space="preserve">3.同级政府采购监督管理部门            </w:t>
      </w:r>
    </w:p>
    <w:p>
      <w:pPr>
        <w:spacing w:line="360" w:lineRule="auto"/>
        <w:rPr>
          <w:rFonts w:ascii="仿宋" w:hAnsi="仿宋" w:eastAsia="仿宋" w:cs="仿宋"/>
          <w:color w:val="auto"/>
          <w:sz w:val="24"/>
        </w:rPr>
      </w:pPr>
      <w:r>
        <w:rPr>
          <w:rFonts w:hint="eastAsia" w:ascii="仿宋" w:hAnsi="仿宋" w:eastAsia="仿宋" w:cs="仿宋"/>
          <w:color w:val="auto"/>
          <w:sz w:val="24"/>
        </w:rPr>
        <w:t>名称：杭州市</w:t>
      </w:r>
      <w:r>
        <w:rPr>
          <w:rFonts w:hint="eastAsia" w:ascii="仿宋" w:hAnsi="仿宋" w:eastAsia="仿宋" w:cs="仿宋"/>
          <w:color w:val="auto"/>
          <w:sz w:val="24"/>
          <w:lang w:eastAsia="zh-CN"/>
        </w:rPr>
        <w:t>临平区</w:t>
      </w:r>
      <w:bookmarkStart w:id="530" w:name="_GoBack"/>
      <w:bookmarkEnd w:id="530"/>
      <w:r>
        <w:rPr>
          <w:rFonts w:hint="eastAsia" w:ascii="仿宋" w:hAnsi="仿宋" w:eastAsia="仿宋" w:cs="仿宋"/>
          <w:color w:val="auto"/>
          <w:sz w:val="24"/>
          <w:lang w:eastAsia="zh-CN"/>
        </w:rPr>
        <w:t>财政局</w:t>
      </w:r>
      <w:r>
        <w:rPr>
          <w:rFonts w:hint="eastAsia" w:ascii="仿宋" w:hAnsi="仿宋" w:eastAsia="仿宋" w:cs="仿宋"/>
          <w:color w:val="auto"/>
          <w:sz w:val="24"/>
        </w:rPr>
        <w:t>、浙江省政府采购行政裁决服务中心（杭州）</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地址：杭州市上城区四季青采购人新业路市民之家G03办公室（快递仅限ems或顺丰）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联 系 人 ：朱女士、王女士        监督投诉电话：0571-85252453     </w:t>
      </w:r>
    </w:p>
    <w:p>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spacing w:line="360" w:lineRule="auto"/>
        <w:jc w:val="left"/>
        <w:rPr>
          <w:rFonts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843"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事项</w:t>
            </w:r>
          </w:p>
        </w:tc>
        <w:tc>
          <w:tcPr>
            <w:tcW w:w="6095"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843" w:type="dxa"/>
            <w:vAlign w:val="center"/>
          </w:tcPr>
          <w:p>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项目属性</w:t>
            </w:r>
          </w:p>
        </w:tc>
        <w:tc>
          <w:tcPr>
            <w:tcW w:w="6095" w:type="dxa"/>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843" w:type="dxa"/>
            <w:vAlign w:val="center"/>
          </w:tcPr>
          <w:p>
            <w:pPr>
              <w:snapToGrid w:val="0"/>
              <w:spacing w:line="264" w:lineRule="auto"/>
              <w:jc w:val="center"/>
              <w:rPr>
                <w:rFonts w:hint="eastAsia" w:ascii="仿宋" w:hAnsi="仿宋" w:eastAsia="仿宋" w:cs="仿宋"/>
                <w:b/>
                <w:sz w:val="24"/>
                <w:szCs w:val="24"/>
              </w:rPr>
            </w:pPr>
            <w:r>
              <w:rPr>
                <w:rFonts w:hint="eastAsia" w:ascii="仿宋" w:hAnsi="仿宋" w:eastAsia="仿宋" w:cs="仿宋"/>
                <w:b/>
                <w:color w:val="000000"/>
                <w:sz w:val="24"/>
                <w:szCs w:val="24"/>
              </w:rPr>
              <w:t>采购标的及其对应的中小企业划分标准所属行业</w:t>
            </w:r>
          </w:p>
        </w:tc>
        <w:tc>
          <w:tcPr>
            <w:tcW w:w="6095" w:type="dxa"/>
            <w:vAlign w:val="center"/>
          </w:tcPr>
          <w:p>
            <w:pPr>
              <w:numPr>
                <w:ilvl w:val="0"/>
                <w:numId w:val="2"/>
              </w:numPr>
              <w:snapToGrid w:val="0"/>
              <w:spacing w:line="264"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标的：</w:t>
            </w:r>
            <w:r>
              <w:rPr>
                <w:rFonts w:hint="eastAsia" w:ascii="仿宋" w:hAnsi="仿宋" w:eastAsia="仿宋" w:cs="仿宋"/>
                <w:color w:val="000000"/>
                <w:kern w:val="0"/>
                <w:sz w:val="24"/>
                <w:szCs w:val="24"/>
                <w:lang w:val="en-US" w:eastAsia="zh-CN"/>
              </w:rPr>
              <w:t>2024年临平区高层次人才疗休养服务项目</w:t>
            </w:r>
            <w:r>
              <w:rPr>
                <w:rFonts w:hint="eastAsia" w:ascii="仿宋" w:hAnsi="仿宋" w:eastAsia="仿宋" w:cs="仿宋"/>
                <w:color w:val="000000"/>
                <w:kern w:val="0"/>
                <w:sz w:val="24"/>
                <w:szCs w:val="24"/>
              </w:rPr>
              <w:t>；</w:t>
            </w:r>
          </w:p>
          <w:p>
            <w:pPr>
              <w:snapToGrid w:val="0"/>
              <w:spacing w:line="264" w:lineRule="auto"/>
              <w:rPr>
                <w:rFonts w:hint="eastAsia" w:ascii="仿宋" w:hAnsi="仿宋" w:eastAsia="仿宋" w:cs="仿宋"/>
                <w:sz w:val="24"/>
                <w:szCs w:val="24"/>
              </w:rPr>
            </w:pPr>
            <w:r>
              <w:rPr>
                <w:rFonts w:hint="eastAsia" w:ascii="仿宋" w:hAnsi="仿宋" w:eastAsia="仿宋" w:cs="仿宋"/>
                <w:color w:val="000000"/>
                <w:kern w:val="0"/>
                <w:sz w:val="24"/>
                <w:szCs w:val="24"/>
              </w:rPr>
              <w:t>（2）属于：</w:t>
            </w:r>
            <w:r>
              <w:rPr>
                <w:rFonts w:hint="eastAsia" w:ascii="仿宋" w:hAnsi="仿宋" w:eastAsia="仿宋" w:cs="仿宋"/>
                <w:color w:val="000000"/>
                <w:kern w:val="0"/>
                <w:sz w:val="24"/>
                <w:szCs w:val="24"/>
                <w:u w:val="single"/>
              </w:rPr>
              <w:t xml:space="preserve"> 其他未列明行业 </w:t>
            </w:r>
            <w:r>
              <w:rPr>
                <w:rFonts w:hint="eastAsia" w:ascii="仿宋" w:hAnsi="仿宋" w:eastAsia="仿宋" w:cs="仿宋"/>
                <w:color w:val="000000"/>
                <w:kern w:val="0"/>
                <w:sz w:val="24"/>
                <w:szCs w:val="24"/>
              </w:rPr>
              <w:t>；</w:t>
            </w:r>
          </w:p>
          <w:p>
            <w:pPr>
              <w:pStyle w:val="618"/>
              <w:tabs>
                <w:tab w:val="left" w:pos="1070"/>
              </w:tabs>
              <w:spacing w:line="264" w:lineRule="auto"/>
              <w:ind w:right="52"/>
              <w:rPr>
                <w:rFonts w:hint="eastAsia" w:ascii="仿宋" w:hAnsi="仿宋" w:eastAsia="仿宋" w:cs="仿宋"/>
                <w:b/>
                <w:bCs/>
                <w:color w:val="000000"/>
                <w:sz w:val="24"/>
                <w:szCs w:val="24"/>
                <w:shd w:val="clear" w:color="auto" w:fill="FFFFFF"/>
                <w:lang w:val="zh-CN" w:eastAsia="zh-CN" w:bidi="zh-CN"/>
              </w:rPr>
            </w:pPr>
            <w:r>
              <w:rPr>
                <w:rFonts w:hint="eastAsia" w:ascii="仿宋" w:hAnsi="仿宋" w:eastAsia="仿宋" w:cs="仿宋"/>
                <w:kern w:val="0"/>
                <w:sz w:val="24"/>
                <w:szCs w:val="24"/>
                <w:lang w:val="en-US" w:eastAsia="zh-CN" w:bidi="ar-SA"/>
              </w:rPr>
              <w:drawing>
                <wp:inline distT="0" distB="0" distL="114300" distR="114300">
                  <wp:extent cx="3979545" cy="409575"/>
                  <wp:effectExtent l="0" t="0" r="190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7">
                            <a:lum/>
                          </a:blip>
                          <a:stretch>
                            <a:fillRect/>
                          </a:stretch>
                        </pic:blipFill>
                        <pic:spPr>
                          <a:xfrm>
                            <a:off x="0" y="0"/>
                            <a:ext cx="3979545" cy="409575"/>
                          </a:xfrm>
                          <a:prstGeom prst="rect">
                            <a:avLst/>
                          </a:prstGeom>
                          <a:noFill/>
                          <a:ln>
                            <a:noFill/>
                          </a:ln>
                        </pic:spPr>
                      </pic:pic>
                    </a:graphicData>
                  </a:graphic>
                </wp:inline>
              </w:drawing>
            </w:r>
          </w:p>
          <w:p>
            <w:pPr>
              <w:pStyle w:val="618"/>
              <w:tabs>
                <w:tab w:val="left" w:pos="1070"/>
              </w:tabs>
              <w:spacing w:line="264" w:lineRule="auto"/>
              <w:ind w:right="52"/>
              <w:rPr>
                <w:rFonts w:hint="eastAsia" w:ascii="仿宋" w:hAnsi="仿宋" w:eastAsia="仿宋" w:cs="仿宋"/>
                <w:b/>
                <w:bCs/>
                <w:color w:val="000000"/>
                <w:kern w:val="0"/>
                <w:sz w:val="24"/>
                <w:szCs w:val="24"/>
                <w:u w:val="single"/>
                <w:lang w:val="zh-CN"/>
              </w:rPr>
            </w:pPr>
            <w:r>
              <w:rPr>
                <w:rFonts w:hint="eastAsia" w:ascii="仿宋" w:hAnsi="仿宋" w:eastAsia="仿宋" w:cs="仿宋"/>
                <w:kern w:val="0"/>
                <w:sz w:val="24"/>
                <w:szCs w:val="24"/>
                <w:lang w:val="en-US" w:eastAsia="zh-CN" w:bidi="ar-SA"/>
              </w:rPr>
              <w:drawing>
                <wp:inline distT="0" distB="0" distL="114300" distR="114300">
                  <wp:extent cx="3869690" cy="175260"/>
                  <wp:effectExtent l="0" t="0" r="16510"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8">
                            <a:lum/>
                          </a:blip>
                          <a:stretch>
                            <a:fillRect/>
                          </a:stretch>
                        </pic:blipFill>
                        <pic:spPr>
                          <a:xfrm>
                            <a:off x="0" y="0"/>
                            <a:ext cx="3869690" cy="175260"/>
                          </a:xfrm>
                          <a:prstGeom prst="rect">
                            <a:avLst/>
                          </a:prstGeom>
                          <a:noFill/>
                          <a:ln>
                            <a:noFill/>
                          </a:ln>
                        </pic:spPr>
                      </pic:pic>
                    </a:graphicData>
                  </a:graphic>
                </wp:inline>
              </w:drawing>
            </w:r>
            <w:r>
              <w:rPr>
                <w:rFonts w:hint="eastAsia" w:ascii="仿宋" w:hAnsi="仿宋" w:eastAsia="仿宋" w:cs="仿宋"/>
                <w:b/>
                <w:bCs/>
                <w:color w:val="000000"/>
                <w:sz w:val="24"/>
                <w:szCs w:val="24"/>
                <w:shd w:val="clear" w:color="auto" w:fill="FFFFFF"/>
                <w:lang w:val="zh-CN" w:eastAsia="zh-CN" w:bidi="zh-CN"/>
              </w:rPr>
              <w:t>说明： 　　</w:t>
            </w:r>
          </w:p>
          <w:p>
            <w:pPr>
              <w:snapToGrid w:val="0"/>
              <w:spacing w:line="264" w:lineRule="auto"/>
              <w:ind w:firstLine="482" w:firstLineChars="200"/>
              <w:rPr>
                <w:rFonts w:hint="eastAsia" w:ascii="仿宋" w:hAnsi="仿宋" w:eastAsia="仿宋" w:cs="仿宋"/>
                <w:b/>
                <w:bCs/>
                <w:color w:val="000000"/>
                <w:kern w:val="0"/>
                <w:sz w:val="24"/>
                <w:szCs w:val="24"/>
                <w:u w:val="single"/>
                <w:lang w:val="zh-CN"/>
              </w:rPr>
            </w:pPr>
            <w:r>
              <w:rPr>
                <w:rFonts w:hint="eastAsia" w:ascii="仿宋" w:hAnsi="仿宋" w:eastAsia="仿宋" w:cs="仿宋"/>
                <w:b/>
                <w:bCs/>
                <w:color w:val="000000"/>
                <w:kern w:val="0"/>
                <w:sz w:val="24"/>
                <w:szCs w:val="24"/>
                <w:u w:val="single"/>
                <w:lang w:val="zh-CN"/>
              </w:rPr>
              <w:t>1.大型、中型和小型企业须同时满足所列指标的下限，否则下划一档；微型企业只须满足所列指标中的一项即可。 　　</w:t>
            </w:r>
          </w:p>
          <w:p>
            <w:pPr>
              <w:snapToGrid w:val="0"/>
              <w:spacing w:line="264" w:lineRule="auto"/>
              <w:ind w:firstLine="482" w:firstLineChars="200"/>
              <w:rPr>
                <w:rFonts w:hint="eastAsia" w:ascii="仿宋" w:hAnsi="仿宋" w:eastAsia="仿宋" w:cs="仿宋"/>
                <w:b/>
                <w:bCs/>
                <w:color w:val="000000"/>
                <w:kern w:val="0"/>
                <w:sz w:val="24"/>
                <w:szCs w:val="24"/>
                <w:u w:val="single"/>
                <w:lang w:val="zh-CN"/>
              </w:rPr>
            </w:pPr>
            <w:r>
              <w:rPr>
                <w:rFonts w:hint="eastAsia" w:ascii="仿宋" w:hAnsi="仿宋" w:eastAsia="仿宋" w:cs="仿宋"/>
                <w:b/>
                <w:bCs/>
                <w:color w:val="000000"/>
                <w:kern w:val="0"/>
                <w:sz w:val="24"/>
                <w:szCs w:val="24"/>
                <w:u w:val="single"/>
                <w:lang w:val="zh-CN"/>
              </w:rPr>
              <w:t>2.附表中各行业的范围以《国民经济行业分类》（GB/T4754-2017）为准。</w:t>
            </w:r>
          </w:p>
          <w:p>
            <w:pPr>
              <w:snapToGrid w:val="0"/>
              <w:spacing w:line="264" w:lineRule="auto"/>
              <w:ind w:firstLine="482" w:firstLineChars="200"/>
              <w:rPr>
                <w:rFonts w:hint="eastAsia" w:ascii="仿宋" w:hAnsi="仿宋" w:eastAsia="仿宋" w:cs="仿宋"/>
                <w:b/>
                <w:bCs/>
                <w:color w:val="000000"/>
                <w:kern w:val="0"/>
                <w:sz w:val="24"/>
                <w:szCs w:val="24"/>
                <w:u w:val="single"/>
                <w:lang w:val="zh-CN"/>
              </w:rPr>
            </w:pPr>
            <w:r>
              <w:rPr>
                <w:rFonts w:hint="eastAsia" w:ascii="仿宋" w:hAnsi="仿宋" w:eastAsia="仿宋" w:cs="仿宋"/>
                <w:b/>
                <w:bCs/>
                <w:color w:val="000000"/>
                <w:kern w:val="0"/>
                <w:sz w:val="24"/>
                <w:szCs w:val="24"/>
                <w:u w:val="single"/>
                <w:lang w:val="zh-CN"/>
              </w:rPr>
              <w:t>3.企业划分指标以现行统计制度为准。</w:t>
            </w:r>
          </w:p>
          <w:p>
            <w:pPr>
              <w:snapToGrid w:val="0"/>
              <w:spacing w:line="264" w:lineRule="auto"/>
              <w:ind w:firstLine="482" w:firstLineChars="200"/>
              <w:rPr>
                <w:rFonts w:hint="eastAsia" w:ascii="仿宋" w:hAnsi="仿宋" w:eastAsia="仿宋" w:cs="仿宋"/>
                <w:b/>
                <w:bCs/>
                <w:color w:val="000000"/>
                <w:kern w:val="0"/>
                <w:sz w:val="24"/>
                <w:szCs w:val="24"/>
                <w:u w:val="single"/>
                <w:lang w:val="zh-CN"/>
              </w:rPr>
            </w:pPr>
            <w:r>
              <w:rPr>
                <w:rFonts w:hint="eastAsia" w:ascii="仿宋" w:hAnsi="仿宋" w:eastAsia="仿宋" w:cs="仿宋"/>
                <w:b/>
                <w:bCs/>
                <w:color w:val="000000"/>
                <w:kern w:val="0"/>
                <w:sz w:val="24"/>
                <w:szCs w:val="24"/>
                <w:u w:val="single"/>
                <w:lang w:val="zh-CN"/>
              </w:rPr>
              <w:t>1）从业人员，是指期末从业人员数，没有期末从业人员数的，采用全年平均人员数代替。</w:t>
            </w:r>
          </w:p>
          <w:p>
            <w:pPr>
              <w:snapToGrid w:val="0"/>
              <w:spacing w:line="264" w:lineRule="auto"/>
              <w:ind w:firstLine="482" w:firstLineChars="200"/>
              <w:rPr>
                <w:rFonts w:hint="eastAsia" w:ascii="仿宋" w:hAnsi="仿宋" w:eastAsia="仿宋" w:cs="仿宋"/>
                <w:b/>
                <w:bCs/>
                <w:color w:val="000000"/>
                <w:kern w:val="0"/>
                <w:sz w:val="24"/>
                <w:szCs w:val="24"/>
                <w:u w:val="single"/>
                <w:lang w:val="zh-CN"/>
              </w:rPr>
            </w:pPr>
            <w:r>
              <w:rPr>
                <w:rFonts w:hint="eastAsia" w:ascii="仿宋" w:hAnsi="仿宋" w:eastAsia="仿宋" w:cs="仿宋"/>
                <w:b/>
                <w:bCs/>
                <w:color w:val="000000"/>
                <w:kern w:val="0"/>
                <w:sz w:val="24"/>
                <w:szCs w:val="24"/>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8"/>
              <w:tabs>
                <w:tab w:val="left" w:pos="1070"/>
              </w:tabs>
              <w:spacing w:line="264" w:lineRule="auto"/>
              <w:ind w:right="52" w:firstLine="482" w:firstLineChars="200"/>
              <w:rPr>
                <w:rFonts w:hint="eastAsia" w:ascii="仿宋" w:hAnsi="仿宋" w:eastAsia="仿宋" w:cs="仿宋"/>
                <w:b/>
                <w:bCs/>
                <w:color w:val="000000"/>
                <w:sz w:val="24"/>
                <w:szCs w:val="24"/>
                <w:u w:val="single"/>
                <w:lang w:val="zh-CN" w:eastAsia="zh-CN"/>
              </w:rPr>
            </w:pPr>
            <w:r>
              <w:rPr>
                <w:rFonts w:hint="eastAsia" w:ascii="仿宋" w:hAnsi="仿宋" w:eastAsia="仿宋" w:cs="仿宋"/>
                <w:b/>
                <w:bCs/>
                <w:color w:val="000000"/>
                <w:sz w:val="24"/>
                <w:szCs w:val="24"/>
                <w:u w:val="single"/>
                <w:lang w:val="zh-CN" w:eastAsia="zh-CN"/>
              </w:rPr>
              <w:t>3）资产总额，采用资产总计代替。</w:t>
            </w:r>
          </w:p>
          <w:p>
            <w:pPr>
              <w:pStyle w:val="618"/>
              <w:tabs>
                <w:tab w:val="left" w:pos="1070"/>
              </w:tabs>
              <w:spacing w:line="264" w:lineRule="auto"/>
              <w:ind w:right="52" w:firstLine="240" w:firstLineChars="1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（3）根据《政府采购促进中小企业发展管理办法》（财库﹝2020﹞46 号）要求，本次采购为</w:t>
            </w:r>
            <w:r>
              <w:rPr>
                <w:rFonts w:hint="eastAsia" w:ascii="仿宋" w:hAnsi="仿宋" w:eastAsia="仿宋" w:cs="仿宋"/>
                <w:b/>
                <w:bCs/>
                <w:color w:val="000000"/>
                <w:sz w:val="24"/>
                <w:szCs w:val="24"/>
                <w:lang w:eastAsia="zh-CN"/>
              </w:rPr>
              <w:t>专门面向中小企业预留采购份额的采购项目</w:t>
            </w:r>
            <w:r>
              <w:rPr>
                <w:rFonts w:hint="eastAsia" w:ascii="仿宋" w:hAnsi="仿宋" w:eastAsia="仿宋" w:cs="仿宋"/>
                <w:color w:val="000000"/>
                <w:sz w:val="24"/>
                <w:szCs w:val="24"/>
                <w:lang w:eastAsia="zh-CN"/>
              </w:rPr>
              <w:t>。对小型和微型企业的投标报价不予扣除评审。</w:t>
            </w:r>
          </w:p>
          <w:p>
            <w:pPr>
              <w:pStyle w:val="618"/>
              <w:tabs>
                <w:tab w:val="left" w:pos="1070"/>
              </w:tabs>
              <w:spacing w:line="264" w:lineRule="auto"/>
              <w:ind w:right="52" w:firstLine="236" w:firstLineChars="10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(4)符合小微企业划分标准的个体工商户，视同小微企业</w:t>
            </w:r>
            <w:r>
              <w:rPr>
                <w:rFonts w:hint="eastAsia" w:ascii="仿宋" w:hAnsi="仿宋" w:eastAsia="仿宋" w:cs="仿宋"/>
                <w:spacing w:val="-13"/>
                <w:sz w:val="24"/>
                <w:szCs w:val="24"/>
                <w:lang w:eastAsia="zh-CN"/>
              </w:rPr>
              <w:t>。</w:t>
            </w:r>
          </w:p>
          <w:p>
            <w:pPr>
              <w:pStyle w:val="618"/>
              <w:tabs>
                <w:tab w:val="left" w:pos="1070"/>
              </w:tabs>
              <w:spacing w:line="264" w:lineRule="auto"/>
              <w:ind w:right="52" w:firstLine="238" w:firstLineChars="100"/>
              <w:rPr>
                <w:rFonts w:hint="eastAsia" w:ascii="仿宋" w:hAnsi="仿宋" w:eastAsia="仿宋" w:cs="仿宋"/>
                <w:b/>
                <w:sz w:val="24"/>
                <w:szCs w:val="24"/>
                <w:lang w:eastAsia="zh-CN"/>
              </w:rPr>
            </w:pPr>
            <w:r>
              <w:rPr>
                <w:rFonts w:hint="eastAsia" w:ascii="仿宋" w:hAnsi="仿宋" w:eastAsia="仿宋" w:cs="仿宋"/>
                <w:spacing w:val="-1"/>
                <w:sz w:val="24"/>
                <w:szCs w:val="24"/>
                <w:lang w:eastAsia="zh-CN"/>
              </w:rPr>
              <w:t xml:space="preserve">(5)监狱企业和残疾人福利性单位视同小型、微型企业， </w:t>
            </w:r>
            <w:r>
              <w:rPr>
                <w:rFonts w:hint="eastAsia" w:ascii="仿宋" w:hAnsi="仿宋" w:eastAsia="仿宋" w:cs="仿宋"/>
                <w:sz w:val="24"/>
                <w:szCs w:val="24"/>
                <w:lang w:eastAsia="zh-CN"/>
              </w:rPr>
              <w:t>按《财政部 司法部关于政府采购支持监狱企业发展有关问题的通知》(财库〔2014〕68 号)、《财政部 民政部  中国残</w:t>
            </w:r>
            <w:r>
              <w:rPr>
                <w:rFonts w:hint="eastAsia" w:ascii="仿宋" w:hAnsi="仿宋" w:eastAsia="仿宋" w:cs="仿宋"/>
                <w:spacing w:val="-2"/>
                <w:sz w:val="24"/>
                <w:szCs w:val="24"/>
                <w:lang w:eastAsia="zh-CN"/>
              </w:rPr>
              <w:t>疾人联合会关于促进残疾人就业政府采购政策的通知》</w:t>
            </w:r>
            <w:r>
              <w:rPr>
                <w:rFonts w:hint="eastAsia" w:ascii="仿宋" w:hAnsi="仿宋" w:eastAsia="仿宋" w:cs="仿宋"/>
                <w:sz w:val="24"/>
                <w:szCs w:val="24"/>
                <w:lang w:eastAsia="zh-CN"/>
              </w:rPr>
              <w:t>（财库〔2017〕141 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0"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ind w:firstLine="241" w:firstLineChars="100"/>
              <w:rPr>
                <w:rFonts w:hint="eastAsia" w:ascii="仿宋" w:hAnsi="仿宋" w:eastAsia="仿宋" w:cs="仿宋"/>
                <w:b/>
                <w:sz w:val="24"/>
                <w:szCs w:val="24"/>
              </w:rPr>
            </w:pPr>
            <w:r>
              <w:rPr>
                <w:rFonts w:hint="eastAsia" w:ascii="仿宋" w:hAnsi="仿宋" w:eastAsia="仿宋" w:cs="仿宋"/>
                <w:b/>
                <w:sz w:val="24"/>
                <w:szCs w:val="24"/>
              </w:rPr>
              <w:t>3</w:t>
            </w:r>
          </w:p>
        </w:tc>
        <w:tc>
          <w:tcPr>
            <w:tcW w:w="1843"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是否允许采购进口产品</w:t>
            </w:r>
          </w:p>
        </w:tc>
        <w:tc>
          <w:tcPr>
            <w:tcW w:w="6095" w:type="dxa"/>
            <w:vAlign w:val="center"/>
          </w:tcPr>
          <w:p>
            <w:pPr>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sym w:font="Wingdings" w:char="F0FE"/>
            </w:r>
            <w:r>
              <w:rPr>
                <w:rFonts w:hint="eastAsia" w:ascii="仿宋" w:hAnsi="仿宋" w:eastAsia="仿宋" w:cs="仿宋"/>
                <w:b/>
                <w:kern w:val="0"/>
                <w:sz w:val="24"/>
                <w:szCs w:val="24"/>
              </w:rPr>
              <w:t>本项目不允许采购进口产品。</w:t>
            </w:r>
          </w:p>
          <w:p>
            <w:pPr>
              <w:spacing w:line="360" w:lineRule="auto"/>
              <w:rPr>
                <w:rFonts w:hint="eastAsia" w:ascii="仿宋" w:hAnsi="仿宋" w:eastAsia="仿宋" w:cs="仿宋"/>
                <w:b/>
                <w:sz w:val="24"/>
                <w:szCs w:val="24"/>
              </w:rPr>
            </w:pPr>
            <w:r>
              <w:rPr>
                <w:rFonts w:hint="eastAsia" w:ascii="仿宋" w:hAnsi="仿宋" w:eastAsia="仿宋" w:cs="仿宋"/>
                <w:b/>
                <w:kern w:val="0"/>
                <w:sz w:val="24"/>
                <w:szCs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 w:hRule="atLeast"/>
          <w:tblHeader/>
        </w:trPr>
        <w:tc>
          <w:tcPr>
            <w:tcW w:w="629"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843" w:type="dxa"/>
            <w:vAlign w:val="center"/>
          </w:tcPr>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分包</w:t>
            </w:r>
          </w:p>
        </w:tc>
        <w:tc>
          <w:tcPr>
            <w:tcW w:w="6095" w:type="dxa"/>
            <w:vAlign w:val="center"/>
          </w:tcPr>
          <w:p>
            <w:pPr>
              <w:spacing w:line="360" w:lineRule="auto"/>
              <w:rPr>
                <w:rFonts w:hint="eastAsia" w:ascii="仿宋" w:hAnsi="仿宋" w:eastAsia="仿宋" w:cs="仿宋"/>
                <w:b/>
                <w:sz w:val="24"/>
                <w:szCs w:val="24"/>
              </w:rPr>
            </w:pPr>
            <w:r>
              <w:rPr>
                <w:rFonts w:hint="eastAsia" w:ascii="仿宋" w:hAnsi="仿宋" w:eastAsia="仿宋" w:cs="仿宋"/>
                <w:b/>
                <w:kern w:val="0"/>
                <w:sz w:val="24"/>
                <w:szCs w:val="24"/>
              </w:rPr>
              <w:t>☐A</w:t>
            </w:r>
            <w:r>
              <w:rPr>
                <w:rFonts w:hint="eastAsia" w:ascii="仿宋" w:hAnsi="仿宋" w:eastAsia="仿宋" w:cs="仿宋"/>
                <w:b/>
                <w:sz w:val="24"/>
                <w:szCs w:val="24"/>
              </w:rPr>
              <w:t>同意将非主体、非关键性的工作分包。</w:t>
            </w:r>
          </w:p>
          <w:p>
            <w:pPr>
              <w:spacing w:line="360" w:lineRule="auto"/>
              <w:rPr>
                <w:rFonts w:hint="eastAsia" w:ascii="仿宋" w:hAnsi="仿宋" w:eastAsia="仿宋" w:cs="仿宋"/>
                <w:b/>
                <w:sz w:val="24"/>
                <w:szCs w:val="24"/>
              </w:rPr>
            </w:pPr>
            <w:r>
              <w:rPr>
                <w:rFonts w:hint="eastAsia" w:ascii="仿宋" w:hAnsi="仿宋" w:eastAsia="仿宋" w:cs="仿宋"/>
                <w:b/>
                <w:kern w:val="0"/>
                <w:sz w:val="24"/>
                <w:szCs w:val="24"/>
              </w:rPr>
              <w:sym w:font="Wingdings" w:char="F0FE"/>
            </w:r>
            <w:r>
              <w:rPr>
                <w:rFonts w:hint="eastAsia" w:ascii="仿宋" w:hAnsi="仿宋" w:eastAsia="仿宋" w:cs="仿宋"/>
                <w:b/>
                <w:kern w:val="0"/>
                <w:sz w:val="24"/>
                <w:szCs w:val="24"/>
              </w:rPr>
              <w:t>B</w:t>
            </w:r>
            <w:r>
              <w:rPr>
                <w:rFonts w:hint="eastAsia" w:ascii="仿宋" w:hAnsi="仿宋" w:eastAsia="仿宋" w:cs="仿宋"/>
                <w:b/>
                <w:sz w:val="24"/>
                <w:szCs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3"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ind w:firstLine="241" w:firstLineChars="100"/>
              <w:rPr>
                <w:rFonts w:hint="eastAsia" w:ascii="仿宋" w:hAnsi="仿宋" w:eastAsia="仿宋" w:cs="仿宋"/>
                <w:b/>
                <w:sz w:val="24"/>
                <w:szCs w:val="24"/>
              </w:rPr>
            </w:pPr>
            <w:r>
              <w:rPr>
                <w:rFonts w:hint="eastAsia" w:ascii="仿宋" w:hAnsi="仿宋" w:eastAsia="仿宋" w:cs="仿宋"/>
                <w:b/>
                <w:sz w:val="24"/>
                <w:szCs w:val="24"/>
              </w:rPr>
              <w:t>5</w:t>
            </w:r>
          </w:p>
        </w:tc>
        <w:tc>
          <w:tcPr>
            <w:tcW w:w="1843"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开标前答疑会或现场考察</w:t>
            </w:r>
          </w:p>
        </w:tc>
        <w:tc>
          <w:tcPr>
            <w:tcW w:w="6095" w:type="dxa"/>
            <w:vAlign w:val="center"/>
          </w:tcPr>
          <w:p>
            <w:pPr>
              <w:spacing w:line="360" w:lineRule="auto"/>
              <w:rPr>
                <w:rFonts w:hint="eastAsia" w:ascii="仿宋" w:hAnsi="仿宋" w:eastAsia="仿宋" w:cs="仿宋"/>
                <w:b/>
                <w:sz w:val="24"/>
                <w:szCs w:val="24"/>
              </w:rPr>
            </w:pPr>
            <w:r>
              <w:rPr>
                <w:rFonts w:hint="eastAsia" w:ascii="仿宋" w:hAnsi="仿宋" w:eastAsia="仿宋" w:cs="仿宋"/>
                <w:b/>
                <w:kern w:val="0"/>
                <w:sz w:val="24"/>
                <w:szCs w:val="24"/>
              </w:rPr>
              <w:sym w:font="Wingdings" w:char="F0FE"/>
            </w:r>
            <w:r>
              <w:rPr>
                <w:rFonts w:hint="eastAsia" w:ascii="仿宋" w:hAnsi="仿宋" w:eastAsia="仿宋" w:cs="仿宋"/>
                <w:b/>
                <w:kern w:val="0"/>
                <w:sz w:val="24"/>
                <w:szCs w:val="24"/>
              </w:rPr>
              <w:t>A</w:t>
            </w:r>
            <w:r>
              <w:rPr>
                <w:rFonts w:hint="eastAsia" w:ascii="仿宋" w:hAnsi="仿宋" w:eastAsia="仿宋" w:cs="仿宋"/>
                <w:b/>
                <w:sz w:val="24"/>
                <w:szCs w:val="24"/>
              </w:rPr>
              <w:t>不组织。</w:t>
            </w:r>
          </w:p>
          <w:p>
            <w:pPr>
              <w:spacing w:line="360" w:lineRule="auto"/>
              <w:rPr>
                <w:rFonts w:hint="eastAsia" w:ascii="仿宋" w:hAnsi="仿宋" w:eastAsia="仿宋" w:cs="仿宋"/>
                <w:b/>
                <w:sz w:val="24"/>
                <w:szCs w:val="24"/>
              </w:rPr>
            </w:pPr>
            <w:r>
              <w:rPr>
                <w:rFonts w:hint="eastAsia" w:ascii="仿宋" w:hAnsi="仿宋" w:eastAsia="仿宋" w:cs="仿宋"/>
                <w:b/>
                <w:kern w:val="0"/>
                <w:sz w:val="24"/>
                <w:szCs w:val="24"/>
              </w:rPr>
              <w:t>☐B组织，</w:t>
            </w:r>
            <w:r>
              <w:rPr>
                <w:rFonts w:hint="eastAsia" w:ascii="仿宋" w:hAnsi="仿宋" w:eastAsia="仿宋" w:cs="仿宋"/>
                <w:b/>
                <w:sz w:val="24"/>
                <w:szCs w:val="24"/>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843"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样品提供</w:t>
            </w:r>
          </w:p>
        </w:tc>
        <w:tc>
          <w:tcPr>
            <w:tcW w:w="6095" w:type="dxa"/>
            <w:vAlign w:val="center"/>
          </w:tcPr>
          <w:p>
            <w:pPr>
              <w:spacing w:line="360" w:lineRule="auto"/>
              <w:rPr>
                <w:rFonts w:hint="eastAsia" w:ascii="仿宋" w:hAnsi="仿宋" w:eastAsia="仿宋" w:cs="仿宋"/>
                <w:b/>
                <w:sz w:val="24"/>
                <w:szCs w:val="24"/>
              </w:rPr>
            </w:pPr>
            <w:r>
              <w:rPr>
                <w:rFonts w:hint="eastAsia" w:ascii="仿宋" w:hAnsi="仿宋" w:eastAsia="仿宋" w:cs="仿宋"/>
                <w:b/>
                <w:kern w:val="0"/>
                <w:sz w:val="24"/>
                <w:szCs w:val="24"/>
              </w:rPr>
              <w:sym w:font="Wingdings" w:char="F0FE"/>
            </w:r>
            <w:r>
              <w:rPr>
                <w:rFonts w:hint="eastAsia" w:ascii="仿宋" w:hAnsi="仿宋" w:eastAsia="仿宋" w:cs="仿宋"/>
                <w:b/>
                <w:kern w:val="0"/>
                <w:sz w:val="24"/>
                <w:szCs w:val="24"/>
              </w:rPr>
              <w:t>A</w:t>
            </w:r>
            <w:r>
              <w:rPr>
                <w:rFonts w:hint="eastAsia" w:ascii="仿宋" w:hAnsi="仿宋" w:eastAsia="仿宋" w:cs="仿宋"/>
                <w:b/>
                <w:sz w:val="24"/>
                <w:szCs w:val="24"/>
              </w:rPr>
              <w:t>不要求提供。</w:t>
            </w:r>
          </w:p>
          <w:p>
            <w:pPr>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☐B要求提供，</w:t>
            </w:r>
          </w:p>
          <w:p>
            <w:pPr>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（1）</w:t>
            </w:r>
            <w:r>
              <w:rPr>
                <w:rFonts w:hint="eastAsia" w:ascii="仿宋" w:hAnsi="仿宋" w:eastAsia="仿宋" w:cs="仿宋"/>
                <w:b/>
                <w:snapToGrid w:val="0"/>
                <w:kern w:val="28"/>
                <w:sz w:val="24"/>
                <w:szCs w:val="24"/>
              </w:rPr>
              <w:t>样品：</w:t>
            </w:r>
            <w:r>
              <w:rPr>
                <w:rFonts w:hint="eastAsia" w:ascii="仿宋" w:hAnsi="仿宋" w:eastAsia="仿宋" w:cs="仿宋"/>
                <w:b/>
                <w:kern w:val="0"/>
                <w:sz w:val="24"/>
                <w:szCs w:val="24"/>
              </w:rPr>
              <w:t>；</w:t>
            </w:r>
          </w:p>
          <w:p>
            <w:pPr>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（2）</w:t>
            </w:r>
            <w:r>
              <w:rPr>
                <w:rFonts w:hint="eastAsia" w:ascii="仿宋" w:hAnsi="仿宋" w:eastAsia="仿宋" w:cs="仿宋"/>
                <w:b/>
                <w:snapToGrid w:val="0"/>
                <w:kern w:val="28"/>
                <w:sz w:val="24"/>
                <w:szCs w:val="24"/>
              </w:rPr>
              <w:t>样品制作的标准和要求：</w:t>
            </w:r>
            <w:r>
              <w:rPr>
                <w:rFonts w:hint="eastAsia" w:ascii="仿宋" w:hAnsi="仿宋" w:eastAsia="仿宋" w:cs="仿宋"/>
                <w:b/>
                <w:kern w:val="0"/>
                <w:sz w:val="24"/>
                <w:szCs w:val="24"/>
              </w:rPr>
              <w:t>；</w:t>
            </w:r>
          </w:p>
          <w:p>
            <w:pPr>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（3）样品的评审方法以及评审标准</w:t>
            </w:r>
            <w:r>
              <w:rPr>
                <w:rFonts w:hint="eastAsia" w:ascii="仿宋" w:hAnsi="仿宋" w:eastAsia="仿宋" w:cs="仿宋"/>
                <w:b/>
                <w:snapToGrid w:val="0"/>
                <w:kern w:val="28"/>
                <w:sz w:val="24"/>
                <w:szCs w:val="24"/>
              </w:rPr>
              <w:t>：详见</w:t>
            </w:r>
            <w:r>
              <w:rPr>
                <w:rFonts w:hint="eastAsia" w:ascii="仿宋" w:hAnsi="仿宋" w:eastAsia="仿宋" w:cs="仿宋"/>
                <w:b/>
                <w:sz w:val="24"/>
                <w:szCs w:val="24"/>
                <w:u w:val="single"/>
              </w:rPr>
              <w:t>评标办法</w:t>
            </w:r>
            <w:r>
              <w:rPr>
                <w:rFonts w:hint="eastAsia" w:ascii="仿宋" w:hAnsi="仿宋" w:eastAsia="仿宋" w:cs="仿宋"/>
                <w:b/>
                <w:kern w:val="0"/>
                <w:sz w:val="24"/>
                <w:szCs w:val="24"/>
              </w:rPr>
              <w:t>；</w:t>
            </w:r>
          </w:p>
          <w:p>
            <w:pPr>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（4）是否需要随样品提交检测报告：</w:t>
            </w:r>
            <w:r>
              <w:rPr>
                <w:rFonts w:hint="eastAsia" w:ascii="仿宋" w:hAnsi="仿宋" w:eastAsia="仿宋" w:cs="仿宋"/>
                <w:b/>
                <w:kern w:val="0"/>
                <w:sz w:val="24"/>
                <w:szCs w:val="24"/>
              </w:rPr>
              <w:sym w:font="Wingdings" w:char="F0FE"/>
            </w:r>
            <w:r>
              <w:rPr>
                <w:rFonts w:hint="eastAsia" w:ascii="仿宋" w:hAnsi="仿宋" w:eastAsia="仿宋" w:cs="仿宋"/>
                <w:b/>
                <w:kern w:val="0"/>
                <w:sz w:val="24"/>
                <w:szCs w:val="24"/>
              </w:rPr>
              <w:t>否；☐是，检测机构的要求</w:t>
            </w:r>
            <w:r>
              <w:rPr>
                <w:rFonts w:hint="eastAsia" w:ascii="仿宋" w:hAnsi="仿宋" w:eastAsia="仿宋" w:cs="仿宋"/>
                <w:b/>
                <w:sz w:val="24"/>
                <w:szCs w:val="24"/>
              </w:rPr>
              <w:t>：</w:t>
            </w:r>
            <w:r>
              <w:rPr>
                <w:rFonts w:hint="eastAsia" w:ascii="仿宋" w:hAnsi="仿宋" w:eastAsia="仿宋" w:cs="仿宋"/>
                <w:b/>
                <w:kern w:val="0"/>
                <w:sz w:val="24"/>
                <w:szCs w:val="24"/>
              </w:rPr>
              <w:t>；检测内容</w:t>
            </w:r>
            <w:r>
              <w:rPr>
                <w:rFonts w:hint="eastAsia" w:ascii="仿宋" w:hAnsi="仿宋" w:eastAsia="仿宋" w:cs="仿宋"/>
                <w:b/>
                <w:sz w:val="24"/>
                <w:szCs w:val="24"/>
              </w:rPr>
              <w:t>：</w:t>
            </w:r>
            <w:r>
              <w:rPr>
                <w:rFonts w:hint="eastAsia" w:ascii="仿宋" w:hAnsi="仿宋" w:eastAsia="仿宋" w:cs="仿宋"/>
                <w:b/>
                <w:kern w:val="0"/>
                <w:sz w:val="24"/>
                <w:szCs w:val="24"/>
              </w:rPr>
              <w:t>。</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（5）提供样品的时间：</w:t>
            </w:r>
            <w:r>
              <w:rPr>
                <w:rFonts w:hint="eastAsia" w:ascii="仿宋" w:hAnsi="仿宋" w:eastAsia="仿宋" w:cs="仿宋"/>
                <w:b/>
                <w:kern w:val="0"/>
                <w:sz w:val="24"/>
                <w:szCs w:val="24"/>
              </w:rPr>
              <w:t>；地点：；联系人</w:t>
            </w:r>
            <w:r>
              <w:rPr>
                <w:rFonts w:hint="eastAsia" w:ascii="仿宋" w:hAnsi="仿宋" w:eastAsia="仿宋" w:cs="仿宋"/>
                <w:b/>
                <w:sz w:val="24"/>
                <w:szCs w:val="24"/>
              </w:rPr>
              <w:t>：，</w:t>
            </w:r>
            <w:r>
              <w:rPr>
                <w:rFonts w:hint="eastAsia" w:ascii="仿宋" w:hAnsi="仿宋" w:eastAsia="仿宋" w:cs="仿宋"/>
                <w:b/>
                <w:kern w:val="28"/>
                <w:sz w:val="24"/>
                <w:szCs w:val="24"/>
              </w:rPr>
              <w:t>联系电话：</w:t>
            </w:r>
            <w:r>
              <w:rPr>
                <w:rFonts w:hint="eastAsia" w:ascii="仿宋" w:hAnsi="仿宋" w:eastAsia="仿宋" w:cs="仿宋"/>
                <w:b/>
                <w:sz w:val="24"/>
                <w:szCs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▲（6）本条要求提供样品但投标人不提供样品的则其投标无效。</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（7）投标人样品提供不全或外观尺寸不符合招标文件要求或技术参数明显不符合招标文件要求的则样品分为0分；</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(8)采购活动结束后，对于未中标单位提供的样品，采购人、采购机构将通知未中标单位在规定的时间内取回，逾期未取回的，采购人、采购机构不负保管义务；对于中标单位提供的样品，采购人将进行保管、封存，并作为履约验收的参考。</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（9）制作、运输、安装和保管样品所发生的一切费用由投标人自理。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843"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sz w:val="24"/>
                <w:szCs w:val="24"/>
              </w:rPr>
              <w:t>方案讲解演示</w:t>
            </w:r>
          </w:p>
        </w:tc>
        <w:tc>
          <w:tcPr>
            <w:tcW w:w="6095" w:type="dxa"/>
            <w:vAlign w:val="center"/>
          </w:tcPr>
          <w:p>
            <w:pPr>
              <w:spacing w:line="360" w:lineRule="auto"/>
              <w:rPr>
                <w:rFonts w:hint="eastAsia" w:ascii="仿宋" w:hAnsi="仿宋" w:eastAsia="仿宋" w:cs="仿宋"/>
                <w:b/>
                <w:sz w:val="24"/>
                <w:szCs w:val="24"/>
              </w:rPr>
            </w:pPr>
            <w:r>
              <w:rPr>
                <w:rFonts w:hint="eastAsia" w:ascii="仿宋" w:hAnsi="仿宋" w:eastAsia="仿宋" w:cs="仿宋"/>
                <w:b/>
                <w:kern w:val="0"/>
                <w:sz w:val="24"/>
                <w:szCs w:val="24"/>
              </w:rPr>
              <w:sym w:font="Wingdings" w:char="F0FE"/>
            </w:r>
            <w:r>
              <w:rPr>
                <w:rFonts w:hint="eastAsia" w:ascii="仿宋" w:hAnsi="仿宋" w:eastAsia="仿宋" w:cs="仿宋"/>
                <w:b/>
                <w:kern w:val="0"/>
                <w:sz w:val="24"/>
                <w:szCs w:val="24"/>
              </w:rPr>
              <w:t>A</w:t>
            </w:r>
            <w:r>
              <w:rPr>
                <w:rFonts w:hint="eastAsia" w:ascii="仿宋" w:hAnsi="仿宋" w:eastAsia="仿宋" w:cs="仿宋"/>
                <w:b/>
                <w:sz w:val="24"/>
                <w:szCs w:val="24"/>
              </w:rPr>
              <w:t>不组织。</w:t>
            </w:r>
          </w:p>
          <w:p>
            <w:pPr>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☐B组织。</w:t>
            </w:r>
          </w:p>
          <w:p>
            <w:pPr>
              <w:snapToGrid w:val="0"/>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（2）方案讲解演示可选择以下其中一种方式：</w:t>
            </w:r>
          </w:p>
          <w:p>
            <w:pPr>
              <w:snapToGrid w:val="0"/>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方式二：到代理公司现场讲解演示。现场讲解地点为：，讲解演示所用电脑等设备由投标人自备。现场讲解演示人员进场时提供讲解人员名单（加盖公章或授权代表签名）及身份证明，否则不得讲解演示。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szCs w:val="24"/>
                <w:lang w:val="zh-CN"/>
              </w:rPr>
            </w:pPr>
            <w:r>
              <w:rPr>
                <w:rFonts w:hint="eastAsia" w:ascii="仿宋" w:hAnsi="仿宋" w:eastAsia="仿宋" w:cs="仿宋"/>
                <w:b/>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843" w:type="dxa"/>
            <w:vMerge w:val="restart"/>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投标人应当提供的资格、资信证明文件</w:t>
            </w:r>
          </w:p>
        </w:tc>
        <w:tc>
          <w:tcPr>
            <w:tcW w:w="6095" w:type="dxa"/>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（1）资格证明文件：见招标文件第二部分11.1。</w:t>
            </w:r>
          </w:p>
          <w:p>
            <w:pPr>
              <w:spacing w:line="360" w:lineRule="auto"/>
              <w:rPr>
                <w:rFonts w:hint="eastAsia" w:ascii="仿宋" w:hAnsi="仿宋" w:eastAsia="仿宋" w:cs="仿宋"/>
                <w:b/>
                <w:snapToGrid w:val="0"/>
                <w:kern w:val="0"/>
                <w:sz w:val="24"/>
                <w:szCs w:val="24"/>
              </w:rPr>
            </w:pPr>
            <w:r>
              <w:rPr>
                <w:rFonts w:hint="eastAsia" w:ascii="仿宋" w:hAnsi="仿宋" w:eastAsia="仿宋" w:cs="仿宋"/>
                <w:b/>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blHeader/>
        </w:trPr>
        <w:tc>
          <w:tcPr>
            <w:tcW w:w="629" w:type="dxa"/>
            <w:vMerge w:val="continue"/>
            <w:vAlign w:val="top"/>
          </w:tcPr>
          <w:p>
            <w:pPr>
              <w:snapToGrid w:val="0"/>
              <w:spacing w:line="360" w:lineRule="auto"/>
              <w:jc w:val="center"/>
              <w:rPr>
                <w:rFonts w:hint="eastAsia" w:ascii="仿宋" w:hAnsi="仿宋" w:eastAsia="仿宋" w:cs="仿宋"/>
                <w:b/>
                <w:sz w:val="24"/>
                <w:szCs w:val="24"/>
              </w:rPr>
            </w:pPr>
          </w:p>
        </w:tc>
        <w:tc>
          <w:tcPr>
            <w:tcW w:w="1843" w:type="dxa"/>
            <w:vMerge w:val="continue"/>
            <w:vAlign w:val="center"/>
          </w:tcPr>
          <w:p>
            <w:pPr>
              <w:snapToGrid w:val="0"/>
              <w:spacing w:line="360" w:lineRule="auto"/>
              <w:jc w:val="center"/>
              <w:rPr>
                <w:rFonts w:hint="eastAsia" w:ascii="仿宋" w:hAnsi="仿宋" w:eastAsia="仿宋" w:cs="仿宋"/>
                <w:b/>
                <w:sz w:val="24"/>
                <w:szCs w:val="24"/>
              </w:rPr>
            </w:pPr>
          </w:p>
        </w:tc>
        <w:tc>
          <w:tcPr>
            <w:tcW w:w="6095" w:type="dxa"/>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843"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节能产品、环境标志产品</w:t>
            </w:r>
          </w:p>
        </w:tc>
        <w:tc>
          <w:tcPr>
            <w:tcW w:w="6095" w:type="dxa"/>
            <w:vAlign w:val="center"/>
          </w:tcPr>
          <w:p>
            <w:pPr>
              <w:snapToGrid w:val="0"/>
              <w:spacing w:line="360" w:lineRule="auto"/>
              <w:rPr>
                <w:rFonts w:hint="eastAsia" w:ascii="仿宋" w:hAnsi="仿宋" w:eastAsia="仿宋" w:cs="仿宋"/>
                <w:b/>
                <w:sz w:val="24"/>
                <w:szCs w:val="24"/>
              </w:rPr>
            </w:pPr>
            <w:r>
              <w:rPr>
                <w:rFonts w:hint="eastAsia" w:ascii="仿宋" w:hAnsi="仿宋" w:eastAsia="仿宋" w:cs="仿宋"/>
                <w:b/>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843"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报价要求</w:t>
            </w:r>
          </w:p>
        </w:tc>
        <w:tc>
          <w:tcPr>
            <w:tcW w:w="6095" w:type="dxa"/>
            <w:vAlign w:val="center"/>
          </w:tcPr>
          <w:p>
            <w:pPr>
              <w:snapToGrid w:val="0"/>
              <w:spacing w:line="360" w:lineRule="auto"/>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有关本项目实施所需的所有费用（含税费）均计入报价。</w:t>
            </w:r>
            <w:r>
              <w:rPr>
                <w:rFonts w:hint="eastAsia" w:ascii="仿宋" w:hAnsi="仿宋" w:eastAsia="仿宋" w:cs="仿宋"/>
                <w:b/>
                <w:bCs/>
                <w:kern w:val="0"/>
                <w:sz w:val="24"/>
                <w:szCs w:val="24"/>
                <w:lang w:val="zh-CN"/>
              </w:rPr>
              <w:t>投标文件</w:t>
            </w:r>
            <w:r>
              <w:rPr>
                <w:rFonts w:hint="eastAsia" w:ascii="仿宋" w:hAnsi="仿宋" w:eastAsia="仿宋" w:cs="仿宋"/>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kern w:val="0"/>
                <w:sz w:val="24"/>
                <w:szCs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szCs w:val="24"/>
              </w:rPr>
            </w:pPr>
            <w:r>
              <w:rPr>
                <w:rFonts w:hint="eastAsia" w:ascii="仿宋" w:hAnsi="仿宋" w:eastAsia="仿宋" w:cs="仿宋"/>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4"/>
              </w:rPr>
              <w:t>;</w:t>
            </w:r>
          </w:p>
          <w:p>
            <w:pPr>
              <w:spacing w:line="360" w:lineRule="auto"/>
              <w:ind w:firstLine="241" w:firstLineChars="100"/>
              <w:rPr>
                <w:rFonts w:hint="eastAsia" w:ascii="仿宋" w:hAnsi="仿宋" w:eastAsia="仿宋" w:cs="仿宋"/>
                <w:b/>
                <w:sz w:val="24"/>
                <w:szCs w:val="24"/>
              </w:rPr>
            </w:pPr>
            <w:r>
              <w:rPr>
                <w:rFonts w:hint="eastAsia" w:ascii="仿宋" w:hAnsi="仿宋" w:eastAsia="仿宋" w:cs="仿宋"/>
                <w:b/>
                <w:kern w:val="0"/>
                <w:sz w:val="24"/>
                <w:szCs w:val="24"/>
              </w:rPr>
              <w:t>投标人对根据修正原则修正后的报价不确认的</w:t>
            </w: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01"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843"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中小企业信用融资</w:t>
            </w:r>
          </w:p>
        </w:tc>
        <w:tc>
          <w:tcPr>
            <w:tcW w:w="6095" w:type="dxa"/>
            <w:vAlign w:val="center"/>
          </w:tcPr>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1843"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备份投标文件送达地点和签收人员 </w:t>
            </w:r>
          </w:p>
        </w:tc>
        <w:tc>
          <w:tcPr>
            <w:tcW w:w="6095" w:type="dxa"/>
            <w:vAlign w:val="center"/>
          </w:tcPr>
          <w:p>
            <w:pPr>
              <w:pStyle w:val="32"/>
              <w:spacing w:line="360" w:lineRule="auto"/>
              <w:rPr>
                <w:rFonts w:hint="eastAsia" w:ascii="仿宋" w:hAnsi="仿宋" w:eastAsia="仿宋" w:cs="仿宋"/>
                <w:b/>
                <w:kern w:val="28"/>
                <w:sz w:val="24"/>
                <w:szCs w:val="24"/>
              </w:rPr>
            </w:pPr>
            <w:r>
              <w:rPr>
                <w:rFonts w:hint="eastAsia" w:ascii="仿宋" w:hAnsi="仿宋" w:eastAsia="仿宋" w:cs="仿宋"/>
                <w:b/>
                <w:kern w:val="28"/>
                <w:sz w:val="24"/>
                <w:szCs w:val="24"/>
              </w:rPr>
              <w:t>备份投标文件送达地点：杭州市临平区东湖街道超峰东路36号爱情公寓二楼；备份投标文件签收人员联系电话：邱康宁，19851651580。采购人、采购机构不强制或变相强制投标人提交备份投标文件。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13</w:t>
            </w:r>
          </w:p>
        </w:tc>
        <w:tc>
          <w:tcPr>
            <w:tcW w:w="1843" w:type="dxa"/>
            <w:vMerge w:val="restart"/>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特别说明</w:t>
            </w:r>
          </w:p>
        </w:tc>
        <w:tc>
          <w:tcPr>
            <w:tcW w:w="6095" w:type="dxa"/>
            <w:vAlign w:val="center"/>
          </w:tcPr>
          <w:p>
            <w:pPr>
              <w:spacing w:line="360" w:lineRule="auto"/>
              <w:rPr>
                <w:rFonts w:hint="eastAsia" w:ascii="仿宋" w:hAnsi="仿宋" w:eastAsia="仿宋" w:cs="仿宋"/>
                <w:b/>
                <w:snapToGrid w:val="0"/>
                <w:kern w:val="28"/>
                <w:sz w:val="24"/>
                <w:szCs w:val="24"/>
              </w:rPr>
            </w:pPr>
            <w:r>
              <w:rPr>
                <w:rFonts w:hint="eastAsia" w:ascii="仿宋" w:hAnsi="仿宋" w:eastAsia="仿宋" w:cs="仿宋"/>
                <w:b/>
                <w:snapToGrid w:val="0"/>
                <w:kern w:val="28"/>
                <w:sz w:val="24"/>
                <w:szCs w:val="24"/>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line="360" w:lineRule="auto"/>
              <w:jc w:val="center"/>
              <w:rPr>
                <w:rFonts w:hint="eastAsia" w:ascii="仿宋" w:hAnsi="仿宋" w:eastAsia="仿宋" w:cs="仿宋"/>
                <w:b/>
                <w:sz w:val="24"/>
                <w:szCs w:val="24"/>
              </w:rPr>
            </w:pPr>
          </w:p>
        </w:tc>
        <w:tc>
          <w:tcPr>
            <w:tcW w:w="1843" w:type="dxa"/>
            <w:vMerge w:val="continue"/>
            <w:vAlign w:val="center"/>
          </w:tcPr>
          <w:p>
            <w:pPr>
              <w:snapToGrid w:val="0"/>
              <w:spacing w:line="360" w:lineRule="auto"/>
              <w:jc w:val="center"/>
              <w:rPr>
                <w:rFonts w:hint="eastAsia" w:ascii="仿宋" w:hAnsi="仿宋" w:eastAsia="仿宋" w:cs="仿宋"/>
                <w:b/>
                <w:sz w:val="24"/>
                <w:szCs w:val="24"/>
              </w:rPr>
            </w:pPr>
          </w:p>
        </w:tc>
        <w:tc>
          <w:tcPr>
            <w:tcW w:w="6095" w:type="dxa"/>
            <w:vAlign w:val="center"/>
          </w:tcPr>
          <w:p>
            <w:pPr>
              <w:spacing w:line="360" w:lineRule="auto"/>
              <w:rPr>
                <w:rFonts w:hint="eastAsia" w:ascii="仿宋" w:hAnsi="仿宋" w:eastAsia="仿宋" w:cs="仿宋"/>
                <w:b/>
                <w:snapToGrid w:val="0"/>
                <w:kern w:val="28"/>
                <w:sz w:val="24"/>
                <w:szCs w:val="24"/>
              </w:rPr>
            </w:pPr>
            <w:r>
              <w:rPr>
                <w:rFonts w:hint="eastAsia" w:ascii="仿宋" w:hAnsi="仿宋" w:eastAsia="仿宋" w:cs="仿宋"/>
                <w:b/>
                <w:kern w:val="0"/>
                <w:sz w:val="24"/>
                <w:szCs w:val="24"/>
              </w:rPr>
              <w:t>☐</w:t>
            </w:r>
            <w:r>
              <w:rPr>
                <w:rFonts w:hint="eastAsia" w:ascii="仿宋" w:hAnsi="仿宋" w:eastAsia="仿宋" w:cs="仿宋"/>
                <w:b/>
                <w:snapToGrid w:val="0"/>
                <w:kern w:val="28"/>
                <w:sz w:val="24"/>
                <w:szCs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b/>
                <w:snapToGrid w:val="0"/>
                <w:kern w:val="28"/>
                <w:sz w:val="24"/>
                <w:szCs w:val="24"/>
              </w:rPr>
            </w:pPr>
            <w:r>
              <w:rPr>
                <w:rFonts w:hint="eastAsia" w:ascii="仿宋" w:hAnsi="仿宋" w:eastAsia="仿宋" w:cs="仿宋"/>
                <w:b/>
                <w:kern w:val="0"/>
                <w:sz w:val="24"/>
                <w:szCs w:val="24"/>
              </w:rPr>
              <w:sym w:font="Wingdings" w:char="00FE"/>
            </w:r>
            <w:r>
              <w:rPr>
                <w:rFonts w:hint="eastAsia" w:ascii="仿宋" w:hAnsi="仿宋" w:eastAsia="仿宋" w:cs="仿宋"/>
                <w:b/>
                <w:snapToGrid w:val="0"/>
                <w:kern w:val="28"/>
                <w:sz w:val="24"/>
                <w:szCs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line="360" w:lineRule="auto"/>
              <w:jc w:val="center"/>
              <w:rPr>
                <w:rFonts w:hint="eastAsia" w:ascii="仿宋" w:hAnsi="仿宋" w:eastAsia="仿宋" w:cs="仿宋"/>
                <w:b/>
                <w:sz w:val="24"/>
                <w:szCs w:val="24"/>
              </w:rPr>
            </w:pPr>
          </w:p>
        </w:tc>
        <w:tc>
          <w:tcPr>
            <w:tcW w:w="1843" w:type="dxa"/>
            <w:vMerge w:val="continue"/>
            <w:vAlign w:val="center"/>
          </w:tcPr>
          <w:p>
            <w:pPr>
              <w:snapToGrid w:val="0"/>
              <w:spacing w:line="360" w:lineRule="auto"/>
              <w:jc w:val="center"/>
              <w:rPr>
                <w:rFonts w:hint="eastAsia" w:ascii="仿宋" w:hAnsi="仿宋" w:eastAsia="仿宋" w:cs="仿宋"/>
                <w:b/>
                <w:sz w:val="24"/>
                <w:szCs w:val="24"/>
              </w:rPr>
            </w:pPr>
          </w:p>
        </w:tc>
        <w:tc>
          <w:tcPr>
            <w:tcW w:w="609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▲供应商以联合体形式投标的：在按招标文件要求提供联合协议，联合体投标的联合体各方承担连带责任。</w:t>
            </w:r>
          </w:p>
          <w:p>
            <w:pPr>
              <w:spacing w:line="360" w:lineRule="auto"/>
              <w:rPr>
                <w:rFonts w:hint="eastAsia" w:ascii="仿宋" w:hAnsi="仿宋" w:eastAsia="仿宋" w:cs="仿宋"/>
                <w:sz w:val="24"/>
                <w:szCs w:val="24"/>
              </w:rPr>
            </w:pPr>
            <w:r>
              <w:rPr>
                <w:rFonts w:hint="eastAsia" w:ascii="仿宋" w:hAnsi="仿宋" w:eastAsia="仿宋" w:cs="仿宋"/>
                <w:sz w:val="24"/>
                <w:szCs w:val="24"/>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仿宋" w:hAnsi="仿宋" w:eastAsia="仿宋" w:cs="仿宋"/>
                <w:sz w:val="24"/>
                <w:szCs w:val="24"/>
              </w:rPr>
            </w:pPr>
            <w:r>
              <w:rPr>
                <w:rFonts w:hint="eastAsia" w:ascii="仿宋" w:hAnsi="仿宋" w:eastAsia="仿宋" w:cs="仿宋"/>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 w:hAnsi="仿宋" w:eastAsia="仿宋" w:cs="仿宋"/>
                <w:b/>
                <w:kern w:val="0"/>
                <w:sz w:val="24"/>
                <w:szCs w:val="24"/>
              </w:rPr>
            </w:pPr>
            <w:r>
              <w:rPr>
                <w:rFonts w:hint="eastAsia" w:ascii="仿宋" w:hAnsi="仿宋" w:eastAsia="仿宋" w:cs="仿宋"/>
                <w:sz w:val="24"/>
                <w:szCs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14</w:t>
            </w:r>
          </w:p>
        </w:tc>
        <w:tc>
          <w:tcPr>
            <w:tcW w:w="1843"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代理服务费</w:t>
            </w:r>
          </w:p>
        </w:tc>
        <w:tc>
          <w:tcPr>
            <w:tcW w:w="6095" w:type="dxa"/>
            <w:vAlign w:val="center"/>
          </w:tcPr>
          <w:p>
            <w:pPr>
              <w:spacing w:line="360" w:lineRule="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中标单位在领取中标通知书时需向招标代理机构代理服务费，代理服务费按照国家计委印发的《招标代理服务收费管理暂行办法》计价格[2002]1980号文件收费标准计取，</w:t>
            </w:r>
            <w:r>
              <w:rPr>
                <w:rFonts w:hint="eastAsia" w:ascii="仿宋" w:hAnsi="仿宋" w:eastAsia="仿宋" w:cs="仿宋"/>
                <w:snapToGrid w:val="0"/>
                <w:kern w:val="28"/>
                <w:sz w:val="24"/>
                <w:szCs w:val="24"/>
                <w:lang w:val="en-US" w:eastAsia="zh-CN"/>
              </w:rPr>
              <w:t>专家费按实结算，</w:t>
            </w:r>
            <w:r>
              <w:rPr>
                <w:rFonts w:hint="eastAsia" w:ascii="仿宋" w:hAnsi="仿宋" w:eastAsia="仿宋" w:cs="仿宋"/>
                <w:snapToGrid w:val="0"/>
                <w:kern w:val="28"/>
                <w:sz w:val="24"/>
                <w:szCs w:val="24"/>
              </w:rPr>
              <w:t>费用包含在总报价中，不单独列项报价。</w:t>
            </w:r>
          </w:p>
          <w:p>
            <w:pPr>
              <w:spacing w:line="360" w:lineRule="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代理服务费的交纳方式：以转帐或支票的形式支付，开户名：杭州诚华工程项目管理有限公司；</w:t>
            </w:r>
          </w:p>
          <w:p>
            <w:pPr>
              <w:spacing w:line="360" w:lineRule="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 xml:space="preserve">开户行名称：中国银行杭州临平支行营业部 </w:t>
            </w:r>
          </w:p>
          <w:p>
            <w:pPr>
              <w:spacing w:line="360" w:lineRule="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帐号：388366074963</w:t>
            </w:r>
          </w:p>
          <w:p>
            <w:pPr>
              <w:spacing w:line="360" w:lineRule="auto"/>
              <w:rPr>
                <w:rFonts w:hint="eastAsia" w:ascii="仿宋" w:hAnsi="仿宋" w:eastAsia="仿宋" w:cs="仿宋"/>
                <w:b/>
                <w:kern w:val="0"/>
                <w:sz w:val="24"/>
                <w:szCs w:val="24"/>
              </w:rPr>
            </w:pPr>
            <w:r>
              <w:rPr>
                <w:rFonts w:hint="eastAsia" w:ascii="仿宋" w:hAnsi="仿宋" w:eastAsia="仿宋" w:cs="仿宋"/>
                <w:snapToGrid w:val="0"/>
                <w:kern w:val="28"/>
                <w:sz w:val="24"/>
                <w:szCs w:val="24"/>
              </w:rPr>
              <w:t>中标单位需在领取中标通知书时缴纳代理服务费，缴纳时注明招标编号。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15</w:t>
            </w:r>
          </w:p>
        </w:tc>
        <w:tc>
          <w:tcPr>
            <w:tcW w:w="1843" w:type="dxa"/>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napToGrid w:val="0"/>
                <w:kern w:val="28"/>
                <w:sz w:val="24"/>
                <w:szCs w:val="24"/>
              </w:rPr>
              <w:t>纸质投标文件</w:t>
            </w:r>
          </w:p>
        </w:tc>
        <w:tc>
          <w:tcPr>
            <w:tcW w:w="6095" w:type="dxa"/>
            <w:vAlign w:val="center"/>
          </w:tcPr>
          <w:p>
            <w:pPr>
              <w:spacing w:line="360" w:lineRule="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line="360" w:lineRule="auto"/>
              <w:jc w:val="center"/>
              <w:rPr>
                <w:rFonts w:hint="eastAsia" w:ascii="仿宋" w:hAnsi="仿宋" w:eastAsia="仿宋" w:cs="仿宋"/>
                <w:b/>
                <w:sz w:val="24"/>
                <w:szCs w:val="24"/>
              </w:rPr>
            </w:pPr>
          </w:p>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16</w:t>
            </w:r>
          </w:p>
        </w:tc>
        <w:tc>
          <w:tcPr>
            <w:tcW w:w="1843" w:type="dxa"/>
            <w:vAlign w:val="center"/>
          </w:tcPr>
          <w:p>
            <w:pPr>
              <w:snapToGrid w:val="0"/>
              <w:spacing w:line="360" w:lineRule="auto"/>
              <w:jc w:val="center"/>
              <w:rPr>
                <w:rFonts w:hint="eastAsia" w:ascii="仿宋" w:hAnsi="仿宋" w:eastAsia="仿宋" w:cs="仿宋"/>
                <w:b/>
                <w:snapToGrid w:val="0"/>
                <w:kern w:val="28"/>
                <w:sz w:val="24"/>
                <w:szCs w:val="24"/>
              </w:rPr>
            </w:pPr>
            <w:r>
              <w:rPr>
                <w:rFonts w:hint="eastAsia" w:ascii="仿宋" w:hAnsi="仿宋" w:eastAsia="仿宋" w:cs="仿宋"/>
                <w:b/>
                <w:bCs/>
                <w:sz w:val="24"/>
                <w:szCs w:val="24"/>
              </w:rPr>
              <w:t>评标委员会推荐中标候选人的人数</w:t>
            </w:r>
          </w:p>
        </w:tc>
        <w:tc>
          <w:tcPr>
            <w:tcW w:w="6095" w:type="dxa"/>
            <w:vAlign w:val="center"/>
          </w:tcPr>
          <w:p>
            <w:pPr>
              <w:spacing w:line="360" w:lineRule="auto"/>
              <w:rPr>
                <w:rFonts w:hint="eastAsia" w:ascii="仿宋" w:hAnsi="仿宋" w:eastAsia="仿宋" w:cs="仿宋"/>
                <w:snapToGrid w:val="0"/>
                <w:kern w:val="28"/>
                <w:sz w:val="24"/>
                <w:szCs w:val="24"/>
              </w:rPr>
            </w:pPr>
            <w:r>
              <w:rPr>
                <w:rFonts w:hint="eastAsia" w:ascii="仿宋" w:hAnsi="仿宋" w:eastAsia="仿宋" w:cs="仿宋"/>
                <w:sz w:val="24"/>
                <w:szCs w:val="24"/>
              </w:rPr>
              <w:t>1个；排名第一的中标候选人放弃中标、因不可抗力不能履行合同、不按照招标文件要求提交履约保证金担保，或者被查实存在影响中标结果的违法行为等情形，不符合中标条件的，招标人将：（重新招标）</w:t>
            </w:r>
          </w:p>
        </w:tc>
      </w:tr>
      <w:bookmarkEnd w:id="10"/>
    </w:tbl>
    <w:p>
      <w:pPr>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2"/>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90"/>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90"/>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90"/>
        <w:snapToGrid w:val="0"/>
        <w:spacing w:before="0"/>
        <w:ind w:firstLine="480"/>
        <w:rPr>
          <w:rFonts w:ascii="仿宋" w:hAnsi="仿宋" w:eastAsia="仿宋" w:cs="仿宋"/>
        </w:rPr>
      </w:pPr>
      <w:r>
        <w:rPr>
          <w:rFonts w:hint="eastAsia" w:ascii="仿宋" w:hAnsi="仿宋" w:eastAsia="仿宋" w:cs="仿宋"/>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仿宋"/>
          <w:sz w:val="18"/>
          <w:szCs w:val="18"/>
          <w:lang w:val="en-US"/>
        </w:rPr>
      </w:pP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90"/>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90"/>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90"/>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90"/>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90"/>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9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90"/>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9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pPr>
        <w:pStyle w:val="9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9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90"/>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90"/>
        <w:spacing w:before="0"/>
        <w:ind w:firstLine="643"/>
        <w:rPr>
          <w:rFonts w:ascii="仿宋" w:hAnsi="仿宋" w:eastAsia="仿宋" w:cs="仿宋"/>
          <w:b/>
          <w:sz w:val="32"/>
        </w:rPr>
      </w:pPr>
    </w:p>
    <w:p>
      <w:pPr>
        <w:pStyle w:val="9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244"/>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244"/>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投标人未按照招标文件要求提供与资格条件相应的有效资格证明材料的，视为投标人不具备招标文件中规定的资格要求，其投标无效。</w:t>
      </w:r>
    </w:p>
    <w:p>
      <w:pPr>
        <w:pStyle w:val="90"/>
        <w:spacing w:before="0"/>
        <w:ind w:firstLine="480"/>
        <w:rPr>
          <w:rFonts w:ascii="仿宋" w:hAnsi="仿宋" w:eastAsia="仿宋" w:cs="仿宋"/>
        </w:rPr>
      </w:pPr>
      <w:r>
        <w:rPr>
          <w:rFonts w:hint="eastAsia" w:ascii="仿宋" w:hAnsi="仿宋" w:eastAsia="仿宋" w:cs="仿宋"/>
          <w:kern w:val="0"/>
          <w:szCs w:val="24"/>
        </w:rPr>
        <w:t>19.3对未通过资格审查的投标人，采购人或采购代理机构告知其未通过的原因。</w:t>
      </w:r>
    </w:p>
    <w:p>
      <w:pPr>
        <w:pStyle w:val="9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9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9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pPr>
        <w:pStyle w:val="9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9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9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90"/>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90"/>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0"/>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23.1自中标单位确定之日起2个工作日内，采购代理机构通过电子交易平台向中标单位发出中标通知书，同时编制发布采购结果公告。采购代理机构也可以以纸质形式进行中标通知。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单位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单位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0"/>
        <w:snapToGrid w:val="0"/>
        <w:spacing w:before="0"/>
        <w:ind w:firstLine="480"/>
        <w:rPr>
          <w:rFonts w:ascii="仿宋" w:hAnsi="仿宋" w:eastAsia="仿宋" w:cs="仿宋"/>
          <w:kern w:val="0"/>
        </w:rPr>
      </w:pPr>
      <w:r>
        <w:rPr>
          <w:rFonts w:hint="eastAsia" w:ascii="仿宋" w:hAnsi="仿宋" w:eastAsia="仿宋" w:cs="仿宋"/>
          <w:kern w:val="0"/>
          <w:lang w:val="zh-CN"/>
        </w:rPr>
        <w:t>25.2中标单位按规定的日期、时间、地点，由法定代表人或其授权代表与采购人代表签订合同。如中标单位为联合体的，由联合体成员各方法定代表人或其授权代表与采购人代表签订合同。</w:t>
      </w:r>
    </w:p>
    <w:p>
      <w:pPr>
        <w:pStyle w:val="9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9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90"/>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ascii="仿宋" w:hAnsi="仿宋" w:eastAsia="仿宋" w:cs="仿宋"/>
          <w:b/>
        </w:rPr>
      </w:pPr>
      <w:r>
        <w:rPr>
          <w:rFonts w:hint="eastAsia" w:ascii="仿宋" w:hAnsi="仿宋" w:eastAsia="仿宋" w:cs="仿宋"/>
          <w:b/>
        </w:rPr>
        <w:t>27.预付款</w:t>
      </w:r>
    </w:p>
    <w:p>
      <w:pPr>
        <w:snapToGrid w:val="0"/>
        <w:spacing w:line="360" w:lineRule="auto"/>
        <w:ind w:firstLine="480" w:firstLineChars="200"/>
        <w:rPr>
          <w:rFonts w:ascii="仿宋" w:hAnsi="仿宋" w:eastAsia="仿宋" w:cs="仿宋"/>
          <w:snapToGrid w:val="0"/>
          <w:kern w:val="28"/>
          <w:sz w:val="24"/>
          <w:szCs w:val="32"/>
          <w:lang w:val="zh-CN"/>
        </w:rPr>
      </w:pPr>
      <w:r>
        <w:rPr>
          <w:rFonts w:hint="eastAsia" w:ascii="仿宋" w:hAnsi="仿宋" w:eastAsia="仿宋" w:cs="仿宋"/>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tabs>
          <w:tab w:val="left" w:pos="0"/>
        </w:tabs>
        <w:spacing w:line="360" w:lineRule="auto"/>
        <w:rPr>
          <w:rFonts w:ascii="仿宋" w:hAnsi="仿宋" w:eastAsia="仿宋" w:cs="仿宋"/>
          <w:sz w:val="24"/>
          <w:szCs w:val="20"/>
        </w:rPr>
      </w:pPr>
      <w:r>
        <w:rPr>
          <w:rFonts w:hint="eastAsia" w:ascii="仿宋" w:hAnsi="仿宋" w:eastAsia="仿宋" w:cs="仿宋"/>
          <w:b/>
          <w:sz w:val="24"/>
          <w:szCs w:val="20"/>
        </w:rPr>
        <w:t>28. 电子交易活动的中止。</w:t>
      </w:r>
      <w:r>
        <w:rPr>
          <w:rFonts w:hint="eastAsia" w:ascii="仿宋" w:hAnsi="仿宋" w:eastAsia="仿宋" w:cs="仿宋"/>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仿宋"/>
          <w:sz w:val="24"/>
          <w:szCs w:val="20"/>
        </w:rPr>
      </w:pPr>
      <w:r>
        <w:rPr>
          <w:rFonts w:hint="eastAsia" w:ascii="仿宋" w:hAnsi="仿宋" w:eastAsia="仿宋" w:cs="仿宋"/>
          <w:sz w:val="24"/>
          <w:szCs w:val="20"/>
        </w:rPr>
        <w:t xml:space="preserve">28.1电子交易平台发生故障而无法登录访问的； </w:t>
      </w:r>
    </w:p>
    <w:p>
      <w:pPr>
        <w:tabs>
          <w:tab w:val="left" w:pos="0"/>
        </w:tabs>
        <w:spacing w:line="360" w:lineRule="auto"/>
        <w:ind w:firstLine="480"/>
        <w:rPr>
          <w:rFonts w:ascii="仿宋" w:hAnsi="仿宋" w:eastAsia="仿宋" w:cs="仿宋"/>
          <w:sz w:val="24"/>
          <w:szCs w:val="20"/>
        </w:rPr>
      </w:pPr>
      <w:r>
        <w:rPr>
          <w:rFonts w:hint="eastAsia" w:ascii="仿宋" w:hAnsi="仿宋" w:eastAsia="仿宋" w:cs="仿宋"/>
          <w:sz w:val="24"/>
          <w:szCs w:val="20"/>
        </w:rPr>
        <w:t>28.2电子交易平台应用或数据库出现错误，不能进行正常操作的；</w:t>
      </w:r>
    </w:p>
    <w:p>
      <w:pPr>
        <w:tabs>
          <w:tab w:val="left" w:pos="0"/>
        </w:tabs>
        <w:spacing w:line="360" w:lineRule="auto"/>
        <w:ind w:firstLine="480"/>
        <w:rPr>
          <w:rFonts w:ascii="仿宋" w:hAnsi="仿宋" w:eastAsia="仿宋" w:cs="仿宋"/>
          <w:sz w:val="24"/>
          <w:szCs w:val="20"/>
        </w:rPr>
      </w:pPr>
      <w:r>
        <w:rPr>
          <w:rFonts w:hint="eastAsia" w:ascii="仿宋" w:hAnsi="仿宋" w:eastAsia="仿宋" w:cs="仿宋"/>
          <w:sz w:val="24"/>
          <w:szCs w:val="20"/>
        </w:rPr>
        <w:t>28.3电子交易平台发现严重安全漏洞，有潜在泄密危险的；</w:t>
      </w:r>
    </w:p>
    <w:p>
      <w:pPr>
        <w:tabs>
          <w:tab w:val="left" w:pos="0"/>
        </w:tabs>
        <w:spacing w:line="360" w:lineRule="auto"/>
        <w:ind w:firstLine="480"/>
        <w:rPr>
          <w:rFonts w:ascii="仿宋" w:hAnsi="仿宋" w:eastAsia="仿宋" w:cs="仿宋"/>
          <w:sz w:val="24"/>
          <w:szCs w:val="20"/>
        </w:rPr>
      </w:pPr>
      <w:r>
        <w:rPr>
          <w:rFonts w:hint="eastAsia" w:ascii="仿宋" w:hAnsi="仿宋" w:eastAsia="仿宋" w:cs="仿宋"/>
          <w:sz w:val="24"/>
          <w:szCs w:val="20"/>
        </w:rPr>
        <w:t xml:space="preserve">28.4病毒发作导致不能进行正常操作的； </w:t>
      </w:r>
    </w:p>
    <w:p>
      <w:pPr>
        <w:tabs>
          <w:tab w:val="left" w:pos="0"/>
        </w:tabs>
        <w:spacing w:line="360" w:lineRule="auto"/>
        <w:ind w:firstLine="480"/>
        <w:rPr>
          <w:rFonts w:ascii="仿宋" w:hAnsi="仿宋" w:eastAsia="仿宋" w:cs="仿宋"/>
          <w:sz w:val="24"/>
          <w:szCs w:val="20"/>
        </w:rPr>
      </w:pPr>
      <w:r>
        <w:rPr>
          <w:rFonts w:hint="eastAsia" w:ascii="仿宋" w:hAnsi="仿宋" w:eastAsia="仿宋" w:cs="仿宋"/>
          <w:sz w:val="24"/>
          <w:szCs w:val="20"/>
        </w:rPr>
        <w:t>28.5其他无法保证电子交易的公平、公正和安全的情况。</w:t>
      </w:r>
    </w:p>
    <w:p>
      <w:pPr>
        <w:tabs>
          <w:tab w:val="left" w:pos="0"/>
        </w:tabs>
        <w:spacing w:line="360" w:lineRule="auto"/>
        <w:rPr>
          <w:rFonts w:ascii="仿宋" w:hAnsi="仿宋" w:eastAsia="仿宋" w:cs="仿宋"/>
          <w:sz w:val="24"/>
        </w:rPr>
      </w:pPr>
      <w:r>
        <w:rPr>
          <w:rFonts w:hint="eastAsia" w:ascii="仿宋" w:hAnsi="仿宋" w:eastAsia="仿宋" w:cs="仿宋"/>
          <w:b/>
          <w:sz w:val="24"/>
          <w:szCs w:val="20"/>
        </w:rPr>
        <w:t>29.出现以上情形，</w:t>
      </w:r>
      <w:r>
        <w:rPr>
          <w:rFonts w:hint="eastAsia" w:ascii="仿宋" w:hAnsi="仿宋" w:eastAsia="仿宋" w:cs="仿宋"/>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4714665"/>
      <w:bookmarkEnd w:id="15"/>
      <w:bookmarkStart w:id="16" w:name="_Hlt68403820"/>
      <w:bookmarkEnd w:id="16"/>
      <w:bookmarkStart w:id="17" w:name="_Hlt68072998"/>
      <w:bookmarkEnd w:id="17"/>
      <w:bookmarkStart w:id="18" w:name="_Hlt68057669"/>
      <w:bookmarkEnd w:id="18"/>
      <w:bookmarkStart w:id="19" w:name="_Hlt68073093"/>
      <w:bookmarkEnd w:id="19"/>
      <w:bookmarkStart w:id="20" w:name="_Hlt75236101"/>
      <w:bookmarkEnd w:id="20"/>
      <w:bookmarkStart w:id="21" w:name="_Hlt74730295"/>
      <w:bookmarkEnd w:id="21"/>
      <w:bookmarkStart w:id="22" w:name="_Hlt74729768"/>
      <w:bookmarkEnd w:id="22"/>
      <w:bookmarkStart w:id="23" w:name="_Hlt68072990"/>
      <w:bookmarkEnd w:id="23"/>
      <w:bookmarkStart w:id="24" w:name="_Hlt75236011"/>
      <w:bookmarkEnd w:id="24"/>
      <w:bookmarkStart w:id="25" w:name="_Hlt74707468"/>
      <w:bookmarkEnd w:id="25"/>
    </w:p>
    <w:bookmarkEnd w:id="11"/>
    <w:bookmarkEnd w:id="12"/>
    <w:p>
      <w:pPr>
        <w:spacing w:line="360" w:lineRule="auto"/>
        <w:jc w:val="center"/>
        <w:outlineLvl w:val="0"/>
        <w:rPr>
          <w:rFonts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pStyle w:val="4"/>
        <w:snapToGrid w:val="0"/>
        <w:spacing w:before="0" w:after="0" w:line="480" w:lineRule="auto"/>
        <w:rPr>
          <w:rFonts w:hint="eastAsia" w:ascii="仿宋" w:hAnsi="仿宋" w:eastAsia="仿宋" w:cs="仿宋"/>
          <w:snapToGrid w:val="0"/>
          <w:color w:val="auto"/>
          <w:kern w:val="0"/>
          <w:sz w:val="24"/>
          <w:szCs w:val="24"/>
        </w:rPr>
      </w:pPr>
      <w:r>
        <w:rPr>
          <w:rFonts w:hint="eastAsia" w:ascii="仿宋" w:hAnsi="仿宋" w:eastAsia="仿宋" w:cs="仿宋"/>
          <w:b/>
          <w:bCs/>
          <w:color w:val="auto"/>
          <w:sz w:val="24"/>
          <w:szCs w:val="24"/>
          <w:highlight w:val="none"/>
        </w:rPr>
        <w:t>一、</w:t>
      </w:r>
      <w:r>
        <w:rPr>
          <w:rFonts w:hint="eastAsia" w:ascii="仿宋" w:hAnsi="仿宋" w:eastAsia="仿宋" w:cs="仿宋"/>
          <w:snapToGrid w:val="0"/>
          <w:color w:val="auto"/>
          <w:kern w:val="0"/>
          <w:sz w:val="24"/>
          <w:szCs w:val="24"/>
        </w:rPr>
        <w:t>项目概述</w:t>
      </w:r>
    </w:p>
    <w:p>
      <w:pPr>
        <w:adjustRightInd w:val="0"/>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进一步营造重才爱才氛围，关注人才身心健康，促进人才之间的沟通交流，拟组织开展2024年临平区高层次人才国内学术休假活动。投标人须以合理的服务流程和服务人数、优良的服务质量、稳定的服务队伍、优惠的价格来制订详细的服务方案，充分体现自身的实力，发挥自身优势，为采购人提供全方位、一体化的专业</w:t>
      </w:r>
      <w:r>
        <w:rPr>
          <w:rFonts w:hint="eastAsia" w:ascii="仿宋" w:hAnsi="仿宋" w:eastAsia="仿宋" w:cs="仿宋"/>
          <w:color w:val="auto"/>
          <w:sz w:val="24"/>
          <w:szCs w:val="24"/>
          <w:lang w:val="en-US" w:eastAsia="zh-CN"/>
        </w:rPr>
        <w:t>疗休养</w:t>
      </w:r>
      <w:r>
        <w:rPr>
          <w:rFonts w:hint="eastAsia" w:ascii="仿宋" w:hAnsi="仿宋" w:eastAsia="仿宋" w:cs="仿宋"/>
          <w:color w:val="auto"/>
          <w:sz w:val="24"/>
          <w:szCs w:val="24"/>
        </w:rPr>
        <w:t>服务保障。</w:t>
      </w:r>
    </w:p>
    <w:p>
      <w:pPr>
        <w:pStyle w:val="4"/>
        <w:snapToGrid w:val="0"/>
        <w:spacing w:before="0" w:after="0" w:line="480" w:lineRule="auto"/>
        <w:rPr>
          <w:rFonts w:hint="eastAsia" w:ascii="仿宋" w:hAnsi="仿宋" w:eastAsia="仿宋" w:cs="仿宋"/>
          <w:snapToGrid w:val="0"/>
          <w:color w:val="auto"/>
          <w:kern w:val="0"/>
          <w:sz w:val="24"/>
          <w:szCs w:val="24"/>
        </w:rPr>
      </w:pPr>
      <w:bookmarkStart w:id="27" w:name="_Toc11889"/>
      <w:r>
        <w:rPr>
          <w:rFonts w:hint="eastAsia" w:ascii="仿宋" w:hAnsi="仿宋" w:eastAsia="仿宋" w:cs="仿宋"/>
          <w:snapToGrid w:val="0"/>
          <w:color w:val="auto"/>
          <w:kern w:val="0"/>
          <w:sz w:val="24"/>
          <w:szCs w:val="24"/>
        </w:rPr>
        <w:t>二、</w:t>
      </w:r>
      <w:bookmarkEnd w:id="27"/>
      <w:bookmarkStart w:id="28" w:name="_Toc2145"/>
      <w:bookmarkStart w:id="29" w:name="_Toc474758538"/>
      <w:bookmarkStart w:id="30" w:name="_Toc357411864"/>
      <w:bookmarkStart w:id="31" w:name="_Toc357694113"/>
      <w:bookmarkStart w:id="32" w:name="_Toc362621343"/>
      <w:bookmarkStart w:id="33" w:name="_Toc357638604"/>
      <w:bookmarkStart w:id="34" w:name="_Toc358199242"/>
      <w:bookmarkStart w:id="35" w:name="_Toc358469042"/>
      <w:bookmarkStart w:id="36" w:name="_Toc357638479"/>
      <w:bookmarkStart w:id="37" w:name="_Toc357411860"/>
      <w:r>
        <w:rPr>
          <w:rFonts w:hint="eastAsia" w:ascii="仿宋" w:hAnsi="仿宋" w:eastAsia="仿宋" w:cs="仿宋"/>
          <w:snapToGrid w:val="0"/>
          <w:color w:val="auto"/>
          <w:kern w:val="0"/>
          <w:sz w:val="24"/>
          <w:szCs w:val="24"/>
        </w:rPr>
        <w:t>时间地点、行程安排等基本要求</w:t>
      </w:r>
      <w:bookmarkEnd w:id="28"/>
      <w:bookmarkEnd w:id="29"/>
    </w:p>
    <w:p>
      <w:pPr>
        <w:adjustRightInd w:val="0"/>
        <w:snapToGrid w:val="0"/>
        <w:spacing w:line="48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（一）基本要求</w:t>
      </w:r>
    </w:p>
    <w:p>
      <w:pPr>
        <w:adjustRightInd w:val="0"/>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行程目的地详见行程安排。具体批次和出发日期、时间由采购人按计划决定，以实际出行人数为准。</w:t>
      </w:r>
    </w:p>
    <w:p>
      <w:pPr>
        <w:adjustRightInd w:val="0"/>
        <w:snapToGrid w:val="0"/>
        <w:spacing w:line="48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（二）行程安排</w:t>
      </w:r>
    </w:p>
    <w:p>
      <w:pPr>
        <w:adjustRightInd w:val="0"/>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疗休养总体安排一地多点，坚持以疗休养为出行主题，内容包括身心疗养、参观学习、</w:t>
      </w:r>
      <w:r>
        <w:rPr>
          <w:rFonts w:hint="eastAsia" w:ascii="仿宋" w:hAnsi="仿宋" w:eastAsia="仿宋" w:cs="仿宋"/>
          <w:color w:val="auto"/>
          <w:sz w:val="24"/>
          <w:szCs w:val="24"/>
          <w:lang w:val="en-US" w:eastAsia="zh-CN"/>
        </w:rPr>
        <w:t>学术</w:t>
      </w:r>
      <w:r>
        <w:rPr>
          <w:rFonts w:hint="eastAsia" w:ascii="仿宋" w:hAnsi="仿宋" w:eastAsia="仿宋" w:cs="仿宋"/>
          <w:color w:val="auto"/>
          <w:sz w:val="24"/>
          <w:szCs w:val="24"/>
        </w:rPr>
        <w:t>交流、乡村体验等。行程安排要求符合疗休养特色主题，在确保安全的前提下力求做到动静结合，贴近需求。坚持身心健康一体化理念，健康管理与疗休养结合。</w:t>
      </w:r>
    </w:p>
    <w:p>
      <w:pPr>
        <w:adjustRightInd w:val="0"/>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要求：行程安排及线路可根据天气等实际情况调整。</w:t>
      </w:r>
    </w:p>
    <w:p>
      <w:pPr>
        <w:adjustRightInd w:val="0"/>
        <w:snapToGrid w:val="0"/>
        <w:spacing w:line="48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疗休养线路实施范围及费用标准</w:t>
      </w:r>
    </w:p>
    <w:tbl>
      <w:tblPr>
        <w:tblStyle w:val="63"/>
        <w:tblW w:w="8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384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0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3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线路名称</w:t>
            </w:r>
          </w:p>
        </w:tc>
        <w:tc>
          <w:tcPr>
            <w:tcW w:w="33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线路1</w:t>
            </w:r>
          </w:p>
        </w:tc>
        <w:tc>
          <w:tcPr>
            <w:tcW w:w="3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云南丽江+泸沽湖疗休养5日游</w:t>
            </w:r>
          </w:p>
        </w:tc>
        <w:tc>
          <w:tcPr>
            <w:tcW w:w="3300" w:type="dxa"/>
            <w:vMerge w:val="restar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（1）本次疗休养活动经费，各线路标准每人不超过8000元（包含大交通费用），最终人数及费用以实际出团产生为准。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其他根据相关标准和要求进行。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线路2</w:t>
            </w:r>
          </w:p>
        </w:tc>
        <w:tc>
          <w:tcPr>
            <w:tcW w:w="3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青岛、威海疗休养6日游</w:t>
            </w:r>
          </w:p>
        </w:tc>
        <w:tc>
          <w:tcPr>
            <w:tcW w:w="3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线路3</w:t>
            </w:r>
          </w:p>
        </w:tc>
        <w:tc>
          <w:tcPr>
            <w:tcW w:w="3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兰州张掖七彩丹霞平山湖嘉峪关敦煌疗休养6日游</w:t>
            </w:r>
          </w:p>
        </w:tc>
        <w:tc>
          <w:tcPr>
            <w:tcW w:w="3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线路4</w:t>
            </w:r>
          </w:p>
        </w:tc>
        <w:tc>
          <w:tcPr>
            <w:tcW w:w="3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呼伦贝尔大草原、额尔古纳湿地、满洲里双飞疗休养6日游</w:t>
            </w:r>
          </w:p>
        </w:tc>
        <w:tc>
          <w:tcPr>
            <w:tcW w:w="33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pPr>
        <w:adjustRightInd w:val="0"/>
        <w:snapToGrid w:val="0"/>
        <w:spacing w:line="48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备注：</w:t>
      </w:r>
    </w:p>
    <w:p>
      <w:pPr>
        <w:adjustRightInd w:val="0"/>
        <w:snapToGrid w:val="0"/>
        <w:spacing w:line="48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投标人根据上述线路要求及</w:t>
      </w:r>
      <w:r>
        <w:rPr>
          <w:rFonts w:hint="eastAsia" w:ascii="仿宋" w:hAnsi="仿宋" w:eastAsia="仿宋" w:cs="仿宋"/>
          <w:b/>
          <w:bCs/>
          <w:color w:val="auto"/>
          <w:sz w:val="24"/>
          <w:szCs w:val="24"/>
          <w:highlight w:val="none"/>
        </w:rPr>
        <w:t>费用标准逐个编写出行方案</w:t>
      </w:r>
      <w:r>
        <w:rPr>
          <w:rFonts w:hint="eastAsia" w:ascii="仿宋" w:hAnsi="仿宋" w:eastAsia="仿宋" w:cs="仿宋"/>
          <w:b/>
          <w:bCs/>
          <w:color w:val="auto"/>
          <w:sz w:val="24"/>
          <w:szCs w:val="24"/>
          <w:highlight w:val="none"/>
          <w:lang w:eastAsia="zh-CN"/>
        </w:rPr>
        <w:t>（线路包括但不限于以上</w:t>
      </w:r>
      <w:r>
        <w:rPr>
          <w:rFonts w:hint="eastAsia" w:ascii="仿宋" w:hAnsi="仿宋" w:eastAsia="仿宋" w:cs="仿宋"/>
          <w:b/>
          <w:bCs/>
          <w:color w:val="auto"/>
          <w:sz w:val="24"/>
          <w:szCs w:val="24"/>
          <w:highlight w:val="none"/>
          <w:lang w:val="en-US" w:eastAsia="zh-CN"/>
        </w:rPr>
        <w:t>4条，每条线路提供方案数量不少于1个</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rPr>
        <w:t>作为本项目技术评审依据</w:t>
      </w:r>
      <w:r>
        <w:rPr>
          <w:rFonts w:hint="eastAsia" w:ascii="仿宋" w:hAnsi="仿宋" w:eastAsia="仿宋" w:cs="仿宋"/>
          <w:b/>
          <w:bCs/>
          <w:color w:val="auto"/>
          <w:sz w:val="24"/>
          <w:szCs w:val="24"/>
          <w:lang w:eastAsia="zh-CN"/>
        </w:rPr>
        <w:t>；</w:t>
      </w:r>
    </w:p>
    <w:p>
      <w:pPr>
        <w:snapToGrid w:val="0"/>
        <w:spacing w:line="48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2、采购人对中标人的中标方案可以自由选择，但是对中标人的每个方案不作承诺。</w:t>
      </w:r>
    </w:p>
    <w:p>
      <w:pPr>
        <w:pStyle w:val="2"/>
        <w:spacing w:line="480" w:lineRule="auto"/>
        <w:ind w:firstLine="482" w:firstLineChars="200"/>
        <w:rPr>
          <w:rFonts w:hint="eastAsia" w:ascii="仿宋" w:hAnsi="仿宋" w:eastAsia="仿宋" w:cs="仿宋"/>
          <w:sz w:val="24"/>
          <w:szCs w:val="24"/>
          <w:lang w:val="en-US" w:eastAsia="zh-CN"/>
        </w:rPr>
      </w:pPr>
      <w:r>
        <w:rPr>
          <w:rFonts w:hint="eastAsia" w:ascii="仿宋" w:hAnsi="仿宋" w:eastAsia="仿宋" w:cs="仿宋"/>
          <w:b/>
          <w:bCs/>
          <w:color w:val="auto"/>
          <w:sz w:val="24"/>
          <w:szCs w:val="24"/>
          <w:lang w:val="en-US" w:eastAsia="zh-CN"/>
        </w:rPr>
        <w:t>3、采购人可根据实际情况对出行线路进行适当调整。</w:t>
      </w:r>
    </w:p>
    <w:p>
      <w:pPr>
        <w:adjustRightInd w:val="0"/>
        <w:snapToGrid w:val="0"/>
        <w:spacing w:line="48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rPr>
        <w:t>（三</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行程基本要求</w:t>
      </w:r>
    </w:p>
    <w:p>
      <w:pPr>
        <w:adjustRightInd w:val="0"/>
        <w:snapToGrid w:val="0"/>
        <w:spacing w:line="48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费用标准</w:t>
      </w:r>
      <w:r>
        <w:rPr>
          <w:rFonts w:hint="eastAsia" w:ascii="仿宋" w:hAnsi="仿宋" w:eastAsia="仿宋" w:cs="仿宋"/>
          <w:color w:val="auto"/>
          <w:sz w:val="24"/>
          <w:szCs w:val="24"/>
          <w:highlight w:val="none"/>
        </w:rPr>
        <w:t>：各线路标准每人不超过8000元</w:t>
      </w:r>
      <w:r>
        <w:rPr>
          <w:rFonts w:hint="eastAsia" w:ascii="仿宋" w:hAnsi="仿宋" w:eastAsia="仿宋" w:cs="仿宋"/>
          <w:color w:val="auto"/>
          <w:sz w:val="24"/>
          <w:szCs w:val="24"/>
          <w:highlight w:val="none"/>
          <w:lang w:eastAsia="zh-CN"/>
        </w:rPr>
        <w:t>。</w:t>
      </w:r>
    </w:p>
    <w:p>
      <w:pPr>
        <w:adjustRightInd w:val="0"/>
        <w:snapToGrid w:val="0"/>
        <w:spacing w:line="48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住宿</w:t>
      </w:r>
      <w:r>
        <w:rPr>
          <w:rFonts w:hint="eastAsia" w:ascii="仿宋" w:hAnsi="仿宋" w:eastAsia="仿宋" w:cs="仿宋"/>
          <w:color w:val="auto"/>
          <w:sz w:val="24"/>
          <w:szCs w:val="24"/>
        </w:rPr>
        <w:t>：住宿标准须为四星级及以上或同等级别宾馆（每条线路的行程方案中需注明宾馆具体名称，也可以同时标注几家宾馆供选择）。</w:t>
      </w:r>
      <w:r>
        <w:rPr>
          <w:rFonts w:hint="eastAsia" w:ascii="仿宋" w:hAnsi="仿宋" w:eastAsia="仿宋" w:cs="仿宋"/>
          <w:color w:val="auto"/>
          <w:sz w:val="24"/>
          <w:szCs w:val="24"/>
          <w:lang w:eastAsia="zh-CN"/>
        </w:rPr>
        <w:t>酒店</w:t>
      </w:r>
      <w:r>
        <w:rPr>
          <w:rFonts w:hint="eastAsia" w:ascii="仿宋" w:hAnsi="仿宋" w:eastAsia="仿宋" w:cs="仿宋"/>
          <w:color w:val="auto"/>
          <w:kern w:val="0"/>
          <w:sz w:val="24"/>
          <w:szCs w:val="24"/>
        </w:rPr>
        <w:t>交通便利、环境较好、干净卫生、服务优质，有较强的接待能力，同时配套设施齐全、使用安全方便。</w:t>
      </w:r>
      <w:r>
        <w:rPr>
          <w:rFonts w:hint="eastAsia" w:ascii="仿宋" w:hAnsi="仿宋" w:eastAsia="仿宋" w:cs="仿宋"/>
          <w:color w:val="auto"/>
          <w:sz w:val="24"/>
          <w:szCs w:val="24"/>
        </w:rPr>
        <w:t>行程中按照约定住宿酒店入住，不得发生分酒店入住，原则上不能另选其他酒店现象。</w:t>
      </w:r>
    </w:p>
    <w:p>
      <w:pPr>
        <w:adjustRightInd w:val="0"/>
        <w:snapToGrid w:val="0"/>
        <w:spacing w:line="48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餐标</w:t>
      </w:r>
      <w:r>
        <w:rPr>
          <w:rFonts w:hint="eastAsia" w:ascii="仿宋" w:hAnsi="仿宋" w:eastAsia="仿宋" w:cs="仿宋"/>
          <w:color w:val="auto"/>
          <w:sz w:val="24"/>
          <w:szCs w:val="24"/>
        </w:rPr>
        <w:t>：每天餐费不低于160元（不含早餐），每天两正餐按行程要求为最低标准，提高标准不限，食物要求新鲜、安全。要求每批次每餐菜品多样，不雷同。餐厅交通便利，环境较好。</w:t>
      </w:r>
    </w:p>
    <w:p>
      <w:pPr>
        <w:adjustRightInd w:val="0"/>
        <w:snapToGrid w:val="0"/>
        <w:spacing w:line="48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交通：</w:t>
      </w:r>
      <w:r>
        <w:rPr>
          <w:rFonts w:hint="eastAsia" w:ascii="仿宋" w:hAnsi="仿宋" w:eastAsia="仿宋" w:cs="仿宋"/>
          <w:color w:val="auto"/>
          <w:sz w:val="24"/>
          <w:szCs w:val="24"/>
        </w:rPr>
        <w:t>空调大巴往返。含当地用车、杭州指定地点到疗养地点接送、景区交通等。</w:t>
      </w:r>
    </w:p>
    <w:p>
      <w:pPr>
        <w:pStyle w:val="80"/>
        <w:spacing w:line="480" w:lineRule="auto"/>
        <w:ind w:firstLine="482" w:firstLineChars="200"/>
        <w:rPr>
          <w:rFonts w:hint="eastAsia" w:ascii="仿宋" w:hAnsi="仿宋" w:eastAsia="仿宋" w:cs="仿宋"/>
          <w:b/>
          <w:color w:val="auto"/>
          <w:sz w:val="24"/>
          <w:szCs w:val="24"/>
          <w:lang w:eastAsia="zh-CN"/>
        </w:rPr>
      </w:pPr>
      <w:r>
        <w:rPr>
          <w:rFonts w:hint="eastAsia" w:ascii="仿宋" w:hAnsi="仿宋" w:eastAsia="仿宋" w:cs="仿宋"/>
          <w:b/>
          <w:bCs/>
          <w:color w:val="auto"/>
          <w:sz w:val="24"/>
          <w:szCs w:val="24"/>
        </w:rPr>
        <w:t>用车：</w:t>
      </w:r>
      <w:r>
        <w:rPr>
          <w:rFonts w:hint="eastAsia" w:ascii="仿宋" w:hAnsi="仿宋" w:eastAsia="仿宋" w:cs="仿宋"/>
          <w:color w:val="auto"/>
          <w:sz w:val="24"/>
          <w:szCs w:val="24"/>
        </w:rPr>
        <w:t>全程空调旅游车。要求车况好，车位充足，空调效果好，司机服务态度好、技术好，确保行程安全。要求三年内新车，座位37座以上，按照人数1：1.2比例配备。每车至少配备1名导游（根据疫情防控要求每日行程结束后对车辆进行消杀）</w:t>
      </w:r>
      <w:r>
        <w:rPr>
          <w:rFonts w:hint="eastAsia" w:ascii="仿宋" w:hAnsi="仿宋" w:eastAsia="仿宋" w:cs="仿宋"/>
          <w:color w:val="auto"/>
          <w:sz w:val="24"/>
          <w:szCs w:val="24"/>
          <w:lang w:eastAsia="zh-CN"/>
        </w:rPr>
        <w:t>。</w:t>
      </w:r>
    </w:p>
    <w:p>
      <w:pPr>
        <w:adjustRightInd w:val="0"/>
        <w:snapToGrid w:val="0"/>
        <w:spacing w:line="48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门票：</w:t>
      </w:r>
      <w:r>
        <w:rPr>
          <w:rFonts w:hint="eastAsia" w:ascii="仿宋" w:hAnsi="仿宋" w:eastAsia="仿宋" w:cs="仿宋"/>
          <w:color w:val="auto"/>
          <w:sz w:val="24"/>
          <w:szCs w:val="24"/>
        </w:rPr>
        <w:t>包含全程门票（包括必去的小门票），出行人员无自理费用。</w:t>
      </w:r>
    </w:p>
    <w:p>
      <w:pPr>
        <w:tabs>
          <w:tab w:val="left" w:pos="0"/>
        </w:tabs>
        <w:spacing w:line="48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导游：</w:t>
      </w:r>
      <w:r>
        <w:rPr>
          <w:rFonts w:hint="eastAsia" w:ascii="仿宋" w:hAnsi="仿宋" w:eastAsia="仿宋" w:cs="仿宋"/>
          <w:color w:val="auto"/>
          <w:kern w:val="0"/>
          <w:sz w:val="24"/>
          <w:szCs w:val="24"/>
        </w:rPr>
        <w:t>每团必须安排至少一名全陪导游和一名地接导游全程服务。全程陪同，陪同导游持证上岗。导游员统一着装和佩戴胸卡，做到热情周到、礼貌待客。地陪服务，负责联系当地优秀资质公司有导游资格的专业导游讲解服务</w:t>
      </w:r>
      <w:r>
        <w:rPr>
          <w:rFonts w:hint="eastAsia" w:ascii="仿宋" w:hAnsi="仿宋" w:eastAsia="仿宋" w:cs="仿宋"/>
          <w:color w:val="auto"/>
          <w:sz w:val="24"/>
          <w:szCs w:val="24"/>
        </w:rPr>
        <w:t>，不另行收取导游讲解费。</w:t>
      </w:r>
    </w:p>
    <w:p>
      <w:pPr>
        <w:adjustRightInd w:val="0"/>
        <w:snapToGrid w:val="0"/>
        <w:spacing w:line="480" w:lineRule="auto"/>
        <w:ind w:firstLine="482" w:firstLineChars="200"/>
        <w:rPr>
          <w:rFonts w:hint="eastAsia" w:ascii="仿宋" w:hAnsi="仿宋" w:eastAsia="仿宋" w:cs="仿宋"/>
          <w:color w:val="auto"/>
          <w:kern w:val="0"/>
          <w:sz w:val="24"/>
          <w:szCs w:val="24"/>
        </w:rPr>
      </w:pPr>
      <w:r>
        <w:rPr>
          <w:rFonts w:hint="eastAsia" w:ascii="仿宋" w:hAnsi="仿宋" w:eastAsia="仿宋" w:cs="仿宋"/>
          <w:b/>
          <w:color w:val="auto"/>
          <w:sz w:val="24"/>
          <w:szCs w:val="24"/>
        </w:rPr>
        <w:t>保险：</w:t>
      </w:r>
      <w:r>
        <w:rPr>
          <w:rFonts w:hint="eastAsia" w:ascii="仿宋" w:hAnsi="仿宋" w:eastAsia="仿宋" w:cs="仿宋"/>
          <w:color w:val="auto"/>
          <w:sz w:val="24"/>
          <w:szCs w:val="24"/>
        </w:rPr>
        <w:t>必须购买旅行社责任险、旅游意外伤害险，不低于保额100万元/人。</w:t>
      </w:r>
      <w:r>
        <w:rPr>
          <w:rFonts w:hint="eastAsia" w:ascii="仿宋" w:hAnsi="仿宋" w:eastAsia="仿宋" w:cs="仿宋"/>
          <w:color w:val="auto"/>
          <w:kern w:val="0"/>
          <w:sz w:val="24"/>
          <w:szCs w:val="24"/>
        </w:rPr>
        <w:t>投标文件中提供投保保险公司名称。</w:t>
      </w:r>
    </w:p>
    <w:p>
      <w:pPr>
        <w:adjustRightInd w:val="0"/>
        <w:snapToGrid w:val="0"/>
        <w:spacing w:line="48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购物及加点：</w:t>
      </w:r>
      <w:r>
        <w:rPr>
          <w:rFonts w:hint="eastAsia" w:ascii="仿宋" w:hAnsi="仿宋" w:eastAsia="仿宋" w:cs="仿宋"/>
          <w:color w:val="auto"/>
          <w:kern w:val="0"/>
          <w:sz w:val="24"/>
          <w:szCs w:val="24"/>
        </w:rPr>
        <w:t>全程不进购物点</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不得安排购物及加点活动。</w:t>
      </w:r>
      <w:r>
        <w:rPr>
          <w:rFonts w:hint="eastAsia" w:ascii="仿宋" w:hAnsi="仿宋" w:eastAsia="仿宋" w:cs="仿宋"/>
          <w:color w:val="auto"/>
          <w:kern w:val="0"/>
          <w:sz w:val="24"/>
          <w:szCs w:val="24"/>
        </w:rPr>
        <w:t>行程可辐射周边地域，但不得有自费的景点或活动，无商业广告及各类产品推销。</w:t>
      </w:r>
    </w:p>
    <w:p>
      <w:pPr>
        <w:adjustRightInd w:val="0"/>
        <w:snapToGrid w:val="0"/>
        <w:spacing w:line="480" w:lineRule="auto"/>
        <w:ind w:firstLine="482" w:firstLineChars="200"/>
        <w:rPr>
          <w:rFonts w:hint="eastAsia" w:ascii="仿宋" w:hAnsi="仿宋" w:eastAsia="仿宋" w:cs="仿宋"/>
          <w:sz w:val="24"/>
          <w:szCs w:val="24"/>
        </w:rPr>
      </w:pPr>
      <w:r>
        <w:rPr>
          <w:rFonts w:hint="eastAsia" w:ascii="仿宋" w:hAnsi="仿宋" w:eastAsia="仿宋" w:cs="仿宋"/>
          <w:b/>
          <w:bCs/>
          <w:color w:val="auto"/>
          <w:sz w:val="24"/>
          <w:szCs w:val="24"/>
          <w:lang w:val="en-US" w:eastAsia="zh-CN"/>
        </w:rPr>
        <w:t>发票：</w:t>
      </w:r>
      <w:r>
        <w:rPr>
          <w:rFonts w:hint="eastAsia" w:ascii="仿宋" w:hAnsi="仿宋" w:eastAsia="仿宋" w:cs="仿宋"/>
          <w:color w:val="auto"/>
          <w:sz w:val="24"/>
          <w:szCs w:val="24"/>
          <w:lang w:val="en-US" w:eastAsia="zh-CN"/>
        </w:rPr>
        <w:t>按照采购人的要求开具相关发票。</w:t>
      </w:r>
    </w:p>
    <w:p>
      <w:pPr>
        <w:pStyle w:val="4"/>
        <w:snapToGrid w:val="0"/>
        <w:spacing w:before="0" w:after="0" w:line="480" w:lineRule="auto"/>
        <w:ind w:left="434" w:leftChars="202" w:hanging="10" w:hangingChars="4"/>
        <w:rPr>
          <w:rFonts w:hint="eastAsia" w:ascii="仿宋" w:hAnsi="仿宋" w:eastAsia="仿宋" w:cs="仿宋"/>
          <w:snapToGrid w:val="0"/>
          <w:color w:val="auto"/>
          <w:kern w:val="0"/>
          <w:sz w:val="24"/>
          <w:szCs w:val="24"/>
        </w:rPr>
      </w:pPr>
      <w:bookmarkStart w:id="38" w:name="_Toc474758539"/>
      <w:bookmarkStart w:id="39" w:name="_Toc3403"/>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lang w:val="en-US" w:eastAsia="zh-CN"/>
        </w:rPr>
        <w:t>四</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rPr>
        <w:t>服务</w:t>
      </w:r>
      <w:bookmarkEnd w:id="30"/>
      <w:r>
        <w:rPr>
          <w:rFonts w:hint="eastAsia" w:ascii="仿宋" w:hAnsi="仿宋" w:eastAsia="仿宋" w:cs="仿宋"/>
          <w:snapToGrid w:val="0"/>
          <w:color w:val="auto"/>
          <w:kern w:val="0"/>
          <w:sz w:val="24"/>
          <w:szCs w:val="24"/>
        </w:rPr>
        <w:t>需求</w:t>
      </w:r>
      <w:bookmarkEnd w:id="31"/>
      <w:bookmarkEnd w:id="32"/>
      <w:bookmarkEnd w:id="33"/>
      <w:bookmarkEnd w:id="34"/>
      <w:bookmarkEnd w:id="35"/>
      <w:bookmarkEnd w:id="36"/>
      <w:bookmarkEnd w:id="38"/>
      <w:bookmarkEnd w:id="39"/>
    </w:p>
    <w:p>
      <w:pPr>
        <w:adjustRightInd w:val="0"/>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1、投标人需确定一名项目负责人，具有类似疗休养项目经验，负责与采购人或出行单位就每批次安排具体事宜联系，一旦中标不得随意更换。</w:t>
      </w:r>
    </w:p>
    <w:p>
      <w:pPr>
        <w:adjustRightInd w:val="0"/>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2、如遇疗休养出行人数出行较多的批次，应在出行前按采购人或出行单位要求参加行前会议。</w:t>
      </w:r>
    </w:p>
    <w:p>
      <w:pPr>
        <w:adjustRightInd w:val="0"/>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3、制定应急预案，发放《行程安排表》和《注意事项》。如遇意外突发事件投标人要在第一时间内进行妥善处理，处理结果要及时与采购人或出行单位汇报和沟通，并积极配合有关单位做好善后处理工作。</w:t>
      </w:r>
    </w:p>
    <w:p>
      <w:pPr>
        <w:adjustRightInd w:val="0"/>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4、做到有问必答。对疗休养人员反映的情况或投诉，不回避矛盾、不推卸责任，对发生的问题予以及时处理，将问题解决在旅途中。</w:t>
      </w:r>
    </w:p>
    <w:p>
      <w:pPr>
        <w:adjustRightInd w:val="0"/>
        <w:snapToGrid w:val="0"/>
        <w:spacing w:line="48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5、</w:t>
      </w:r>
      <w:r>
        <w:rPr>
          <w:rFonts w:hint="eastAsia" w:ascii="仿宋" w:hAnsi="仿宋" w:eastAsia="仿宋" w:cs="仿宋"/>
          <w:color w:val="auto"/>
          <w:kern w:val="0"/>
          <w:sz w:val="24"/>
          <w:szCs w:val="24"/>
        </w:rPr>
        <w:t>每批每人配发帽子一顶、行李包一个、雨伞一把（知名一线品牌）、矿泉水不少于二瓶/天/人，每批次准备旅行常备药品一份，如遇职工在疗休养期间过生日的，赠送生日蛋糕一份/人。</w:t>
      </w:r>
    </w:p>
    <w:p>
      <w:pPr>
        <w:tabs>
          <w:tab w:val="left" w:pos="0"/>
        </w:tabs>
        <w:spacing w:line="48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、如有会议或培训负责联系落实会议室事宜，会议室提供茶水。</w:t>
      </w:r>
    </w:p>
    <w:p>
      <w:pPr>
        <w:adjustRightInd w:val="0"/>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、参加疗休养人员名单和个人信息不得外泄。</w:t>
      </w:r>
    </w:p>
    <w:bookmarkEnd w:id="37"/>
    <w:p>
      <w:pPr>
        <w:tabs>
          <w:tab w:val="left" w:pos="0"/>
        </w:tabs>
        <w:spacing w:line="480" w:lineRule="auto"/>
        <w:ind w:firstLine="480" w:firstLineChars="200"/>
        <w:rPr>
          <w:rFonts w:hint="eastAsia" w:ascii="仿宋" w:hAnsi="仿宋" w:eastAsia="仿宋" w:cs="仿宋"/>
          <w:color w:val="auto"/>
          <w:sz w:val="24"/>
          <w:szCs w:val="24"/>
          <w:lang w:val="en-US" w:eastAsia="zh-CN"/>
        </w:rPr>
      </w:pPr>
      <w:bookmarkStart w:id="40" w:name="_Toc564"/>
      <w:r>
        <w:rPr>
          <w:rFonts w:hint="eastAsia" w:ascii="仿宋" w:hAnsi="仿宋" w:eastAsia="仿宋" w:cs="仿宋"/>
          <w:color w:val="auto"/>
          <w:sz w:val="24"/>
          <w:szCs w:val="24"/>
          <w:lang w:val="en-US" w:eastAsia="zh-CN"/>
        </w:rPr>
        <w:t>8、行程中的相关安全事宜（住宿、交通、饮食等）全部由中标人负责，如出现任何安全事故，则由中标人承担相关经济赔偿与法律义务。</w:t>
      </w:r>
    </w:p>
    <w:p>
      <w:pPr>
        <w:tabs>
          <w:tab w:val="left" w:pos="0"/>
        </w:tabs>
        <w:spacing w:line="48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9、中标供应商的方案应获得招标人的认可，招标人保留对中标供应商的某一线路指定其他方案的权利，组团时间按招标人计划实施，具体出团及返回时间根据供应商编制并获得招标人认可的方案为准。</w:t>
      </w:r>
    </w:p>
    <w:p>
      <w:pPr>
        <w:tabs>
          <w:tab w:val="left" w:pos="0"/>
        </w:tabs>
        <w:spacing w:line="48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10、本项目不得以任何理由、任何形式进行转、分包，一经发现招标人可单方面解除合同，所造成的任何损失由投标供应商自行负责。</w:t>
      </w:r>
    </w:p>
    <w:p>
      <w:pPr>
        <w:tabs>
          <w:tab w:val="left" w:pos="0"/>
        </w:tabs>
        <w:spacing w:line="48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11、出行人数存在不确定性，最终费用按实际出发人数，按实结算。</w:t>
      </w:r>
    </w:p>
    <w:p>
      <w:pPr>
        <w:tabs>
          <w:tab w:val="left" w:pos="0"/>
        </w:tabs>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12、完成本招标文件规定的工作内容所发生的一切费用均应计入报价；其他凡未列入的，将被认为均已包含在投标报价中。 </w:t>
      </w:r>
    </w:p>
    <w:p>
      <w:pPr>
        <w:pStyle w:val="4"/>
        <w:snapToGrid w:val="0"/>
        <w:spacing w:before="0" w:after="0" w:line="480" w:lineRule="auto"/>
        <w:ind w:left="434" w:leftChars="202" w:hanging="10" w:hangingChars="4"/>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lang w:val="en-US" w:eastAsia="zh-CN"/>
        </w:rPr>
        <w:t>五</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rPr>
        <w:t>商务要求</w:t>
      </w:r>
      <w:bookmarkEnd w:id="40"/>
    </w:p>
    <w:p>
      <w:pPr>
        <w:tabs>
          <w:tab w:val="left" w:pos="0"/>
        </w:tabs>
        <w:adjustRightInd w:val="0"/>
        <w:snapToGrid w:val="0"/>
        <w:spacing w:line="480" w:lineRule="auto"/>
        <w:ind w:left="239" w:leftChars="114" w:firstLine="240" w:firstLineChars="1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rPr>
        <w:t>1、付款方式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具体以签订合同为准</w:t>
      </w:r>
      <w:r>
        <w:rPr>
          <w:rFonts w:hint="eastAsia" w:ascii="仿宋" w:hAnsi="仿宋" w:eastAsia="仿宋" w:cs="仿宋"/>
          <w:color w:val="auto"/>
          <w:sz w:val="24"/>
          <w:szCs w:val="24"/>
          <w:lang w:eastAsia="zh-CN"/>
        </w:rPr>
        <w:t>）：</w:t>
      </w:r>
      <w:r>
        <w:rPr>
          <w:rFonts w:hint="eastAsia" w:ascii="仿宋" w:hAnsi="仿宋" w:eastAsia="仿宋" w:cs="仿宋"/>
          <w:snapToGrid w:val="0"/>
          <w:color w:val="auto"/>
          <w:kern w:val="0"/>
          <w:sz w:val="24"/>
          <w:szCs w:val="24"/>
          <w:highlight w:val="none"/>
        </w:rPr>
        <w:t>本项目预付款为合同金额的50%，在签订合同时，中标人明确表示无需预付款或者主动要求降低预付款比例的，采购人可不适用前述规定。合同生效后，采购人按批次支付，各批次疗休养行程结束后，中标人按实际产生费用提供结算函（附本结算批次的线路、人数、总价等统计情况），经采购人经确认并在中标人开具增值税普通发票后30日内一次性支付该批次合同价款。</w:t>
      </w:r>
    </w:p>
    <w:p>
      <w:pPr>
        <w:numPr>
          <w:ilvl w:val="0"/>
          <w:numId w:val="0"/>
        </w:numPr>
        <w:spacing w:line="48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服务期</w:t>
      </w:r>
      <w:r>
        <w:rPr>
          <w:rFonts w:hint="eastAsia" w:ascii="仿宋" w:hAnsi="仿宋" w:eastAsia="仿宋" w:cs="仿宋"/>
          <w:snapToGrid w:val="0"/>
          <w:color w:val="auto"/>
          <w:kern w:val="0"/>
          <w:sz w:val="24"/>
          <w:szCs w:val="24"/>
          <w:highlight w:val="none"/>
          <w:lang w:val="en-US" w:eastAsia="zh-CN"/>
        </w:rPr>
        <w:t>：2024年7月-2024年12月31日</w:t>
      </w:r>
    </w:p>
    <w:p>
      <w:pPr>
        <w:spacing w:line="480" w:lineRule="auto"/>
        <w:ind w:firstLine="482" w:firstLineChars="200"/>
        <w:jc w:val="both"/>
        <w:outlineLvl w:val="0"/>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六</w:t>
      </w:r>
      <w:r>
        <w:rPr>
          <w:rFonts w:hint="eastAsia" w:ascii="仿宋" w:hAnsi="仿宋" w:eastAsia="仿宋" w:cs="仿宋"/>
          <w:b/>
          <w:sz w:val="24"/>
          <w:szCs w:val="24"/>
          <w:lang w:eastAsia="zh-CN"/>
        </w:rPr>
        <w:t>）</w:t>
      </w:r>
      <w:r>
        <w:rPr>
          <w:rFonts w:hint="eastAsia" w:ascii="仿宋" w:hAnsi="仿宋" w:eastAsia="仿宋" w:cs="仿宋"/>
          <w:b/>
          <w:sz w:val="24"/>
          <w:szCs w:val="24"/>
        </w:rPr>
        <w:t>、采购人认为必须说明的其他内容</w:t>
      </w:r>
    </w:p>
    <w:p>
      <w:pPr>
        <w:spacing w:line="480" w:lineRule="auto"/>
        <w:ind w:firstLine="480" w:firstLineChars="200"/>
        <w:jc w:val="both"/>
        <w:outlineLvl w:val="0"/>
        <w:rPr>
          <w:rFonts w:hint="eastAsia" w:ascii="仿宋" w:hAnsi="仿宋" w:eastAsia="仿宋" w:cs="仿宋"/>
          <w:b w:val="0"/>
          <w:bCs/>
          <w:sz w:val="24"/>
          <w:szCs w:val="24"/>
        </w:rPr>
      </w:pPr>
      <w:r>
        <w:rPr>
          <w:rFonts w:hint="eastAsia" w:ascii="仿宋" w:hAnsi="仿宋" w:eastAsia="仿宋" w:cs="仿宋"/>
          <w:b w:val="0"/>
          <w:bCs/>
          <w:sz w:val="24"/>
          <w:szCs w:val="24"/>
        </w:rPr>
        <w:t>1、其他按采购人相关要求及政策规范执行。</w:t>
      </w:r>
    </w:p>
    <w:p>
      <w:pPr>
        <w:spacing w:line="480" w:lineRule="auto"/>
        <w:jc w:val="left"/>
        <w:outlineLvl w:val="0"/>
        <w:rPr>
          <w:rFonts w:hint="eastAsia" w:ascii="仿宋" w:hAnsi="仿宋" w:eastAsia="仿宋" w:cs="仿宋"/>
          <w:b/>
          <w:bCs/>
          <w:sz w:val="24"/>
        </w:rPr>
      </w:pP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2、本项目服务期间如遇新政策调整工会疗休养标准的，双方协商按新政策执行。</w:t>
      </w:r>
      <w:r>
        <w:rPr>
          <w:rFonts w:hint="eastAsia" w:ascii="宋体" w:hAnsi="宋体" w:cs="宋体"/>
          <w:b/>
          <w:sz w:val="24"/>
        </w:rPr>
        <w:br w:type="page"/>
      </w:r>
    </w:p>
    <w:p>
      <w:pPr>
        <w:spacing w:line="360" w:lineRule="auto"/>
        <w:ind w:firstLine="2530" w:firstLineChars="700"/>
        <w:jc w:val="both"/>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41" w:name="_Toc184314419"/>
      <w:bookmarkEnd w:id="41"/>
      <w:bookmarkStart w:id="42" w:name="_Toc184313301"/>
      <w:bookmarkEnd w:id="42"/>
      <w:bookmarkStart w:id="43" w:name="_Toc184314471"/>
      <w:bookmarkEnd w:id="43"/>
      <w:bookmarkStart w:id="44" w:name="_Toc184314458"/>
      <w:bookmarkEnd w:id="44"/>
      <w:bookmarkStart w:id="45" w:name="_Toc184308048"/>
      <w:bookmarkEnd w:id="45"/>
      <w:bookmarkStart w:id="46" w:name="_Toc184308095"/>
      <w:bookmarkEnd w:id="46"/>
      <w:bookmarkStart w:id="47" w:name="_Toc184312124"/>
      <w:bookmarkEnd w:id="47"/>
      <w:bookmarkStart w:id="48" w:name="_Toc184313299"/>
      <w:bookmarkEnd w:id="48"/>
      <w:bookmarkStart w:id="49" w:name="_Toc184308083"/>
      <w:bookmarkEnd w:id="49"/>
      <w:bookmarkStart w:id="50" w:name="_Toc184313306"/>
      <w:bookmarkEnd w:id="50"/>
      <w:bookmarkStart w:id="51" w:name="_Toc184314456"/>
      <w:bookmarkEnd w:id="51"/>
      <w:bookmarkStart w:id="52" w:name="_Toc184312106"/>
      <w:bookmarkEnd w:id="52"/>
      <w:bookmarkStart w:id="53" w:name="_Toc184313275"/>
      <w:bookmarkEnd w:id="53"/>
      <w:bookmarkStart w:id="54" w:name="_Toc184310285"/>
      <w:bookmarkEnd w:id="54"/>
      <w:bookmarkStart w:id="55" w:name="_Toc184312098"/>
      <w:bookmarkEnd w:id="55"/>
      <w:bookmarkStart w:id="56" w:name="_Toc184310309"/>
      <w:bookmarkEnd w:id="56"/>
      <w:bookmarkStart w:id="57" w:name="_Toc184308091"/>
      <w:bookmarkEnd w:id="57"/>
      <w:bookmarkStart w:id="58" w:name="_Toc184312090"/>
      <w:bookmarkEnd w:id="58"/>
      <w:bookmarkStart w:id="59" w:name="_Toc184314440"/>
      <w:bookmarkEnd w:id="59"/>
      <w:bookmarkStart w:id="60" w:name="_Toc184308064"/>
      <w:bookmarkEnd w:id="60"/>
      <w:bookmarkStart w:id="61" w:name="_Toc184313239"/>
      <w:bookmarkEnd w:id="61"/>
      <w:bookmarkStart w:id="62" w:name="_Toc184314474"/>
      <w:bookmarkEnd w:id="62"/>
      <w:bookmarkStart w:id="63" w:name="_Toc184314446"/>
      <w:bookmarkEnd w:id="63"/>
      <w:bookmarkStart w:id="64" w:name="_Toc184313294"/>
      <w:bookmarkEnd w:id="64"/>
      <w:bookmarkStart w:id="65" w:name="_Toc184310324"/>
      <w:bookmarkEnd w:id="65"/>
      <w:bookmarkStart w:id="66" w:name="_Toc184308094"/>
      <w:bookmarkEnd w:id="66"/>
      <w:bookmarkStart w:id="67" w:name="_Toc184314445"/>
      <w:bookmarkEnd w:id="67"/>
      <w:bookmarkStart w:id="68" w:name="_Toc184314425"/>
      <w:bookmarkEnd w:id="68"/>
      <w:bookmarkStart w:id="69" w:name="_Toc184310272"/>
      <w:bookmarkEnd w:id="69"/>
      <w:bookmarkStart w:id="70" w:name="_Toc184312107"/>
      <w:bookmarkEnd w:id="70"/>
      <w:bookmarkStart w:id="71" w:name="_Toc184310311"/>
      <w:bookmarkEnd w:id="71"/>
      <w:bookmarkStart w:id="72" w:name="_Toc184310333"/>
      <w:bookmarkEnd w:id="72"/>
      <w:bookmarkStart w:id="73" w:name="_Toc184313268"/>
      <w:bookmarkEnd w:id="73"/>
      <w:bookmarkStart w:id="74" w:name="_Toc184313279"/>
      <w:bookmarkEnd w:id="74"/>
      <w:bookmarkStart w:id="75" w:name="_Toc184308047"/>
      <w:bookmarkEnd w:id="75"/>
      <w:bookmarkStart w:id="76" w:name="_Toc184310338"/>
      <w:bookmarkEnd w:id="76"/>
      <w:bookmarkStart w:id="77" w:name="_Toc184313266"/>
      <w:bookmarkEnd w:id="77"/>
      <w:bookmarkStart w:id="78" w:name="_Toc184314442"/>
      <w:bookmarkEnd w:id="78"/>
      <w:bookmarkStart w:id="79" w:name="_Toc184314478"/>
      <w:bookmarkEnd w:id="79"/>
      <w:bookmarkStart w:id="80" w:name="_Toc184308046"/>
      <w:bookmarkEnd w:id="80"/>
      <w:bookmarkStart w:id="81" w:name="_Toc184310312"/>
      <w:bookmarkEnd w:id="81"/>
      <w:bookmarkStart w:id="82" w:name="_Toc184313246"/>
      <w:bookmarkEnd w:id="82"/>
      <w:bookmarkStart w:id="83" w:name="_Toc184314479"/>
      <w:bookmarkEnd w:id="83"/>
      <w:bookmarkStart w:id="84" w:name="_Toc184308101"/>
      <w:bookmarkEnd w:id="84"/>
      <w:bookmarkStart w:id="85" w:name="_Toc184308072"/>
      <w:bookmarkEnd w:id="85"/>
      <w:bookmarkStart w:id="86" w:name="_Toc184310286"/>
      <w:bookmarkEnd w:id="86"/>
      <w:bookmarkStart w:id="87" w:name="_Toc184314432"/>
      <w:bookmarkEnd w:id="87"/>
      <w:bookmarkStart w:id="88" w:name="_Toc184308107"/>
      <w:bookmarkEnd w:id="88"/>
      <w:bookmarkStart w:id="89" w:name="_Toc184313289"/>
      <w:bookmarkEnd w:id="89"/>
      <w:bookmarkStart w:id="90" w:name="_Toc184313309"/>
      <w:bookmarkEnd w:id="90"/>
      <w:bookmarkStart w:id="91" w:name="_Toc184310302"/>
      <w:bookmarkEnd w:id="91"/>
      <w:bookmarkStart w:id="92" w:name="_Toc184310318"/>
      <w:bookmarkEnd w:id="92"/>
      <w:bookmarkStart w:id="93" w:name="_Toc184314450"/>
      <w:bookmarkEnd w:id="93"/>
      <w:bookmarkStart w:id="94" w:name="_Toc184310317"/>
      <w:bookmarkEnd w:id="94"/>
      <w:bookmarkStart w:id="95" w:name="_Toc184310320"/>
      <w:bookmarkEnd w:id="95"/>
      <w:bookmarkStart w:id="96" w:name="_Toc184312129"/>
      <w:bookmarkEnd w:id="96"/>
      <w:bookmarkStart w:id="97" w:name="_Toc184313249"/>
      <w:bookmarkEnd w:id="97"/>
      <w:bookmarkStart w:id="98" w:name="_Toc184310329"/>
      <w:bookmarkEnd w:id="98"/>
      <w:bookmarkStart w:id="99" w:name="_Toc184310326"/>
      <w:bookmarkEnd w:id="99"/>
      <w:bookmarkStart w:id="100" w:name="_Toc184310321"/>
      <w:bookmarkEnd w:id="100"/>
      <w:bookmarkStart w:id="101" w:name="_Toc184312084"/>
      <w:bookmarkEnd w:id="101"/>
      <w:bookmarkStart w:id="102" w:name="_Toc184312135"/>
      <w:bookmarkEnd w:id="102"/>
      <w:bookmarkStart w:id="103" w:name="_Toc184308090"/>
      <w:bookmarkEnd w:id="103"/>
      <w:bookmarkStart w:id="104" w:name="_Toc184308088"/>
      <w:bookmarkEnd w:id="104"/>
      <w:bookmarkStart w:id="105" w:name="_Toc184314461"/>
      <w:bookmarkEnd w:id="105"/>
      <w:bookmarkStart w:id="106" w:name="_Toc184310281"/>
      <w:bookmarkEnd w:id="106"/>
      <w:bookmarkStart w:id="107" w:name="_Toc184314444"/>
      <w:bookmarkEnd w:id="107"/>
      <w:bookmarkStart w:id="108" w:name="_Toc184312131"/>
      <w:bookmarkEnd w:id="108"/>
      <w:bookmarkStart w:id="109" w:name="_Toc184313242"/>
      <w:bookmarkEnd w:id="109"/>
      <w:bookmarkStart w:id="110" w:name="_Toc184312079"/>
      <w:bookmarkEnd w:id="110"/>
      <w:bookmarkStart w:id="111" w:name="_Toc184313276"/>
      <w:bookmarkEnd w:id="111"/>
      <w:bookmarkStart w:id="112" w:name="_Toc184308057"/>
      <w:bookmarkEnd w:id="112"/>
      <w:bookmarkStart w:id="113" w:name="_Toc184313271"/>
      <w:bookmarkEnd w:id="113"/>
      <w:bookmarkStart w:id="114" w:name="_Toc184310282"/>
      <w:bookmarkEnd w:id="114"/>
      <w:bookmarkStart w:id="115" w:name="_Toc184314411"/>
      <w:bookmarkEnd w:id="115"/>
      <w:bookmarkStart w:id="116" w:name="_Toc184314451"/>
      <w:bookmarkEnd w:id="116"/>
      <w:bookmarkStart w:id="117" w:name="_Toc184314463"/>
      <w:bookmarkEnd w:id="117"/>
      <w:bookmarkStart w:id="118" w:name="_Toc184308036"/>
      <w:bookmarkEnd w:id="118"/>
      <w:bookmarkStart w:id="119" w:name="_Toc184313297"/>
      <w:bookmarkEnd w:id="119"/>
      <w:bookmarkStart w:id="120" w:name="_Toc184314477"/>
      <w:bookmarkEnd w:id="120"/>
      <w:bookmarkStart w:id="121" w:name="_Toc184313267"/>
      <w:bookmarkEnd w:id="121"/>
      <w:bookmarkStart w:id="122" w:name="_Toc184314433"/>
      <w:bookmarkEnd w:id="122"/>
      <w:bookmarkStart w:id="123" w:name="_Toc184308087"/>
      <w:bookmarkEnd w:id="123"/>
      <w:bookmarkStart w:id="124" w:name="_Toc184314434"/>
      <w:bookmarkEnd w:id="124"/>
      <w:bookmarkStart w:id="125" w:name="_Toc184310287"/>
      <w:bookmarkEnd w:id="125"/>
      <w:bookmarkStart w:id="126" w:name="_Toc184312123"/>
      <w:bookmarkEnd w:id="126"/>
      <w:bookmarkStart w:id="127" w:name="_Toc184312108"/>
      <w:bookmarkEnd w:id="127"/>
      <w:bookmarkStart w:id="128" w:name="_Toc184308060"/>
      <w:bookmarkEnd w:id="128"/>
      <w:bookmarkStart w:id="129" w:name="_Toc184312137"/>
      <w:bookmarkEnd w:id="129"/>
      <w:bookmarkStart w:id="130" w:name="_Toc184308106"/>
      <w:bookmarkEnd w:id="130"/>
      <w:bookmarkStart w:id="131" w:name="_Toc184310297"/>
      <w:bookmarkEnd w:id="131"/>
      <w:bookmarkStart w:id="132" w:name="_Toc184310325"/>
      <w:bookmarkEnd w:id="132"/>
      <w:bookmarkStart w:id="133" w:name="_Toc184314412"/>
      <w:bookmarkEnd w:id="133"/>
      <w:bookmarkStart w:id="134" w:name="_Toc184312067"/>
      <w:bookmarkEnd w:id="134"/>
      <w:bookmarkStart w:id="135" w:name="_Toc184310290"/>
      <w:bookmarkEnd w:id="135"/>
      <w:bookmarkStart w:id="136" w:name="_Toc184308084"/>
      <w:bookmarkEnd w:id="136"/>
      <w:bookmarkStart w:id="137" w:name="_Toc184310299"/>
      <w:bookmarkEnd w:id="137"/>
      <w:bookmarkStart w:id="138" w:name="_Toc184308086"/>
      <w:bookmarkEnd w:id="138"/>
      <w:bookmarkStart w:id="139" w:name="_Toc184313282"/>
      <w:bookmarkEnd w:id="139"/>
      <w:bookmarkStart w:id="140" w:name="_Toc184310308"/>
      <w:bookmarkEnd w:id="140"/>
      <w:bookmarkStart w:id="141" w:name="_Toc184314472"/>
      <w:bookmarkEnd w:id="141"/>
      <w:bookmarkStart w:id="142" w:name="_Toc184308074"/>
      <w:bookmarkEnd w:id="142"/>
      <w:bookmarkStart w:id="143" w:name="_Toc184308039"/>
      <w:bookmarkEnd w:id="143"/>
      <w:bookmarkStart w:id="144" w:name="_Toc184314436"/>
      <w:bookmarkEnd w:id="144"/>
      <w:bookmarkStart w:id="145" w:name="_Toc184313287"/>
      <w:bookmarkEnd w:id="145"/>
      <w:bookmarkStart w:id="146" w:name="_Toc184313285"/>
      <w:bookmarkEnd w:id="146"/>
      <w:bookmarkStart w:id="147" w:name="_Toc184312074"/>
      <w:bookmarkEnd w:id="147"/>
      <w:bookmarkStart w:id="148" w:name="_Toc184314422"/>
      <w:bookmarkEnd w:id="148"/>
      <w:bookmarkStart w:id="149" w:name="_Toc184310330"/>
      <w:bookmarkEnd w:id="149"/>
      <w:bookmarkStart w:id="150" w:name="_Toc184313293"/>
      <w:bookmarkEnd w:id="150"/>
      <w:bookmarkStart w:id="151" w:name="_Toc184310296"/>
      <w:bookmarkEnd w:id="151"/>
      <w:bookmarkStart w:id="152" w:name="_Toc184312125"/>
      <w:bookmarkEnd w:id="152"/>
      <w:bookmarkStart w:id="153" w:name="_Toc184313248"/>
      <w:bookmarkEnd w:id="153"/>
      <w:bookmarkStart w:id="154" w:name="_Toc184308059"/>
      <w:bookmarkEnd w:id="154"/>
      <w:bookmarkStart w:id="155" w:name="_Toc184314416"/>
      <w:bookmarkEnd w:id="155"/>
      <w:bookmarkStart w:id="156" w:name="_Toc184308103"/>
      <w:bookmarkEnd w:id="156"/>
      <w:bookmarkStart w:id="157" w:name="_Toc184312126"/>
      <w:bookmarkEnd w:id="157"/>
      <w:bookmarkStart w:id="158" w:name="_Toc184313258"/>
      <w:bookmarkEnd w:id="158"/>
      <w:bookmarkStart w:id="159" w:name="_Toc184310293"/>
      <w:bookmarkEnd w:id="159"/>
      <w:bookmarkStart w:id="160" w:name="_Toc184314438"/>
      <w:bookmarkEnd w:id="160"/>
      <w:bookmarkStart w:id="161" w:name="_Toc184313240"/>
      <w:bookmarkEnd w:id="161"/>
      <w:bookmarkStart w:id="162" w:name="_Toc184308102"/>
      <w:bookmarkEnd w:id="162"/>
      <w:bookmarkStart w:id="163" w:name="_Toc184312139"/>
      <w:bookmarkEnd w:id="163"/>
      <w:bookmarkStart w:id="164" w:name="_Toc184313274"/>
      <w:bookmarkEnd w:id="164"/>
      <w:bookmarkStart w:id="165" w:name="_Toc184314475"/>
      <w:bookmarkEnd w:id="165"/>
      <w:bookmarkStart w:id="166" w:name="_Toc184313298"/>
      <w:bookmarkEnd w:id="166"/>
      <w:bookmarkStart w:id="167" w:name="_Toc184313259"/>
      <w:bookmarkEnd w:id="167"/>
      <w:bookmarkStart w:id="168" w:name="_Toc184312138"/>
      <w:bookmarkEnd w:id="168"/>
      <w:bookmarkStart w:id="169" w:name="_Toc184308096"/>
      <w:bookmarkEnd w:id="169"/>
      <w:bookmarkStart w:id="170" w:name="_Toc184308080"/>
      <w:bookmarkEnd w:id="170"/>
      <w:bookmarkStart w:id="171" w:name="_Toc184312130"/>
      <w:bookmarkEnd w:id="171"/>
      <w:bookmarkStart w:id="172" w:name="_Toc184314482"/>
      <w:bookmarkEnd w:id="172"/>
      <w:bookmarkStart w:id="173" w:name="_Toc184310328"/>
      <w:bookmarkEnd w:id="173"/>
      <w:bookmarkStart w:id="174" w:name="_Toc184314414"/>
      <w:bookmarkEnd w:id="174"/>
      <w:bookmarkStart w:id="175" w:name="_Toc184314418"/>
      <w:bookmarkEnd w:id="175"/>
      <w:bookmarkStart w:id="176" w:name="_Toc184308066"/>
      <w:bookmarkEnd w:id="176"/>
      <w:bookmarkStart w:id="177" w:name="_Toc184310341"/>
      <w:bookmarkEnd w:id="177"/>
      <w:bookmarkStart w:id="178" w:name="_Toc184308056"/>
      <w:bookmarkEnd w:id="178"/>
      <w:bookmarkStart w:id="179" w:name="_Toc184310336"/>
      <w:bookmarkEnd w:id="179"/>
      <w:bookmarkStart w:id="180" w:name="_Toc184312071"/>
      <w:bookmarkEnd w:id="180"/>
      <w:bookmarkStart w:id="181" w:name="_Toc184314437"/>
      <w:bookmarkEnd w:id="181"/>
      <w:bookmarkStart w:id="182" w:name="_Toc184310279"/>
      <w:bookmarkEnd w:id="182"/>
      <w:bookmarkStart w:id="183" w:name="_Toc184312099"/>
      <w:bookmarkEnd w:id="183"/>
      <w:bookmarkStart w:id="184" w:name="_Toc184312121"/>
      <w:bookmarkEnd w:id="184"/>
      <w:bookmarkStart w:id="185" w:name="_Toc184308043"/>
      <w:bookmarkEnd w:id="185"/>
      <w:bookmarkStart w:id="186" w:name="_Toc184308097"/>
      <w:bookmarkEnd w:id="186"/>
      <w:bookmarkStart w:id="187" w:name="_Toc184310278"/>
      <w:bookmarkEnd w:id="187"/>
      <w:bookmarkStart w:id="188" w:name="_Toc184308081"/>
      <w:bookmarkEnd w:id="188"/>
      <w:bookmarkStart w:id="189" w:name="_Toc184313280"/>
      <w:bookmarkEnd w:id="189"/>
      <w:bookmarkStart w:id="190" w:name="_Toc184312114"/>
      <w:bookmarkEnd w:id="190"/>
      <w:bookmarkStart w:id="191" w:name="_Toc184310294"/>
      <w:bookmarkEnd w:id="191"/>
      <w:bookmarkStart w:id="192" w:name="_Toc184308051"/>
      <w:bookmarkEnd w:id="192"/>
      <w:bookmarkStart w:id="193" w:name="_Toc184312116"/>
      <w:bookmarkEnd w:id="193"/>
      <w:bookmarkStart w:id="194" w:name="_Toc184313303"/>
      <w:bookmarkEnd w:id="194"/>
      <w:bookmarkStart w:id="195" w:name="_Toc184310313"/>
      <w:bookmarkEnd w:id="195"/>
      <w:bookmarkStart w:id="196" w:name="_Toc184310276"/>
      <w:bookmarkEnd w:id="196"/>
      <w:bookmarkStart w:id="197" w:name="_Toc184312087"/>
      <w:bookmarkEnd w:id="197"/>
      <w:bookmarkStart w:id="198" w:name="_Toc184308078"/>
      <w:bookmarkEnd w:id="198"/>
      <w:bookmarkStart w:id="199" w:name="_Toc184308085"/>
      <w:bookmarkEnd w:id="199"/>
      <w:bookmarkStart w:id="200" w:name="_Toc184314465"/>
      <w:bookmarkEnd w:id="200"/>
      <w:bookmarkStart w:id="201" w:name="_Toc184310283"/>
      <w:bookmarkEnd w:id="201"/>
      <w:bookmarkStart w:id="202" w:name="_Toc184308062"/>
      <w:bookmarkEnd w:id="202"/>
      <w:bookmarkStart w:id="203" w:name="_Toc184308068"/>
      <w:bookmarkEnd w:id="203"/>
      <w:bookmarkStart w:id="204" w:name="_Toc184313263"/>
      <w:bookmarkEnd w:id="204"/>
      <w:bookmarkStart w:id="205" w:name="_Toc184308077"/>
      <w:bookmarkEnd w:id="205"/>
      <w:bookmarkStart w:id="206" w:name="_Toc184312109"/>
      <w:bookmarkEnd w:id="206"/>
      <w:bookmarkStart w:id="207" w:name="_Toc184310284"/>
      <w:bookmarkEnd w:id="207"/>
      <w:bookmarkStart w:id="208" w:name="_Toc184308041"/>
      <w:bookmarkEnd w:id="208"/>
      <w:bookmarkStart w:id="209" w:name="_Toc184313243"/>
      <w:bookmarkEnd w:id="209"/>
      <w:bookmarkStart w:id="210" w:name="_Toc184310298"/>
      <w:bookmarkEnd w:id="210"/>
      <w:bookmarkStart w:id="211" w:name="_Toc184310280"/>
      <w:bookmarkEnd w:id="211"/>
      <w:bookmarkStart w:id="212" w:name="_Toc184313305"/>
      <w:bookmarkEnd w:id="212"/>
      <w:bookmarkStart w:id="213" w:name="_Toc184313295"/>
      <w:bookmarkEnd w:id="213"/>
      <w:bookmarkStart w:id="214" w:name="_Toc184314468"/>
      <w:bookmarkEnd w:id="214"/>
      <w:bookmarkStart w:id="215" w:name="_Toc184312120"/>
      <w:bookmarkEnd w:id="215"/>
      <w:bookmarkStart w:id="216" w:name="_Toc184308105"/>
      <w:bookmarkEnd w:id="216"/>
      <w:bookmarkStart w:id="217" w:name="_Toc184313247"/>
      <w:bookmarkEnd w:id="217"/>
      <w:bookmarkStart w:id="218" w:name="_Toc184308104"/>
      <w:bookmarkEnd w:id="218"/>
      <w:bookmarkStart w:id="219" w:name="_Toc184312134"/>
      <w:bookmarkEnd w:id="219"/>
      <w:bookmarkStart w:id="220" w:name="_Toc184314415"/>
      <w:bookmarkEnd w:id="220"/>
      <w:bookmarkStart w:id="221" w:name="_Toc184312077"/>
      <w:bookmarkEnd w:id="221"/>
      <w:bookmarkStart w:id="222" w:name="_Toc184310340"/>
      <w:bookmarkEnd w:id="222"/>
      <w:bookmarkStart w:id="223" w:name="_Toc184312103"/>
      <w:bookmarkEnd w:id="223"/>
      <w:bookmarkStart w:id="224" w:name="_Toc184308073"/>
      <w:bookmarkEnd w:id="224"/>
      <w:bookmarkStart w:id="225" w:name="_Toc184313310"/>
      <w:bookmarkEnd w:id="225"/>
      <w:bookmarkStart w:id="226" w:name="_Toc184313264"/>
      <w:bookmarkEnd w:id="226"/>
      <w:bookmarkStart w:id="227" w:name="_Toc184312072"/>
      <w:bookmarkEnd w:id="227"/>
      <w:bookmarkStart w:id="228" w:name="_Toc184312112"/>
      <w:bookmarkEnd w:id="228"/>
      <w:bookmarkStart w:id="229" w:name="_Toc184312097"/>
      <w:bookmarkEnd w:id="229"/>
      <w:bookmarkStart w:id="230" w:name="_Toc184313250"/>
      <w:bookmarkEnd w:id="230"/>
      <w:bookmarkStart w:id="231" w:name="_Toc184308044"/>
      <w:bookmarkEnd w:id="231"/>
      <w:bookmarkStart w:id="232" w:name="_Toc184313281"/>
      <w:bookmarkEnd w:id="232"/>
      <w:bookmarkStart w:id="233" w:name="_Toc184308054"/>
      <w:bookmarkEnd w:id="233"/>
      <w:bookmarkStart w:id="234" w:name="_Toc184313292"/>
      <w:bookmarkEnd w:id="234"/>
      <w:bookmarkStart w:id="235" w:name="_Toc184312085"/>
      <w:bookmarkEnd w:id="235"/>
      <w:bookmarkStart w:id="236" w:name="_Toc184314473"/>
      <w:bookmarkEnd w:id="236"/>
      <w:bookmarkStart w:id="237" w:name="_Toc184314447"/>
      <w:bookmarkEnd w:id="237"/>
      <w:bookmarkStart w:id="238" w:name="_Toc184314439"/>
      <w:bookmarkEnd w:id="238"/>
      <w:bookmarkStart w:id="239" w:name="_Toc184308063"/>
      <w:bookmarkEnd w:id="239"/>
      <w:bookmarkStart w:id="240" w:name="_Toc184314454"/>
      <w:bookmarkEnd w:id="240"/>
      <w:bookmarkStart w:id="241" w:name="_Toc184313254"/>
      <w:bookmarkEnd w:id="241"/>
      <w:bookmarkStart w:id="242" w:name="_Toc184314457"/>
      <w:bookmarkEnd w:id="242"/>
      <w:bookmarkStart w:id="243" w:name="_Toc184313277"/>
      <w:bookmarkEnd w:id="243"/>
      <w:bookmarkStart w:id="244" w:name="_Toc184314476"/>
      <w:bookmarkEnd w:id="244"/>
      <w:bookmarkStart w:id="245" w:name="_Toc184308061"/>
      <w:bookmarkEnd w:id="245"/>
      <w:bookmarkStart w:id="246" w:name="_Toc184310273"/>
      <w:bookmarkEnd w:id="246"/>
      <w:bookmarkStart w:id="247" w:name="_Toc184310327"/>
      <w:bookmarkEnd w:id="247"/>
      <w:bookmarkStart w:id="248" w:name="_Toc184310322"/>
      <w:bookmarkEnd w:id="248"/>
      <w:bookmarkStart w:id="249" w:name="_Toc184314449"/>
      <w:bookmarkEnd w:id="249"/>
      <w:bookmarkStart w:id="250" w:name="_Toc184308052"/>
      <w:bookmarkEnd w:id="250"/>
      <w:bookmarkStart w:id="251" w:name="_Toc184313278"/>
      <w:bookmarkEnd w:id="251"/>
      <w:bookmarkStart w:id="252" w:name="_Toc184314429"/>
      <w:bookmarkEnd w:id="252"/>
      <w:bookmarkStart w:id="253" w:name="_Toc184313253"/>
      <w:bookmarkEnd w:id="253"/>
      <w:bookmarkStart w:id="254" w:name="_Toc184310310"/>
      <w:bookmarkEnd w:id="254"/>
      <w:bookmarkStart w:id="255" w:name="_Toc184313291"/>
      <w:bookmarkEnd w:id="255"/>
      <w:bookmarkStart w:id="256" w:name="_Toc184310331"/>
      <w:bookmarkEnd w:id="256"/>
      <w:bookmarkStart w:id="257" w:name="_Toc184314431"/>
      <w:bookmarkEnd w:id="257"/>
      <w:bookmarkStart w:id="258" w:name="_Toc184308049"/>
      <w:bookmarkEnd w:id="258"/>
      <w:bookmarkStart w:id="259" w:name="_Toc184312132"/>
      <w:bookmarkEnd w:id="259"/>
      <w:bookmarkStart w:id="260" w:name="_Toc184312128"/>
      <w:bookmarkEnd w:id="260"/>
      <w:bookmarkStart w:id="261" w:name="_Toc184313244"/>
      <w:bookmarkEnd w:id="261"/>
      <w:bookmarkStart w:id="262" w:name="_Toc184314410"/>
      <w:bookmarkEnd w:id="262"/>
      <w:bookmarkStart w:id="263" w:name="_Toc184308065"/>
      <w:bookmarkEnd w:id="263"/>
      <w:bookmarkStart w:id="264" w:name="_Toc184314423"/>
      <w:bookmarkEnd w:id="264"/>
      <w:bookmarkStart w:id="265" w:name="_Toc184312070"/>
      <w:bookmarkEnd w:id="265"/>
      <w:bookmarkStart w:id="266" w:name="_Toc184313288"/>
      <w:bookmarkEnd w:id="266"/>
      <w:bookmarkStart w:id="267" w:name="_Toc184314481"/>
      <w:bookmarkEnd w:id="267"/>
      <w:bookmarkStart w:id="268" w:name="_Toc184313270"/>
      <w:bookmarkEnd w:id="268"/>
      <w:bookmarkStart w:id="269" w:name="_Toc184312075"/>
      <w:bookmarkEnd w:id="269"/>
      <w:bookmarkStart w:id="270" w:name="_Toc184313302"/>
      <w:bookmarkEnd w:id="270"/>
      <w:bookmarkStart w:id="271" w:name="_Toc184314459"/>
      <w:bookmarkEnd w:id="271"/>
      <w:bookmarkStart w:id="272" w:name="_Toc184313251"/>
      <w:bookmarkEnd w:id="272"/>
      <w:bookmarkStart w:id="273" w:name="_Toc184310277"/>
      <w:bookmarkEnd w:id="273"/>
      <w:bookmarkStart w:id="274" w:name="_Toc184313265"/>
      <w:bookmarkEnd w:id="274"/>
      <w:bookmarkStart w:id="275" w:name="_Toc184310304"/>
      <w:bookmarkEnd w:id="275"/>
      <w:bookmarkStart w:id="276" w:name="_Toc184314427"/>
      <w:bookmarkEnd w:id="276"/>
      <w:bookmarkStart w:id="277" w:name="_Toc184308089"/>
      <w:bookmarkEnd w:id="277"/>
      <w:bookmarkStart w:id="278" w:name="_Toc184310291"/>
      <w:bookmarkEnd w:id="278"/>
      <w:bookmarkStart w:id="279" w:name="_Toc184312089"/>
      <w:bookmarkEnd w:id="279"/>
      <w:bookmarkStart w:id="280" w:name="_Toc184312102"/>
      <w:bookmarkEnd w:id="280"/>
      <w:bookmarkStart w:id="281" w:name="_Toc184313273"/>
      <w:bookmarkEnd w:id="281"/>
      <w:bookmarkStart w:id="282" w:name="_Toc184314441"/>
      <w:bookmarkEnd w:id="282"/>
      <w:bookmarkStart w:id="283" w:name="_Toc184312105"/>
      <w:bookmarkEnd w:id="283"/>
      <w:bookmarkStart w:id="284" w:name="_Toc184310307"/>
      <w:bookmarkEnd w:id="284"/>
      <w:bookmarkStart w:id="285" w:name="_Toc184314420"/>
      <w:bookmarkEnd w:id="285"/>
      <w:bookmarkStart w:id="286" w:name="_Toc184310316"/>
      <w:bookmarkEnd w:id="286"/>
      <w:bookmarkStart w:id="287" w:name="_Toc184312093"/>
      <w:bookmarkEnd w:id="287"/>
      <w:bookmarkStart w:id="288" w:name="_Toc184312133"/>
      <w:bookmarkEnd w:id="288"/>
      <w:bookmarkStart w:id="289" w:name="_Toc184313257"/>
      <w:bookmarkEnd w:id="289"/>
      <w:bookmarkStart w:id="290" w:name="_Toc184314428"/>
      <w:bookmarkEnd w:id="290"/>
      <w:bookmarkStart w:id="291" w:name="_Toc184308050"/>
      <w:bookmarkEnd w:id="291"/>
      <w:bookmarkStart w:id="292" w:name="_Toc184314443"/>
      <w:bookmarkEnd w:id="292"/>
      <w:bookmarkStart w:id="293" w:name="_Toc184313241"/>
      <w:bookmarkEnd w:id="293"/>
      <w:bookmarkStart w:id="294" w:name="_Toc184308100"/>
      <w:bookmarkEnd w:id="294"/>
      <w:bookmarkStart w:id="295" w:name="_Toc184308058"/>
      <w:bookmarkEnd w:id="295"/>
      <w:bookmarkStart w:id="296" w:name="_Toc184308055"/>
      <w:bookmarkEnd w:id="296"/>
      <w:bookmarkStart w:id="297" w:name="_Toc184308053"/>
      <w:bookmarkEnd w:id="297"/>
      <w:bookmarkStart w:id="298" w:name="_Toc184314460"/>
      <w:bookmarkEnd w:id="298"/>
      <w:bookmarkStart w:id="299" w:name="_Toc184314417"/>
      <w:bookmarkEnd w:id="299"/>
      <w:bookmarkStart w:id="300" w:name="_Toc184312104"/>
      <w:bookmarkEnd w:id="300"/>
      <w:bookmarkStart w:id="301" w:name="_Toc184310335"/>
      <w:bookmarkEnd w:id="301"/>
      <w:bookmarkStart w:id="302" w:name="_Toc184314480"/>
      <w:bookmarkEnd w:id="302"/>
      <w:bookmarkStart w:id="303" w:name="_Toc184313262"/>
      <w:bookmarkEnd w:id="303"/>
      <w:bookmarkStart w:id="304" w:name="_Toc184308099"/>
      <w:bookmarkEnd w:id="304"/>
      <w:bookmarkStart w:id="305" w:name="_Toc184313261"/>
      <w:bookmarkEnd w:id="305"/>
      <w:bookmarkStart w:id="306" w:name="_Toc184312073"/>
      <w:bookmarkEnd w:id="306"/>
      <w:bookmarkStart w:id="307" w:name="_Toc184313307"/>
      <w:bookmarkEnd w:id="307"/>
      <w:bookmarkStart w:id="308" w:name="_Toc184310337"/>
      <w:bookmarkEnd w:id="308"/>
      <w:bookmarkStart w:id="309" w:name="_Toc184313304"/>
      <w:bookmarkEnd w:id="309"/>
      <w:bookmarkStart w:id="310" w:name="_Toc184312081"/>
      <w:bookmarkEnd w:id="310"/>
      <w:bookmarkStart w:id="311" w:name="_Toc184308108"/>
      <w:bookmarkEnd w:id="311"/>
      <w:bookmarkStart w:id="312" w:name="_Toc184314430"/>
      <w:bookmarkEnd w:id="312"/>
      <w:bookmarkStart w:id="313" w:name="_Toc184312113"/>
      <w:bookmarkEnd w:id="313"/>
      <w:bookmarkStart w:id="314" w:name="_Toc184310288"/>
      <w:bookmarkEnd w:id="314"/>
      <w:bookmarkStart w:id="315" w:name="_Toc184312091"/>
      <w:bookmarkEnd w:id="315"/>
      <w:bookmarkStart w:id="316" w:name="_Toc184314466"/>
      <w:bookmarkEnd w:id="316"/>
      <w:bookmarkStart w:id="317" w:name="_Toc184308075"/>
      <w:bookmarkEnd w:id="317"/>
      <w:bookmarkStart w:id="318" w:name="_Toc184308092"/>
      <w:bookmarkEnd w:id="318"/>
      <w:bookmarkStart w:id="319" w:name="_Toc184308042"/>
      <w:bookmarkEnd w:id="319"/>
      <w:bookmarkStart w:id="320" w:name="_Toc184313256"/>
      <w:bookmarkEnd w:id="320"/>
      <w:bookmarkStart w:id="321" w:name="_Toc184310289"/>
      <w:bookmarkEnd w:id="321"/>
      <w:bookmarkStart w:id="322" w:name="_Toc184313272"/>
      <w:bookmarkEnd w:id="322"/>
      <w:bookmarkStart w:id="323" w:name="_Toc184314453"/>
      <w:bookmarkEnd w:id="323"/>
      <w:bookmarkStart w:id="324" w:name="_Toc184314413"/>
      <w:bookmarkEnd w:id="324"/>
      <w:bookmarkStart w:id="325" w:name="_Toc184312080"/>
      <w:bookmarkEnd w:id="325"/>
      <w:bookmarkStart w:id="326" w:name="_Toc184308037"/>
      <w:bookmarkEnd w:id="326"/>
      <w:bookmarkStart w:id="327" w:name="_Toc184313255"/>
      <w:bookmarkEnd w:id="327"/>
      <w:bookmarkStart w:id="328" w:name="_Toc184314421"/>
      <w:bookmarkEnd w:id="328"/>
      <w:bookmarkStart w:id="329" w:name="_Toc184312095"/>
      <w:bookmarkEnd w:id="329"/>
      <w:bookmarkStart w:id="330" w:name="_Toc184308082"/>
      <w:bookmarkEnd w:id="330"/>
      <w:bookmarkStart w:id="331" w:name="_Toc184310300"/>
      <w:bookmarkEnd w:id="331"/>
      <w:bookmarkStart w:id="332" w:name="_Toc184308069"/>
      <w:bookmarkEnd w:id="332"/>
      <w:bookmarkStart w:id="333" w:name="_Toc184308067"/>
      <w:bookmarkEnd w:id="333"/>
      <w:bookmarkStart w:id="334" w:name="_Toc184310319"/>
      <w:bookmarkEnd w:id="334"/>
      <w:bookmarkStart w:id="335" w:name="_Toc184310344"/>
      <w:bookmarkEnd w:id="335"/>
      <w:bookmarkStart w:id="336" w:name="_Toc184312115"/>
      <w:bookmarkEnd w:id="336"/>
      <w:bookmarkStart w:id="337" w:name="_Toc184313260"/>
      <w:bookmarkEnd w:id="337"/>
      <w:bookmarkStart w:id="338" w:name="_Toc184312088"/>
      <w:bookmarkEnd w:id="338"/>
      <w:bookmarkStart w:id="339" w:name="_Toc184310334"/>
      <w:bookmarkEnd w:id="339"/>
      <w:bookmarkStart w:id="340" w:name="_Toc184313286"/>
      <w:bookmarkEnd w:id="340"/>
      <w:bookmarkStart w:id="341" w:name="_Toc184308093"/>
      <w:bookmarkEnd w:id="341"/>
      <w:bookmarkStart w:id="342" w:name="_Toc184313300"/>
      <w:bookmarkEnd w:id="342"/>
      <w:bookmarkStart w:id="343" w:name="_Toc184310301"/>
      <w:bookmarkEnd w:id="343"/>
      <w:bookmarkStart w:id="344" w:name="_Toc184314424"/>
      <w:bookmarkEnd w:id="344"/>
      <w:bookmarkStart w:id="345" w:name="_Toc184310275"/>
      <w:bookmarkEnd w:id="345"/>
      <w:bookmarkStart w:id="346" w:name="_Toc184312122"/>
      <w:bookmarkEnd w:id="346"/>
      <w:bookmarkStart w:id="347" w:name="_Toc184313308"/>
      <w:bookmarkEnd w:id="347"/>
      <w:bookmarkStart w:id="348" w:name="_Toc184312118"/>
      <w:bookmarkEnd w:id="348"/>
      <w:bookmarkStart w:id="349" w:name="_Toc184313290"/>
      <w:bookmarkEnd w:id="349"/>
      <w:bookmarkStart w:id="350" w:name="_Toc184308038"/>
      <w:bookmarkEnd w:id="350"/>
      <w:bookmarkStart w:id="351" w:name="_Toc184312096"/>
      <w:bookmarkEnd w:id="351"/>
      <w:bookmarkStart w:id="352" w:name="_Toc184310323"/>
      <w:bookmarkEnd w:id="352"/>
      <w:bookmarkStart w:id="353" w:name="_Toc184310292"/>
      <w:bookmarkEnd w:id="353"/>
      <w:bookmarkStart w:id="354" w:name="_Toc184310306"/>
      <w:bookmarkEnd w:id="354"/>
      <w:bookmarkStart w:id="355" w:name="_Toc184310295"/>
      <w:bookmarkEnd w:id="355"/>
      <w:bookmarkStart w:id="356" w:name="_Toc184312127"/>
      <w:bookmarkEnd w:id="356"/>
      <w:bookmarkStart w:id="357" w:name="_Toc184312101"/>
      <w:bookmarkEnd w:id="357"/>
      <w:bookmarkStart w:id="358" w:name="_Toc184308070"/>
      <w:bookmarkEnd w:id="358"/>
      <w:bookmarkStart w:id="359" w:name="_Toc184312111"/>
      <w:bookmarkEnd w:id="359"/>
      <w:bookmarkStart w:id="360" w:name="_Toc184312078"/>
      <w:bookmarkEnd w:id="360"/>
      <w:bookmarkStart w:id="361" w:name="_Toc184314426"/>
      <w:bookmarkEnd w:id="361"/>
      <w:bookmarkStart w:id="362" w:name="_Toc184310342"/>
      <w:bookmarkEnd w:id="362"/>
      <w:bookmarkStart w:id="363" w:name="_Toc184312086"/>
      <w:bookmarkEnd w:id="363"/>
      <w:bookmarkStart w:id="364" w:name="_Toc184310339"/>
      <w:bookmarkEnd w:id="364"/>
      <w:bookmarkStart w:id="365" w:name="_Toc184312092"/>
      <w:bookmarkEnd w:id="365"/>
      <w:bookmarkStart w:id="366" w:name="_Toc184312083"/>
      <w:bookmarkEnd w:id="366"/>
      <w:bookmarkStart w:id="367" w:name="_Toc184312082"/>
      <w:bookmarkEnd w:id="367"/>
      <w:bookmarkStart w:id="368" w:name="_Toc184312100"/>
      <w:bookmarkEnd w:id="368"/>
      <w:bookmarkStart w:id="369" w:name="_Toc184312094"/>
      <w:bookmarkEnd w:id="369"/>
      <w:bookmarkStart w:id="370" w:name="_Toc184308076"/>
      <w:bookmarkEnd w:id="370"/>
      <w:bookmarkStart w:id="371" w:name="_Toc184313252"/>
      <w:bookmarkEnd w:id="371"/>
      <w:bookmarkStart w:id="372" w:name="_Toc184308071"/>
      <w:bookmarkEnd w:id="372"/>
      <w:bookmarkStart w:id="373" w:name="_Toc184308045"/>
      <w:bookmarkEnd w:id="373"/>
      <w:bookmarkStart w:id="374" w:name="_Toc184314469"/>
      <w:bookmarkEnd w:id="374"/>
      <w:bookmarkStart w:id="375" w:name="_Toc184312110"/>
      <w:bookmarkEnd w:id="375"/>
      <w:bookmarkStart w:id="376" w:name="_Toc184314462"/>
      <w:bookmarkEnd w:id="376"/>
      <w:bookmarkStart w:id="377" w:name="_Toc184314448"/>
      <w:bookmarkEnd w:id="377"/>
      <w:bookmarkStart w:id="378" w:name="_Toc184312117"/>
      <w:bookmarkEnd w:id="378"/>
      <w:bookmarkStart w:id="379" w:name="_Toc184312136"/>
      <w:bookmarkEnd w:id="379"/>
      <w:bookmarkStart w:id="380" w:name="_Toc184313245"/>
      <w:bookmarkEnd w:id="380"/>
      <w:bookmarkStart w:id="381" w:name="_Toc184314435"/>
      <w:bookmarkEnd w:id="381"/>
      <w:bookmarkStart w:id="382" w:name="_Toc184310314"/>
      <w:bookmarkEnd w:id="382"/>
      <w:bookmarkStart w:id="383" w:name="_Toc184313284"/>
      <w:bookmarkEnd w:id="383"/>
      <w:bookmarkStart w:id="384" w:name="_Toc184308040"/>
      <w:bookmarkEnd w:id="384"/>
      <w:bookmarkStart w:id="385" w:name="_Toc184313238"/>
      <w:bookmarkEnd w:id="385"/>
      <w:bookmarkStart w:id="386" w:name="_Toc184310303"/>
      <w:bookmarkEnd w:id="386"/>
      <w:bookmarkStart w:id="387" w:name="_Toc184312068"/>
      <w:bookmarkEnd w:id="387"/>
      <w:bookmarkStart w:id="388" w:name="_Toc184313269"/>
      <w:bookmarkEnd w:id="388"/>
      <w:bookmarkStart w:id="389" w:name="_Toc184310343"/>
      <w:bookmarkEnd w:id="389"/>
      <w:bookmarkStart w:id="390" w:name="_Toc184310305"/>
      <w:bookmarkEnd w:id="390"/>
      <w:bookmarkStart w:id="391" w:name="_Toc184314467"/>
      <w:bookmarkEnd w:id="391"/>
      <w:bookmarkStart w:id="392" w:name="_Toc184308079"/>
      <w:bookmarkEnd w:id="392"/>
      <w:bookmarkStart w:id="393" w:name="_Toc184313296"/>
      <w:bookmarkEnd w:id="393"/>
      <w:bookmarkStart w:id="394" w:name="_Toc184314455"/>
      <w:bookmarkEnd w:id="394"/>
      <w:bookmarkStart w:id="395" w:name="_Toc184312119"/>
      <w:bookmarkEnd w:id="395"/>
      <w:bookmarkStart w:id="396" w:name="_Toc184310315"/>
      <w:bookmarkEnd w:id="396"/>
      <w:bookmarkStart w:id="397" w:name="_Toc184310332"/>
      <w:bookmarkEnd w:id="397"/>
      <w:bookmarkStart w:id="398" w:name="_Toc184314452"/>
      <w:bookmarkEnd w:id="398"/>
      <w:bookmarkStart w:id="399" w:name="_Toc184312076"/>
      <w:bookmarkEnd w:id="399"/>
      <w:bookmarkStart w:id="400" w:name="_Toc184308098"/>
      <w:bookmarkEnd w:id="400"/>
      <w:bookmarkStart w:id="401" w:name="_Toc184310274"/>
      <w:bookmarkEnd w:id="401"/>
      <w:bookmarkStart w:id="402" w:name="_Toc184313283"/>
      <w:bookmarkEnd w:id="402"/>
      <w:bookmarkStart w:id="403" w:name="_Toc184314464"/>
      <w:bookmarkEnd w:id="403"/>
      <w:bookmarkStart w:id="404" w:name="_Toc184314470"/>
      <w:bookmarkEnd w:id="404"/>
      <w:bookmarkStart w:id="405" w:name="_Toc184312069"/>
      <w:bookmarkEnd w:id="405"/>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pPr>
        <w:pStyle w:val="90"/>
        <w:spacing w:before="0"/>
        <w:ind w:firstLine="602" w:firstLineChars="250"/>
        <w:rPr>
          <w:rFonts w:hint="eastAsia" w:ascii="仿宋" w:hAnsi="仿宋" w:eastAsia="仿宋" w:cs="仿宋"/>
        </w:rPr>
      </w:pPr>
      <w:r>
        <w:rPr>
          <w:rFonts w:hint="eastAsia" w:ascii="仿宋" w:hAnsi="仿宋" w:eastAsia="仿宋" w:cs="仿宋"/>
          <w:b/>
        </w:rPr>
        <w:t>本次评标采用综合评分法，总分为100分。</w:t>
      </w:r>
      <w:r>
        <w:rPr>
          <w:rFonts w:hint="eastAsia" w:ascii="仿宋" w:hAnsi="仿宋" w:eastAsia="仿宋" w:cs="仿宋"/>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90"/>
        <w:spacing w:before="0"/>
        <w:ind w:firstLine="482"/>
        <w:rPr>
          <w:rFonts w:hint="eastAsia" w:ascii="仿宋" w:hAnsi="仿宋" w:eastAsia="仿宋" w:cs="仿宋"/>
          <w:b/>
          <w:bCs/>
        </w:rPr>
      </w:pPr>
      <w:r>
        <w:rPr>
          <w:rFonts w:hint="eastAsia" w:ascii="仿宋" w:hAnsi="仿宋" w:eastAsia="仿宋" w:cs="仿宋"/>
          <w:b/>
          <w:bCs/>
        </w:rPr>
        <w:t>投标人评标综合得分=(技术、商务分)+价格分。</w:t>
      </w:r>
    </w:p>
    <w:p>
      <w:pPr>
        <w:numPr>
          <w:ilvl w:val="0"/>
          <w:numId w:val="0"/>
        </w:numPr>
        <w:snapToGrid w:val="0"/>
        <w:spacing w:line="360" w:lineRule="auto"/>
        <w:rPr>
          <w:rFonts w:hint="eastAsia" w:ascii="仿宋" w:hAnsi="仿宋" w:eastAsia="仿宋" w:cs="仿宋"/>
          <w:sz w:val="24"/>
          <w:szCs w:val="24"/>
          <w:lang w:val="en-US"/>
        </w:rPr>
      </w:pPr>
      <w:r>
        <w:rPr>
          <w:rFonts w:hint="eastAsia" w:ascii="仿宋" w:hAnsi="仿宋" w:eastAsia="仿宋" w:cs="仿宋"/>
          <w:b/>
          <w:bCs/>
          <w:color w:val="000000"/>
          <w:sz w:val="28"/>
          <w:szCs w:val="28"/>
          <w:highlight w:val="none"/>
          <w:lang w:val="en-US" w:eastAsia="zh-CN"/>
        </w:rPr>
        <w:t>1、评标标准：</w:t>
      </w:r>
    </w:p>
    <w:p>
      <w:pPr>
        <w:pStyle w:val="90"/>
        <w:spacing w:before="0"/>
        <w:rPr>
          <w:rFonts w:hint="eastAsia" w:ascii="仿宋" w:hAnsi="仿宋" w:eastAsia="仿宋" w:cs="仿宋"/>
          <w:b/>
          <w:bCs/>
          <w:color w:val="000000"/>
          <w:kern w:val="0"/>
          <w:szCs w:val="24"/>
        </w:rPr>
      </w:pPr>
      <w:r>
        <w:rPr>
          <w:rFonts w:hint="eastAsia" w:ascii="仿宋" w:hAnsi="仿宋" w:eastAsia="仿宋" w:cs="仿宋"/>
          <w:b/>
          <w:bCs/>
          <w:color w:val="000000"/>
          <w:kern w:val="0"/>
          <w:szCs w:val="24"/>
          <w:lang w:val="en-US" w:eastAsia="zh-CN"/>
        </w:rPr>
        <w:t>备</w:t>
      </w:r>
      <w:r>
        <w:rPr>
          <w:rFonts w:hint="eastAsia" w:ascii="仿宋" w:hAnsi="仿宋" w:eastAsia="仿宋" w:cs="仿宋"/>
          <w:b/>
          <w:bCs/>
          <w:color w:val="000000"/>
          <w:kern w:val="0"/>
          <w:szCs w:val="24"/>
        </w:rPr>
        <w:t>注：投标人编制投标文件（商务技术文件部分）时，建议按此目录（序号和内容）提供评标标准相应的商务技术资料。 </w:t>
      </w:r>
    </w:p>
    <w:p>
      <w:pPr>
        <w:spacing w:line="360" w:lineRule="auto"/>
        <w:ind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商务技术总分90分：</w:t>
      </w:r>
    </w:p>
    <w:tbl>
      <w:tblPr>
        <w:tblStyle w:val="62"/>
        <w:tblW w:w="10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16"/>
        <w:gridCol w:w="746"/>
        <w:gridCol w:w="985"/>
        <w:gridCol w:w="1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tcBorders>
              <w:tl2br w:val="nil"/>
              <w:tr2bl w:val="nil"/>
            </w:tcBorders>
            <w:vAlign w:val="center"/>
          </w:tcPr>
          <w:p>
            <w:pPr>
              <w:spacing w:line="360" w:lineRule="auto"/>
              <w:jc w:val="center"/>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序号</w:t>
            </w:r>
          </w:p>
        </w:tc>
        <w:tc>
          <w:tcPr>
            <w:tcW w:w="6816" w:type="dxa"/>
            <w:tcBorders>
              <w:tl2br w:val="nil"/>
              <w:tr2bl w:val="nil"/>
            </w:tcBorders>
            <w:tcMar>
              <w:top w:w="15" w:type="dxa"/>
              <w:left w:w="15" w:type="dxa"/>
              <w:right w:w="15" w:type="dxa"/>
            </w:tcMar>
            <w:vAlign w:val="center"/>
          </w:tcPr>
          <w:p>
            <w:pPr>
              <w:widowControl/>
              <w:spacing w:line="360" w:lineRule="auto"/>
              <w:ind w:firstLine="241" w:firstLineChars="10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评分标准</w:t>
            </w:r>
          </w:p>
        </w:tc>
        <w:tc>
          <w:tcPr>
            <w:tcW w:w="746" w:type="dxa"/>
            <w:tcBorders>
              <w:tl2br w:val="nil"/>
              <w:tr2bl w:val="nil"/>
            </w:tcBorders>
            <w:tcMar>
              <w:top w:w="15" w:type="dxa"/>
              <w:left w:w="15" w:type="dxa"/>
              <w:right w:w="15" w:type="dxa"/>
            </w:tcMar>
            <w:vAlign w:val="center"/>
          </w:tcPr>
          <w:p>
            <w:pPr>
              <w:widowControl/>
              <w:spacing w:line="360" w:lineRule="auto"/>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权重/分值</w:t>
            </w:r>
          </w:p>
        </w:tc>
        <w:tc>
          <w:tcPr>
            <w:tcW w:w="985" w:type="dxa"/>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主/客观属性</w:t>
            </w:r>
          </w:p>
        </w:tc>
        <w:tc>
          <w:tcPr>
            <w:tcW w:w="1379" w:type="dxa"/>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投标文件中评标标准相应的商务技术资料目录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restart"/>
            <w:tcBorders>
              <w:tl2br w:val="nil"/>
              <w:tr2bl w:val="nil"/>
            </w:tcBorders>
            <w:vAlign w:val="center"/>
          </w:tcPr>
          <w:p>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6816" w:type="dxa"/>
            <w:tcBorders>
              <w:tl2br w:val="nil"/>
              <w:tr2bl w:val="nil"/>
            </w:tcBorders>
            <w:tcMar>
              <w:top w:w="15" w:type="dxa"/>
              <w:left w:w="15" w:type="dxa"/>
              <w:right w:w="15" w:type="dxa"/>
            </w:tcMar>
          </w:tcPr>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（1）投标人建立健全各项岗位职责，经营管理制度，执行有力且合理的，根据内容进行打分。</w:t>
            </w:r>
          </w:p>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注：岗位职责、管理制度内容详细、明确的</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分，岗位职责、管理制度内容一般的得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分，岗位职责、管理制度内容较差得1分，未提供内容不得分。</w:t>
            </w:r>
          </w:p>
        </w:tc>
        <w:tc>
          <w:tcPr>
            <w:tcW w:w="746"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5</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379" w:type="dxa"/>
            <w:vMerge w:val="restart"/>
            <w:tcBorders>
              <w:tl2br w:val="nil"/>
              <w:tr2bl w:val="nil"/>
            </w:tcBorders>
            <w:tcMar>
              <w:top w:w="15" w:type="dxa"/>
              <w:left w:w="15" w:type="dxa"/>
              <w:right w:w="15" w:type="dxa"/>
            </w:tcMar>
            <w:vAlign w:val="center"/>
          </w:tcPr>
          <w:p>
            <w:pPr>
              <w:widowControl/>
              <w:snapToGrid w:val="0"/>
              <w:spacing w:line="360" w:lineRule="auto"/>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continue"/>
            <w:tcBorders>
              <w:tl2br w:val="nil"/>
              <w:tr2bl w:val="nil"/>
            </w:tcBorders>
            <w:vAlign w:val="center"/>
          </w:tcPr>
          <w:p>
            <w:pPr>
              <w:spacing w:line="360" w:lineRule="auto"/>
              <w:jc w:val="center"/>
              <w:rPr>
                <w:rFonts w:hint="eastAsia" w:ascii="仿宋" w:hAnsi="仿宋" w:eastAsia="仿宋" w:cs="仿宋"/>
                <w:bCs/>
                <w:color w:val="000000"/>
                <w:sz w:val="24"/>
                <w:szCs w:val="24"/>
                <w:lang w:val="zh-CN"/>
              </w:rPr>
            </w:pPr>
          </w:p>
        </w:tc>
        <w:tc>
          <w:tcPr>
            <w:tcW w:w="6816" w:type="dxa"/>
            <w:tcBorders>
              <w:tl2br w:val="nil"/>
              <w:tr2bl w:val="nil"/>
            </w:tcBorders>
            <w:tcMar>
              <w:top w:w="15" w:type="dxa"/>
              <w:left w:w="15" w:type="dxa"/>
              <w:right w:w="15" w:type="dxa"/>
            </w:tcMar>
          </w:tcPr>
          <w:p>
            <w:pPr>
              <w:adjustRightInd/>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（2）投标人设置内部管理制度，能够按照规章开展工作，重大事项决策等符合章程规定且程序规范，建立合同管理、档案管理等制度，根据投标内容进行打分。</w:t>
            </w:r>
          </w:p>
          <w:p>
            <w:pPr>
              <w:adjustRightInd/>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注：内部管理制度明确，规章流程规范得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分，内部管理制度一般，规章流程一般得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分，内部管理制度、规章流程较差得1分，未提供内容不得分。</w:t>
            </w:r>
          </w:p>
        </w:tc>
        <w:tc>
          <w:tcPr>
            <w:tcW w:w="746"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5</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379" w:type="dxa"/>
            <w:vMerge w:val="continue"/>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restart"/>
            <w:tcBorders>
              <w:tl2br w:val="nil"/>
              <w:tr2bl w:val="nil"/>
            </w:tcBorders>
            <w:vAlign w:val="center"/>
          </w:tcPr>
          <w:p>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tc>
        <w:tc>
          <w:tcPr>
            <w:tcW w:w="6816" w:type="dxa"/>
            <w:tcBorders>
              <w:tl2br w:val="nil"/>
              <w:tr2bl w:val="nil"/>
            </w:tcBorders>
            <w:tcMar>
              <w:top w:w="15" w:type="dxa"/>
              <w:left w:w="15" w:type="dxa"/>
              <w:right w:w="15" w:type="dxa"/>
            </w:tcMar>
          </w:tcPr>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（1）安全管理体系：组织机构、应急预案（包括防控应急预案）等进行打分。</w:t>
            </w:r>
          </w:p>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注：机构组织安排合理、应急预案明确得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分，机构组织安排一般、应急预案一般得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分，机构组织安排、应急预案较差得1分，未提供内容不得分。</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5</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379" w:type="dxa"/>
            <w:vMerge w:val="restart"/>
            <w:tcBorders>
              <w:tl2br w:val="nil"/>
              <w:tr2bl w:val="nil"/>
            </w:tcBorders>
            <w:tcMar>
              <w:top w:w="15" w:type="dxa"/>
              <w:left w:w="15" w:type="dxa"/>
              <w:right w:w="15" w:type="dxa"/>
            </w:tcMar>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安全保障方案</w:t>
            </w:r>
          </w:p>
          <w:p>
            <w:pPr>
              <w:widowControl/>
              <w:spacing w:line="360" w:lineRule="auto"/>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continue"/>
            <w:tcBorders>
              <w:tl2br w:val="nil"/>
              <w:tr2bl w:val="nil"/>
            </w:tcBorders>
            <w:vAlign w:val="center"/>
          </w:tcPr>
          <w:p>
            <w:pPr>
              <w:spacing w:line="360" w:lineRule="auto"/>
              <w:jc w:val="center"/>
              <w:rPr>
                <w:rFonts w:hint="eastAsia" w:ascii="仿宋" w:hAnsi="仿宋" w:eastAsia="仿宋" w:cs="仿宋"/>
                <w:bCs/>
                <w:color w:val="000000"/>
                <w:sz w:val="24"/>
                <w:szCs w:val="24"/>
                <w:lang w:val="zh-CN"/>
              </w:rPr>
            </w:pPr>
          </w:p>
        </w:tc>
        <w:tc>
          <w:tcPr>
            <w:tcW w:w="6816" w:type="dxa"/>
            <w:tcBorders>
              <w:tl2br w:val="nil"/>
              <w:tr2bl w:val="nil"/>
            </w:tcBorders>
            <w:tcMar>
              <w:top w:w="15" w:type="dxa"/>
              <w:left w:w="15" w:type="dxa"/>
              <w:right w:w="15" w:type="dxa"/>
            </w:tcMar>
          </w:tcPr>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(2)投标单位项目负责人具有安全生产管理责任人培训合格证得2分。除项目负责人外另具有安全生产管理员培训合格证每人得1分。本项最高</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pPr>
              <w:pStyle w:val="90"/>
              <w:adjustRightInd/>
              <w:spacing w:before="0" w:line="360" w:lineRule="auto"/>
              <w:ind w:firstLine="0" w:firstLineChars="0"/>
              <w:jc w:val="left"/>
              <w:rPr>
                <w:rFonts w:hint="eastAsia" w:ascii="仿宋" w:hAnsi="仿宋" w:eastAsia="仿宋" w:cs="仿宋"/>
                <w:sz w:val="24"/>
                <w:szCs w:val="24"/>
              </w:rPr>
            </w:pPr>
            <w:r>
              <w:rPr>
                <w:rFonts w:hint="eastAsia" w:ascii="仿宋" w:hAnsi="仿宋" w:eastAsia="仿宋" w:cs="仿宋"/>
                <w:b/>
                <w:bCs/>
                <w:color w:val="000000"/>
                <w:sz w:val="24"/>
                <w:szCs w:val="24"/>
              </w:rPr>
              <w:t>【证明材料：提供相培训人员证书、劳动合同及社保缴纳证明材料并加盖公章，否则不得分。】</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5</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客观分</w:t>
            </w:r>
          </w:p>
        </w:tc>
        <w:tc>
          <w:tcPr>
            <w:tcW w:w="1379" w:type="dxa"/>
            <w:vMerge w:val="continue"/>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continue"/>
            <w:tcBorders>
              <w:tl2br w:val="nil"/>
              <w:tr2bl w:val="nil"/>
            </w:tcBorders>
            <w:vAlign w:val="center"/>
          </w:tcPr>
          <w:p>
            <w:pPr>
              <w:spacing w:line="360" w:lineRule="auto"/>
              <w:jc w:val="center"/>
              <w:rPr>
                <w:rFonts w:hint="eastAsia" w:ascii="仿宋" w:hAnsi="仿宋" w:eastAsia="仿宋" w:cs="仿宋"/>
                <w:bCs/>
                <w:color w:val="000000"/>
                <w:sz w:val="24"/>
                <w:szCs w:val="24"/>
                <w:lang w:val="zh-CN"/>
              </w:rPr>
            </w:pPr>
          </w:p>
        </w:tc>
        <w:tc>
          <w:tcPr>
            <w:tcW w:w="6816" w:type="dxa"/>
            <w:tcBorders>
              <w:tl2br w:val="nil"/>
              <w:tr2bl w:val="nil"/>
            </w:tcBorders>
            <w:tcMar>
              <w:top w:w="15" w:type="dxa"/>
              <w:left w:w="15" w:type="dxa"/>
              <w:right w:w="15" w:type="dxa"/>
            </w:tcMar>
          </w:tcPr>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）针对本项目的工会疗养服务各方面响应时间、响应方式方法合理性进行打分。</w:t>
            </w:r>
          </w:p>
          <w:p>
            <w:pPr>
              <w:pStyle w:val="90"/>
              <w:adjustRightInd/>
              <w:spacing w:before="0" w:line="360" w:lineRule="auto"/>
              <w:ind w:firstLine="0" w:firstLineChars="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注：响应时间明确、响应方式合理得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分，响应时间一般、响应方式方法较少的得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分，响应时间不明确、响应方式提供不全得1分，未提供内容不得分</w:t>
            </w:r>
            <w:r>
              <w:rPr>
                <w:rFonts w:hint="eastAsia" w:ascii="仿宋" w:hAnsi="仿宋" w:eastAsia="仿宋" w:cs="仿宋"/>
                <w:color w:val="000000"/>
                <w:sz w:val="24"/>
                <w:szCs w:val="24"/>
                <w:lang w:eastAsia="zh-CN"/>
              </w:rPr>
              <w:t>。</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left="0" w:hanging="360" w:hangingChars="150"/>
              <w:jc w:val="center"/>
              <w:rPr>
                <w:rFonts w:hint="eastAsia" w:ascii="仿宋" w:hAnsi="仿宋" w:eastAsia="仿宋" w:cs="仿宋"/>
                <w:color w:val="000000"/>
                <w:sz w:val="24"/>
                <w:szCs w:val="24"/>
                <w:u w:color="000000"/>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5</w:t>
            </w:r>
          </w:p>
        </w:tc>
        <w:tc>
          <w:tcPr>
            <w:tcW w:w="985" w:type="dxa"/>
            <w:tcBorders>
              <w:tl2br w:val="nil"/>
              <w:tr2bl w:val="nil"/>
            </w:tcBorders>
            <w:tcMar>
              <w:top w:w="15" w:type="dxa"/>
              <w:left w:w="15" w:type="dxa"/>
              <w:right w:w="15" w:type="dxa"/>
            </w:tcMar>
            <w:vAlign w:val="center"/>
          </w:tcPr>
          <w:p>
            <w:pPr>
              <w:pStyle w:val="60"/>
              <w:spacing w:line="360" w:lineRule="auto"/>
              <w:ind w:firstLine="0"/>
              <w:jc w:val="center"/>
              <w:rPr>
                <w:rFonts w:hint="eastAsia" w:ascii="仿宋" w:hAnsi="仿宋" w:eastAsia="仿宋" w:cs="仿宋"/>
                <w:bCs/>
                <w:snapToGrid/>
                <w:sz w:val="24"/>
                <w:szCs w:val="24"/>
                <w:lang w:val="en-US"/>
              </w:rPr>
            </w:pPr>
            <w:r>
              <w:rPr>
                <w:rFonts w:hint="eastAsia" w:ascii="仿宋" w:hAnsi="仿宋" w:eastAsia="仿宋" w:cs="仿宋"/>
                <w:bCs/>
                <w:sz w:val="24"/>
                <w:szCs w:val="24"/>
                <w:lang w:val="en-US"/>
              </w:rPr>
              <w:t>主观分</w:t>
            </w:r>
          </w:p>
        </w:tc>
        <w:tc>
          <w:tcPr>
            <w:tcW w:w="1379" w:type="dxa"/>
            <w:vMerge w:val="continue"/>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continue"/>
            <w:tcBorders>
              <w:tl2br w:val="nil"/>
              <w:tr2bl w:val="nil"/>
            </w:tcBorders>
            <w:vAlign w:val="center"/>
          </w:tcPr>
          <w:p>
            <w:pPr>
              <w:spacing w:line="360" w:lineRule="auto"/>
              <w:jc w:val="center"/>
              <w:rPr>
                <w:rFonts w:hint="eastAsia" w:ascii="仿宋" w:hAnsi="仿宋" w:eastAsia="仿宋" w:cs="仿宋"/>
                <w:bCs/>
                <w:color w:val="000000"/>
                <w:sz w:val="24"/>
                <w:szCs w:val="24"/>
                <w:lang w:val="zh-CN"/>
              </w:rPr>
            </w:pPr>
          </w:p>
        </w:tc>
        <w:tc>
          <w:tcPr>
            <w:tcW w:w="6816" w:type="dxa"/>
            <w:tcBorders>
              <w:tl2br w:val="nil"/>
              <w:tr2bl w:val="nil"/>
            </w:tcBorders>
            <w:tcMar>
              <w:top w:w="15" w:type="dxa"/>
              <w:left w:w="15" w:type="dxa"/>
              <w:right w:w="15" w:type="dxa"/>
            </w:tcMar>
            <w:vAlign w:val="center"/>
          </w:tcPr>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）根据投标单位的日常投诉处理详细方案合理性进行打分。</w:t>
            </w:r>
          </w:p>
          <w:p>
            <w:pPr>
              <w:pStyle w:val="90"/>
              <w:adjustRightInd/>
              <w:spacing w:before="0" w:line="360" w:lineRule="auto"/>
              <w:ind w:firstLine="0" w:firstLineChars="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注：投诉处理方案合理内容详尽的得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分，投诉处理方案合理内容一般得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分，投诉处理方案合理内容较差得1分，未提供内容不得分</w:t>
            </w:r>
            <w:r>
              <w:rPr>
                <w:rFonts w:hint="eastAsia" w:ascii="仿宋" w:hAnsi="仿宋" w:eastAsia="仿宋" w:cs="仿宋"/>
                <w:color w:val="000000"/>
                <w:sz w:val="24"/>
                <w:szCs w:val="24"/>
                <w:lang w:eastAsia="zh-CN"/>
              </w:rPr>
              <w:t>。</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left="0" w:hanging="360" w:hangingChars="150"/>
              <w:jc w:val="center"/>
              <w:rPr>
                <w:rFonts w:hint="eastAsia" w:ascii="仿宋" w:hAnsi="仿宋" w:eastAsia="仿宋" w:cs="仿宋"/>
                <w:color w:val="000000"/>
                <w:sz w:val="24"/>
                <w:szCs w:val="24"/>
                <w:u w:color="000000"/>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5</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sz w:val="24"/>
                <w:szCs w:val="24"/>
              </w:rPr>
              <w:t>主观分</w:t>
            </w:r>
          </w:p>
        </w:tc>
        <w:tc>
          <w:tcPr>
            <w:tcW w:w="1379" w:type="dxa"/>
            <w:vMerge w:val="continue"/>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tcBorders>
              <w:tl2br w:val="nil"/>
              <w:tr2bl w:val="nil"/>
            </w:tcBorders>
            <w:vAlign w:val="center"/>
          </w:tcPr>
          <w:p>
            <w:pPr>
              <w:spacing w:line="360" w:lineRule="auto"/>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3</w:t>
            </w:r>
          </w:p>
        </w:tc>
        <w:tc>
          <w:tcPr>
            <w:tcW w:w="6816" w:type="dxa"/>
            <w:tcBorders>
              <w:tl2br w:val="nil"/>
              <w:tr2bl w:val="nil"/>
            </w:tcBorders>
            <w:tcMar>
              <w:top w:w="15" w:type="dxa"/>
              <w:left w:w="15" w:type="dxa"/>
              <w:right w:w="15" w:type="dxa"/>
            </w:tcMar>
            <w:vAlign w:val="center"/>
          </w:tcPr>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投标单位组织接待业务流程清晰，质量保证内容可行性和合理性进行打分。</w:t>
            </w:r>
          </w:p>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注：流程清晰、质量保证内容可行合理的得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分；流程欠缺、质量保证内容一般的得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分；流程不清晰、质量保证内容较差得1分，未提供内容不得分。</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5</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379" w:type="dxa"/>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r>
              <w:rPr>
                <w:rFonts w:hint="eastAsia" w:ascii="仿宋" w:hAnsi="仿宋" w:eastAsia="仿宋" w:cs="仿宋"/>
                <w:color w:val="000000"/>
                <w:sz w:val="24"/>
                <w:szCs w:val="24"/>
              </w:rPr>
              <w:t>流程及质量保证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restart"/>
            <w:tcBorders>
              <w:tl2br w:val="nil"/>
              <w:tr2bl w:val="nil"/>
            </w:tcBorders>
            <w:vAlign w:val="center"/>
          </w:tcPr>
          <w:p>
            <w:pPr>
              <w:spacing w:line="360" w:lineRule="auto"/>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4</w:t>
            </w:r>
          </w:p>
        </w:tc>
        <w:tc>
          <w:tcPr>
            <w:tcW w:w="6816" w:type="dxa"/>
            <w:tcBorders>
              <w:tl2br w:val="nil"/>
              <w:tr2bl w:val="nil"/>
            </w:tcBorders>
            <w:tcMar>
              <w:top w:w="15" w:type="dxa"/>
              <w:left w:w="15" w:type="dxa"/>
              <w:right w:w="15" w:type="dxa"/>
            </w:tcMar>
          </w:tcPr>
          <w:p>
            <w:pPr>
              <w:adjustRightInd/>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根据投标单位针对本项目</w:t>
            </w:r>
            <w:r>
              <w:rPr>
                <w:rFonts w:hint="eastAsia" w:ascii="仿宋" w:hAnsi="仿宋" w:eastAsia="仿宋" w:cs="仿宋"/>
                <w:color w:val="000000"/>
                <w:sz w:val="24"/>
                <w:szCs w:val="24"/>
                <w:lang w:val="zh-CN"/>
              </w:rPr>
              <w:t>线路安排</w:t>
            </w:r>
            <w:r>
              <w:rPr>
                <w:rFonts w:hint="eastAsia" w:ascii="仿宋" w:hAnsi="仿宋" w:eastAsia="仿宋" w:cs="仿宋"/>
                <w:color w:val="000000"/>
                <w:sz w:val="24"/>
                <w:szCs w:val="24"/>
              </w:rPr>
              <w:t>（包括景点安排）</w:t>
            </w:r>
            <w:r>
              <w:rPr>
                <w:rFonts w:hint="eastAsia" w:ascii="仿宋" w:hAnsi="仿宋" w:eastAsia="仿宋" w:cs="仿宋"/>
                <w:color w:val="000000"/>
                <w:sz w:val="24"/>
                <w:szCs w:val="24"/>
                <w:lang w:val="zh-CN"/>
              </w:rPr>
              <w:t>：每条线路必须提供</w:t>
            </w:r>
            <w:r>
              <w:rPr>
                <w:rFonts w:hint="eastAsia" w:ascii="仿宋" w:hAnsi="仿宋" w:eastAsia="仿宋" w:cs="仿宋"/>
                <w:color w:val="000000"/>
                <w:sz w:val="24"/>
                <w:szCs w:val="24"/>
              </w:rPr>
              <w:t>详细的行程单</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标明各景点特色，根据各条线路安排进行打分</w:t>
            </w:r>
            <w:r>
              <w:rPr>
                <w:rFonts w:hint="eastAsia" w:ascii="仿宋" w:hAnsi="仿宋" w:eastAsia="仿宋" w:cs="仿宋"/>
                <w:color w:val="000000"/>
                <w:sz w:val="24"/>
                <w:szCs w:val="24"/>
                <w:lang w:eastAsia="zh-CN"/>
              </w:rPr>
              <w:t>。</w:t>
            </w:r>
          </w:p>
          <w:p>
            <w:pPr>
              <w:adjustRightInd/>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注：路线安排详细，标明各景点特色好得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分；路线安排一般，标明各景点特色一般得</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分；路线安排较差，标明各景点无特色得1分；未提供路线方案的不得分。</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6</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379" w:type="dxa"/>
            <w:vMerge w:val="restart"/>
            <w:tcBorders>
              <w:tl2br w:val="nil"/>
              <w:tr2bl w:val="nil"/>
            </w:tcBorders>
            <w:tcMar>
              <w:top w:w="15" w:type="dxa"/>
              <w:left w:w="15" w:type="dxa"/>
              <w:right w:w="15" w:type="dxa"/>
            </w:tcMar>
            <w:vAlign w:val="center"/>
          </w:tcPr>
          <w:p>
            <w:pPr>
              <w:pStyle w:val="90"/>
              <w:adjustRightInd/>
              <w:spacing w:before="0" w:line="360" w:lineRule="auto"/>
              <w:ind w:firstLine="480"/>
              <w:jc w:val="center"/>
              <w:rPr>
                <w:rFonts w:hint="eastAsia" w:ascii="仿宋" w:hAnsi="仿宋" w:eastAsia="仿宋" w:cs="仿宋"/>
                <w:b/>
                <w:color w:val="000000"/>
                <w:sz w:val="24"/>
                <w:szCs w:val="24"/>
              </w:rPr>
            </w:pPr>
            <w:r>
              <w:rPr>
                <w:rFonts w:hint="eastAsia" w:ascii="仿宋" w:hAnsi="仿宋" w:eastAsia="仿宋" w:cs="仿宋"/>
                <w:color w:val="000000"/>
                <w:sz w:val="24"/>
                <w:szCs w:val="24"/>
                <w:lang w:val="zh-CN"/>
              </w:rPr>
              <w:t>疗休养策划方案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continue"/>
            <w:tcBorders>
              <w:tl2br w:val="nil"/>
              <w:tr2bl w:val="nil"/>
            </w:tcBorders>
            <w:vAlign w:val="center"/>
          </w:tcPr>
          <w:p>
            <w:pPr>
              <w:spacing w:line="360" w:lineRule="auto"/>
              <w:jc w:val="center"/>
              <w:rPr>
                <w:rFonts w:hint="eastAsia" w:ascii="仿宋" w:hAnsi="仿宋" w:eastAsia="仿宋" w:cs="仿宋"/>
                <w:bCs/>
                <w:color w:val="000000"/>
                <w:sz w:val="24"/>
                <w:szCs w:val="24"/>
                <w:lang w:val="zh-CN"/>
              </w:rPr>
            </w:pPr>
          </w:p>
        </w:tc>
        <w:tc>
          <w:tcPr>
            <w:tcW w:w="6816" w:type="dxa"/>
            <w:tcBorders>
              <w:tl2br w:val="nil"/>
              <w:tr2bl w:val="nil"/>
            </w:tcBorders>
            <w:tcMar>
              <w:top w:w="15" w:type="dxa"/>
              <w:left w:w="15" w:type="dxa"/>
              <w:right w:w="15" w:type="dxa"/>
            </w:tcMar>
          </w:tcPr>
          <w:p>
            <w:pPr>
              <w:adjustRightInd/>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（2）根据</w:t>
            </w:r>
            <w:r>
              <w:rPr>
                <w:rFonts w:hint="eastAsia" w:ascii="仿宋" w:hAnsi="仿宋" w:eastAsia="仿宋" w:cs="仿宋"/>
                <w:sz w:val="24"/>
                <w:szCs w:val="24"/>
              </w:rPr>
              <w:t>投标单位</w:t>
            </w:r>
            <w:r>
              <w:rPr>
                <w:rFonts w:hint="eastAsia" w:ascii="仿宋" w:hAnsi="仿宋" w:eastAsia="仿宋" w:cs="仿宋"/>
                <w:color w:val="000000"/>
                <w:sz w:val="24"/>
                <w:szCs w:val="24"/>
              </w:rPr>
              <w:t>针对本项目</w:t>
            </w:r>
            <w:r>
              <w:rPr>
                <w:rFonts w:hint="eastAsia" w:ascii="仿宋" w:hAnsi="仿宋" w:eastAsia="仿宋" w:cs="仿宋"/>
                <w:color w:val="000000"/>
                <w:sz w:val="24"/>
                <w:szCs w:val="24"/>
                <w:lang w:val="zh-CN"/>
              </w:rPr>
              <w:t>线路安排</w:t>
            </w:r>
            <w:r>
              <w:rPr>
                <w:rFonts w:hint="eastAsia" w:ascii="仿宋" w:hAnsi="仿宋" w:eastAsia="仿宋" w:cs="仿宋"/>
                <w:color w:val="000000"/>
                <w:sz w:val="24"/>
                <w:szCs w:val="24"/>
              </w:rPr>
              <w:t>（包括景点安排）游玩时间，景点与宾馆之间的车程时间合理性情况打分；</w:t>
            </w:r>
          </w:p>
          <w:p>
            <w:pPr>
              <w:adjustRightInd/>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注：路线游玩时间安排合理，景点与宾馆之前车程安排合理得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分；路线游玩时间安排一般，景点与宾馆之前车程安排一般得</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分；路线游玩时间安排较差，景点与宾馆之前车程安排较差得1分；未提供内容不得分。</w:t>
            </w:r>
          </w:p>
        </w:tc>
        <w:tc>
          <w:tcPr>
            <w:tcW w:w="746" w:type="dxa"/>
            <w:tcBorders>
              <w:tl2br w:val="nil"/>
              <w:tr2bl w:val="nil"/>
            </w:tcBorders>
            <w:tcMar>
              <w:top w:w="15" w:type="dxa"/>
              <w:left w:w="15" w:type="dxa"/>
              <w:right w:w="15" w:type="dxa"/>
            </w:tcMar>
            <w:vAlign w:val="center"/>
          </w:tcPr>
          <w:p>
            <w:pPr>
              <w:adjustRightInd/>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6</w:t>
            </w:r>
          </w:p>
        </w:tc>
        <w:tc>
          <w:tcPr>
            <w:tcW w:w="985" w:type="dxa"/>
            <w:tcBorders>
              <w:tl2br w:val="nil"/>
              <w:tr2bl w:val="nil"/>
            </w:tcBorders>
            <w:tcMar>
              <w:top w:w="15" w:type="dxa"/>
              <w:left w:w="15" w:type="dxa"/>
              <w:right w:w="15" w:type="dxa"/>
            </w:tcMar>
            <w:vAlign w:val="center"/>
          </w:tcPr>
          <w:p>
            <w:pPr>
              <w:adjustRightInd/>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主观分</w:t>
            </w:r>
          </w:p>
        </w:tc>
        <w:tc>
          <w:tcPr>
            <w:tcW w:w="1379" w:type="dxa"/>
            <w:vMerge w:val="continue"/>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continue"/>
            <w:tcBorders>
              <w:tl2br w:val="nil"/>
              <w:tr2bl w:val="nil"/>
            </w:tcBorders>
            <w:vAlign w:val="center"/>
          </w:tcPr>
          <w:p>
            <w:pPr>
              <w:spacing w:line="360" w:lineRule="auto"/>
              <w:jc w:val="center"/>
              <w:rPr>
                <w:rFonts w:hint="eastAsia" w:ascii="仿宋" w:hAnsi="仿宋" w:eastAsia="仿宋" w:cs="仿宋"/>
                <w:bCs/>
                <w:color w:val="000000"/>
                <w:sz w:val="24"/>
                <w:szCs w:val="24"/>
                <w:lang w:val="zh-CN"/>
              </w:rPr>
            </w:pPr>
          </w:p>
        </w:tc>
        <w:tc>
          <w:tcPr>
            <w:tcW w:w="6816" w:type="dxa"/>
            <w:tcBorders>
              <w:tl2br w:val="nil"/>
              <w:tr2bl w:val="nil"/>
            </w:tcBorders>
            <w:tcMar>
              <w:top w:w="15" w:type="dxa"/>
              <w:left w:w="15" w:type="dxa"/>
              <w:right w:w="15" w:type="dxa"/>
            </w:tcMar>
            <w:vAlign w:val="center"/>
          </w:tcPr>
          <w:p>
            <w:pPr>
              <w:numPr>
                <w:ilvl w:val="255"/>
                <w:numId w:val="0"/>
              </w:numPr>
              <w:spacing w:line="360" w:lineRule="auto"/>
              <w:rPr>
                <w:rFonts w:hint="eastAsia" w:ascii="仿宋" w:hAnsi="仿宋" w:eastAsia="仿宋" w:cs="仿宋"/>
                <w:sz w:val="24"/>
                <w:szCs w:val="24"/>
                <w:lang w:val="zh-CN"/>
              </w:rPr>
            </w:pPr>
            <w:r>
              <w:rPr>
                <w:rFonts w:hint="eastAsia" w:ascii="仿宋" w:hAnsi="仿宋" w:eastAsia="仿宋" w:cs="仿宋"/>
                <w:color w:val="000000"/>
                <w:sz w:val="24"/>
                <w:szCs w:val="24"/>
              </w:rPr>
              <w:t>（3）</w:t>
            </w:r>
            <w:r>
              <w:rPr>
                <w:rFonts w:hint="eastAsia" w:ascii="仿宋" w:hAnsi="仿宋" w:eastAsia="仿宋" w:cs="仿宋"/>
                <w:sz w:val="24"/>
                <w:szCs w:val="24"/>
              </w:rPr>
              <w:t>根据投标单位拟</w:t>
            </w:r>
            <w:r>
              <w:rPr>
                <w:rFonts w:hint="eastAsia" w:ascii="仿宋" w:hAnsi="仿宋" w:eastAsia="仿宋" w:cs="仿宋"/>
                <w:sz w:val="24"/>
                <w:szCs w:val="24"/>
                <w:lang w:val="zh-CN"/>
              </w:rPr>
              <w:t>住宿酒店</w:t>
            </w:r>
            <w:r>
              <w:rPr>
                <w:rFonts w:hint="eastAsia" w:ascii="仿宋" w:hAnsi="仿宋" w:eastAsia="仿宋" w:cs="仿宋"/>
                <w:sz w:val="24"/>
                <w:szCs w:val="24"/>
              </w:rPr>
              <w:t>安排的合理性（须</w:t>
            </w:r>
            <w:r>
              <w:rPr>
                <w:rFonts w:hint="eastAsia" w:ascii="仿宋" w:hAnsi="仿宋" w:eastAsia="仿宋" w:cs="仿宋"/>
                <w:sz w:val="24"/>
                <w:szCs w:val="24"/>
                <w:lang w:val="zh-CN"/>
              </w:rPr>
              <w:t>标明酒店星级）打分：根据酒店安排，安排五星级、四星级酒店及根据酒店线路的合理性情况进行打分。（酒店等级可参照四星级或五星级酒店挂牌认定标准）</w:t>
            </w:r>
          </w:p>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注：安排全面、准确、合理得</w:t>
            </w: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bidi="ar"/>
              </w:rPr>
              <w:t>分；安排部分全面、准确、合理得</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分；安排不全面或不合理的得1分；</w:t>
            </w:r>
            <w:r>
              <w:rPr>
                <w:rFonts w:hint="eastAsia" w:ascii="仿宋" w:hAnsi="仿宋" w:eastAsia="仿宋" w:cs="仿宋"/>
                <w:color w:val="000000"/>
                <w:sz w:val="24"/>
                <w:szCs w:val="24"/>
              </w:rPr>
              <w:t>未提供内容不得分</w:t>
            </w:r>
            <w:r>
              <w:rPr>
                <w:rFonts w:hint="eastAsia" w:ascii="仿宋" w:hAnsi="仿宋" w:eastAsia="仿宋" w:cs="仿宋"/>
                <w:color w:val="000000"/>
                <w:kern w:val="0"/>
                <w:sz w:val="24"/>
                <w:szCs w:val="24"/>
                <w:lang w:bidi="ar"/>
              </w:rPr>
              <w:t>。</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6</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379" w:type="dxa"/>
            <w:vMerge w:val="continue"/>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continue"/>
            <w:tcBorders>
              <w:tl2br w:val="nil"/>
              <w:tr2bl w:val="nil"/>
            </w:tcBorders>
            <w:vAlign w:val="center"/>
          </w:tcPr>
          <w:p>
            <w:pPr>
              <w:spacing w:line="360" w:lineRule="auto"/>
              <w:jc w:val="center"/>
              <w:rPr>
                <w:rFonts w:hint="eastAsia" w:ascii="仿宋" w:hAnsi="仿宋" w:eastAsia="仿宋" w:cs="仿宋"/>
                <w:bCs/>
                <w:color w:val="000000"/>
                <w:sz w:val="24"/>
                <w:szCs w:val="24"/>
                <w:lang w:val="zh-CN"/>
              </w:rPr>
            </w:pPr>
          </w:p>
        </w:tc>
        <w:tc>
          <w:tcPr>
            <w:tcW w:w="6816" w:type="dxa"/>
            <w:tcBorders>
              <w:tl2br w:val="nil"/>
              <w:tr2bl w:val="nil"/>
            </w:tcBorders>
            <w:tcMar>
              <w:top w:w="15" w:type="dxa"/>
              <w:left w:w="15" w:type="dxa"/>
              <w:right w:w="15" w:type="dxa"/>
            </w:tcMar>
            <w:vAlign w:val="center"/>
          </w:tcPr>
          <w:p>
            <w:pPr>
              <w:pStyle w:val="8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4</w:t>
            </w:r>
            <w:r>
              <w:rPr>
                <w:rFonts w:hint="eastAsia" w:ascii="仿宋" w:hAnsi="仿宋" w:eastAsia="仿宋" w:cs="仿宋"/>
                <w:color w:val="000000"/>
                <w:sz w:val="24"/>
                <w:szCs w:val="24"/>
              </w:rPr>
              <w:t>）</w:t>
            </w:r>
            <w:r>
              <w:rPr>
                <w:rFonts w:hint="eastAsia" w:ascii="仿宋" w:hAnsi="仿宋" w:eastAsia="仿宋" w:cs="仿宋"/>
                <w:sz w:val="24"/>
                <w:szCs w:val="24"/>
              </w:rPr>
              <w:t>根据投标单位拟安排就餐及餐标的安排，提供餐厅照片、餐厅环境介绍、餐厅特色服务等合理性和有</w:t>
            </w:r>
            <w:r>
              <w:rPr>
                <w:rFonts w:hint="eastAsia" w:ascii="仿宋" w:hAnsi="仿宋" w:eastAsia="仿宋" w:cs="仿宋"/>
                <w:sz w:val="24"/>
                <w:szCs w:val="24"/>
                <w:lang w:val="en-US"/>
              </w:rPr>
              <w:t>效性，进行打分</w:t>
            </w:r>
            <w:r>
              <w:rPr>
                <w:rFonts w:hint="eastAsia" w:ascii="仿宋" w:hAnsi="仿宋" w:eastAsia="仿宋" w:cs="仿宋"/>
                <w:sz w:val="24"/>
                <w:szCs w:val="24"/>
              </w:rPr>
              <w:t>。</w:t>
            </w:r>
          </w:p>
          <w:p>
            <w:pPr>
              <w:pStyle w:val="80"/>
              <w:widowControl w:val="0"/>
              <w:spacing w:line="360" w:lineRule="auto"/>
              <w:jc w:val="both"/>
              <w:rPr>
                <w:rFonts w:hint="eastAsia" w:ascii="仿宋" w:hAnsi="仿宋" w:eastAsia="仿宋" w:cs="仿宋"/>
                <w:sz w:val="24"/>
                <w:szCs w:val="24"/>
                <w:lang w:val="en-US"/>
              </w:rPr>
            </w:pPr>
            <w:r>
              <w:rPr>
                <w:rFonts w:hint="eastAsia" w:ascii="仿宋" w:hAnsi="仿宋" w:eastAsia="仿宋" w:cs="仿宋"/>
                <w:color w:val="000000"/>
                <w:sz w:val="24"/>
                <w:szCs w:val="24"/>
                <w:lang w:val="en-US"/>
              </w:rPr>
              <w:t>注：</w:t>
            </w:r>
            <w:r>
              <w:rPr>
                <w:rFonts w:hint="eastAsia" w:ascii="仿宋" w:hAnsi="仿宋" w:eastAsia="仿宋" w:cs="仿宋"/>
                <w:sz w:val="24"/>
                <w:szCs w:val="24"/>
                <w:lang w:val="en-US"/>
              </w:rPr>
              <w:t>安排就餐环境优美或餐标优于采购需求得</w:t>
            </w:r>
            <w:r>
              <w:rPr>
                <w:rFonts w:hint="eastAsia" w:ascii="仿宋" w:hAnsi="仿宋" w:eastAsia="仿宋" w:cs="仿宋"/>
                <w:sz w:val="24"/>
                <w:szCs w:val="24"/>
                <w:lang w:val="en-US" w:eastAsia="zh-CN"/>
              </w:rPr>
              <w:t>6</w:t>
            </w:r>
            <w:r>
              <w:rPr>
                <w:rFonts w:hint="eastAsia" w:ascii="仿宋" w:hAnsi="仿宋" w:eastAsia="仿宋" w:cs="仿宋"/>
                <w:sz w:val="24"/>
                <w:szCs w:val="24"/>
                <w:lang w:val="en-US"/>
              </w:rPr>
              <w:t>分；安排就餐环境一般或餐标满足采购需求得</w:t>
            </w:r>
            <w:r>
              <w:rPr>
                <w:rFonts w:hint="eastAsia" w:ascii="仿宋" w:hAnsi="仿宋" w:eastAsia="仿宋" w:cs="仿宋"/>
                <w:sz w:val="24"/>
                <w:szCs w:val="24"/>
                <w:lang w:val="en-US" w:eastAsia="zh-CN"/>
              </w:rPr>
              <w:t>4</w:t>
            </w:r>
            <w:r>
              <w:rPr>
                <w:rFonts w:hint="eastAsia" w:ascii="仿宋" w:hAnsi="仿宋" w:eastAsia="仿宋" w:cs="仿宋"/>
                <w:sz w:val="24"/>
                <w:szCs w:val="24"/>
                <w:lang w:val="en-US"/>
              </w:rPr>
              <w:t>分；安排就餐环境较差或餐标低于采购需求得1分；</w:t>
            </w:r>
            <w:r>
              <w:rPr>
                <w:rFonts w:hint="eastAsia" w:ascii="仿宋" w:hAnsi="仿宋" w:eastAsia="仿宋" w:cs="仿宋"/>
                <w:color w:val="000000"/>
                <w:kern w:val="2"/>
                <w:sz w:val="24"/>
                <w:szCs w:val="24"/>
                <w:lang w:val="en-US"/>
              </w:rPr>
              <w:t>未提供内容不得分</w:t>
            </w:r>
            <w:r>
              <w:rPr>
                <w:rFonts w:hint="eastAsia" w:ascii="仿宋" w:hAnsi="仿宋" w:eastAsia="仿宋" w:cs="仿宋"/>
                <w:color w:val="000000"/>
                <w:sz w:val="24"/>
                <w:szCs w:val="24"/>
                <w:lang w:val="en-US" w:bidi="ar"/>
              </w:rPr>
              <w:t>。</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6</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379" w:type="dxa"/>
            <w:vMerge w:val="continue"/>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continue"/>
            <w:tcBorders>
              <w:tl2br w:val="nil"/>
              <w:tr2bl w:val="nil"/>
            </w:tcBorders>
            <w:vAlign w:val="center"/>
          </w:tcPr>
          <w:p>
            <w:pPr>
              <w:spacing w:line="360" w:lineRule="auto"/>
              <w:jc w:val="center"/>
              <w:rPr>
                <w:rFonts w:hint="eastAsia" w:ascii="仿宋" w:hAnsi="仿宋" w:eastAsia="仿宋" w:cs="仿宋"/>
                <w:bCs/>
                <w:color w:val="000000"/>
                <w:sz w:val="24"/>
                <w:szCs w:val="24"/>
                <w:lang w:val="zh-CN"/>
              </w:rPr>
            </w:pPr>
          </w:p>
        </w:tc>
        <w:tc>
          <w:tcPr>
            <w:tcW w:w="6816" w:type="dxa"/>
            <w:tcBorders>
              <w:tl2br w:val="nil"/>
              <w:tr2bl w:val="nil"/>
            </w:tcBorders>
            <w:tcMar>
              <w:top w:w="15" w:type="dxa"/>
              <w:left w:w="15" w:type="dxa"/>
              <w:right w:w="15" w:type="dxa"/>
            </w:tcMar>
          </w:tcPr>
          <w:p>
            <w:pPr>
              <w:pStyle w:val="90"/>
              <w:adjustRightInd/>
              <w:spacing w:before="0" w:line="360" w:lineRule="auto"/>
              <w:ind w:firstLine="0" w:firstLineChars="0"/>
              <w:rPr>
                <w:rFonts w:hint="eastAsia" w:ascii="仿宋" w:hAnsi="仿宋" w:eastAsia="仿宋" w:cs="仿宋"/>
                <w:color w:val="000000"/>
                <w:spacing w:val="-6"/>
                <w:sz w:val="24"/>
                <w:szCs w:val="24"/>
                <w:lang w:val="zh-CN"/>
              </w:rPr>
            </w:pPr>
            <w:r>
              <w:rPr>
                <w:rFonts w:hint="eastAsia" w:ascii="仿宋" w:hAnsi="仿宋" w:eastAsia="仿宋" w:cs="仿宋"/>
                <w:color w:val="000000"/>
                <w:sz w:val="24"/>
                <w:szCs w:val="24"/>
              </w:rPr>
              <w:t>（5）</w:t>
            </w:r>
            <w:r>
              <w:rPr>
                <w:rFonts w:hint="eastAsia" w:ascii="仿宋" w:hAnsi="仿宋" w:eastAsia="仿宋" w:cs="仿宋"/>
                <w:sz w:val="24"/>
                <w:szCs w:val="24"/>
              </w:rPr>
              <w:t>根据投标单位拟安排的旅游车或其他交通工具配置情况的合理性和可行性，进行打分。</w:t>
            </w:r>
          </w:p>
          <w:p>
            <w:pPr>
              <w:pStyle w:val="90"/>
              <w:adjustRightInd/>
              <w:spacing w:before="0" w:line="360" w:lineRule="auto"/>
              <w:ind w:firstLine="0" w:firstLineChars="0"/>
              <w:rPr>
                <w:rFonts w:hint="eastAsia" w:ascii="仿宋" w:hAnsi="仿宋" w:eastAsia="仿宋" w:cs="仿宋"/>
                <w:color w:val="000000"/>
                <w:spacing w:val="-6"/>
                <w:sz w:val="24"/>
                <w:szCs w:val="24"/>
              </w:rPr>
            </w:pPr>
            <w:r>
              <w:rPr>
                <w:rFonts w:hint="eastAsia" w:ascii="仿宋" w:hAnsi="仿宋" w:eastAsia="仿宋" w:cs="仿宋"/>
                <w:color w:val="000000"/>
                <w:sz w:val="24"/>
                <w:szCs w:val="24"/>
              </w:rPr>
              <w:t>注：</w:t>
            </w:r>
            <w:r>
              <w:rPr>
                <w:rFonts w:hint="eastAsia" w:ascii="仿宋" w:hAnsi="仿宋" w:eastAsia="仿宋" w:cs="仿宋"/>
                <w:color w:val="000000"/>
                <w:spacing w:val="-6"/>
                <w:sz w:val="24"/>
                <w:szCs w:val="24"/>
                <w:lang w:val="zh-CN"/>
              </w:rPr>
              <w:t>车辆安排合理、全面得</w:t>
            </w:r>
            <w:r>
              <w:rPr>
                <w:rFonts w:hint="eastAsia" w:ascii="仿宋" w:hAnsi="仿宋" w:eastAsia="仿宋" w:cs="仿宋"/>
                <w:color w:val="000000"/>
                <w:spacing w:val="-6"/>
                <w:sz w:val="24"/>
                <w:szCs w:val="24"/>
                <w:lang w:val="en-US" w:eastAsia="zh-CN"/>
              </w:rPr>
              <w:t>6</w:t>
            </w:r>
            <w:r>
              <w:rPr>
                <w:rFonts w:hint="eastAsia" w:ascii="仿宋" w:hAnsi="仿宋" w:eastAsia="仿宋" w:cs="仿宋"/>
                <w:color w:val="000000"/>
                <w:spacing w:val="-6"/>
                <w:sz w:val="24"/>
                <w:szCs w:val="24"/>
              </w:rPr>
              <w:t>分；</w:t>
            </w:r>
            <w:r>
              <w:rPr>
                <w:rFonts w:hint="eastAsia" w:ascii="仿宋" w:hAnsi="仿宋" w:eastAsia="仿宋" w:cs="仿宋"/>
                <w:color w:val="000000"/>
                <w:spacing w:val="-6"/>
                <w:sz w:val="24"/>
                <w:szCs w:val="24"/>
                <w:lang w:val="zh-CN"/>
              </w:rPr>
              <w:t>车辆安排一般得</w:t>
            </w:r>
            <w:r>
              <w:rPr>
                <w:rFonts w:hint="eastAsia" w:ascii="仿宋" w:hAnsi="仿宋" w:eastAsia="仿宋" w:cs="仿宋"/>
                <w:color w:val="000000"/>
                <w:spacing w:val="-6"/>
                <w:sz w:val="24"/>
                <w:szCs w:val="24"/>
                <w:lang w:val="en-US" w:eastAsia="zh-CN"/>
              </w:rPr>
              <w:t>4</w:t>
            </w:r>
            <w:r>
              <w:rPr>
                <w:rFonts w:hint="eastAsia" w:ascii="仿宋" w:hAnsi="仿宋" w:eastAsia="仿宋" w:cs="仿宋"/>
                <w:color w:val="000000"/>
                <w:spacing w:val="-6"/>
                <w:sz w:val="24"/>
                <w:szCs w:val="24"/>
              </w:rPr>
              <w:t>分；</w:t>
            </w:r>
            <w:r>
              <w:rPr>
                <w:rFonts w:hint="eastAsia" w:ascii="仿宋" w:hAnsi="仿宋" w:eastAsia="仿宋" w:cs="仿宋"/>
                <w:color w:val="000000"/>
                <w:spacing w:val="-6"/>
                <w:sz w:val="24"/>
                <w:szCs w:val="24"/>
                <w:lang w:val="zh-CN"/>
              </w:rPr>
              <w:t>车辆安排较差得</w:t>
            </w:r>
            <w:r>
              <w:rPr>
                <w:rFonts w:hint="eastAsia" w:ascii="仿宋" w:hAnsi="仿宋" w:eastAsia="仿宋" w:cs="仿宋"/>
                <w:color w:val="000000"/>
                <w:spacing w:val="-6"/>
                <w:sz w:val="24"/>
                <w:szCs w:val="24"/>
              </w:rPr>
              <w:t>1分；</w:t>
            </w:r>
            <w:r>
              <w:rPr>
                <w:rFonts w:hint="eastAsia" w:ascii="仿宋" w:hAnsi="仿宋" w:eastAsia="仿宋" w:cs="仿宋"/>
                <w:color w:val="000000"/>
                <w:sz w:val="24"/>
                <w:szCs w:val="24"/>
              </w:rPr>
              <w:t>未提供内容不得分</w:t>
            </w:r>
            <w:r>
              <w:rPr>
                <w:rFonts w:hint="eastAsia" w:ascii="仿宋" w:hAnsi="仿宋" w:eastAsia="仿宋" w:cs="仿宋"/>
                <w:color w:val="000000"/>
                <w:kern w:val="0"/>
                <w:sz w:val="24"/>
                <w:szCs w:val="24"/>
                <w:lang w:bidi="ar"/>
              </w:rPr>
              <w:t>。</w:t>
            </w:r>
          </w:p>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b/>
                <w:bCs/>
                <w:color w:val="000000"/>
                <w:sz w:val="24"/>
                <w:szCs w:val="24"/>
              </w:rPr>
              <w:t>注：投标人可提供自身与相关旅行车队的合作协议以及相应综合调配能力的证明材料，如</w:t>
            </w:r>
            <w:r>
              <w:rPr>
                <w:rFonts w:hint="eastAsia" w:ascii="仿宋" w:hAnsi="仿宋" w:eastAsia="仿宋" w:cs="仿宋"/>
                <w:b/>
                <w:bCs/>
                <w:sz w:val="24"/>
                <w:szCs w:val="24"/>
              </w:rPr>
              <w:t>相关图片、驾照、行驶证复印件等作为辅助评审资料</w:t>
            </w:r>
            <w:r>
              <w:rPr>
                <w:rFonts w:hint="eastAsia" w:ascii="仿宋" w:hAnsi="仿宋" w:eastAsia="仿宋" w:cs="仿宋"/>
                <w:b/>
                <w:bCs/>
                <w:color w:val="000000"/>
                <w:sz w:val="24"/>
                <w:szCs w:val="24"/>
              </w:rPr>
              <w:t>。</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6</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379" w:type="dxa"/>
            <w:vMerge w:val="continue"/>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restart"/>
            <w:tcBorders>
              <w:tl2br w:val="nil"/>
              <w:tr2bl w:val="nil"/>
            </w:tcBorders>
            <w:vAlign w:val="center"/>
          </w:tcPr>
          <w:p>
            <w:pPr>
              <w:spacing w:line="360" w:lineRule="auto"/>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5</w:t>
            </w:r>
          </w:p>
        </w:tc>
        <w:tc>
          <w:tcPr>
            <w:tcW w:w="6816" w:type="dxa"/>
            <w:tcBorders>
              <w:tl2br w:val="nil"/>
              <w:tr2bl w:val="nil"/>
            </w:tcBorders>
            <w:tcMar>
              <w:top w:w="15" w:type="dxa"/>
              <w:left w:w="15" w:type="dxa"/>
              <w:right w:w="15" w:type="dxa"/>
            </w:tcMar>
            <w:vAlign w:val="center"/>
          </w:tcPr>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（1）投标人投入本项目的导游人数，导游</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人得5分，每增加1人加1分，最多加</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分，本项最高得</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分。</w:t>
            </w:r>
          </w:p>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b/>
                <w:bCs/>
                <w:color w:val="000000"/>
                <w:sz w:val="24"/>
                <w:szCs w:val="24"/>
              </w:rPr>
              <w:t>【证明材料：提供导游资格证书及社保缴纳证明材料并加盖公章，否则不得分。】</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7</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客观分</w:t>
            </w:r>
          </w:p>
        </w:tc>
        <w:tc>
          <w:tcPr>
            <w:tcW w:w="1379" w:type="dxa"/>
            <w:vMerge w:val="restart"/>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bCs/>
                <w:sz w:val="24"/>
                <w:szCs w:val="24"/>
              </w:rPr>
            </w:pPr>
            <w:r>
              <w:rPr>
                <w:rFonts w:hint="eastAsia" w:ascii="仿宋" w:hAnsi="仿宋" w:eastAsia="仿宋" w:cs="仿宋"/>
                <w:color w:val="000000"/>
                <w:sz w:val="24"/>
                <w:szCs w:val="24"/>
              </w:rPr>
              <w:t>投入本项目导游情况</w:t>
            </w:r>
          </w:p>
          <w:p>
            <w:pPr>
              <w:pStyle w:val="90"/>
              <w:spacing w:before="0" w:line="360" w:lineRule="auto"/>
              <w:ind w:firstLine="0" w:firstLineChars="0"/>
              <w:jc w:val="center"/>
              <w:rPr>
                <w:rFonts w:hint="eastAsia" w:ascii="仿宋" w:hAnsi="仿宋" w:eastAsia="仿宋" w:cs="仿宋"/>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vMerge w:val="continue"/>
            <w:tcBorders>
              <w:tl2br w:val="nil"/>
              <w:tr2bl w:val="nil"/>
            </w:tcBorders>
            <w:vAlign w:val="center"/>
          </w:tcPr>
          <w:p>
            <w:pPr>
              <w:spacing w:line="360" w:lineRule="auto"/>
              <w:jc w:val="center"/>
              <w:rPr>
                <w:rFonts w:hint="eastAsia" w:ascii="仿宋" w:hAnsi="仿宋" w:eastAsia="仿宋" w:cs="仿宋"/>
                <w:bCs/>
                <w:color w:val="000000"/>
                <w:sz w:val="24"/>
                <w:szCs w:val="24"/>
              </w:rPr>
            </w:pPr>
          </w:p>
        </w:tc>
        <w:tc>
          <w:tcPr>
            <w:tcW w:w="6816" w:type="dxa"/>
            <w:tcBorders>
              <w:tl2br w:val="nil"/>
              <w:tr2bl w:val="nil"/>
            </w:tcBorders>
            <w:tcMar>
              <w:top w:w="15" w:type="dxa"/>
              <w:left w:w="15" w:type="dxa"/>
              <w:right w:w="15" w:type="dxa"/>
            </w:tcMar>
            <w:vAlign w:val="center"/>
          </w:tcPr>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（2）投入本项目的导游中有高级导游员每个得3分，中级导游的每个得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分，本项最高得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b/>
                <w:bCs/>
                <w:color w:val="000000"/>
                <w:sz w:val="24"/>
                <w:szCs w:val="24"/>
              </w:rPr>
              <w:t>【证明材料：提供证书等证明材料扫描件或复印件并加盖公章，否则不得分。】</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5</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sz w:val="24"/>
                <w:szCs w:val="24"/>
              </w:rPr>
              <w:t>客观分</w:t>
            </w:r>
          </w:p>
        </w:tc>
        <w:tc>
          <w:tcPr>
            <w:tcW w:w="1379" w:type="dxa"/>
            <w:vMerge w:val="continue"/>
            <w:tcBorders>
              <w:tl2br w:val="nil"/>
              <w:tr2bl w:val="nil"/>
            </w:tcBorders>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tcBorders>
              <w:tl2br w:val="nil"/>
              <w:tr2bl w:val="nil"/>
            </w:tcBorders>
            <w:vAlign w:val="center"/>
          </w:tcPr>
          <w:p>
            <w:pPr>
              <w:spacing w:line="360" w:lineRule="auto"/>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6</w:t>
            </w:r>
          </w:p>
        </w:tc>
        <w:tc>
          <w:tcPr>
            <w:tcW w:w="6816" w:type="dxa"/>
            <w:tcBorders>
              <w:tl2br w:val="nil"/>
              <w:tr2bl w:val="nil"/>
            </w:tcBorders>
            <w:tcMar>
              <w:top w:w="15" w:type="dxa"/>
              <w:left w:w="15" w:type="dxa"/>
              <w:right w:w="15" w:type="dxa"/>
            </w:tcMar>
          </w:tcPr>
          <w:p>
            <w:pPr>
              <w:widowControl/>
              <w:adjustRightInd/>
              <w:spacing w:line="360" w:lineRule="auto"/>
              <w:rPr>
                <w:rFonts w:hint="eastAsia" w:ascii="仿宋" w:hAnsi="仿宋" w:eastAsia="仿宋" w:cs="仿宋"/>
                <w:color w:val="000000"/>
                <w:sz w:val="24"/>
                <w:szCs w:val="24"/>
                <w:u w:color="000000"/>
              </w:rPr>
            </w:pPr>
            <w:r>
              <w:rPr>
                <w:rFonts w:hint="eastAsia" w:ascii="仿宋" w:hAnsi="仿宋" w:eastAsia="仿宋" w:cs="仿宋"/>
                <w:color w:val="000000"/>
                <w:sz w:val="24"/>
                <w:szCs w:val="24"/>
                <w:u w:color="000000"/>
              </w:rPr>
              <w:t>投标人具有有效期内的质量管理体系认证、环境</w:t>
            </w:r>
            <w:r>
              <w:rPr>
                <w:rFonts w:hint="eastAsia" w:ascii="仿宋" w:hAnsi="仿宋" w:eastAsia="仿宋" w:cs="仿宋"/>
                <w:color w:val="000000"/>
                <w:sz w:val="24"/>
                <w:szCs w:val="24"/>
                <w:u w:color="000000"/>
                <w:lang w:eastAsia="zh-CN"/>
              </w:rPr>
              <w:t>管理</w:t>
            </w:r>
            <w:r>
              <w:rPr>
                <w:rFonts w:hint="eastAsia" w:ascii="仿宋" w:hAnsi="仿宋" w:eastAsia="仿宋" w:cs="仿宋"/>
                <w:color w:val="000000"/>
                <w:sz w:val="24"/>
                <w:szCs w:val="24"/>
                <w:u w:color="000000"/>
              </w:rPr>
              <w:t>体系认证，</w:t>
            </w:r>
            <w:r>
              <w:rPr>
                <w:rFonts w:hint="eastAsia" w:ascii="仿宋" w:hAnsi="仿宋" w:eastAsia="仿宋" w:cs="仿宋"/>
                <w:color w:val="000000"/>
                <w:sz w:val="24"/>
                <w:szCs w:val="24"/>
                <w:u w:color="000000"/>
                <w:lang w:val="en-US" w:eastAsia="zh-CN"/>
              </w:rPr>
              <w:t>职业健康安全管理体系认证，</w:t>
            </w:r>
            <w:r>
              <w:rPr>
                <w:rFonts w:hint="eastAsia" w:ascii="仿宋" w:hAnsi="仿宋" w:eastAsia="仿宋" w:cs="仿宋"/>
                <w:color w:val="000000"/>
                <w:sz w:val="24"/>
                <w:szCs w:val="24"/>
                <w:u w:color="000000"/>
              </w:rPr>
              <w:t>每具备一项认证证书得1分，最高得</w:t>
            </w:r>
            <w:r>
              <w:rPr>
                <w:rFonts w:hint="eastAsia" w:ascii="仿宋" w:hAnsi="仿宋" w:eastAsia="仿宋" w:cs="仿宋"/>
                <w:color w:val="000000"/>
                <w:sz w:val="24"/>
                <w:szCs w:val="24"/>
                <w:u w:color="000000"/>
                <w:lang w:val="en-US" w:eastAsia="zh-CN"/>
              </w:rPr>
              <w:t>3</w:t>
            </w:r>
            <w:r>
              <w:rPr>
                <w:rFonts w:hint="eastAsia" w:ascii="仿宋" w:hAnsi="仿宋" w:eastAsia="仿宋" w:cs="仿宋"/>
                <w:color w:val="000000"/>
                <w:sz w:val="24"/>
                <w:szCs w:val="24"/>
                <w:u w:color="000000"/>
              </w:rPr>
              <w:t>分。</w:t>
            </w:r>
          </w:p>
          <w:p>
            <w:pPr>
              <w:widowControl/>
              <w:adjustRightInd/>
              <w:spacing w:line="360" w:lineRule="auto"/>
              <w:rPr>
                <w:rFonts w:hint="eastAsia" w:ascii="仿宋" w:hAnsi="仿宋" w:eastAsia="仿宋" w:cs="仿宋"/>
                <w:bCs/>
                <w:color w:val="000000"/>
                <w:spacing w:val="-4"/>
                <w:sz w:val="24"/>
                <w:szCs w:val="24"/>
                <w:u w:color="000000"/>
              </w:rPr>
            </w:pPr>
            <w:r>
              <w:rPr>
                <w:rFonts w:hint="eastAsia" w:ascii="仿宋" w:hAnsi="仿宋" w:eastAsia="仿宋" w:cs="仿宋"/>
                <w:b/>
                <w:bCs/>
                <w:color w:val="000000"/>
                <w:sz w:val="24"/>
                <w:szCs w:val="24"/>
              </w:rPr>
              <w:t>【证明材料：</w:t>
            </w:r>
            <w:r>
              <w:rPr>
                <w:rFonts w:hint="eastAsia" w:ascii="仿宋" w:hAnsi="仿宋" w:eastAsia="仿宋" w:cs="仿宋"/>
                <w:b/>
                <w:bCs/>
                <w:color w:val="000000"/>
                <w:sz w:val="24"/>
                <w:szCs w:val="24"/>
                <w:u w:color="000000"/>
              </w:rPr>
              <w:t>提供认证证书扫描件或复印件并加盖公章，否则不得分。</w:t>
            </w:r>
            <w:r>
              <w:rPr>
                <w:rFonts w:hint="eastAsia" w:ascii="仿宋" w:hAnsi="仿宋" w:eastAsia="仿宋" w:cs="仿宋"/>
                <w:b/>
                <w:bCs/>
                <w:color w:val="000000"/>
                <w:sz w:val="24"/>
                <w:szCs w:val="24"/>
              </w:rPr>
              <w:t>】</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u w:color="000000"/>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3</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bCs/>
                <w:color w:val="000000"/>
                <w:sz w:val="24"/>
                <w:szCs w:val="24"/>
              </w:rPr>
            </w:pPr>
            <w:r>
              <w:rPr>
                <w:rFonts w:hint="eastAsia" w:ascii="仿宋" w:hAnsi="仿宋" w:eastAsia="仿宋" w:cs="仿宋"/>
                <w:color w:val="000000"/>
                <w:sz w:val="24"/>
                <w:szCs w:val="24"/>
              </w:rPr>
              <w:t>客观分</w:t>
            </w:r>
          </w:p>
        </w:tc>
        <w:tc>
          <w:tcPr>
            <w:tcW w:w="1379"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投标人管理体系认证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tcBorders>
              <w:tl2br w:val="nil"/>
              <w:tr2bl w:val="nil"/>
            </w:tcBorders>
            <w:vAlign w:val="center"/>
          </w:tcPr>
          <w:p>
            <w:pPr>
              <w:spacing w:line="360" w:lineRule="auto"/>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7</w:t>
            </w:r>
          </w:p>
        </w:tc>
        <w:tc>
          <w:tcPr>
            <w:tcW w:w="6816" w:type="dxa"/>
            <w:tcBorders>
              <w:tl2br w:val="nil"/>
              <w:tr2bl w:val="nil"/>
            </w:tcBorders>
            <w:tcMar>
              <w:top w:w="15" w:type="dxa"/>
              <w:left w:w="15" w:type="dxa"/>
              <w:right w:w="15" w:type="dxa"/>
            </w:tcMar>
          </w:tcPr>
          <w:p>
            <w:pPr>
              <w:pStyle w:val="20"/>
              <w:spacing w:line="360" w:lineRule="auto"/>
              <w:rPr>
                <w:rFonts w:hint="eastAsia" w:ascii="仿宋" w:hAnsi="仿宋" w:eastAsia="仿宋" w:cs="仿宋"/>
                <w:color w:val="000000"/>
                <w:sz w:val="24"/>
                <w:szCs w:val="24"/>
                <w:u w:color="000000"/>
              </w:rPr>
            </w:pPr>
            <w:r>
              <w:rPr>
                <w:rFonts w:hint="eastAsia" w:ascii="仿宋" w:hAnsi="仿宋" w:eastAsia="仿宋" w:cs="仿宋"/>
                <w:color w:val="000000"/>
                <w:sz w:val="24"/>
                <w:szCs w:val="24"/>
                <w:u w:color="000000"/>
              </w:rPr>
              <w:t>投标人自20</w:t>
            </w:r>
            <w:r>
              <w:rPr>
                <w:rFonts w:hint="eastAsia" w:ascii="仿宋" w:hAnsi="仿宋" w:eastAsia="仿宋" w:cs="仿宋"/>
                <w:color w:val="000000"/>
                <w:sz w:val="24"/>
                <w:szCs w:val="24"/>
                <w:u w:color="000000"/>
                <w:lang w:val="en-US" w:eastAsia="zh-CN"/>
              </w:rPr>
              <w:t>20</w:t>
            </w:r>
            <w:r>
              <w:rPr>
                <w:rFonts w:hint="eastAsia" w:ascii="仿宋" w:hAnsi="仿宋" w:eastAsia="仿宋" w:cs="仿宋"/>
                <w:color w:val="000000"/>
                <w:sz w:val="24"/>
                <w:szCs w:val="24"/>
                <w:u w:color="000000"/>
              </w:rPr>
              <w:t>年1月1日以来（以合同签订时间为准）完成过</w:t>
            </w:r>
            <w:r>
              <w:rPr>
                <w:rFonts w:hint="eastAsia" w:ascii="仿宋" w:hAnsi="仿宋" w:eastAsia="仿宋" w:cs="仿宋"/>
                <w:i w:val="0"/>
                <w:color w:val="000000"/>
                <w:kern w:val="2"/>
                <w:sz w:val="24"/>
                <w:szCs w:val="24"/>
                <w:u w:val="none" w:color="000000"/>
                <w:lang w:val="en-US" w:eastAsia="zh-CN" w:bidi="ar-SA"/>
              </w:rPr>
              <w:t>政府机关、事业单位、国企疗休养项目</w:t>
            </w:r>
            <w:r>
              <w:rPr>
                <w:rFonts w:hint="eastAsia" w:ascii="仿宋" w:hAnsi="仿宋" w:eastAsia="仿宋" w:cs="仿宋"/>
                <w:color w:val="000000"/>
                <w:sz w:val="24"/>
                <w:szCs w:val="24"/>
                <w:u w:color="000000"/>
              </w:rPr>
              <w:t>的</w:t>
            </w:r>
            <w:r>
              <w:rPr>
                <w:rFonts w:hint="eastAsia" w:ascii="仿宋" w:hAnsi="仿宋" w:eastAsia="仿宋" w:cs="仿宋"/>
                <w:i w:val="0"/>
                <w:color w:val="000000"/>
                <w:kern w:val="2"/>
                <w:sz w:val="24"/>
                <w:szCs w:val="24"/>
                <w:u w:val="none" w:color="000000"/>
                <w:lang w:val="en-US" w:eastAsia="zh-CN" w:bidi="ar-SA"/>
              </w:rPr>
              <w:t>业绩证明材料</w:t>
            </w:r>
            <w:r>
              <w:rPr>
                <w:rFonts w:hint="eastAsia" w:ascii="仿宋" w:hAnsi="仿宋" w:eastAsia="仿宋" w:cs="仿宋"/>
                <w:color w:val="000000"/>
                <w:sz w:val="24"/>
                <w:szCs w:val="24"/>
                <w:u w:color="000000"/>
              </w:rPr>
              <w:t>，每</w:t>
            </w:r>
            <w:r>
              <w:rPr>
                <w:rFonts w:hint="eastAsia" w:ascii="仿宋" w:hAnsi="仿宋" w:eastAsia="仿宋" w:cs="仿宋"/>
                <w:color w:val="000000"/>
                <w:sz w:val="24"/>
                <w:szCs w:val="24"/>
                <w:u w:color="000000"/>
                <w:lang w:val="en-US" w:eastAsia="zh-CN"/>
              </w:rPr>
              <w:t>提供</w:t>
            </w:r>
            <w:r>
              <w:rPr>
                <w:rFonts w:hint="eastAsia" w:ascii="仿宋" w:hAnsi="仿宋" w:eastAsia="仿宋" w:cs="仿宋"/>
                <w:color w:val="000000"/>
                <w:sz w:val="24"/>
                <w:szCs w:val="24"/>
                <w:u w:color="000000"/>
              </w:rPr>
              <w:t>一个合同得1分，最高不超过1分</w:t>
            </w:r>
            <w:r>
              <w:rPr>
                <w:rFonts w:hint="eastAsia" w:ascii="仿宋" w:hAnsi="仿宋" w:eastAsia="仿宋" w:cs="仿宋"/>
                <w:color w:val="000000"/>
                <w:sz w:val="24"/>
                <w:szCs w:val="24"/>
                <w:u w:color="000000"/>
                <w:lang w:eastAsia="zh-CN"/>
              </w:rPr>
              <w:t>。</w:t>
            </w:r>
          </w:p>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b/>
                <w:bCs/>
                <w:color w:val="000000"/>
                <w:sz w:val="24"/>
                <w:szCs w:val="24"/>
              </w:rPr>
              <w:t>【证明材料：提供合同满意度</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反馈单，复印件或扫描件加盖公章。】</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0-1</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客观分</w:t>
            </w:r>
          </w:p>
        </w:tc>
        <w:tc>
          <w:tcPr>
            <w:tcW w:w="1379"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5" w:type="dxa"/>
            <w:tcBorders>
              <w:tl2br w:val="nil"/>
              <w:tr2bl w:val="nil"/>
            </w:tcBorders>
            <w:vAlign w:val="center"/>
          </w:tcPr>
          <w:p>
            <w:pPr>
              <w:spacing w:line="360" w:lineRule="auto"/>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8</w:t>
            </w:r>
          </w:p>
        </w:tc>
        <w:tc>
          <w:tcPr>
            <w:tcW w:w="6816" w:type="dxa"/>
            <w:tcBorders>
              <w:tl2br w:val="nil"/>
              <w:tr2bl w:val="nil"/>
            </w:tcBorders>
            <w:tcMar>
              <w:top w:w="15" w:type="dxa"/>
              <w:left w:w="15" w:type="dxa"/>
              <w:right w:w="15" w:type="dxa"/>
            </w:tcMar>
          </w:tcPr>
          <w:p>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投标人服务承诺情况：</w:t>
            </w:r>
          </w:p>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auto"/>
                <w:kern w:val="2"/>
                <w:sz w:val="24"/>
                <w:szCs w:val="24"/>
                <w:highlight w:val="none"/>
                <w:lang w:val="en-US" w:eastAsia="zh-CN" w:bidi="ar-SA"/>
              </w:rPr>
              <w:t>1）投标人承诺本旅游单位的企业责任保险保额500万的得3分；</w:t>
            </w:r>
            <w:r>
              <w:rPr>
                <w:rFonts w:hint="eastAsia" w:ascii="仿宋" w:hAnsi="仿宋" w:eastAsia="仿宋" w:cs="仿宋"/>
                <w:b/>
                <w:bCs/>
                <w:color w:val="auto"/>
                <w:kern w:val="2"/>
                <w:sz w:val="24"/>
                <w:szCs w:val="24"/>
                <w:highlight w:val="none"/>
                <w:lang w:val="en-US" w:eastAsia="zh-CN" w:bidi="ar-SA"/>
              </w:rPr>
              <w:t>投标文件中提供承诺函（格式自拟），</w:t>
            </w:r>
            <w:r>
              <w:rPr>
                <w:rFonts w:hint="eastAsia" w:ascii="仿宋" w:hAnsi="仿宋" w:eastAsia="仿宋" w:cs="仿宋"/>
                <w:b/>
                <w:bCs/>
                <w:color w:val="000000"/>
                <w:sz w:val="24"/>
                <w:szCs w:val="24"/>
              </w:rPr>
              <w:t>承诺书</w:t>
            </w:r>
            <w:r>
              <w:rPr>
                <w:rFonts w:hint="eastAsia" w:ascii="仿宋" w:hAnsi="仿宋" w:eastAsia="仿宋" w:cs="仿宋"/>
                <w:b/>
                <w:bCs/>
                <w:color w:val="000000"/>
                <w:sz w:val="24"/>
                <w:szCs w:val="24"/>
                <w:lang w:val="en-US" w:eastAsia="zh-CN"/>
              </w:rPr>
              <w:t>加盖投标人公章</w:t>
            </w:r>
            <w:r>
              <w:rPr>
                <w:rFonts w:hint="eastAsia" w:ascii="仿宋" w:hAnsi="仿宋" w:eastAsia="仿宋" w:cs="仿宋"/>
                <w:b/>
                <w:bCs/>
                <w:color w:val="auto"/>
                <w:kern w:val="2"/>
                <w:sz w:val="24"/>
                <w:szCs w:val="24"/>
                <w:highlight w:val="none"/>
                <w:lang w:val="en-US" w:eastAsia="zh-CN" w:bidi="ar-SA"/>
              </w:rPr>
              <w:t>；</w:t>
            </w:r>
          </w:p>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auto"/>
                <w:kern w:val="2"/>
                <w:sz w:val="24"/>
                <w:szCs w:val="24"/>
                <w:highlight w:val="none"/>
                <w:lang w:val="en-US" w:eastAsia="zh-CN" w:bidi="ar-SA"/>
              </w:rPr>
              <w:t xml:space="preserve">2）投标人承诺为游客提供人身意外伤害保险，每人保额在100万元及以上的得3分； </w:t>
            </w:r>
            <w:r>
              <w:rPr>
                <w:rFonts w:hint="eastAsia" w:ascii="仿宋" w:hAnsi="仿宋" w:eastAsia="仿宋" w:cs="仿宋"/>
                <w:b/>
                <w:bCs/>
                <w:color w:val="auto"/>
                <w:kern w:val="2"/>
                <w:sz w:val="24"/>
                <w:szCs w:val="24"/>
                <w:highlight w:val="none"/>
                <w:lang w:val="en-US" w:eastAsia="zh-CN" w:bidi="ar-SA"/>
              </w:rPr>
              <w:t>投标文件中提供承诺函（格式自拟），</w:t>
            </w:r>
            <w:r>
              <w:rPr>
                <w:rFonts w:hint="eastAsia" w:ascii="仿宋" w:hAnsi="仿宋" w:eastAsia="仿宋" w:cs="仿宋"/>
                <w:b/>
                <w:bCs/>
                <w:color w:val="000000"/>
                <w:sz w:val="24"/>
                <w:szCs w:val="24"/>
              </w:rPr>
              <w:t>承诺书</w:t>
            </w:r>
            <w:r>
              <w:rPr>
                <w:rFonts w:hint="eastAsia" w:ascii="仿宋" w:hAnsi="仿宋" w:eastAsia="仿宋" w:cs="仿宋"/>
                <w:b/>
                <w:bCs/>
                <w:color w:val="000000"/>
                <w:sz w:val="24"/>
                <w:szCs w:val="24"/>
                <w:lang w:val="en-US" w:eastAsia="zh-CN"/>
              </w:rPr>
              <w:t>加盖投标人公章</w:t>
            </w:r>
            <w:r>
              <w:rPr>
                <w:rFonts w:hint="eastAsia" w:ascii="仿宋" w:hAnsi="仿宋" w:eastAsia="仿宋" w:cs="仿宋"/>
                <w:b/>
                <w:bCs/>
                <w:color w:val="auto"/>
                <w:kern w:val="2"/>
                <w:sz w:val="24"/>
                <w:szCs w:val="24"/>
                <w:highlight w:val="none"/>
                <w:lang w:val="en-US" w:eastAsia="zh-CN" w:bidi="ar-SA"/>
              </w:rPr>
              <w:t>；</w:t>
            </w:r>
          </w:p>
          <w:p>
            <w:pPr>
              <w:pStyle w:val="90"/>
              <w:adjustRightInd/>
              <w:spacing w:before="0"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投标单位承诺小额赔款先行赔付的（</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00元及以下）得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r>
              <w:rPr>
                <w:rFonts w:hint="eastAsia" w:ascii="仿宋" w:hAnsi="仿宋" w:eastAsia="仿宋" w:cs="仿宋"/>
                <w:b/>
                <w:bCs/>
                <w:color w:val="auto"/>
                <w:kern w:val="2"/>
                <w:sz w:val="24"/>
                <w:szCs w:val="24"/>
                <w:highlight w:val="none"/>
                <w:lang w:val="en-US" w:eastAsia="zh-CN" w:bidi="ar-SA"/>
              </w:rPr>
              <w:t>投标文件中提供承诺函（格式自拟），</w:t>
            </w:r>
            <w:r>
              <w:rPr>
                <w:rFonts w:hint="eastAsia" w:ascii="仿宋" w:hAnsi="仿宋" w:eastAsia="仿宋" w:cs="仿宋"/>
                <w:b/>
                <w:bCs/>
                <w:color w:val="000000"/>
                <w:sz w:val="24"/>
                <w:szCs w:val="24"/>
              </w:rPr>
              <w:t>承诺书</w:t>
            </w:r>
            <w:r>
              <w:rPr>
                <w:rFonts w:hint="eastAsia" w:ascii="仿宋" w:hAnsi="仿宋" w:eastAsia="仿宋" w:cs="仿宋"/>
                <w:b/>
                <w:bCs/>
                <w:color w:val="000000"/>
                <w:sz w:val="24"/>
                <w:szCs w:val="24"/>
                <w:lang w:val="en-US" w:eastAsia="zh-CN"/>
              </w:rPr>
              <w:t>加盖投标人公章。</w:t>
            </w:r>
          </w:p>
        </w:tc>
        <w:tc>
          <w:tcPr>
            <w:tcW w:w="746"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9</w:t>
            </w:r>
          </w:p>
        </w:tc>
        <w:tc>
          <w:tcPr>
            <w:tcW w:w="985" w:type="dxa"/>
            <w:tcBorders>
              <w:tl2br w:val="nil"/>
              <w:tr2bl w:val="nil"/>
            </w:tcBorders>
            <w:tcMar>
              <w:top w:w="15" w:type="dxa"/>
              <w:left w:w="15" w:type="dxa"/>
              <w:right w:w="15" w:type="dxa"/>
            </w:tcMar>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客观分</w:t>
            </w:r>
          </w:p>
        </w:tc>
        <w:tc>
          <w:tcPr>
            <w:tcW w:w="1379" w:type="dxa"/>
            <w:tcBorders>
              <w:tl2br w:val="nil"/>
              <w:tr2bl w:val="nil"/>
            </w:tcBorders>
            <w:tcMar>
              <w:top w:w="15" w:type="dxa"/>
              <w:left w:w="15" w:type="dxa"/>
              <w:right w:w="15" w:type="dxa"/>
            </w:tcMar>
            <w:vAlign w:val="center"/>
          </w:tcPr>
          <w:p>
            <w:pPr>
              <w:pStyle w:val="90"/>
              <w:adjustRightInd/>
              <w:spacing w:before="0" w:line="36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服务承诺</w:t>
            </w:r>
          </w:p>
        </w:tc>
      </w:tr>
    </w:tbl>
    <w:p>
      <w:pPr>
        <w:spacing w:line="360" w:lineRule="auto"/>
        <w:ind w:firstLine="482" w:firstLineChars="200"/>
        <w:rPr>
          <w:rFonts w:hint="eastAsia" w:ascii="仿宋" w:hAnsi="仿宋" w:eastAsia="仿宋" w:cs="仿宋"/>
          <w:b/>
          <w:bCs/>
          <w:color w:val="000000"/>
          <w:sz w:val="24"/>
          <w:lang w:val="en-US" w:eastAsia="zh-CN"/>
        </w:rPr>
      </w:pP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商务分+技术分=评标委员会所有成员评分合计数/评标委员会组成人员数（精确到小数点后二位）；</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szCs w:val="24"/>
          <w:highlight w:val="none"/>
          <w:lang w:val="en-US" w:eastAsia="zh-CN"/>
        </w:rPr>
        <w:t>（二）</w:t>
      </w:r>
      <w:r>
        <w:rPr>
          <w:rFonts w:hint="eastAsia" w:ascii="仿宋" w:hAnsi="仿宋" w:eastAsia="仿宋" w:cs="仿宋"/>
          <w:b/>
          <w:bCs/>
          <w:color w:val="000000"/>
          <w:sz w:val="24"/>
        </w:rPr>
        <w:t>价格分（</w:t>
      </w: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分）</w:t>
      </w:r>
      <w:r>
        <w:rPr>
          <w:rFonts w:hint="eastAsia" w:ascii="仿宋" w:hAnsi="仿宋" w:eastAsia="仿宋" w:cs="仿宋"/>
          <w:color w:val="000000"/>
          <w:sz w:val="24"/>
        </w:rPr>
        <w:t>采用低价优先法计算，即满足招标文件要求且投标</w:t>
      </w:r>
      <w:r>
        <w:rPr>
          <w:rFonts w:hint="eastAsia" w:ascii="仿宋" w:hAnsi="仿宋" w:eastAsia="仿宋" w:cs="仿宋"/>
          <w:color w:val="000000"/>
          <w:sz w:val="24"/>
          <w:lang w:val="en-US" w:eastAsia="zh-CN"/>
        </w:rPr>
        <w:t>总</w:t>
      </w:r>
      <w:r>
        <w:rPr>
          <w:rFonts w:hint="eastAsia" w:ascii="仿宋" w:hAnsi="仿宋" w:eastAsia="仿宋" w:cs="仿宋"/>
          <w:color w:val="000000"/>
          <w:sz w:val="24"/>
        </w:rPr>
        <w:t>价格最低的投标报价为评标基准价，其他投标人的价格分按照下列公式计算：价格分=（评标基准价/投标报价）×</w:t>
      </w:r>
      <w:r>
        <w:rPr>
          <w:rFonts w:hint="eastAsia" w:ascii="仿宋" w:hAnsi="仿宋" w:eastAsia="仿宋" w:cs="仿宋"/>
          <w:color w:val="000000"/>
          <w:sz w:val="24"/>
          <w:lang w:val="en-US" w:eastAsia="zh-CN"/>
        </w:rPr>
        <w:t>10</w:t>
      </w:r>
      <w:r>
        <w:rPr>
          <w:rFonts w:hint="eastAsia" w:ascii="仿宋" w:hAnsi="仿宋" w:eastAsia="仿宋" w:cs="仿宋"/>
          <w:color w:val="000000"/>
          <w:sz w:val="24"/>
        </w:rPr>
        <w:t>%×100（精确到小数点后二位）；</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（三）</w:t>
      </w:r>
      <w:r>
        <w:rPr>
          <w:rFonts w:hint="eastAsia" w:ascii="仿宋" w:hAnsi="仿宋" w:eastAsia="仿宋" w:cs="仿宋"/>
          <w:b/>
          <w:bCs/>
          <w:color w:val="000000"/>
          <w:sz w:val="24"/>
        </w:rPr>
        <w:t>投标人评标综合得分=</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商务分+技术分</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+价格分</w:t>
      </w:r>
      <w:r>
        <w:rPr>
          <w:rFonts w:hint="eastAsia" w:ascii="仿宋" w:hAnsi="仿宋" w:eastAsia="仿宋" w:cs="仿宋"/>
          <w:b/>
          <w:bCs/>
          <w:color w:val="000000"/>
          <w:sz w:val="24"/>
        </w:rPr>
        <w:t>（精确到小数点后二位）；</w:t>
      </w:r>
    </w:p>
    <w:p>
      <w:pPr>
        <w:spacing w:line="360" w:lineRule="auto"/>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报价是中标的一个重要因素，但最低报价不是中标的唯一依据。</w:t>
      </w:r>
    </w:p>
    <w:p>
      <w:pPr>
        <w:pStyle w:val="81"/>
        <w:rPr>
          <w:rFonts w:hint="eastAsia"/>
        </w:rPr>
      </w:pP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r>
        <w:rPr>
          <w:rFonts w:hint="eastAsia" w:ascii="仿宋" w:hAnsi="仿宋" w:eastAsia="仿宋" w:cs="仿宋"/>
          <w:b/>
          <w:kern w:val="0"/>
          <w:sz w:val="24"/>
        </w:rPr>
        <w:t>（评标委员会各成员评分的算术平均值，保留两位小数，后一位四舍五入）</w:t>
      </w:r>
      <w:r>
        <w:rPr>
          <w:rFonts w:hint="eastAsia" w:ascii="仿宋" w:hAnsi="仿宋" w:eastAsia="仿宋" w:cs="仿宋"/>
          <w:kern w:val="0"/>
          <w:sz w:val="24"/>
        </w:rPr>
        <w:t>。</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3.4报价评审（电子交易平台客户端里开标一览表录入的投标报价信息与扫描上传的报价文件不一致的，以扫描上传的报价文件中的报价为准）。</w:t>
      </w:r>
    </w:p>
    <w:p>
      <w:pPr>
        <w:pStyle w:val="90"/>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单位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仿宋"/>
          <w:b/>
          <w:sz w:val="32"/>
        </w:rPr>
      </w:pPr>
      <w:r>
        <w:rPr>
          <w:rFonts w:hint="eastAsia" w:ascii="仿宋" w:hAnsi="仿宋" w:eastAsia="仿宋" w:cs="仿宋"/>
          <w:b/>
          <w:sz w:val="32"/>
        </w:rPr>
        <w:t>四、评标中的其他事项</w:t>
      </w:r>
    </w:p>
    <w:p>
      <w:pPr>
        <w:pStyle w:val="90"/>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4"/>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4"/>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rPr>
          <w:rFonts w:ascii="仿宋" w:hAnsi="仿宋" w:eastAsia="仿宋" w:cs="仿宋"/>
        </w:rPr>
      </w:pPr>
      <w:r>
        <w:rPr>
          <w:rFonts w:hint="eastAsia" w:ascii="仿宋" w:hAnsi="仿宋" w:eastAsia="仿宋" w:cs="仿宋"/>
        </w:rPr>
        <w:br w:type="page"/>
      </w:r>
    </w:p>
    <w:p>
      <w:pPr>
        <w:pStyle w:val="24"/>
        <w:snapToGrid w:val="0"/>
        <w:spacing w:line="360" w:lineRule="auto"/>
        <w:ind w:firstLine="0" w:firstLineChars="0"/>
        <w:rPr>
          <w:rFonts w:ascii="仿宋" w:hAnsi="仿宋" w:eastAsia="仿宋" w:cs="仿宋"/>
        </w:rPr>
      </w:pPr>
    </w:p>
    <w:bookmarkEnd w:id="26"/>
    <w:p>
      <w:pPr>
        <w:spacing w:line="360" w:lineRule="auto"/>
        <w:ind w:left="720" w:leftChars="343" w:firstLine="1084" w:firstLineChars="300"/>
        <w:outlineLvl w:val="0"/>
        <w:rPr>
          <w:rFonts w:ascii="仿宋" w:hAnsi="仿宋" w:eastAsia="仿宋" w:cs="仿宋"/>
          <w:b/>
          <w:sz w:val="36"/>
          <w:szCs w:val="36"/>
        </w:rPr>
      </w:pPr>
      <w:bookmarkStart w:id="406" w:name="第五部分"/>
      <w:bookmarkStart w:id="407" w:name="_Toc86217003"/>
      <w:r>
        <w:rPr>
          <w:rFonts w:hint="eastAsia" w:ascii="仿宋" w:hAnsi="仿宋" w:eastAsia="仿宋" w:cs="仿宋"/>
          <w:b/>
          <w:sz w:val="36"/>
          <w:szCs w:val="36"/>
        </w:rPr>
        <w:t>第五部分 拟签订的合同文本</w:t>
      </w:r>
    </w:p>
    <w:p>
      <w:pPr>
        <w:spacing w:line="360" w:lineRule="auto"/>
        <w:rPr>
          <w:rFonts w:ascii="仿宋" w:hAnsi="仿宋" w:eastAsia="仿宋" w:cs="仿宋"/>
          <w:sz w:val="24"/>
          <w:u w:val="single"/>
        </w:rPr>
      </w:pPr>
      <w:r>
        <w:rPr>
          <w:rFonts w:hint="eastAsia" w:ascii="仿宋" w:hAnsi="仿宋" w:eastAsia="仿宋" w:cs="仿宋"/>
          <w:sz w:val="24"/>
        </w:rPr>
        <w:t>合同编号：</w:t>
      </w: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360" w:lineRule="auto"/>
        <w:jc w:val="center"/>
        <w:rPr>
          <w:rFonts w:ascii="仿宋" w:hAnsi="仿宋" w:eastAsia="仿宋" w:cs="仿宋"/>
          <w:b/>
          <w:sz w:val="36"/>
          <w:szCs w:val="36"/>
        </w:rPr>
      </w:pPr>
      <w:r>
        <w:rPr>
          <w:rFonts w:hint="eastAsia" w:ascii="仿宋" w:hAnsi="仿宋" w:eastAsia="仿宋" w:cs="仿宋"/>
          <w:b/>
          <w:sz w:val="36"/>
          <w:szCs w:val="36"/>
        </w:rPr>
        <w:t>（服务类）</w:t>
      </w:r>
    </w:p>
    <w:p>
      <w:pPr>
        <w:pStyle w:val="389"/>
        <w:ind w:firstLine="2843" w:firstLineChars="1180"/>
        <w:rPr>
          <w:rFonts w:ascii="仿宋" w:hAnsi="仿宋" w:eastAsia="仿宋" w:cs="仿宋"/>
          <w:b/>
          <w:szCs w:val="24"/>
        </w:rPr>
      </w:pPr>
      <w:r>
        <w:rPr>
          <w:rFonts w:hint="eastAsia" w:ascii="仿宋" w:hAnsi="仿宋" w:eastAsia="仿宋" w:cs="仿宋"/>
          <w:b/>
          <w:szCs w:val="24"/>
        </w:rPr>
        <w:t>第一部分 合同书</w:t>
      </w:r>
    </w:p>
    <w:p>
      <w:pPr>
        <w:spacing w:before="120" w:line="360" w:lineRule="auto"/>
        <w:rPr>
          <w:rFonts w:ascii="仿宋" w:hAnsi="仿宋" w:eastAsia="仿宋" w:cs="仿宋"/>
          <w:sz w:val="24"/>
        </w:rPr>
      </w:pPr>
    </w:p>
    <w:p>
      <w:pPr>
        <w:pStyle w:val="4"/>
        <w:rPr>
          <w:rFonts w:ascii="仿宋" w:eastAsia="仿宋" w:cs="仿宋"/>
        </w:rPr>
      </w:pPr>
    </w:p>
    <w:p>
      <w:pPr>
        <w:spacing w:before="120" w:line="360" w:lineRule="auto"/>
        <w:ind w:left="960"/>
        <w:rPr>
          <w:rFonts w:ascii="仿宋" w:hAnsi="仿宋" w:eastAsia="仿宋" w:cs="仿宋"/>
          <w:sz w:val="24"/>
        </w:rPr>
      </w:pPr>
      <w:r>
        <w:rPr>
          <w:rFonts w:hint="eastAsia" w:ascii="仿宋" w:hAnsi="仿宋" w:eastAsia="仿宋" w:cs="仿宋"/>
          <w:sz w:val="24"/>
        </w:rPr>
        <w:t>项目名称：</w:t>
      </w:r>
    </w:p>
    <w:p>
      <w:pPr>
        <w:pStyle w:val="286"/>
        <w:spacing w:before="120"/>
        <w:rPr>
          <w:rFonts w:ascii="仿宋" w:hAnsi="仿宋" w:eastAsia="仿宋" w:cs="仿宋"/>
          <w:szCs w:val="24"/>
        </w:rPr>
      </w:pPr>
    </w:p>
    <w:p>
      <w:pPr>
        <w:pStyle w:val="286"/>
        <w:spacing w:before="120"/>
        <w:rPr>
          <w:rFonts w:ascii="仿宋" w:hAnsi="仿宋" w:eastAsia="仿宋" w:cs="仿宋"/>
          <w:szCs w:val="24"/>
        </w:rPr>
      </w:pPr>
    </w:p>
    <w:p>
      <w:pPr>
        <w:spacing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甲方：</w:t>
      </w: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乙方：</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签订地：</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签订日期：年月日</w:t>
      </w:r>
    </w:p>
    <w:p>
      <w:pPr>
        <w:widowControl/>
        <w:spacing w:line="360" w:lineRule="auto"/>
        <w:jc w:val="left"/>
        <w:rPr>
          <w:rFonts w:ascii="仿宋" w:hAnsi="仿宋" w:eastAsia="仿宋" w:cs="仿宋"/>
          <w:kern w:val="0"/>
          <w:sz w:val="24"/>
        </w:rPr>
        <w:sectPr>
          <w:footerReference r:id="rId8" w:type="default"/>
          <w:pgSz w:w="11907" w:h="16840"/>
          <w:pgMar w:top="1474" w:right="1814" w:bottom="1474" w:left="1814" w:header="851" w:footer="851" w:gutter="0"/>
          <w:cols w:space="720" w:num="1"/>
        </w:sectPr>
      </w:pP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360" w:lineRule="auto"/>
        <w:ind w:firstLine="482" w:firstLineChars="200"/>
        <w:outlineLvl w:val="0"/>
        <w:rPr>
          <w:rFonts w:ascii="仿宋" w:hAnsi="仿宋" w:eastAsia="仿宋" w:cs="仿宋"/>
          <w:sz w:val="24"/>
        </w:rPr>
      </w:pPr>
      <w:bookmarkStart w:id="408" w:name="_Toc28855"/>
      <w:bookmarkStart w:id="409" w:name="_Toc20421"/>
      <w:bookmarkStart w:id="410" w:name="_Toc22967"/>
      <w:bookmarkStart w:id="411" w:name="_Toc15367"/>
      <w:bookmarkStart w:id="412" w:name="_Toc19273"/>
      <w:r>
        <w:rPr>
          <w:rFonts w:hint="eastAsia" w:ascii="仿宋" w:hAnsi="仿宋" w:eastAsia="仿宋" w:cs="仿宋"/>
          <w:b/>
          <w:sz w:val="24"/>
        </w:rPr>
        <w:t>1.1 合同组成部分</w:t>
      </w:r>
      <w:bookmarkEnd w:id="408"/>
      <w:bookmarkEnd w:id="409"/>
      <w:bookmarkEnd w:id="410"/>
      <w:bookmarkEnd w:id="411"/>
      <w:bookmarkEnd w:id="412"/>
    </w:p>
    <w:p>
      <w:pPr>
        <w:spacing w:line="360" w:lineRule="auto"/>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360" w:lineRule="auto"/>
        <w:ind w:firstLine="480" w:firstLineChars="200"/>
        <w:rPr>
          <w:rFonts w:ascii="仿宋" w:hAnsi="仿宋" w:eastAsia="仿宋" w:cs="仿宋"/>
          <w:sz w:val="24"/>
        </w:rPr>
      </w:pPr>
      <w:r>
        <w:rPr>
          <w:rFonts w:hint="eastAsia" w:ascii="仿宋" w:hAnsi="仿宋" w:eastAsia="仿宋" w:cs="仿宋"/>
          <w:sz w:val="24"/>
        </w:rPr>
        <w:t>1.1.2 中标通知书；</w:t>
      </w:r>
    </w:p>
    <w:p>
      <w:pPr>
        <w:spacing w:line="360" w:lineRule="auto"/>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360" w:lineRule="auto"/>
        <w:ind w:firstLine="482" w:firstLineChars="200"/>
        <w:outlineLvl w:val="0"/>
        <w:rPr>
          <w:rFonts w:ascii="仿宋" w:hAnsi="仿宋" w:eastAsia="仿宋" w:cs="仿宋"/>
          <w:b/>
          <w:sz w:val="24"/>
        </w:rPr>
      </w:pPr>
      <w:bookmarkStart w:id="413" w:name="_Toc18585"/>
      <w:bookmarkStart w:id="414" w:name="_Toc6311"/>
      <w:bookmarkStart w:id="415" w:name="_Toc6773"/>
      <w:bookmarkStart w:id="416" w:name="_Toc22185"/>
      <w:bookmarkStart w:id="417" w:name="_Toc2918"/>
      <w:r>
        <w:rPr>
          <w:rFonts w:hint="eastAsia" w:ascii="仿宋" w:hAnsi="仿宋" w:eastAsia="仿宋" w:cs="仿宋"/>
          <w:b/>
          <w:sz w:val="24"/>
        </w:rPr>
        <w:t>1.2 标的</w:t>
      </w:r>
      <w:bookmarkEnd w:id="413"/>
      <w:bookmarkEnd w:id="414"/>
      <w:bookmarkEnd w:id="415"/>
      <w:bookmarkEnd w:id="416"/>
      <w:bookmarkEnd w:id="417"/>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1.2.1 标的名称：；</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1.2.2 标的数量：；</w:t>
      </w:r>
    </w:p>
    <w:p>
      <w:pPr>
        <w:spacing w:line="360" w:lineRule="auto"/>
        <w:ind w:firstLine="480" w:firstLineChars="200"/>
        <w:rPr>
          <w:rFonts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2" w:firstLineChars="200"/>
        <w:outlineLvl w:val="0"/>
        <w:rPr>
          <w:rFonts w:ascii="仿宋" w:hAnsi="仿宋" w:eastAsia="仿宋" w:cs="仿宋"/>
          <w:b/>
          <w:sz w:val="24"/>
        </w:rPr>
      </w:pPr>
      <w:bookmarkStart w:id="418" w:name="_Toc5635"/>
      <w:bookmarkStart w:id="419" w:name="_Toc13918"/>
      <w:bookmarkStart w:id="420" w:name="_Toc4929"/>
      <w:bookmarkStart w:id="421" w:name="_Toc21124"/>
      <w:bookmarkStart w:id="422" w:name="_Toc1386"/>
      <w:r>
        <w:rPr>
          <w:rFonts w:hint="eastAsia" w:ascii="仿宋" w:hAnsi="仿宋" w:eastAsia="仿宋" w:cs="仿宋"/>
          <w:b/>
          <w:sz w:val="24"/>
        </w:rPr>
        <w:t>1.3 价款</w:t>
      </w:r>
      <w:bookmarkEnd w:id="418"/>
      <w:bookmarkEnd w:id="419"/>
      <w:bookmarkEnd w:id="420"/>
      <w:bookmarkEnd w:id="421"/>
      <w:bookmarkEnd w:id="422"/>
    </w:p>
    <w:p>
      <w:pPr>
        <w:spacing w:line="360" w:lineRule="auto"/>
        <w:ind w:firstLine="480" w:firstLineChars="200"/>
        <w:rPr>
          <w:rFonts w:ascii="仿宋" w:hAnsi="仿宋" w:eastAsia="仿宋" w:cs="仿宋"/>
          <w:sz w:val="24"/>
        </w:rPr>
      </w:pPr>
      <w:r>
        <w:rPr>
          <w:rFonts w:hint="eastAsia" w:ascii="仿宋" w:hAnsi="仿宋" w:eastAsia="仿宋" w:cs="仿宋"/>
          <w:sz w:val="24"/>
        </w:rPr>
        <w:t>本合同总价为：￥元（大写：元人民币）。</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110"/>
              <w:spacing w:line="360" w:lineRule="auto"/>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110"/>
              <w:spacing w:line="360" w:lineRule="auto"/>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ascii="仿宋" w:hAnsi="仿宋" w:eastAsia="仿宋" w:cs="仿宋"/>
                <w:sz w:val="24"/>
                <w:szCs w:val="24"/>
              </w:rPr>
            </w:pPr>
          </w:p>
        </w:tc>
        <w:tc>
          <w:tcPr>
            <w:tcW w:w="3402" w:type="dxa"/>
            <w:vAlign w:val="center"/>
          </w:tcPr>
          <w:p>
            <w:pPr>
              <w:pStyle w:val="110"/>
              <w:spacing w:line="360" w:lineRule="auto"/>
              <w:ind w:firstLine="200"/>
              <w:jc w:val="center"/>
              <w:rPr>
                <w:rFonts w:ascii="仿宋" w:hAnsi="仿宋" w:eastAsia="仿宋" w:cs="仿宋"/>
                <w:sz w:val="24"/>
                <w:szCs w:val="24"/>
              </w:rPr>
            </w:pPr>
          </w:p>
        </w:tc>
        <w:tc>
          <w:tcPr>
            <w:tcW w:w="2552" w:type="dxa"/>
            <w:vAlign w:val="center"/>
          </w:tcPr>
          <w:p>
            <w:pPr>
              <w:pStyle w:val="110"/>
              <w:spacing w:line="360" w:lineRule="auto"/>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ascii="仿宋" w:hAnsi="仿宋" w:eastAsia="仿宋" w:cs="仿宋"/>
                <w:sz w:val="24"/>
                <w:szCs w:val="24"/>
              </w:rPr>
            </w:pPr>
          </w:p>
        </w:tc>
        <w:tc>
          <w:tcPr>
            <w:tcW w:w="3402" w:type="dxa"/>
            <w:vAlign w:val="center"/>
          </w:tcPr>
          <w:p>
            <w:pPr>
              <w:pStyle w:val="110"/>
              <w:spacing w:line="360" w:lineRule="auto"/>
              <w:ind w:firstLine="200"/>
              <w:jc w:val="center"/>
              <w:rPr>
                <w:rFonts w:ascii="仿宋" w:hAnsi="仿宋" w:eastAsia="仿宋" w:cs="仿宋"/>
                <w:sz w:val="24"/>
                <w:szCs w:val="24"/>
              </w:rPr>
            </w:pPr>
          </w:p>
        </w:tc>
        <w:tc>
          <w:tcPr>
            <w:tcW w:w="2552" w:type="dxa"/>
            <w:vAlign w:val="center"/>
          </w:tcPr>
          <w:p>
            <w:pPr>
              <w:pStyle w:val="110"/>
              <w:spacing w:line="360" w:lineRule="auto"/>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ascii="仿宋" w:hAnsi="仿宋" w:eastAsia="仿宋" w:cs="仿宋"/>
                <w:sz w:val="24"/>
                <w:szCs w:val="24"/>
              </w:rPr>
            </w:pPr>
          </w:p>
        </w:tc>
        <w:tc>
          <w:tcPr>
            <w:tcW w:w="3402" w:type="dxa"/>
            <w:vAlign w:val="center"/>
          </w:tcPr>
          <w:p>
            <w:pPr>
              <w:pStyle w:val="110"/>
              <w:spacing w:line="360" w:lineRule="auto"/>
              <w:ind w:firstLine="200"/>
              <w:jc w:val="center"/>
              <w:rPr>
                <w:rFonts w:ascii="仿宋" w:hAnsi="仿宋" w:eastAsia="仿宋" w:cs="仿宋"/>
                <w:sz w:val="24"/>
                <w:szCs w:val="24"/>
              </w:rPr>
            </w:pPr>
          </w:p>
        </w:tc>
        <w:tc>
          <w:tcPr>
            <w:tcW w:w="2552" w:type="dxa"/>
            <w:vAlign w:val="center"/>
          </w:tcPr>
          <w:p>
            <w:pPr>
              <w:pStyle w:val="110"/>
              <w:spacing w:line="360" w:lineRule="auto"/>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ascii="仿宋" w:hAnsi="仿宋" w:eastAsia="仿宋" w:cs="仿宋"/>
                <w:sz w:val="24"/>
                <w:szCs w:val="24"/>
              </w:rPr>
            </w:pPr>
          </w:p>
        </w:tc>
        <w:tc>
          <w:tcPr>
            <w:tcW w:w="3402" w:type="dxa"/>
            <w:vAlign w:val="center"/>
          </w:tcPr>
          <w:p>
            <w:pPr>
              <w:pStyle w:val="110"/>
              <w:spacing w:line="360" w:lineRule="auto"/>
              <w:ind w:firstLine="200"/>
              <w:jc w:val="center"/>
              <w:rPr>
                <w:rFonts w:ascii="仿宋" w:hAnsi="仿宋" w:eastAsia="仿宋" w:cs="仿宋"/>
                <w:sz w:val="24"/>
                <w:szCs w:val="24"/>
              </w:rPr>
            </w:pPr>
          </w:p>
        </w:tc>
        <w:tc>
          <w:tcPr>
            <w:tcW w:w="2552" w:type="dxa"/>
            <w:vAlign w:val="center"/>
          </w:tcPr>
          <w:p>
            <w:pPr>
              <w:pStyle w:val="110"/>
              <w:spacing w:line="360" w:lineRule="auto"/>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0"/>
              <w:spacing w:line="360" w:lineRule="auto"/>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110"/>
              <w:spacing w:line="360" w:lineRule="auto"/>
              <w:ind w:firstLine="200"/>
              <w:jc w:val="center"/>
              <w:rPr>
                <w:rFonts w:ascii="仿宋" w:hAnsi="仿宋" w:eastAsia="仿宋" w:cs="仿宋"/>
                <w:sz w:val="24"/>
                <w:szCs w:val="24"/>
              </w:rPr>
            </w:pPr>
          </w:p>
        </w:tc>
      </w:tr>
    </w:tbl>
    <w:p>
      <w:pPr>
        <w:spacing w:line="360" w:lineRule="auto"/>
        <w:ind w:firstLine="482" w:firstLineChars="200"/>
        <w:outlineLvl w:val="0"/>
        <w:rPr>
          <w:rFonts w:ascii="仿宋" w:hAnsi="仿宋" w:eastAsia="仿宋" w:cs="仿宋"/>
          <w:b/>
          <w:sz w:val="24"/>
        </w:rPr>
      </w:pPr>
      <w:bookmarkStart w:id="423" w:name="_Toc30506"/>
      <w:bookmarkStart w:id="424" w:name="_Toc3654"/>
      <w:bookmarkStart w:id="425" w:name="_Toc30158"/>
      <w:bookmarkStart w:id="426" w:name="_Toc26916"/>
      <w:bookmarkStart w:id="427" w:name="_Toc14993"/>
      <w:r>
        <w:rPr>
          <w:rFonts w:hint="eastAsia" w:ascii="仿宋" w:hAnsi="仿宋" w:eastAsia="仿宋" w:cs="仿宋"/>
          <w:b/>
          <w:sz w:val="24"/>
        </w:rPr>
        <w:t>1.4 付款方式和发票开具方式</w:t>
      </w:r>
      <w:bookmarkEnd w:id="423"/>
      <w:bookmarkEnd w:id="424"/>
      <w:bookmarkEnd w:id="425"/>
      <w:bookmarkEnd w:id="426"/>
      <w:bookmarkEnd w:id="427"/>
    </w:p>
    <w:p>
      <w:pPr>
        <w:pStyle w:val="621"/>
        <w:spacing w:before="0" w:beforeAutospacing="0" w:after="0" w:afterAutospacing="0" w:line="360" w:lineRule="auto"/>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s="仿宋"/>
          <w:sz w:val="24"/>
        </w:rPr>
      </w:pPr>
      <w:r>
        <w:rPr>
          <w:rFonts w:hint="eastAsia" w:ascii="仿宋" w:hAnsi="仿宋" w:eastAsia="仿宋" w:cs="仿宋"/>
          <w:sz w:val="24"/>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2" w:firstLineChars="200"/>
        <w:outlineLvl w:val="0"/>
        <w:rPr>
          <w:rFonts w:ascii="仿宋" w:hAnsi="仿宋" w:eastAsia="仿宋" w:cs="仿宋"/>
          <w:b/>
          <w:sz w:val="24"/>
        </w:rPr>
      </w:pPr>
      <w:bookmarkStart w:id="428" w:name="_Toc4760"/>
      <w:bookmarkStart w:id="429" w:name="_Toc31421"/>
      <w:bookmarkStart w:id="430" w:name="_Toc11108"/>
      <w:bookmarkStart w:id="431" w:name="_Toc8772"/>
      <w:bookmarkStart w:id="432" w:name="_Toc3625"/>
      <w:r>
        <w:rPr>
          <w:rFonts w:hint="eastAsia" w:ascii="仿宋" w:hAnsi="仿宋" w:eastAsia="仿宋" w:cs="仿宋"/>
          <w:b/>
          <w:sz w:val="24"/>
        </w:rPr>
        <w:t>1.5 履行期限、地点和方式</w:t>
      </w:r>
      <w:bookmarkEnd w:id="428"/>
      <w:bookmarkEnd w:id="429"/>
      <w:bookmarkEnd w:id="430"/>
      <w:bookmarkEnd w:id="431"/>
      <w:bookmarkEnd w:id="432"/>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ascii="仿宋" w:hAnsi="仿宋" w:eastAsia="仿宋" w:cs="仿宋"/>
          <w:sz w:val="24"/>
          <w:u w:val="single"/>
        </w:rPr>
      </w:pPr>
      <w:bookmarkStart w:id="433" w:name="_Toc5698"/>
      <w:bookmarkStart w:id="434" w:name="_Toc24662"/>
      <w:bookmarkStart w:id="435" w:name="_Toc3079"/>
      <w:bookmarkStart w:id="436" w:name="_Toc2375"/>
      <w:bookmarkStart w:id="437" w:name="_Toc8586"/>
      <w:r>
        <w:rPr>
          <w:rFonts w:hint="eastAsia" w:ascii="仿宋" w:hAnsi="仿宋" w:eastAsia="仿宋" w:cs="仿宋"/>
          <w:b/>
          <w:sz w:val="24"/>
        </w:rPr>
        <w:t>1.6 违约责任</w:t>
      </w:r>
      <w:bookmarkEnd w:id="433"/>
      <w:bookmarkEnd w:id="434"/>
      <w:bookmarkEnd w:id="435"/>
      <w:bookmarkEnd w:id="436"/>
      <w:bookmarkEnd w:id="437"/>
    </w:p>
    <w:p>
      <w:pPr>
        <w:spacing w:line="360" w:lineRule="auto"/>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360" w:lineRule="auto"/>
        <w:ind w:firstLine="482" w:firstLineChars="200"/>
        <w:outlineLvl w:val="0"/>
        <w:rPr>
          <w:rFonts w:ascii="仿宋" w:hAnsi="仿宋" w:eastAsia="仿宋" w:cs="仿宋"/>
          <w:b/>
          <w:sz w:val="24"/>
        </w:rPr>
      </w:pPr>
      <w:bookmarkStart w:id="438" w:name="_Toc9497"/>
      <w:bookmarkStart w:id="439" w:name="_Toc32454"/>
      <w:bookmarkStart w:id="440" w:name="_Toc26807"/>
      <w:bookmarkStart w:id="441" w:name="_Toc30329"/>
      <w:bookmarkStart w:id="442" w:name="_Toc18683"/>
      <w:r>
        <w:rPr>
          <w:rFonts w:hint="eastAsia" w:ascii="仿宋" w:hAnsi="仿宋" w:eastAsia="仿宋" w:cs="仿宋"/>
          <w:b/>
          <w:sz w:val="24"/>
        </w:rPr>
        <w:t>1.7 合同争议的解决</w:t>
      </w:r>
      <w:bookmarkEnd w:id="438"/>
      <w:bookmarkEnd w:id="439"/>
      <w:bookmarkEnd w:id="440"/>
      <w:bookmarkEnd w:id="441"/>
      <w:bookmarkEnd w:id="442"/>
    </w:p>
    <w:p>
      <w:pPr>
        <w:spacing w:line="360" w:lineRule="auto"/>
        <w:ind w:left="-61" w:leftChars="-29" w:right="-420" w:rightChars="-200" w:firstLine="240" w:firstLineChars="1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360" w:lineRule="auto"/>
        <w:ind w:left="-420" w:leftChars="-200" w:right="-420" w:rightChars="-200" w:firstLine="600" w:firstLineChars="25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360" w:lineRule="auto"/>
        <w:ind w:left="-420" w:leftChars="-200" w:right="-420" w:rightChars="-200" w:firstLine="600" w:firstLineChars="25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360" w:lineRule="auto"/>
        <w:ind w:firstLine="241" w:firstLineChars="100"/>
        <w:outlineLvl w:val="0"/>
        <w:rPr>
          <w:rFonts w:ascii="仿宋" w:hAnsi="仿宋" w:eastAsia="仿宋" w:cs="仿宋"/>
          <w:b/>
          <w:sz w:val="24"/>
        </w:rPr>
      </w:pPr>
      <w:bookmarkStart w:id="443" w:name="_Toc23784"/>
      <w:bookmarkStart w:id="444" w:name="_Toc16417"/>
      <w:bookmarkStart w:id="445" w:name="_Toc15827"/>
      <w:bookmarkStart w:id="446" w:name="_Toc12273"/>
      <w:bookmarkStart w:id="447" w:name="_Toc26227"/>
      <w:r>
        <w:rPr>
          <w:rFonts w:hint="eastAsia" w:ascii="仿宋" w:hAnsi="仿宋" w:eastAsia="仿宋" w:cs="仿宋"/>
          <w:b/>
          <w:sz w:val="24"/>
        </w:rPr>
        <w:t>1.8 合同生效</w:t>
      </w:r>
      <w:bookmarkEnd w:id="443"/>
      <w:bookmarkEnd w:id="444"/>
      <w:bookmarkEnd w:id="445"/>
      <w:bookmarkEnd w:id="446"/>
      <w:bookmarkEnd w:id="447"/>
    </w:p>
    <w:p>
      <w:pPr>
        <w:spacing w:line="360" w:lineRule="auto"/>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360" w:lineRule="auto"/>
        <w:rPr>
          <w:rFonts w:ascii="仿宋" w:hAnsi="仿宋" w:eastAsia="仿宋" w:cs="仿宋"/>
          <w:sz w:val="24"/>
          <w:lang w:val="zh-CN"/>
        </w:rPr>
      </w:pPr>
    </w:p>
    <w:p>
      <w:pPr>
        <w:autoSpaceDE w:val="0"/>
        <w:autoSpaceDN w:val="0"/>
        <w:spacing w:line="360" w:lineRule="auto"/>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360" w:lineRule="auto"/>
        <w:rPr>
          <w:rFonts w:ascii="仿宋" w:hAnsi="仿宋" w:eastAsia="仿宋" w:cs="仿宋"/>
          <w:sz w:val="24"/>
          <w:lang w:val="zh-CN"/>
        </w:rPr>
      </w:pP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360" w:lineRule="auto"/>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360" w:lineRule="auto"/>
        <w:rPr>
          <w:rFonts w:ascii="仿宋" w:hAnsi="仿宋" w:eastAsia="仿宋" w:cs="仿宋"/>
          <w:sz w:val="24"/>
        </w:rPr>
      </w:pPr>
      <w:r>
        <w:rPr>
          <w:rFonts w:hint="eastAsia" w:ascii="仿宋" w:hAnsi="仿宋" w:eastAsia="仿宋" w:cs="仿宋"/>
          <w:sz w:val="24"/>
        </w:rPr>
        <w:t>开户账号：                               开户账号：</w:t>
      </w:r>
    </w:p>
    <w:p>
      <w:pPr>
        <w:widowControl/>
        <w:spacing w:line="360" w:lineRule="auto"/>
        <w:jc w:val="left"/>
        <w:rPr>
          <w:rFonts w:ascii="仿宋" w:hAnsi="仿宋" w:eastAsia="仿宋" w:cs="仿宋"/>
          <w:b/>
          <w:sz w:val="24"/>
        </w:rPr>
      </w:pPr>
    </w:p>
    <w:p>
      <w:pPr>
        <w:widowControl/>
        <w:adjustRightInd/>
        <w:spacing w:line="360" w:lineRule="auto"/>
        <w:jc w:val="left"/>
        <w:rPr>
          <w:rFonts w:ascii="仿宋" w:hAnsi="仿宋" w:eastAsia="仿宋" w:cs="仿宋"/>
          <w:b/>
          <w:sz w:val="24"/>
        </w:rPr>
      </w:pPr>
      <w:r>
        <w:rPr>
          <w:rFonts w:hint="eastAsia" w:ascii="仿宋" w:hAnsi="仿宋" w:eastAsia="仿宋" w:cs="仿宋"/>
          <w:b/>
        </w:rPr>
        <w:br w:type="page"/>
      </w:r>
    </w:p>
    <w:p>
      <w:pPr>
        <w:pStyle w:val="389"/>
        <w:ind w:firstLine="482"/>
        <w:jc w:val="center"/>
        <w:rPr>
          <w:rFonts w:ascii="仿宋" w:hAnsi="仿宋" w:eastAsia="仿宋" w:cs="仿宋"/>
          <w:b/>
          <w:szCs w:val="24"/>
        </w:rPr>
      </w:pPr>
      <w:r>
        <w:rPr>
          <w:rFonts w:hint="eastAsia" w:ascii="仿宋" w:hAnsi="仿宋" w:eastAsia="仿宋" w:cs="仿宋"/>
          <w:b/>
          <w:szCs w:val="24"/>
        </w:rPr>
        <w:t>第二部分合同一般条款</w:t>
      </w:r>
    </w:p>
    <w:p>
      <w:pPr>
        <w:spacing w:line="360" w:lineRule="auto"/>
        <w:ind w:firstLine="482" w:firstLineChars="200"/>
        <w:outlineLvl w:val="0"/>
        <w:rPr>
          <w:rFonts w:ascii="仿宋" w:hAnsi="仿宋" w:eastAsia="仿宋" w:cs="仿宋"/>
          <w:b/>
          <w:sz w:val="24"/>
        </w:rPr>
      </w:pPr>
      <w:bookmarkStart w:id="448" w:name="_Toc25079"/>
      <w:bookmarkStart w:id="449" w:name="_Toc5228"/>
      <w:bookmarkStart w:id="450" w:name="_Toc19680"/>
      <w:bookmarkStart w:id="451" w:name="_Toc31297"/>
      <w:bookmarkStart w:id="452" w:name="_Toc14021"/>
      <w:r>
        <w:rPr>
          <w:rFonts w:hint="eastAsia" w:ascii="仿宋" w:hAnsi="仿宋" w:eastAsia="仿宋" w:cs="仿宋"/>
          <w:b/>
          <w:sz w:val="24"/>
        </w:rPr>
        <w:t>2.1 定义</w:t>
      </w:r>
      <w:bookmarkEnd w:id="448"/>
      <w:bookmarkEnd w:id="449"/>
      <w:bookmarkEnd w:id="450"/>
      <w:bookmarkEnd w:id="451"/>
      <w:bookmarkEnd w:id="452"/>
    </w:p>
    <w:p>
      <w:pPr>
        <w:spacing w:line="360" w:lineRule="auto"/>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360" w:lineRule="auto"/>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360" w:lineRule="auto"/>
        <w:ind w:firstLine="480" w:firstLineChars="200"/>
        <w:rPr>
          <w:rFonts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360" w:lineRule="auto"/>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pPr>
        <w:spacing w:line="360" w:lineRule="auto"/>
        <w:ind w:firstLine="482" w:firstLineChars="200"/>
        <w:outlineLvl w:val="0"/>
        <w:rPr>
          <w:rFonts w:ascii="仿宋" w:hAnsi="仿宋" w:eastAsia="仿宋" w:cs="仿宋"/>
          <w:b/>
          <w:sz w:val="24"/>
        </w:rPr>
      </w:pPr>
      <w:bookmarkStart w:id="453" w:name="_Toc3769"/>
      <w:bookmarkStart w:id="454" w:name="_Toc31402"/>
      <w:bookmarkStart w:id="455" w:name="_Toc23289"/>
      <w:bookmarkStart w:id="456" w:name="_Toc16752"/>
      <w:bookmarkStart w:id="457" w:name="_Toc19539"/>
      <w:r>
        <w:rPr>
          <w:rFonts w:hint="eastAsia" w:ascii="仿宋" w:hAnsi="仿宋" w:eastAsia="仿宋" w:cs="仿宋"/>
          <w:b/>
          <w:sz w:val="24"/>
        </w:rPr>
        <w:t>2.2 技术规范</w:t>
      </w:r>
      <w:bookmarkEnd w:id="453"/>
      <w:bookmarkEnd w:id="454"/>
      <w:bookmarkEnd w:id="455"/>
      <w:bookmarkEnd w:id="456"/>
      <w:bookmarkEnd w:id="457"/>
    </w:p>
    <w:p>
      <w:pPr>
        <w:spacing w:line="360" w:lineRule="auto"/>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 w:hAnsi="仿宋" w:eastAsia="仿宋" w:cs="仿宋"/>
          <w:b/>
          <w:sz w:val="24"/>
        </w:rPr>
      </w:pPr>
      <w:bookmarkStart w:id="458" w:name="_Toc13673"/>
      <w:bookmarkStart w:id="459" w:name="_Toc4133"/>
      <w:bookmarkStart w:id="460" w:name="_Toc12412"/>
      <w:bookmarkStart w:id="461" w:name="_Toc9161"/>
      <w:bookmarkStart w:id="462" w:name="_Toc27945"/>
      <w:r>
        <w:rPr>
          <w:rFonts w:hint="eastAsia" w:ascii="仿宋" w:hAnsi="仿宋" w:eastAsia="仿宋" w:cs="仿宋"/>
          <w:b/>
          <w:sz w:val="24"/>
        </w:rPr>
        <w:t>2.3 知识产权</w:t>
      </w:r>
      <w:bookmarkEnd w:id="458"/>
      <w:bookmarkEnd w:id="459"/>
      <w:bookmarkEnd w:id="460"/>
      <w:bookmarkEnd w:id="461"/>
      <w:bookmarkEnd w:id="462"/>
    </w:p>
    <w:p>
      <w:pPr>
        <w:spacing w:line="360" w:lineRule="auto"/>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2.4 履约检查和问题反馈</w:t>
      </w:r>
    </w:p>
    <w:p>
      <w:pPr>
        <w:spacing w:line="360" w:lineRule="auto"/>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cs="仿宋"/>
          <w:b/>
          <w:sz w:val="24"/>
        </w:rPr>
      </w:pPr>
      <w:bookmarkStart w:id="463" w:name="_Toc31233"/>
      <w:bookmarkStart w:id="464" w:name="_Toc32670"/>
      <w:bookmarkStart w:id="465" w:name="_Toc22011"/>
      <w:bookmarkStart w:id="466" w:name="_Toc15447"/>
      <w:bookmarkStart w:id="467" w:name="_Toc26555"/>
      <w:r>
        <w:rPr>
          <w:rFonts w:hint="eastAsia" w:ascii="仿宋" w:hAnsi="仿宋" w:eastAsia="仿宋" w:cs="仿宋"/>
          <w:b/>
          <w:sz w:val="24"/>
        </w:rPr>
        <w:t>2.5 结算方式和付款条件</w:t>
      </w:r>
      <w:bookmarkEnd w:id="463"/>
      <w:bookmarkEnd w:id="464"/>
      <w:bookmarkEnd w:id="465"/>
      <w:bookmarkEnd w:id="466"/>
      <w:bookmarkEnd w:id="467"/>
    </w:p>
    <w:p>
      <w:pPr>
        <w:spacing w:line="360" w:lineRule="auto"/>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ascii="仿宋" w:hAnsi="仿宋" w:eastAsia="仿宋" w:cs="仿宋"/>
          <w:b/>
          <w:sz w:val="24"/>
        </w:rPr>
      </w:pPr>
      <w:bookmarkStart w:id="468" w:name="_Toc16163"/>
      <w:bookmarkStart w:id="469" w:name="_Toc30507"/>
      <w:bookmarkStart w:id="470" w:name="_Toc13154"/>
      <w:bookmarkStart w:id="471" w:name="_Toc18990"/>
      <w:bookmarkStart w:id="472" w:name="_Toc13467"/>
      <w:r>
        <w:rPr>
          <w:rFonts w:hint="eastAsia" w:ascii="仿宋" w:hAnsi="仿宋" w:eastAsia="仿宋" w:cs="仿宋"/>
          <w:b/>
          <w:sz w:val="24"/>
        </w:rPr>
        <w:t>2.6 技术资料和保密义务</w:t>
      </w:r>
      <w:bookmarkEnd w:id="468"/>
      <w:bookmarkEnd w:id="469"/>
      <w:bookmarkEnd w:id="470"/>
      <w:bookmarkEnd w:id="471"/>
      <w:bookmarkEnd w:id="472"/>
    </w:p>
    <w:p>
      <w:pPr>
        <w:spacing w:line="360" w:lineRule="auto"/>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360" w:lineRule="auto"/>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cs="仿宋"/>
          <w:b/>
          <w:sz w:val="24"/>
        </w:rPr>
      </w:pPr>
      <w:bookmarkStart w:id="473" w:name="_Toc19069"/>
      <w:r>
        <w:rPr>
          <w:rFonts w:hint="eastAsia" w:ascii="仿宋" w:hAnsi="仿宋" w:eastAsia="仿宋" w:cs="仿宋"/>
          <w:b/>
          <w:sz w:val="24"/>
        </w:rPr>
        <w:t>2.7 质量保证</w:t>
      </w:r>
      <w:bookmarkEnd w:id="473"/>
    </w:p>
    <w:p>
      <w:pPr>
        <w:spacing w:line="360" w:lineRule="auto"/>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360" w:lineRule="auto"/>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cs="仿宋"/>
          <w:b/>
          <w:sz w:val="24"/>
        </w:rPr>
      </w:pPr>
      <w:bookmarkStart w:id="474" w:name="_Toc22267"/>
      <w:r>
        <w:rPr>
          <w:rFonts w:hint="eastAsia" w:ascii="仿宋" w:hAnsi="仿宋" w:eastAsia="仿宋" w:cs="仿宋"/>
          <w:b/>
          <w:sz w:val="24"/>
        </w:rPr>
        <w:t>2.8 延迟履行</w:t>
      </w:r>
      <w:bookmarkEnd w:id="474"/>
    </w:p>
    <w:p>
      <w:pPr>
        <w:spacing w:line="360" w:lineRule="auto"/>
        <w:ind w:firstLine="480" w:firstLineChars="200"/>
        <w:rPr>
          <w:rFonts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ascii="仿宋" w:hAnsi="仿宋" w:eastAsia="仿宋" w:cs="仿宋"/>
          <w:b/>
          <w:sz w:val="24"/>
        </w:rPr>
      </w:pPr>
      <w:bookmarkStart w:id="475" w:name="_Toc10611"/>
      <w:r>
        <w:rPr>
          <w:rFonts w:hint="eastAsia" w:ascii="仿宋" w:hAnsi="仿宋" w:eastAsia="仿宋" w:cs="仿宋"/>
          <w:b/>
          <w:sz w:val="24"/>
        </w:rPr>
        <w:t>2.9 合同变更</w:t>
      </w:r>
      <w:bookmarkEnd w:id="475"/>
    </w:p>
    <w:p>
      <w:pPr>
        <w:spacing w:line="360" w:lineRule="auto"/>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cs="仿宋"/>
          <w:b/>
          <w:sz w:val="24"/>
        </w:rPr>
      </w:pPr>
      <w:bookmarkStart w:id="476" w:name="_Toc26689"/>
      <w:bookmarkStart w:id="477" w:name="_Toc23368"/>
      <w:bookmarkStart w:id="478" w:name="_Toc42"/>
      <w:bookmarkStart w:id="479" w:name="_Toc10663"/>
      <w:bookmarkStart w:id="480" w:name="_Toc21830"/>
      <w:r>
        <w:rPr>
          <w:rFonts w:hint="eastAsia" w:ascii="仿宋" w:hAnsi="仿宋" w:eastAsia="仿宋" w:cs="仿宋"/>
          <w:b/>
          <w:sz w:val="24"/>
        </w:rPr>
        <w:t>2.10 合同转让和分包</w:t>
      </w:r>
      <w:bookmarkEnd w:id="476"/>
      <w:bookmarkEnd w:id="477"/>
      <w:bookmarkEnd w:id="478"/>
      <w:bookmarkEnd w:id="479"/>
      <w:bookmarkEnd w:id="480"/>
    </w:p>
    <w:p>
      <w:pPr>
        <w:spacing w:line="360" w:lineRule="auto"/>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 w:hAnsi="仿宋" w:eastAsia="仿宋" w:cs="仿宋"/>
          <w:b/>
          <w:sz w:val="24"/>
        </w:rPr>
      </w:pPr>
      <w:bookmarkStart w:id="481" w:name="_Toc26633"/>
      <w:bookmarkStart w:id="482" w:name="_Toc25571"/>
      <w:bookmarkStart w:id="483" w:name="_Toc14371"/>
      <w:bookmarkStart w:id="484" w:name="_Toc32494"/>
      <w:bookmarkStart w:id="485" w:name="_Toc4720"/>
      <w:r>
        <w:rPr>
          <w:rFonts w:hint="eastAsia" w:ascii="仿宋" w:hAnsi="仿宋" w:eastAsia="仿宋" w:cs="仿宋"/>
          <w:b/>
          <w:sz w:val="24"/>
        </w:rPr>
        <w:t>2.11 不可抗力</w:t>
      </w:r>
      <w:bookmarkEnd w:id="481"/>
      <w:bookmarkEnd w:id="482"/>
      <w:bookmarkEnd w:id="483"/>
      <w:bookmarkEnd w:id="484"/>
      <w:bookmarkEnd w:id="485"/>
    </w:p>
    <w:p>
      <w:pPr>
        <w:spacing w:line="360" w:lineRule="auto"/>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360" w:lineRule="auto"/>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360" w:lineRule="auto"/>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360" w:lineRule="auto"/>
        <w:ind w:firstLine="482" w:firstLineChars="200"/>
        <w:outlineLvl w:val="0"/>
        <w:rPr>
          <w:rFonts w:ascii="仿宋" w:hAnsi="仿宋" w:eastAsia="仿宋" w:cs="仿宋"/>
          <w:b/>
          <w:sz w:val="24"/>
        </w:rPr>
      </w:pPr>
      <w:bookmarkStart w:id="486" w:name="_Toc3638"/>
      <w:bookmarkStart w:id="487" w:name="_Toc14115"/>
      <w:bookmarkStart w:id="488" w:name="_Toc25783"/>
      <w:bookmarkStart w:id="489" w:name="_Toc23854"/>
      <w:bookmarkStart w:id="490" w:name="_Toc24465"/>
      <w:r>
        <w:rPr>
          <w:rFonts w:hint="eastAsia" w:ascii="仿宋" w:hAnsi="仿宋" w:eastAsia="仿宋" w:cs="仿宋"/>
          <w:b/>
          <w:sz w:val="24"/>
        </w:rPr>
        <w:t>2.12 税费</w:t>
      </w:r>
      <w:bookmarkEnd w:id="486"/>
      <w:bookmarkEnd w:id="487"/>
      <w:bookmarkEnd w:id="488"/>
      <w:bookmarkEnd w:id="489"/>
      <w:bookmarkEnd w:id="490"/>
    </w:p>
    <w:p>
      <w:pPr>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360" w:lineRule="auto"/>
        <w:ind w:firstLine="482" w:firstLineChars="200"/>
        <w:outlineLvl w:val="0"/>
        <w:rPr>
          <w:rFonts w:ascii="仿宋" w:hAnsi="仿宋" w:eastAsia="仿宋" w:cs="仿宋"/>
          <w:b/>
          <w:sz w:val="24"/>
        </w:rPr>
      </w:pPr>
      <w:bookmarkStart w:id="491" w:name="_Toc14814"/>
      <w:bookmarkStart w:id="492" w:name="_Toc25525"/>
      <w:bookmarkStart w:id="493" w:name="_Toc7315"/>
      <w:bookmarkStart w:id="494" w:name="_Toc26883"/>
      <w:bookmarkStart w:id="495" w:name="_Toc30105"/>
      <w:r>
        <w:rPr>
          <w:rFonts w:hint="eastAsia" w:ascii="仿宋" w:hAnsi="仿宋" w:eastAsia="仿宋" w:cs="仿宋"/>
          <w:b/>
          <w:sz w:val="24"/>
        </w:rPr>
        <w:t>2.13 乙方破产</w:t>
      </w:r>
      <w:bookmarkEnd w:id="491"/>
      <w:bookmarkEnd w:id="492"/>
      <w:bookmarkEnd w:id="493"/>
      <w:bookmarkEnd w:id="494"/>
      <w:bookmarkEnd w:id="495"/>
    </w:p>
    <w:p>
      <w:pPr>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 w:hAnsi="仿宋" w:eastAsia="仿宋" w:cs="仿宋"/>
          <w:b/>
          <w:sz w:val="24"/>
        </w:rPr>
      </w:pPr>
      <w:bookmarkStart w:id="496" w:name="_Toc1123"/>
      <w:bookmarkStart w:id="497" w:name="_Toc23323"/>
      <w:bookmarkStart w:id="498" w:name="_Toc2016"/>
      <w:r>
        <w:rPr>
          <w:rFonts w:hint="eastAsia" w:ascii="仿宋" w:hAnsi="仿宋" w:eastAsia="仿宋" w:cs="仿宋"/>
          <w:b/>
          <w:sz w:val="24"/>
        </w:rPr>
        <w:t>2.14 合同中止、终止</w:t>
      </w:r>
      <w:bookmarkEnd w:id="496"/>
      <w:bookmarkEnd w:id="497"/>
      <w:bookmarkEnd w:id="498"/>
    </w:p>
    <w:p>
      <w:pPr>
        <w:spacing w:line="360" w:lineRule="auto"/>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cs="仿宋"/>
          <w:b/>
          <w:sz w:val="24"/>
        </w:rPr>
      </w:pPr>
      <w:bookmarkStart w:id="499" w:name="_Toc1969"/>
      <w:bookmarkStart w:id="500" w:name="_Toc14525"/>
      <w:bookmarkStart w:id="501" w:name="_Toc17363"/>
      <w:r>
        <w:rPr>
          <w:rFonts w:hint="eastAsia" w:ascii="仿宋" w:hAnsi="仿宋" w:eastAsia="仿宋" w:cs="仿宋"/>
          <w:b/>
          <w:sz w:val="24"/>
        </w:rPr>
        <w:t>2.15 检验和验收</w:t>
      </w:r>
      <w:bookmarkEnd w:id="499"/>
      <w:bookmarkEnd w:id="500"/>
      <w:bookmarkEnd w:id="501"/>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360" w:lineRule="auto"/>
        <w:ind w:firstLine="482" w:firstLineChars="200"/>
        <w:outlineLvl w:val="0"/>
        <w:rPr>
          <w:rFonts w:ascii="仿宋" w:hAnsi="仿宋" w:eastAsia="仿宋" w:cs="仿宋"/>
          <w:b/>
          <w:sz w:val="24"/>
        </w:rPr>
      </w:pPr>
      <w:bookmarkStart w:id="502" w:name="_Toc12666"/>
      <w:bookmarkStart w:id="503" w:name="_Toc31892"/>
      <w:bookmarkStart w:id="504" w:name="_Toc2308"/>
      <w:bookmarkStart w:id="505" w:name="_Toc9808"/>
      <w:bookmarkStart w:id="506" w:name="_Toc25198"/>
      <w:r>
        <w:rPr>
          <w:rFonts w:hint="eastAsia" w:ascii="仿宋" w:hAnsi="仿宋" w:eastAsia="仿宋" w:cs="仿宋"/>
          <w:b/>
          <w:sz w:val="24"/>
        </w:rPr>
        <w:t>2.16 通知和送达</w:t>
      </w:r>
      <w:bookmarkEnd w:id="502"/>
      <w:bookmarkEnd w:id="503"/>
      <w:bookmarkEnd w:id="504"/>
      <w:bookmarkEnd w:id="505"/>
      <w:bookmarkEnd w:id="506"/>
    </w:p>
    <w:p>
      <w:pPr>
        <w:spacing w:line="360" w:lineRule="auto"/>
        <w:ind w:firstLine="480" w:firstLineChars="200"/>
        <w:rPr>
          <w:rFonts w:ascii="仿宋" w:hAnsi="仿宋" w:eastAsia="仿宋" w:cs="仿宋"/>
          <w:sz w:val="24"/>
        </w:rPr>
      </w:pPr>
      <w:bookmarkStart w:id="507" w:name="_Toc18401"/>
      <w:bookmarkStart w:id="508" w:name="_Toc27674"/>
      <w:r>
        <w:rPr>
          <w:rFonts w:hint="eastAsia" w:ascii="仿宋" w:hAnsi="仿宋" w:eastAsia="仿宋" w:cs="仿宋"/>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7"/>
      <w:bookmarkEnd w:id="508"/>
    </w:p>
    <w:p>
      <w:pPr>
        <w:spacing w:line="360" w:lineRule="auto"/>
        <w:ind w:firstLine="482" w:firstLineChars="200"/>
        <w:outlineLvl w:val="0"/>
        <w:rPr>
          <w:rFonts w:ascii="仿宋" w:hAnsi="仿宋" w:eastAsia="仿宋" w:cs="仿宋"/>
          <w:b/>
          <w:sz w:val="24"/>
        </w:rPr>
      </w:pPr>
      <w:bookmarkStart w:id="509" w:name="_Toc28906"/>
      <w:bookmarkStart w:id="510" w:name="_Toc5063"/>
      <w:bookmarkStart w:id="511" w:name="_Toc20808"/>
      <w:bookmarkStart w:id="512" w:name="_Toc27644"/>
      <w:bookmarkStart w:id="513" w:name="_Toc12254"/>
      <w:r>
        <w:rPr>
          <w:rFonts w:hint="eastAsia" w:ascii="仿宋" w:hAnsi="仿宋" w:eastAsia="仿宋" w:cs="仿宋"/>
          <w:b/>
          <w:sz w:val="24"/>
        </w:rPr>
        <w:t>2.17 合同使用的文字和适用的法律</w:t>
      </w:r>
      <w:bookmarkEnd w:id="509"/>
      <w:bookmarkEnd w:id="510"/>
      <w:bookmarkEnd w:id="511"/>
      <w:bookmarkEnd w:id="512"/>
      <w:bookmarkEnd w:id="513"/>
    </w:p>
    <w:p>
      <w:pPr>
        <w:spacing w:line="360" w:lineRule="auto"/>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pPr>
        <w:spacing w:line="360" w:lineRule="auto"/>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pPr>
        <w:spacing w:line="360" w:lineRule="auto"/>
        <w:ind w:firstLine="482" w:firstLineChars="200"/>
        <w:outlineLvl w:val="0"/>
        <w:rPr>
          <w:rFonts w:ascii="仿宋" w:hAnsi="仿宋" w:eastAsia="仿宋" w:cs="仿宋"/>
          <w:b/>
          <w:sz w:val="24"/>
        </w:rPr>
      </w:pPr>
      <w:bookmarkStart w:id="514" w:name="_Toc27403"/>
      <w:bookmarkStart w:id="515" w:name="_Toc30096"/>
      <w:bookmarkStart w:id="516" w:name="_Toc22266"/>
      <w:bookmarkStart w:id="517" w:name="_Toc27127"/>
      <w:bookmarkStart w:id="518" w:name="_Toc1492"/>
      <w:r>
        <w:rPr>
          <w:rFonts w:hint="eastAsia" w:ascii="仿宋" w:hAnsi="仿宋" w:eastAsia="仿宋" w:cs="仿宋"/>
          <w:b/>
          <w:sz w:val="24"/>
        </w:rPr>
        <w:t>2.18 履约保证金</w:t>
      </w:r>
      <w:bookmarkEnd w:id="514"/>
      <w:bookmarkEnd w:id="515"/>
      <w:bookmarkEnd w:id="516"/>
      <w:bookmarkEnd w:id="517"/>
      <w:bookmarkEnd w:id="518"/>
    </w:p>
    <w:p>
      <w:pPr>
        <w:pStyle w:val="621"/>
        <w:spacing w:before="0" w:beforeAutospacing="0" w:after="0" w:afterAutospacing="0" w:line="360" w:lineRule="auto"/>
        <w:ind w:firstLine="420"/>
        <w:rPr>
          <w:rFonts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b/>
          <w:i/>
          <w:sz w:val="24"/>
          <w:u w:val="single"/>
        </w:rPr>
        <w:t>合同专用条款</w:t>
      </w:r>
      <w:r>
        <w:rPr>
          <w:rFonts w:hint="eastAsia" w:ascii="仿宋" w:hAnsi="仿宋" w:eastAsia="仿宋" w:cs="仿宋"/>
          <w:sz w:val="24"/>
        </w:rPr>
        <w:t>个工作日内将履约保证金退还乙方，逾期退还的，乙方可要求甲方支付违约金，违约金按每迟延退还一日的应退还而未退还金额的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s="仿宋"/>
        </w:rPr>
      </w:pPr>
      <w:r>
        <w:rPr>
          <w:rFonts w:hint="eastAsia" w:ascii="仿宋" w:hAnsi="仿宋" w:eastAsia="仿宋" w:cs="仿宋"/>
          <w:sz w:val="24"/>
        </w:rPr>
        <w:t>2.18.4 甲方在乙方履行完合同约定义务事项后及时退还，延迟退还的，应当按照合同约定和法律规定承担相应的赔偿责任。</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2.20合同份数</w:t>
      </w:r>
    </w:p>
    <w:p>
      <w:pPr>
        <w:spacing w:line="360" w:lineRule="auto"/>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19" w:name="_Toc331685784"/>
      <w:bookmarkEnd w:id="519"/>
      <w:r>
        <w:rPr>
          <w:rFonts w:hint="eastAsia" w:ascii="仿宋" w:hAnsi="仿宋" w:eastAsia="仿宋" w:cs="仿宋"/>
          <w:b/>
          <w:sz w:val="24"/>
        </w:rPr>
        <w:t>第三部分  合同专用条款</w:t>
      </w:r>
    </w:p>
    <w:p>
      <w:pPr>
        <w:spacing w:line="360" w:lineRule="auto"/>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条款号</w:t>
            </w:r>
          </w:p>
        </w:tc>
        <w:tc>
          <w:tcPr>
            <w:tcW w:w="7558"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1.4.4</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 xml:space="preserve">1.5.1 </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1.5.2</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 xml:space="preserve">1.5.3 </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1.6.7</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1.7</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1.7.1</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1.7.2</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2.3.2</w:t>
            </w:r>
          </w:p>
        </w:tc>
        <w:tc>
          <w:tcPr>
            <w:tcW w:w="7558" w:type="dxa"/>
            <w:vAlign w:val="center"/>
          </w:tcPr>
          <w:p>
            <w:pPr>
              <w:spacing w:line="360" w:lineRule="auto"/>
              <w:ind w:left="-420" w:leftChars="-200" w:right="-420" w:rightChars="-200" w:firstLine="480" w:firstLineChars="200"/>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2.5</w:t>
            </w:r>
          </w:p>
        </w:tc>
        <w:tc>
          <w:tcPr>
            <w:tcW w:w="7558" w:type="dxa"/>
            <w:vAlign w:val="center"/>
          </w:tcPr>
          <w:p>
            <w:pPr>
              <w:spacing w:line="360" w:lineRule="auto"/>
              <w:ind w:left="-420" w:leftChars="-200" w:right="-420" w:rightChars="-200" w:firstLine="480" w:firstLineChars="200"/>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2.11.3</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pPr>
              <w:spacing w:line="360" w:lineRule="auto"/>
              <w:rPr>
                <w:rFonts w:ascii="仿宋" w:hAnsi="仿宋" w:eastAsia="仿宋" w:cs="仿宋"/>
                <w:sz w:val="24"/>
                <w:szCs w:val="20"/>
              </w:rPr>
            </w:pPr>
            <w:r>
              <w:rPr>
                <w:rFonts w:hint="eastAsia" w:ascii="仿宋" w:hAnsi="仿宋" w:eastAsia="仿宋" w:cs="仿宋"/>
                <w:sz w:val="24"/>
                <w:szCs w:val="20"/>
              </w:rPr>
              <w:t>2.11.4</w:t>
            </w:r>
          </w:p>
        </w:tc>
        <w:tc>
          <w:tcPr>
            <w:tcW w:w="7558" w:type="dxa"/>
            <w:vAlign w:val="top"/>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2.15.1</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2.15.3</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2.18.1</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2.18.2</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pPr>
              <w:spacing w:line="360" w:lineRule="auto"/>
              <w:rPr>
                <w:rFonts w:ascii="仿宋" w:hAnsi="仿宋" w:eastAsia="仿宋" w:cs="仿宋"/>
                <w:sz w:val="24"/>
                <w:szCs w:val="20"/>
              </w:rPr>
            </w:pPr>
            <w:r>
              <w:rPr>
                <w:rFonts w:hint="eastAsia" w:ascii="仿宋" w:hAnsi="仿宋" w:eastAsia="仿宋" w:cs="仿宋"/>
                <w:sz w:val="24"/>
                <w:szCs w:val="20"/>
              </w:rPr>
              <w:t>2.20</w:t>
            </w:r>
          </w:p>
        </w:tc>
        <w:tc>
          <w:tcPr>
            <w:tcW w:w="7558" w:type="dxa"/>
            <w:vAlign w:val="top"/>
          </w:tcPr>
          <w:p>
            <w:pPr>
              <w:spacing w:line="360" w:lineRule="auto"/>
              <w:rPr>
                <w:rFonts w:ascii="仿宋" w:hAnsi="仿宋" w:eastAsia="仿宋" w:cs="仿宋"/>
                <w:sz w:val="24"/>
                <w:szCs w:val="20"/>
              </w:rPr>
            </w:pPr>
          </w:p>
        </w:tc>
      </w:tr>
    </w:tbl>
    <w:p>
      <w:pPr>
        <w:spacing w:line="360" w:lineRule="auto"/>
        <w:ind w:left="-420" w:leftChars="-200" w:right="-420" w:rightChars="-200" w:firstLine="480" w:firstLineChars="200"/>
        <w:rPr>
          <w:rFonts w:ascii="仿宋" w:hAnsi="仿宋" w:eastAsia="仿宋" w:cs="仿宋"/>
          <w:sz w:val="24"/>
        </w:rPr>
      </w:pPr>
      <w:r>
        <w:rPr>
          <w:rFonts w:hint="eastAsia" w:ascii="仿宋" w:hAnsi="仿宋" w:eastAsia="仿宋" w:cs="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仿宋"/>
          <w:sz w:val="24"/>
        </w:rPr>
      </w:pPr>
    </w:p>
    <w:p>
      <w:pPr>
        <w:spacing w:line="360" w:lineRule="auto"/>
        <w:ind w:left="-420" w:leftChars="-200" w:right="-420" w:rightChars="-20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420" w:leftChars="-200" w:right="-420" w:rightChars="-200" w:firstLine="723" w:firstLineChars="200"/>
        <w:rPr>
          <w:rFonts w:ascii="仿宋" w:hAnsi="仿宋" w:eastAsia="仿宋" w:cs="仿宋"/>
          <w:sz w:val="24"/>
        </w:rPr>
      </w:pPr>
      <w:r>
        <w:rPr>
          <w:rFonts w:hint="eastAsia" w:ascii="仿宋" w:hAnsi="仿宋" w:eastAsia="仿宋" w:cs="仿宋"/>
          <w:b/>
          <w:sz w:val="36"/>
          <w:szCs w:val="20"/>
        </w:rPr>
        <w:br w:type="page"/>
      </w:r>
    </w:p>
    <w:p>
      <w:pPr>
        <w:spacing w:line="360" w:lineRule="auto"/>
        <w:ind w:left="-420" w:leftChars="-200" w:right="-420" w:rightChars="-200" w:firstLine="480" w:firstLineChars="200"/>
        <w:rPr>
          <w:rFonts w:ascii="仿宋" w:hAnsi="仿宋" w:eastAsia="仿宋" w:cs="仿宋"/>
          <w:sz w:val="24"/>
        </w:rPr>
      </w:pPr>
    </w:p>
    <w:p>
      <w:pPr>
        <w:widowControl/>
        <w:adjustRightInd/>
        <w:spacing w:line="360" w:lineRule="auto"/>
        <w:jc w:val="left"/>
        <w:rPr>
          <w:rFonts w:ascii="仿宋" w:hAnsi="仿宋" w:eastAsia="仿宋" w:cs="仿宋"/>
          <w:b/>
          <w:sz w:val="36"/>
          <w:szCs w:val="20"/>
        </w:rPr>
      </w:pPr>
    </w:p>
    <w:p>
      <w:pPr>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第六部分</w:t>
      </w:r>
      <w:bookmarkEnd w:id="406"/>
      <w:bookmarkEnd w:id="407"/>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eastAsia="仿宋" w:cs="仿宋"/>
          <w:sz w:val="24"/>
          <w:u w:val="single"/>
        </w:rPr>
        <w:t>（采购编号）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lang w:val="zh-CN"/>
        </w:rPr>
      </w:pPr>
    </w:p>
    <w:p>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投标人（或联合体牵头人）名称(电子签名)：</w:t>
      </w:r>
    </w:p>
    <w:p>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adjustRightInd/>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spacing w:line="360" w:lineRule="auto"/>
        <w:ind w:firstLine="482" w:firstLineChars="200"/>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spacing w:line="360" w:lineRule="auto"/>
        <w:ind w:firstLine="480" w:firstLineChars="200"/>
        <w:rPr>
          <w:rFonts w:ascii="仿宋" w:hAnsi="仿宋" w:eastAsia="仿宋" w:cs="仿宋"/>
          <w:sz w:val="24"/>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（根据招标公告本项目的特定资格要求提供相应的材料；具备国家测绘与地理信息管理部门颁发的测绘甲级及以上资质(专业范围必须包含工程测量、测绘航空摄影)）</w:t>
      </w:r>
    </w:p>
    <w:p>
      <w:pPr>
        <w:spacing w:line="360" w:lineRule="auto"/>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widowControl/>
        <w:adjustRightInd/>
        <w:spacing w:line="360" w:lineRule="auto"/>
        <w:jc w:val="left"/>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pacing w:line="360" w:lineRule="auto"/>
        <w:rPr>
          <w:rFonts w:ascii="仿宋" w:hAnsi="仿宋" w:eastAsia="仿宋" w:cs="仿宋"/>
          <w:b/>
          <w:kern w:val="0"/>
          <w:sz w:val="32"/>
          <w:szCs w:val="32"/>
          <w:lang w:val="zh-CN"/>
        </w:rPr>
      </w:pPr>
    </w:p>
    <w:p>
      <w:pPr>
        <w:widowControl/>
        <w:adjustRightInd/>
        <w:spacing w:line="360" w:lineRule="auto"/>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20" w:name="_Hlk101257010"/>
      <w:r>
        <w:rPr>
          <w:rFonts w:hint="eastAsia" w:ascii="仿宋" w:hAnsi="仿宋" w:eastAsia="仿宋" w:cs="仿宋"/>
          <w:sz w:val="24"/>
        </w:rPr>
        <w:t>（如果有)</w:t>
      </w:r>
      <w:bookmarkEnd w:id="520"/>
      <w:r>
        <w:rPr>
          <w:rFonts w:hint="eastAsia" w:ascii="仿宋" w:hAnsi="仿宋" w:eastAsia="仿宋" w:cs="仿宋"/>
          <w:snapToGrid w:val="0"/>
          <w:kern w:val="28"/>
          <w:sz w:val="24"/>
          <w:szCs w:val="20"/>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jc w:val="right"/>
        <w:rPr>
          <w:rFonts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 xml:space="preserve">：                          </w:t>
      </w:r>
    </w:p>
    <w:p>
      <w:pPr>
        <w:spacing w:line="360" w:lineRule="auto"/>
        <w:jc w:val="right"/>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b/>
          <w:sz w:val="24"/>
        </w:rPr>
      </w:pPr>
      <w:r>
        <w:rPr>
          <w:rFonts w:hint="eastAsia" w:ascii="仿宋" w:hAnsi="仿宋" w:eastAsia="仿宋" w:cs="仿宋"/>
          <w:b/>
          <w:sz w:val="24"/>
        </w:rPr>
        <w:t>注：按本格式和要求提供。</w:t>
      </w:r>
    </w:p>
    <w:p>
      <w:pPr>
        <w:snapToGrid w:val="0"/>
        <w:spacing w:line="360" w:lineRule="auto"/>
        <w:jc w:val="center"/>
        <w:rPr>
          <w:rFonts w:ascii="仿宋" w:hAnsi="仿宋" w:eastAsia="仿宋" w:cs="仿宋"/>
          <w:b/>
          <w:kern w:val="0"/>
          <w:sz w:val="32"/>
          <w:szCs w:val="32"/>
        </w:rPr>
      </w:pPr>
    </w:p>
    <w:p>
      <w:pPr>
        <w:snapToGrid w:val="0"/>
        <w:spacing w:line="360" w:lineRule="auto"/>
        <w:rPr>
          <w:rFonts w:ascii="仿宋" w:hAnsi="仿宋" w:eastAsia="仿宋" w:cs="仿宋"/>
          <w:sz w:val="24"/>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投标人（或联合体牵头人）名称(电子签名)：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pacing w:line="360" w:lineRule="auto"/>
        <w:jc w:val="center"/>
        <w:rPr>
          <w:rFonts w:ascii="仿宋" w:hAnsi="仿宋" w:eastAsia="仿宋" w:cs="仿宋"/>
          <w:b/>
          <w:kern w:val="0"/>
          <w:sz w:val="32"/>
          <w:szCs w:val="32"/>
        </w:rPr>
      </w:pPr>
    </w:p>
    <w:p>
      <w:pPr>
        <w:spacing w:line="360" w:lineRule="auto"/>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92"/>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2"/>
              <w:adjustRightInd w:val="0"/>
              <w:spacing w:line="360" w:lineRule="auto"/>
              <w:rPr>
                <w:rFonts w:ascii="仿宋" w:hAnsi="仿宋" w:eastAsia="仿宋" w:cs="仿宋"/>
                <w:bCs/>
                <w:sz w:val="24"/>
                <w:szCs w:val="20"/>
              </w:rPr>
            </w:pPr>
            <w:r>
              <w:rPr>
                <w:rFonts w:hint="eastAsia" w:ascii="仿宋" w:hAnsi="仿宋" w:eastAsia="仿宋" w:cs="仿宋"/>
                <w:bCs/>
                <w:sz w:val="24"/>
                <w:szCs w:val="20"/>
              </w:rPr>
              <w:t>正面：                                 反面：</w:t>
            </w:r>
          </w:p>
          <w:p>
            <w:pPr>
              <w:pStyle w:val="92"/>
              <w:adjustRightInd w:val="0"/>
              <w:spacing w:line="360" w:lineRule="auto"/>
              <w:rPr>
                <w:rFonts w:ascii="仿宋" w:hAnsi="仿宋" w:eastAsia="仿宋" w:cs="仿宋"/>
                <w:bCs/>
                <w:sz w:val="24"/>
                <w:szCs w:val="20"/>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bCs/>
          <w:sz w:val="24"/>
        </w:rPr>
        <w:t>注：联合体投标的，提供联合体牵头人相关证明即可</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投标人（或联合体牵头人）名称(电子签名)：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ascii="仿宋" w:hAnsi="仿宋" w:eastAsia="仿宋" w:cs="仿宋"/>
          <w:kern w:val="0"/>
          <w:sz w:val="24"/>
        </w:rPr>
      </w:pPr>
    </w:p>
    <w:p>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4991"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实质性要求</w:t>
            </w:r>
          </w:p>
        </w:tc>
        <w:tc>
          <w:tcPr>
            <w:tcW w:w="2551"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需要提供的符合性审查资料</w:t>
            </w:r>
          </w:p>
        </w:tc>
        <w:tc>
          <w:tcPr>
            <w:tcW w:w="1418"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投标文件中的</w:t>
            </w: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1</w:t>
            </w:r>
          </w:p>
        </w:tc>
        <w:tc>
          <w:tcPr>
            <w:tcW w:w="4991" w:type="dxa"/>
            <w:vAlign w:val="top"/>
          </w:tcPr>
          <w:p>
            <w:pPr>
              <w:spacing w:line="360" w:lineRule="auto"/>
              <w:rPr>
                <w:rFonts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51" w:type="dxa"/>
            <w:vAlign w:val="center"/>
          </w:tcPr>
          <w:p>
            <w:pPr>
              <w:spacing w:line="360" w:lineRule="auto"/>
              <w:rPr>
                <w:rFonts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418" w:type="dxa"/>
            <w:vAlign w:val="top"/>
          </w:tcPr>
          <w:p>
            <w:pPr>
              <w:spacing w:line="360" w:lineRule="auto"/>
              <w:rPr>
                <w:rFonts w:ascii="仿宋" w:hAnsi="仿宋" w:eastAsia="仿宋" w:cs="仿宋"/>
                <w:sz w:val="24"/>
                <w:szCs w:val="20"/>
              </w:rPr>
            </w:pPr>
          </w:p>
          <w:p>
            <w:pPr>
              <w:spacing w:line="360" w:lineRule="auto"/>
              <w:rPr>
                <w:rFonts w:ascii="仿宋" w:hAnsi="仿宋" w:eastAsia="仿宋" w:cs="仿宋"/>
                <w:sz w:val="24"/>
                <w:szCs w:val="20"/>
              </w:rPr>
            </w:pPr>
            <w:r>
              <w:rPr>
                <w:rFonts w:hint="eastAsia" w:ascii="仿宋" w:hAnsi="仿宋" w:eastAsia="仿宋" w:cs="仿宋"/>
                <w:sz w:val="24"/>
                <w:szCs w:val="20"/>
              </w:rPr>
              <w:t>见投标文件</w:t>
            </w:r>
          </w:p>
          <w:p>
            <w:pPr>
              <w:spacing w:line="360" w:lineRule="auto"/>
              <w:rPr>
                <w:rFonts w:ascii="仿宋" w:hAnsi="仿宋" w:eastAsia="仿宋" w:cs="仿宋"/>
                <w:sz w:val="20"/>
                <w:szCs w:val="20"/>
              </w:rPr>
            </w:pPr>
            <w:r>
              <w:rPr>
                <w:rFonts w:hint="eastAsia" w:ascii="仿宋" w:hAnsi="仿宋" w:eastAsia="仿宋" w:cs="仿宋"/>
                <w:sz w:val="24"/>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2</w:t>
            </w:r>
          </w:p>
        </w:tc>
        <w:tc>
          <w:tcPr>
            <w:tcW w:w="4991" w:type="dxa"/>
            <w:vAlign w:val="top"/>
          </w:tcPr>
          <w:p>
            <w:pPr>
              <w:spacing w:line="360" w:lineRule="auto"/>
              <w:rPr>
                <w:rFonts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51" w:type="dxa"/>
            <w:vAlign w:val="center"/>
          </w:tcPr>
          <w:p>
            <w:pPr>
              <w:spacing w:line="360" w:lineRule="auto"/>
              <w:rPr>
                <w:rFonts w:ascii="仿宋" w:hAnsi="仿宋" w:eastAsia="仿宋" w:cs="仿宋"/>
                <w:sz w:val="24"/>
                <w:szCs w:val="20"/>
              </w:rPr>
            </w:pPr>
            <w:r>
              <w:rPr>
                <w:rFonts w:hint="eastAsia" w:ascii="仿宋" w:hAnsi="仿宋" w:eastAsia="仿宋" w:cs="仿宋"/>
                <w:sz w:val="24"/>
                <w:szCs w:val="20"/>
              </w:rPr>
              <w:t>投标函</w:t>
            </w:r>
          </w:p>
        </w:tc>
        <w:tc>
          <w:tcPr>
            <w:tcW w:w="1418" w:type="dxa"/>
            <w:vAlign w:val="top"/>
          </w:tcPr>
          <w:p>
            <w:pPr>
              <w:spacing w:line="360" w:lineRule="auto"/>
              <w:rPr>
                <w:rFonts w:ascii="仿宋" w:hAnsi="仿宋" w:eastAsia="仿宋" w:cs="仿宋"/>
                <w:sz w:val="20"/>
                <w:szCs w:val="20"/>
              </w:rPr>
            </w:pPr>
            <w:r>
              <w:rPr>
                <w:rFonts w:hint="eastAsia" w:ascii="仿宋" w:hAnsi="仿宋" w:eastAsia="仿宋" w:cs="仿宋"/>
                <w:sz w:val="24"/>
                <w:szCs w:val="2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3</w:t>
            </w:r>
          </w:p>
        </w:tc>
        <w:tc>
          <w:tcPr>
            <w:tcW w:w="4991" w:type="dxa"/>
            <w:vAlign w:val="top"/>
          </w:tcPr>
          <w:p>
            <w:pPr>
              <w:spacing w:line="360" w:lineRule="auto"/>
              <w:rPr>
                <w:rFonts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51" w:type="dxa"/>
            <w:vAlign w:val="center"/>
          </w:tcPr>
          <w:p>
            <w:pPr>
              <w:spacing w:line="360" w:lineRule="auto"/>
              <w:rPr>
                <w:rFonts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418" w:type="dxa"/>
            <w:vAlign w:val="top"/>
          </w:tcPr>
          <w:p>
            <w:pPr>
              <w:spacing w:line="360" w:lineRule="auto"/>
              <w:rPr>
                <w:rFonts w:ascii="仿宋" w:hAnsi="仿宋" w:eastAsia="仿宋" w:cs="仿宋"/>
                <w:sz w:val="20"/>
                <w:szCs w:val="20"/>
              </w:rPr>
            </w:pPr>
            <w:r>
              <w:rPr>
                <w:rFonts w:hint="eastAsia" w:ascii="仿宋" w:hAnsi="仿宋" w:eastAsia="仿宋" w:cs="仿宋"/>
                <w:sz w:val="24"/>
                <w:szCs w:val="20"/>
              </w:rPr>
              <w:t>见投标文件第页</w:t>
            </w: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kern w:val="0"/>
          <w:sz w:val="32"/>
          <w:szCs w:val="32"/>
        </w:rPr>
      </w:pP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名称</w:t>
            </w:r>
          </w:p>
        </w:tc>
        <w:tc>
          <w:tcPr>
            <w:tcW w:w="11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备注（如果有）</w:t>
            </w:r>
          </w:p>
          <w:p>
            <w:pPr>
              <w:spacing w:line="360" w:lineRule="auto"/>
              <w:jc w:val="center"/>
              <w:rPr>
                <w:rFonts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683" w:type="dxa"/>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683" w:type="dxa"/>
            <w:vAlign w:val="top"/>
          </w:tcPr>
          <w:p>
            <w:pPr>
              <w:spacing w:line="360" w:lineRule="auto"/>
              <w:jc w:val="center"/>
              <w:rPr>
                <w:rFonts w:ascii="仿宋" w:hAnsi="仿宋" w:eastAsia="仿宋" w:cs="仿宋"/>
                <w:b/>
                <w:kern w:val="0"/>
                <w:sz w:val="32"/>
                <w:szCs w:val="32"/>
              </w:rPr>
            </w:pPr>
          </w:p>
        </w:tc>
        <w:tc>
          <w:tcPr>
            <w:tcW w:w="3546" w:type="dxa"/>
            <w:vAlign w:val="top"/>
          </w:tcPr>
          <w:p>
            <w:pPr>
              <w:spacing w:line="360" w:lineRule="auto"/>
              <w:jc w:val="center"/>
              <w:rPr>
                <w:rFonts w:ascii="仿宋" w:hAnsi="仿宋" w:eastAsia="仿宋" w:cs="仿宋"/>
                <w:b/>
                <w:kern w:val="0"/>
                <w:sz w:val="32"/>
                <w:szCs w:val="32"/>
              </w:rPr>
            </w:pPr>
          </w:p>
        </w:tc>
        <w:tc>
          <w:tcPr>
            <w:tcW w:w="1276" w:type="dxa"/>
            <w:vAlign w:val="top"/>
          </w:tcPr>
          <w:p>
            <w:pPr>
              <w:spacing w:line="360" w:lineRule="auto"/>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683" w:type="dxa"/>
            <w:vAlign w:val="top"/>
          </w:tcPr>
          <w:p>
            <w:pPr>
              <w:spacing w:line="360" w:lineRule="auto"/>
              <w:jc w:val="center"/>
              <w:rPr>
                <w:rFonts w:ascii="仿宋" w:hAnsi="仿宋" w:eastAsia="仿宋" w:cs="仿宋"/>
                <w:b/>
                <w:kern w:val="0"/>
                <w:sz w:val="32"/>
                <w:szCs w:val="32"/>
              </w:rPr>
            </w:pPr>
          </w:p>
        </w:tc>
        <w:tc>
          <w:tcPr>
            <w:tcW w:w="3546" w:type="dxa"/>
            <w:vAlign w:val="top"/>
          </w:tcPr>
          <w:p>
            <w:pPr>
              <w:spacing w:line="360" w:lineRule="auto"/>
              <w:jc w:val="center"/>
              <w:rPr>
                <w:rFonts w:ascii="仿宋" w:hAnsi="仿宋" w:eastAsia="仿宋" w:cs="仿宋"/>
                <w:b/>
                <w:kern w:val="0"/>
                <w:sz w:val="32"/>
                <w:szCs w:val="32"/>
              </w:rPr>
            </w:pPr>
          </w:p>
        </w:tc>
        <w:tc>
          <w:tcPr>
            <w:tcW w:w="1276" w:type="dxa"/>
            <w:vAlign w:val="top"/>
          </w:tcPr>
          <w:p>
            <w:pPr>
              <w:spacing w:line="360" w:lineRule="auto"/>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683" w:type="dxa"/>
            <w:vAlign w:val="top"/>
          </w:tcPr>
          <w:p>
            <w:pPr>
              <w:spacing w:line="360" w:lineRule="auto"/>
              <w:jc w:val="center"/>
              <w:rPr>
                <w:rFonts w:ascii="仿宋" w:hAnsi="仿宋" w:eastAsia="仿宋" w:cs="仿宋"/>
                <w:b/>
                <w:kern w:val="0"/>
                <w:sz w:val="32"/>
                <w:szCs w:val="32"/>
              </w:rPr>
            </w:pPr>
          </w:p>
        </w:tc>
        <w:tc>
          <w:tcPr>
            <w:tcW w:w="3546" w:type="dxa"/>
            <w:vAlign w:val="top"/>
          </w:tcPr>
          <w:p>
            <w:pPr>
              <w:spacing w:line="360" w:lineRule="auto"/>
              <w:jc w:val="center"/>
              <w:rPr>
                <w:rFonts w:ascii="仿宋" w:hAnsi="仿宋" w:eastAsia="仿宋" w:cs="仿宋"/>
                <w:b/>
                <w:kern w:val="0"/>
                <w:sz w:val="32"/>
                <w:szCs w:val="32"/>
              </w:rPr>
            </w:pPr>
          </w:p>
        </w:tc>
        <w:tc>
          <w:tcPr>
            <w:tcW w:w="1276" w:type="dxa"/>
            <w:vAlign w:val="top"/>
          </w:tcPr>
          <w:p>
            <w:pPr>
              <w:spacing w:line="360" w:lineRule="auto"/>
              <w:jc w:val="center"/>
              <w:rPr>
                <w:rFonts w:ascii="仿宋" w:hAnsi="仿宋" w:eastAsia="仿宋" w:cs="仿宋"/>
                <w:b/>
                <w:kern w:val="0"/>
                <w:sz w:val="32"/>
                <w:szCs w:val="32"/>
              </w:rPr>
            </w:pPr>
          </w:p>
        </w:tc>
      </w:tr>
    </w:tbl>
    <w:p>
      <w:pPr>
        <w:spacing w:line="360" w:lineRule="auto"/>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spacing w:line="360" w:lineRule="auto"/>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1911" w:firstLineChars="595"/>
        <w:rPr>
          <w:rFonts w:ascii="仿宋" w:hAnsi="仿宋" w:eastAsia="仿宋" w:cs="仿宋"/>
          <w:b/>
          <w:bCs/>
          <w:sz w:val="32"/>
          <w:szCs w:val="32"/>
        </w:rPr>
      </w:pPr>
    </w:p>
    <w:p>
      <w:pPr>
        <w:spacing w:line="360" w:lineRule="auto"/>
        <w:ind w:firstLine="1911" w:firstLineChars="595"/>
        <w:rPr>
          <w:rFonts w:ascii="仿宋" w:hAnsi="仿宋" w:eastAsia="仿宋" w:cs="仿宋"/>
          <w:b/>
          <w:bCs/>
          <w:sz w:val="32"/>
          <w:szCs w:val="32"/>
        </w:rPr>
      </w:pPr>
    </w:p>
    <w:p>
      <w:pPr>
        <w:spacing w:line="360" w:lineRule="auto"/>
        <w:ind w:firstLine="1911" w:firstLineChars="595"/>
        <w:rPr>
          <w:rFonts w:ascii="仿宋" w:hAnsi="仿宋" w:eastAsia="仿宋" w:cs="仿宋"/>
          <w:b/>
          <w:bCs/>
          <w:sz w:val="32"/>
          <w:szCs w:val="32"/>
        </w:rPr>
      </w:pPr>
    </w:p>
    <w:p>
      <w:pPr>
        <w:spacing w:line="360" w:lineRule="auto"/>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jc w:val="right"/>
        <w:rPr>
          <w:rFonts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380"/>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9819"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337"/>
        <w:gridCol w:w="1004"/>
        <w:gridCol w:w="1638"/>
        <w:gridCol w:w="198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36" w:type="dxa"/>
            <w:vAlign w:val="center"/>
          </w:tcPr>
          <w:p>
            <w:pPr>
              <w:spacing w:line="360" w:lineRule="auto"/>
              <w:jc w:val="center"/>
              <w:rPr>
                <w:rFonts w:hint="eastAsia" w:ascii="仿宋" w:hAnsi="仿宋" w:eastAsia="仿宋" w:cs="仿宋"/>
                <w:b/>
                <w:sz w:val="24"/>
                <w:szCs w:val="20"/>
                <w:lang w:eastAsia="zh-CN"/>
              </w:rPr>
            </w:pPr>
            <w:r>
              <w:rPr>
                <w:rFonts w:hint="eastAsia" w:ascii="仿宋" w:hAnsi="仿宋" w:eastAsia="仿宋" w:cs="仿宋"/>
                <w:b/>
                <w:sz w:val="24"/>
                <w:szCs w:val="20"/>
                <w:lang w:val="en-US" w:eastAsia="zh-CN"/>
              </w:rPr>
              <w:t>线路</w:t>
            </w:r>
          </w:p>
        </w:tc>
        <w:tc>
          <w:tcPr>
            <w:tcW w:w="3337"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服务范围</w:t>
            </w:r>
          </w:p>
        </w:tc>
        <w:tc>
          <w:tcPr>
            <w:tcW w:w="1004"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服务要求</w:t>
            </w:r>
          </w:p>
        </w:tc>
        <w:tc>
          <w:tcPr>
            <w:tcW w:w="1638"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服务时间和服务标准</w:t>
            </w:r>
          </w:p>
        </w:tc>
        <w:tc>
          <w:tcPr>
            <w:tcW w:w="1985" w:type="dxa"/>
            <w:vAlign w:val="center"/>
          </w:tcPr>
          <w:p>
            <w:pPr>
              <w:spacing w:line="360" w:lineRule="auto"/>
              <w:jc w:val="center"/>
              <w:rPr>
                <w:rFonts w:hint="eastAsia" w:ascii="宋体" w:hAnsi="宋体" w:cs="宋体"/>
                <w:b w:val="0"/>
                <w:bCs/>
                <w:sz w:val="24"/>
                <w:szCs w:val="24"/>
                <w:highlight w:val="none"/>
                <w:u w:val="none"/>
                <w:lang w:val="en-US" w:eastAsia="zh-CN"/>
              </w:rPr>
            </w:pPr>
            <w:r>
              <w:rPr>
                <w:rFonts w:hint="eastAsia" w:ascii="宋体" w:hAnsi="宋体" w:cs="宋体"/>
                <w:b/>
                <w:bCs w:val="0"/>
                <w:sz w:val="24"/>
                <w:szCs w:val="24"/>
                <w:highlight w:val="none"/>
                <w:u w:val="none"/>
                <w:lang w:val="en-US" w:eastAsia="zh-CN"/>
              </w:rPr>
              <w:t>投标单价</w:t>
            </w:r>
            <w:r>
              <w:rPr>
                <w:rFonts w:hint="eastAsia" w:ascii="宋体" w:hAnsi="宋体" w:cs="宋体"/>
                <w:b w:val="0"/>
                <w:bCs/>
                <w:sz w:val="24"/>
                <w:szCs w:val="24"/>
                <w:highlight w:val="none"/>
                <w:u w:val="none"/>
                <w:lang w:val="en-US" w:eastAsia="zh-CN"/>
              </w:rPr>
              <w:t xml:space="preserve">  </w:t>
            </w:r>
          </w:p>
          <w:p>
            <w:pPr>
              <w:spacing w:line="360" w:lineRule="auto"/>
              <w:jc w:val="center"/>
              <w:rPr>
                <w:rFonts w:ascii="仿宋" w:hAnsi="仿宋" w:eastAsia="仿宋" w:cs="仿宋"/>
                <w:b/>
                <w:sz w:val="24"/>
                <w:szCs w:val="20"/>
              </w:rPr>
            </w:pPr>
            <w:r>
              <w:rPr>
                <w:rFonts w:hint="eastAsia" w:ascii="宋体" w:hAnsi="宋体" w:cs="宋体"/>
                <w:b w:val="0"/>
                <w:bCs/>
                <w:sz w:val="24"/>
                <w:szCs w:val="24"/>
                <w:highlight w:val="none"/>
                <w:u w:val="none"/>
                <w:lang w:val="en-US" w:eastAsia="zh-CN"/>
              </w:rPr>
              <w:t xml:space="preserve"> （元/人）</w:t>
            </w:r>
          </w:p>
        </w:tc>
        <w:tc>
          <w:tcPr>
            <w:tcW w:w="1119"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36"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1</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ascii="仿宋" w:hAnsi="仿宋" w:eastAsia="仿宋" w:cs="仿宋"/>
                <w:sz w:val="24"/>
                <w:szCs w:val="20"/>
              </w:rPr>
            </w:pPr>
            <w:r>
              <w:rPr>
                <w:rFonts w:hint="eastAsia" w:ascii="仿宋" w:hAnsi="仿宋" w:eastAsia="仿宋" w:cs="仿宋"/>
                <w:b w:val="0"/>
                <w:bCs w:val="0"/>
                <w:i w:val="0"/>
                <w:iCs w:val="0"/>
                <w:color w:val="000000"/>
                <w:kern w:val="0"/>
                <w:sz w:val="24"/>
                <w:szCs w:val="24"/>
                <w:u w:val="none"/>
                <w:lang w:val="en-US" w:eastAsia="zh-CN" w:bidi="ar"/>
              </w:rPr>
              <w:t>云南丽江+泸沽湖疗休养5日游</w:t>
            </w:r>
          </w:p>
        </w:tc>
        <w:tc>
          <w:tcPr>
            <w:tcW w:w="1004" w:type="dxa"/>
            <w:vAlign w:val="center"/>
          </w:tcPr>
          <w:p>
            <w:pPr>
              <w:snapToGrid w:val="0"/>
              <w:spacing w:line="360" w:lineRule="auto"/>
              <w:jc w:val="center"/>
              <w:rPr>
                <w:rFonts w:ascii="仿宋" w:hAnsi="仿宋" w:eastAsia="仿宋" w:cs="仿宋"/>
                <w:sz w:val="24"/>
                <w:szCs w:val="20"/>
              </w:rPr>
            </w:pPr>
          </w:p>
        </w:tc>
        <w:tc>
          <w:tcPr>
            <w:tcW w:w="1638" w:type="dxa"/>
            <w:vAlign w:val="center"/>
          </w:tcPr>
          <w:p>
            <w:pPr>
              <w:snapToGrid w:val="0"/>
              <w:spacing w:line="360" w:lineRule="auto"/>
              <w:jc w:val="center"/>
              <w:rPr>
                <w:rFonts w:ascii="仿宋" w:hAnsi="仿宋" w:eastAsia="仿宋" w:cs="仿宋"/>
                <w:sz w:val="24"/>
                <w:szCs w:val="20"/>
              </w:rPr>
            </w:pPr>
          </w:p>
        </w:tc>
        <w:tc>
          <w:tcPr>
            <w:tcW w:w="1985" w:type="dxa"/>
            <w:vAlign w:val="center"/>
          </w:tcPr>
          <w:p>
            <w:pPr>
              <w:spacing w:line="360" w:lineRule="auto"/>
              <w:jc w:val="center"/>
              <w:rPr>
                <w:rFonts w:ascii="仿宋" w:hAnsi="仿宋" w:eastAsia="仿宋" w:cs="仿宋"/>
                <w:sz w:val="24"/>
                <w:szCs w:val="20"/>
              </w:rPr>
            </w:pPr>
          </w:p>
        </w:tc>
        <w:tc>
          <w:tcPr>
            <w:tcW w:w="1119"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36"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2</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ascii="仿宋" w:hAnsi="仿宋" w:eastAsia="仿宋" w:cs="仿宋"/>
                <w:sz w:val="24"/>
                <w:szCs w:val="20"/>
              </w:rPr>
            </w:pPr>
            <w:r>
              <w:rPr>
                <w:rFonts w:hint="eastAsia" w:ascii="仿宋" w:hAnsi="仿宋" w:eastAsia="仿宋" w:cs="仿宋"/>
                <w:b w:val="0"/>
                <w:bCs w:val="0"/>
                <w:i w:val="0"/>
                <w:iCs w:val="0"/>
                <w:color w:val="000000"/>
                <w:kern w:val="0"/>
                <w:sz w:val="24"/>
                <w:szCs w:val="24"/>
                <w:u w:val="none"/>
                <w:lang w:val="en-US" w:eastAsia="zh-CN" w:bidi="ar"/>
              </w:rPr>
              <w:t>青岛、威海疗休养6日游</w:t>
            </w:r>
          </w:p>
        </w:tc>
        <w:tc>
          <w:tcPr>
            <w:tcW w:w="1004" w:type="dxa"/>
            <w:vAlign w:val="center"/>
          </w:tcPr>
          <w:p>
            <w:pPr>
              <w:snapToGrid w:val="0"/>
              <w:spacing w:line="360" w:lineRule="auto"/>
              <w:jc w:val="center"/>
              <w:rPr>
                <w:rFonts w:ascii="仿宋" w:hAnsi="仿宋" w:eastAsia="仿宋" w:cs="仿宋"/>
                <w:sz w:val="24"/>
                <w:szCs w:val="20"/>
              </w:rPr>
            </w:pPr>
          </w:p>
        </w:tc>
        <w:tc>
          <w:tcPr>
            <w:tcW w:w="1638" w:type="dxa"/>
            <w:vAlign w:val="center"/>
          </w:tcPr>
          <w:p>
            <w:pPr>
              <w:snapToGrid w:val="0"/>
              <w:spacing w:line="360" w:lineRule="auto"/>
              <w:jc w:val="center"/>
              <w:rPr>
                <w:rFonts w:ascii="仿宋" w:hAnsi="仿宋" w:eastAsia="仿宋" w:cs="仿宋"/>
                <w:sz w:val="24"/>
                <w:szCs w:val="20"/>
              </w:rPr>
            </w:pPr>
          </w:p>
        </w:tc>
        <w:tc>
          <w:tcPr>
            <w:tcW w:w="1985" w:type="dxa"/>
            <w:vAlign w:val="center"/>
          </w:tcPr>
          <w:p>
            <w:pPr>
              <w:spacing w:line="360" w:lineRule="auto"/>
              <w:jc w:val="center"/>
              <w:rPr>
                <w:rFonts w:ascii="仿宋" w:hAnsi="仿宋" w:eastAsia="仿宋" w:cs="仿宋"/>
                <w:sz w:val="24"/>
                <w:szCs w:val="20"/>
              </w:rPr>
            </w:pPr>
          </w:p>
        </w:tc>
        <w:tc>
          <w:tcPr>
            <w:tcW w:w="1119"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36" w:type="dxa"/>
            <w:vAlign w:val="center"/>
          </w:tcPr>
          <w:p>
            <w:pPr>
              <w:spacing w:line="360" w:lineRule="auto"/>
              <w:jc w:val="center"/>
              <w:rPr>
                <w:rFonts w:hint="eastAsia" w:ascii="仿宋" w:hAnsi="仿宋" w:eastAsia="仿宋" w:cs="仿宋"/>
                <w:sz w:val="24"/>
                <w:szCs w:val="20"/>
                <w:lang w:eastAsia="zh-CN"/>
              </w:rPr>
            </w:pPr>
            <w:r>
              <w:rPr>
                <w:rFonts w:hint="eastAsia" w:ascii="仿宋" w:hAnsi="仿宋" w:eastAsia="仿宋" w:cs="仿宋"/>
                <w:sz w:val="24"/>
                <w:szCs w:val="20"/>
                <w:lang w:val="en-US" w:eastAsia="zh-CN"/>
              </w:rPr>
              <w:t>3</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ascii="仿宋" w:hAnsi="仿宋" w:eastAsia="仿宋" w:cs="仿宋"/>
                <w:sz w:val="24"/>
                <w:szCs w:val="20"/>
              </w:rPr>
            </w:pPr>
            <w:r>
              <w:rPr>
                <w:rFonts w:hint="eastAsia" w:ascii="仿宋" w:hAnsi="仿宋" w:eastAsia="仿宋" w:cs="仿宋"/>
                <w:b w:val="0"/>
                <w:bCs w:val="0"/>
                <w:i w:val="0"/>
                <w:iCs w:val="0"/>
                <w:color w:val="000000"/>
                <w:kern w:val="0"/>
                <w:sz w:val="24"/>
                <w:szCs w:val="24"/>
                <w:u w:val="none"/>
                <w:lang w:val="en-US" w:eastAsia="zh-CN" w:bidi="ar"/>
              </w:rPr>
              <w:t>兰州张掖七彩丹霞平山湖嘉峪关敦煌疗休养6日游</w:t>
            </w:r>
          </w:p>
        </w:tc>
        <w:tc>
          <w:tcPr>
            <w:tcW w:w="1004" w:type="dxa"/>
            <w:vAlign w:val="center"/>
          </w:tcPr>
          <w:p>
            <w:pPr>
              <w:snapToGrid w:val="0"/>
              <w:spacing w:line="360" w:lineRule="auto"/>
              <w:jc w:val="center"/>
              <w:rPr>
                <w:rFonts w:ascii="仿宋" w:hAnsi="仿宋" w:eastAsia="仿宋" w:cs="仿宋"/>
                <w:sz w:val="24"/>
                <w:szCs w:val="20"/>
              </w:rPr>
            </w:pPr>
          </w:p>
        </w:tc>
        <w:tc>
          <w:tcPr>
            <w:tcW w:w="1638" w:type="dxa"/>
            <w:vAlign w:val="center"/>
          </w:tcPr>
          <w:p>
            <w:pPr>
              <w:snapToGrid w:val="0"/>
              <w:spacing w:line="360" w:lineRule="auto"/>
              <w:jc w:val="center"/>
              <w:rPr>
                <w:rFonts w:ascii="仿宋" w:hAnsi="仿宋" w:eastAsia="仿宋" w:cs="仿宋"/>
                <w:sz w:val="24"/>
                <w:szCs w:val="20"/>
              </w:rPr>
            </w:pPr>
          </w:p>
        </w:tc>
        <w:tc>
          <w:tcPr>
            <w:tcW w:w="1985" w:type="dxa"/>
            <w:vAlign w:val="center"/>
          </w:tcPr>
          <w:p>
            <w:pPr>
              <w:spacing w:line="360" w:lineRule="auto"/>
              <w:jc w:val="center"/>
              <w:rPr>
                <w:rFonts w:ascii="仿宋" w:hAnsi="仿宋" w:eastAsia="仿宋" w:cs="仿宋"/>
                <w:sz w:val="24"/>
                <w:szCs w:val="20"/>
              </w:rPr>
            </w:pPr>
          </w:p>
        </w:tc>
        <w:tc>
          <w:tcPr>
            <w:tcW w:w="1119"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36" w:type="dxa"/>
            <w:vAlign w:val="center"/>
          </w:tcPr>
          <w:p>
            <w:pPr>
              <w:spacing w:line="360" w:lineRule="auto"/>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4</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ascii="仿宋" w:hAnsi="仿宋" w:eastAsia="仿宋" w:cs="仿宋"/>
                <w:sz w:val="24"/>
                <w:szCs w:val="20"/>
              </w:rPr>
            </w:pPr>
            <w:r>
              <w:rPr>
                <w:rFonts w:hint="eastAsia" w:ascii="仿宋" w:hAnsi="仿宋" w:eastAsia="仿宋" w:cs="仿宋"/>
                <w:b w:val="0"/>
                <w:bCs w:val="0"/>
                <w:i w:val="0"/>
                <w:iCs w:val="0"/>
                <w:color w:val="000000"/>
                <w:kern w:val="0"/>
                <w:sz w:val="24"/>
                <w:szCs w:val="24"/>
                <w:u w:val="none"/>
                <w:lang w:val="en-US" w:eastAsia="zh-CN" w:bidi="ar"/>
              </w:rPr>
              <w:t>呼伦贝尔大草原、额尔古纳湿地、满洲里双飞疗休养6日游</w:t>
            </w:r>
          </w:p>
        </w:tc>
        <w:tc>
          <w:tcPr>
            <w:tcW w:w="1004" w:type="dxa"/>
            <w:vAlign w:val="center"/>
          </w:tcPr>
          <w:p>
            <w:pPr>
              <w:snapToGrid w:val="0"/>
              <w:spacing w:line="360" w:lineRule="auto"/>
              <w:jc w:val="center"/>
              <w:rPr>
                <w:rFonts w:ascii="仿宋" w:hAnsi="仿宋" w:eastAsia="仿宋" w:cs="仿宋"/>
                <w:sz w:val="24"/>
                <w:szCs w:val="20"/>
              </w:rPr>
            </w:pPr>
          </w:p>
        </w:tc>
        <w:tc>
          <w:tcPr>
            <w:tcW w:w="1638" w:type="dxa"/>
            <w:vAlign w:val="center"/>
          </w:tcPr>
          <w:p>
            <w:pPr>
              <w:snapToGrid w:val="0"/>
              <w:spacing w:line="360" w:lineRule="auto"/>
              <w:jc w:val="center"/>
              <w:rPr>
                <w:rFonts w:ascii="仿宋" w:hAnsi="仿宋" w:eastAsia="仿宋" w:cs="仿宋"/>
                <w:sz w:val="24"/>
                <w:szCs w:val="20"/>
              </w:rPr>
            </w:pPr>
          </w:p>
        </w:tc>
        <w:tc>
          <w:tcPr>
            <w:tcW w:w="1985" w:type="dxa"/>
            <w:vAlign w:val="center"/>
          </w:tcPr>
          <w:p>
            <w:pPr>
              <w:spacing w:line="360" w:lineRule="auto"/>
              <w:jc w:val="center"/>
              <w:rPr>
                <w:rFonts w:ascii="仿宋" w:hAnsi="仿宋" w:eastAsia="仿宋" w:cs="仿宋"/>
                <w:sz w:val="24"/>
                <w:szCs w:val="20"/>
              </w:rPr>
            </w:pPr>
          </w:p>
        </w:tc>
        <w:tc>
          <w:tcPr>
            <w:tcW w:w="1119"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36" w:type="dxa"/>
            <w:vAlign w:val="center"/>
          </w:tcPr>
          <w:p>
            <w:pPr>
              <w:spacing w:line="360" w:lineRule="auto"/>
              <w:jc w:val="center"/>
              <w:rPr>
                <w:rFonts w:ascii="仿宋" w:hAnsi="仿宋" w:eastAsia="仿宋" w:cs="仿宋"/>
                <w:sz w:val="24"/>
                <w:szCs w:val="20"/>
              </w:rPr>
            </w:pPr>
          </w:p>
        </w:tc>
        <w:tc>
          <w:tcPr>
            <w:tcW w:w="3337" w:type="dxa"/>
            <w:vAlign w:val="center"/>
          </w:tcPr>
          <w:p>
            <w:pPr>
              <w:snapToGrid w:val="0"/>
              <w:spacing w:line="360" w:lineRule="auto"/>
              <w:jc w:val="center"/>
              <w:rPr>
                <w:rFonts w:ascii="仿宋" w:hAnsi="仿宋" w:eastAsia="仿宋" w:cs="仿宋"/>
                <w:sz w:val="24"/>
                <w:szCs w:val="20"/>
              </w:rPr>
            </w:pPr>
          </w:p>
        </w:tc>
        <w:tc>
          <w:tcPr>
            <w:tcW w:w="1004" w:type="dxa"/>
            <w:vAlign w:val="center"/>
          </w:tcPr>
          <w:p>
            <w:pPr>
              <w:snapToGrid w:val="0"/>
              <w:spacing w:line="360" w:lineRule="auto"/>
              <w:jc w:val="center"/>
              <w:rPr>
                <w:rFonts w:ascii="仿宋" w:hAnsi="仿宋" w:eastAsia="仿宋" w:cs="仿宋"/>
                <w:sz w:val="24"/>
                <w:szCs w:val="20"/>
              </w:rPr>
            </w:pPr>
          </w:p>
        </w:tc>
        <w:tc>
          <w:tcPr>
            <w:tcW w:w="1638" w:type="dxa"/>
            <w:vAlign w:val="center"/>
          </w:tcPr>
          <w:p>
            <w:pPr>
              <w:snapToGrid w:val="0"/>
              <w:spacing w:line="360" w:lineRule="auto"/>
              <w:jc w:val="center"/>
              <w:rPr>
                <w:rFonts w:ascii="仿宋" w:hAnsi="仿宋" w:eastAsia="仿宋" w:cs="仿宋"/>
                <w:sz w:val="24"/>
                <w:szCs w:val="20"/>
              </w:rPr>
            </w:pPr>
          </w:p>
        </w:tc>
        <w:tc>
          <w:tcPr>
            <w:tcW w:w="1985" w:type="dxa"/>
            <w:vAlign w:val="center"/>
          </w:tcPr>
          <w:p>
            <w:pPr>
              <w:spacing w:line="360" w:lineRule="auto"/>
              <w:jc w:val="center"/>
              <w:rPr>
                <w:rFonts w:ascii="仿宋" w:hAnsi="仿宋" w:eastAsia="仿宋" w:cs="仿宋"/>
                <w:sz w:val="24"/>
                <w:szCs w:val="20"/>
              </w:rPr>
            </w:pPr>
          </w:p>
        </w:tc>
        <w:tc>
          <w:tcPr>
            <w:tcW w:w="1119" w:type="dxa"/>
            <w:vAlign w:val="center"/>
          </w:tcPr>
          <w:p>
            <w:pPr>
              <w:spacing w:line="360" w:lineRule="auto"/>
              <w:jc w:val="center"/>
              <w:rPr>
                <w:rFonts w:ascii="仿宋" w:hAnsi="仿宋" w:eastAsia="仿宋" w:cs="仿宋"/>
                <w:sz w:val="24"/>
                <w:szCs w:val="20"/>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仿宋"/>
          <w:kern w:val="0"/>
          <w:sz w:val="24"/>
          <w:lang w:val="zh-CN"/>
        </w:rPr>
      </w:pPr>
      <w:r>
        <w:rPr>
          <w:rFonts w:hint="eastAsia" w:ascii="仿宋" w:hAnsi="仿宋" w:eastAsia="仿宋" w:cs="仿宋"/>
          <w:kern w:val="0"/>
          <w:sz w:val="24"/>
          <w:lang w:val="zh-CN"/>
        </w:rPr>
        <w:t>投标人（或联合体牵头人）名称(电子签名)：</w:t>
      </w:r>
    </w:p>
    <w:p>
      <w:pPr>
        <w:spacing w:line="360" w:lineRule="auto"/>
        <w:ind w:left="4620" w:leftChars="2200" w:firstLine="236" w:firstLineChars="98"/>
        <w:jc w:val="right"/>
        <w:rPr>
          <w:rFonts w:ascii="仿宋" w:hAnsi="仿宋" w:eastAsia="仿宋" w:cs="仿宋"/>
          <w:b/>
          <w:kern w:val="0"/>
          <w:sz w:val="24"/>
          <w:szCs w:val="20"/>
          <w:lang w:val="zh-CN"/>
        </w:rPr>
      </w:pPr>
      <w:r>
        <w:rPr>
          <w:rFonts w:hint="eastAsia" w:ascii="仿宋" w:hAnsi="仿宋" w:eastAsia="仿宋" w:cs="仿宋"/>
          <w:b/>
          <w:kern w:val="0"/>
          <w:sz w:val="24"/>
          <w:szCs w:val="20"/>
          <w:lang w:val="zh-CN"/>
        </w:rPr>
        <w:t>日期：   年   月   日</w:t>
      </w:r>
    </w:p>
    <w:p>
      <w:pPr>
        <w:pStyle w:val="380"/>
        <w:tabs>
          <w:tab w:val="clear" w:pos="720"/>
        </w:tabs>
        <w:snapToGrid w:val="0"/>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3"/>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21" w:name="OLE_LINK14"/>
      <w:bookmarkStart w:id="522" w:name="OLE_LINK13"/>
      <w:r>
        <w:rPr>
          <w:rFonts w:hint="eastAsia" w:ascii="仿宋" w:hAnsi="仿宋" w:eastAsia="仿宋" w:cs="仿宋"/>
          <w:b/>
          <w:spacing w:val="6"/>
          <w:sz w:val="32"/>
          <w:szCs w:val="32"/>
        </w:rPr>
        <w:t>残疾人福利性单位声明函</w:t>
      </w:r>
    </w:p>
    <w:bookmarkEnd w:id="521"/>
    <w:bookmarkEnd w:id="522"/>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 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附件4：</w:t>
      </w:r>
    </w:p>
    <w:p>
      <w:pPr>
        <w:autoSpaceDE w:val="0"/>
        <w:autoSpaceDN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spacing w:line="360" w:lineRule="auto"/>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spacing w:line="360" w:lineRule="auto"/>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sz w:val="24"/>
        </w:rPr>
        <w:t>投标单位法定名称章（印模）                投标单位“XX专用章”（印模）</w:t>
      </w: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附件5：</w:t>
      </w:r>
    </w:p>
    <w:p>
      <w:pPr>
        <w:autoSpaceDE w:val="0"/>
        <w:autoSpaceDN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23" w:name="_Hlk101131882"/>
      <w:r>
        <w:rPr>
          <w:rFonts w:hint="eastAsia" w:ascii="仿宋" w:hAnsi="仿宋" w:eastAsia="仿宋" w:cs="仿宋"/>
          <w:kern w:val="0"/>
          <w:sz w:val="24"/>
          <w:u w:val="single"/>
        </w:rPr>
        <w:t>联合体成员X,……</w:t>
      </w:r>
      <w:bookmarkEnd w:id="523"/>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24"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24"/>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2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25"/>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pStyle w:val="4"/>
        <w:rPr>
          <w:rFonts w:ascii="仿宋" w:eastAsia="仿宋" w:cs="仿宋"/>
        </w:rPr>
      </w:pPr>
    </w:p>
    <w:p>
      <w:pPr>
        <w:widowControl/>
        <w:adjustRightInd/>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附件6：</w:t>
      </w:r>
    </w:p>
    <w:p>
      <w:pPr>
        <w:widowControl/>
        <w:adjustRightInd/>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b/>
          <w:sz w:val="32"/>
          <w:szCs w:val="32"/>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r>
        <w:rPr>
          <w:rFonts w:hint="eastAsia" w:ascii="仿宋" w:hAnsi="仿宋" w:eastAsia="仿宋" w:cs="仿宋"/>
          <w:kern w:val="0"/>
          <w:sz w:val="24"/>
        </w:rPr>
        <w:t xml:space="preserve"> </w:t>
      </w:r>
      <w:r>
        <w:rPr>
          <w:rFonts w:hint="eastAsia" w:ascii="仿宋" w:hAnsi="仿宋" w:eastAsia="仿宋" w:cs="仿宋"/>
          <w:b/>
          <w:sz w:val="32"/>
          <w:szCs w:val="32"/>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w:t>
      </w:r>
      <w:r>
        <w:rPr>
          <w:rFonts w:hint="eastAsia" w:ascii="仿宋" w:hAnsi="仿宋" w:eastAsia="仿宋" w:cs="仿宋"/>
          <w:kern w:val="0"/>
          <w:sz w:val="24"/>
        </w:rPr>
        <w:t>提供的服务全部由小微企业承接，其合同份额占到合同总金额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right="480" w:firstLine="576"/>
        <w:rPr>
          <w:rFonts w:ascii="仿宋" w:hAnsi="仿宋" w:eastAsia="仿宋" w:cs="仿宋"/>
          <w:sz w:val="24"/>
        </w:rPr>
      </w:pPr>
      <w:r>
        <w:rPr>
          <w:rFonts w:hint="eastAsia" w:ascii="仿宋" w:hAnsi="仿宋" w:eastAsia="仿宋" w:cs="仿宋"/>
          <w:kern w:val="0"/>
          <w:sz w:val="24"/>
          <w:lang w:val="zh-CN"/>
        </w:rPr>
        <w:t>八、其他：</w:t>
      </w:r>
    </w:p>
    <w:p>
      <w:pPr>
        <w:snapToGrid w:val="0"/>
        <w:spacing w:line="360" w:lineRule="auto"/>
        <w:ind w:right="480" w:firstLine="576"/>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jc w:val="right"/>
        <w:rPr>
          <w:rFonts w:ascii="仿宋" w:hAnsi="仿宋" w:eastAsia="仿宋" w:cs="仿宋"/>
        </w:rPr>
      </w:pPr>
      <w:r>
        <w:rPr>
          <w:rFonts w:hint="eastAsia" w:ascii="仿宋" w:hAnsi="仿宋" w:eastAsia="仿宋" w:cs="仿宋"/>
          <w:kern w:val="0"/>
          <w:sz w:val="24"/>
          <w:lang w:val="zh-CN"/>
        </w:rPr>
        <w:t>分包供应商名称(电子签名/公章)：</w:t>
      </w:r>
      <w:r>
        <w:rPr>
          <w:rFonts w:hint="eastAsia" w:ascii="仿宋" w:hAnsi="仿宋" w:eastAsia="仿宋" w:cs="仿宋"/>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outlineLvl w:val="0"/>
        <w:rPr>
          <w:rFonts w:ascii="仿宋" w:hAnsi="仿宋" w:eastAsia="仿宋" w:cs="仿宋"/>
          <w:b/>
          <w:sz w:val="36"/>
          <w:szCs w:val="20"/>
        </w:rPr>
      </w:pPr>
      <w:r>
        <w:rPr>
          <w:rFonts w:hint="eastAsia" w:ascii="仿宋" w:hAnsi="仿宋" w:eastAsia="仿宋" w:cs="仿宋"/>
          <w:b/>
          <w:sz w:val="36"/>
          <w:szCs w:val="20"/>
        </w:rPr>
        <w:t>附件7：</w:t>
      </w:r>
    </w:p>
    <w:p>
      <w:pPr>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中小企业声明函</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（采购人）</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p>
    <w:p>
      <w:pPr>
        <w:spacing w:line="360" w:lineRule="auto"/>
        <w:ind w:right="1760"/>
        <w:jc w:val="right"/>
        <w:rPr>
          <w:rFonts w:ascii="仿宋" w:hAnsi="仿宋" w:eastAsia="仿宋" w:cs="仿宋"/>
          <w:sz w:val="24"/>
        </w:rPr>
      </w:pPr>
      <w:r>
        <w:rPr>
          <w:rFonts w:hint="eastAsia" w:ascii="仿宋" w:hAnsi="仿宋" w:eastAsia="仿宋" w:cs="仿宋"/>
          <w:sz w:val="24"/>
        </w:rPr>
        <w:t>投标人（或联合体牵头人）名称（电子签名）：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54" w:firstLineChars="147"/>
        <w:jc w:val="left"/>
        <w:rPr>
          <w:rFonts w:ascii="仿宋" w:hAnsi="仿宋" w:eastAsia="仿宋" w:cs="仿宋"/>
          <w:b/>
          <w:sz w:val="24"/>
        </w:rPr>
      </w:pPr>
      <w:r>
        <w:rPr>
          <w:rFonts w:hint="eastAsia" w:ascii="仿宋" w:hAnsi="仿宋" w:eastAsia="仿宋" w:cs="仿宋"/>
          <w:b/>
          <w:sz w:val="24"/>
        </w:rPr>
        <w:t>从业人员、营业收入、资产总额填报上一年度数据，无上一年度数据的新成立企业可不填报。</w:t>
      </w:r>
    </w:p>
    <w:p>
      <w:pPr>
        <w:spacing w:line="360" w:lineRule="auto"/>
        <w:ind w:right="420"/>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 xml:space="preserve">  注：</w:t>
      </w:r>
    </w:p>
    <w:p>
      <w:pPr>
        <w:spacing w:line="360" w:lineRule="auto"/>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仿宋"/>
          <w:b/>
          <w:sz w:val="24"/>
        </w:rPr>
      </w:pPr>
      <w:r>
        <w:rPr>
          <w:rFonts w:hint="eastAsia" w:ascii="仿宋" w:hAnsi="仿宋" w:eastAsia="仿宋" w:cs="仿宋"/>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仿宋"/>
          <w:b/>
          <w:sz w:val="24"/>
        </w:rPr>
      </w:pPr>
      <w:r>
        <w:rPr>
          <w:rFonts w:hint="eastAsia" w:ascii="仿宋" w:hAnsi="仿宋" w:eastAsia="仿宋" w:cs="仿宋"/>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仿宋"/>
        </w:rPr>
      </w:pPr>
    </w:p>
    <w:p>
      <w:pPr>
        <w:pStyle w:val="60"/>
        <w:ind w:firstLine="0"/>
        <w:rPr>
          <w:rFonts w:ascii="仿宋" w:hAnsi="仿宋" w:eastAsia="仿宋" w:cs="仿宋"/>
          <w:b/>
          <w:szCs w:val="21"/>
          <w:lang w:val="en-US"/>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pStyle w:val="60"/>
        <w:ind w:firstLine="0"/>
        <w:rPr>
          <w:rFonts w:ascii="仿宋" w:hAnsi="仿宋" w:eastAsia="仿宋" w:cs="仿宋"/>
          <w:b/>
          <w:szCs w:val="21"/>
        </w:rPr>
      </w:pPr>
    </w:p>
    <w:p>
      <w:pPr>
        <w:spacing w:line="360" w:lineRule="auto"/>
        <w:outlineLvl w:val="0"/>
        <w:rPr>
          <w:rFonts w:ascii="仿宋" w:hAnsi="仿宋" w:eastAsia="仿宋" w:cs="仿宋"/>
          <w:b/>
          <w:sz w:val="36"/>
          <w:szCs w:val="20"/>
        </w:rPr>
      </w:pPr>
    </w:p>
    <w:p>
      <w:pPr>
        <w:spacing w:line="360" w:lineRule="auto"/>
        <w:outlineLvl w:val="0"/>
        <w:rPr>
          <w:rFonts w:ascii="仿宋" w:hAnsi="仿宋" w:eastAsia="仿宋" w:cs="仿宋"/>
          <w:b/>
          <w:sz w:val="36"/>
          <w:szCs w:val="20"/>
        </w:rPr>
      </w:pPr>
    </w:p>
    <w:p>
      <w:pPr>
        <w:pStyle w:val="60"/>
        <w:ind w:firstLine="0"/>
        <w:rPr>
          <w:rFonts w:ascii="仿宋" w:hAnsi="仿宋" w:eastAsia="仿宋" w:cs="仿宋"/>
          <w:b/>
          <w:sz w:val="36"/>
          <w:lang w:val="en-US"/>
        </w:rPr>
      </w:pPr>
      <w:r>
        <w:rPr>
          <w:rFonts w:hint="eastAsia" w:ascii="仿宋" w:hAnsi="仿宋" w:eastAsia="仿宋" w:cs="仿宋"/>
          <w:b/>
          <w:sz w:val="36"/>
          <w:lang w:val="en-US"/>
        </w:rPr>
        <w:t>附件8：</w:t>
      </w:r>
    </w:p>
    <w:p>
      <w:pPr>
        <w:pStyle w:val="60"/>
        <w:ind w:firstLine="0"/>
        <w:jc w:val="center"/>
        <w:rPr>
          <w:rFonts w:ascii="仿宋" w:hAnsi="仿宋" w:eastAsia="仿宋" w:cs="仿宋"/>
          <w:b/>
          <w:sz w:val="36"/>
          <w:lang w:val="en-US"/>
        </w:rPr>
      </w:pPr>
      <w:r>
        <w:rPr>
          <w:rFonts w:hint="eastAsia" w:ascii="仿宋" w:hAnsi="仿宋" w:eastAsia="仿宋" w:cs="仿宋"/>
          <w:b/>
          <w:sz w:val="36"/>
          <w:lang w:val="en-US"/>
        </w:rPr>
        <w:t>中小企业划型标准规定</w:t>
      </w:r>
    </w:p>
    <w:p>
      <w:pPr>
        <w:pStyle w:val="623"/>
        <w:spacing w:line="360" w:lineRule="auto"/>
        <w:rPr>
          <w:rFonts w:ascii="仿宋" w:hAnsi="仿宋" w:eastAsia="仿宋" w:cs="仿宋"/>
          <w:b/>
          <w:szCs w:val="21"/>
        </w:rPr>
      </w:pPr>
      <w:r>
        <w:rPr>
          <w:rFonts w:hint="eastAsia" w:ascii="仿宋" w:hAnsi="仿宋" w:eastAsia="仿宋" w:cs="仿宋"/>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仿宋"/>
          <w:spacing w:val="6"/>
          <w:szCs w:val="21"/>
        </w:rPr>
        <w:t>国务院关于进一步促进中小企业发展的若干意见</w:t>
      </w:r>
      <w:r>
        <w:rPr>
          <w:rFonts w:hint="eastAsia" w:ascii="仿宋" w:hAnsi="仿宋" w:eastAsia="仿宋" w:cs="仿宋"/>
          <w:spacing w:val="6"/>
          <w:szCs w:val="21"/>
        </w:rPr>
        <w:fldChar w:fldCharType="end"/>
      </w:r>
      <w:r>
        <w:rPr>
          <w:rFonts w:hint="eastAsia" w:ascii="仿宋" w:hAnsi="仿宋" w:eastAsia="仿宋" w:cs="仿宋"/>
          <w:spacing w:val="6"/>
          <w:szCs w:val="21"/>
        </w:rPr>
        <w:t>》（</w:t>
      </w:r>
      <w:r>
        <w:fldChar w:fldCharType="begin"/>
      </w:r>
      <w:r>
        <w:instrText xml:space="preserve"> HYPERLINK "https://www.shui5.cn/article/47/26142.html" </w:instrText>
      </w:r>
      <w:r>
        <w:fldChar w:fldCharType="separate"/>
      </w:r>
      <w:r>
        <w:rPr>
          <w:rFonts w:hint="eastAsia" w:ascii="仿宋" w:hAnsi="仿宋" w:eastAsia="仿宋" w:cs="仿宋"/>
          <w:spacing w:val="6"/>
          <w:szCs w:val="21"/>
        </w:rPr>
        <w:t>国发〔2009〕36号</w:t>
      </w:r>
      <w:r>
        <w:rPr>
          <w:rFonts w:hint="eastAsia" w:ascii="仿宋" w:hAnsi="仿宋" w:eastAsia="仿宋" w:cs="仿宋"/>
          <w:spacing w:val="6"/>
          <w:szCs w:val="21"/>
        </w:rPr>
        <w:fldChar w:fldCharType="end"/>
      </w:r>
      <w:r>
        <w:rPr>
          <w:rFonts w:hint="eastAsia" w:ascii="仿宋" w:hAnsi="仿宋" w:eastAsia="仿宋" w:cs="仿宋"/>
          <w:spacing w:val="6"/>
          <w:szCs w:val="21"/>
        </w:rPr>
        <w:t>)，制定本规定。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二、中小企业划分为中型、小型、微型三种类型，具体标准根据企业从业人员、营业收入、资产总额等指标，结合行业特点制定。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四、各行业划型标准为：</w:t>
      </w:r>
      <w:r>
        <w:rPr>
          <w:rFonts w:hint="eastAsia" w:ascii="仿宋" w:hAnsi="仿宋" w:eastAsia="仿宋" w:cs="仿宋"/>
          <w:spacing w:val="6"/>
          <w:szCs w:val="21"/>
        </w:rPr>
        <w:br w:type="textWrapping"/>
      </w:r>
      <w:r>
        <w:rPr>
          <w:rFonts w:hint="eastAsia" w:ascii="仿宋" w:hAnsi="仿宋" w:eastAsia="仿宋" w:cs="仿宋"/>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ascii="仿宋" w:hAnsi="仿宋" w:eastAsia="仿宋" w:cs="仿宋"/>
          <w:b/>
          <w:sz w:val="21"/>
          <w:szCs w:val="21"/>
        </w:rPr>
      </w:pPr>
      <w:r>
        <w:rPr>
          <w:rFonts w:hint="eastAsia" w:ascii="仿宋" w:hAnsi="仿宋" w:eastAsia="仿宋" w:cs="仿宋"/>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（十六）其他未列明行业。从业人员300人以下的为中小微型企业。其中，从业人员100人及以上的为中型企业；从业人员10人及以上的为小型企业；从业人员10人以下的为微型企业。</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五、企业类型的划分以统计部门的统计数据为依据。</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六、本规定适用于在中华人民共和国境内依法设立的各类所有制和各种组织形式的企业。个体工商户和本规定以外的行业，参照本规定进行划型。</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八、本规定由工业和信息化部、国家统计局会同有关部门根据《国民经济行业分类》修订情况和企业发展变化情况适时修订。</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九、本规定由工业和信息化部、国家统计局会同有关部门负责解释。</w:t>
      </w:r>
    </w:p>
    <w:p>
      <w:pPr>
        <w:pStyle w:val="623"/>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中小企业标准暂行规定</w:t>
      </w:r>
      <w:r>
        <w:rPr>
          <w:rFonts w:hint="eastAsia" w:ascii="仿宋" w:hAnsi="仿宋" w:eastAsia="仿宋" w:cs="仿宋"/>
          <w:spacing w:val="6"/>
          <w:szCs w:val="21"/>
        </w:rPr>
        <w:fldChar w:fldCharType="end"/>
      </w:r>
      <w:r>
        <w:rPr>
          <w:rFonts w:hint="eastAsia" w:ascii="仿宋" w:hAnsi="仿宋" w:eastAsia="仿宋" w:cs="仿宋"/>
          <w:spacing w:val="6"/>
          <w:szCs w:val="21"/>
        </w:rPr>
        <w:t>》</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国经贸中小企[2003]143号</w:t>
      </w:r>
      <w:r>
        <w:rPr>
          <w:rFonts w:hint="eastAsia" w:ascii="仿宋" w:hAnsi="仿宋" w:eastAsia="仿宋" w:cs="仿宋"/>
          <w:spacing w:val="6"/>
          <w:szCs w:val="21"/>
        </w:rPr>
        <w:fldChar w:fldCharType="end"/>
      </w:r>
      <w:r>
        <w:rPr>
          <w:rFonts w:hint="eastAsia" w:ascii="仿宋" w:hAnsi="仿宋" w:eastAsia="仿宋" w:cs="仿宋"/>
          <w:spacing w:val="6"/>
          <w:szCs w:val="21"/>
        </w:rPr>
        <w:t>同时废止。</w:t>
      </w:r>
    </w:p>
    <w:p>
      <w:pPr>
        <w:pStyle w:val="401"/>
        <w:ind w:firstLine="480"/>
        <w:rPr>
          <w:rFonts w:ascii="仿宋" w:hAnsi="仿宋" w:eastAsia="仿宋" w:cs="仿宋"/>
        </w:rPr>
      </w:pPr>
    </w:p>
    <w:p>
      <w:pPr>
        <w:pStyle w:val="401"/>
        <w:ind w:firstLine="480"/>
        <w:rPr>
          <w:rFonts w:ascii="仿宋" w:hAnsi="仿宋" w:eastAsia="仿宋" w:cs="仿宋"/>
        </w:rPr>
      </w:pPr>
    </w:p>
    <w:p>
      <w:pPr>
        <w:pStyle w:val="401"/>
        <w:ind w:firstLine="480"/>
        <w:rPr>
          <w:rFonts w:ascii="仿宋" w:hAnsi="仿宋" w:eastAsia="仿宋" w:cs="仿宋"/>
        </w:rPr>
      </w:pPr>
    </w:p>
    <w:p>
      <w:pPr>
        <w:pStyle w:val="401"/>
        <w:ind w:firstLine="480"/>
        <w:rPr>
          <w:rFonts w:ascii="仿宋" w:hAnsi="仿宋" w:eastAsia="仿宋" w:cs="仿宋"/>
        </w:rPr>
      </w:pPr>
    </w:p>
    <w:p>
      <w:pPr>
        <w:pStyle w:val="401"/>
        <w:ind w:firstLine="480"/>
        <w:rPr>
          <w:rFonts w:ascii="仿宋" w:hAnsi="仿宋" w:eastAsia="仿宋" w:cs="仿宋"/>
        </w:rPr>
      </w:pPr>
    </w:p>
    <w:p>
      <w:pPr>
        <w:pStyle w:val="401"/>
        <w:ind w:firstLine="480"/>
        <w:rPr>
          <w:rFonts w:ascii="仿宋" w:hAnsi="仿宋" w:eastAsia="仿宋" w:cs="仿宋"/>
        </w:rPr>
      </w:pPr>
    </w:p>
    <w:p>
      <w:pPr>
        <w:pStyle w:val="401"/>
        <w:ind w:firstLine="480"/>
        <w:rPr>
          <w:rFonts w:ascii="仿宋" w:hAnsi="仿宋" w:eastAsia="仿宋" w:cs="仿宋"/>
        </w:rPr>
      </w:pPr>
    </w:p>
    <w:p>
      <w:pPr>
        <w:pStyle w:val="401"/>
        <w:ind w:firstLine="480"/>
        <w:rPr>
          <w:rFonts w:ascii="仿宋" w:hAnsi="仿宋" w:eastAsia="仿宋" w:cs="仿宋"/>
        </w:rPr>
      </w:pPr>
    </w:p>
    <w:p>
      <w:pPr>
        <w:pStyle w:val="401"/>
        <w:ind w:firstLine="480"/>
        <w:rPr>
          <w:rFonts w:ascii="仿宋" w:hAnsi="仿宋" w:eastAsia="仿宋" w:cs="仿宋"/>
        </w:rPr>
      </w:pPr>
    </w:p>
    <w:p>
      <w:pPr>
        <w:pStyle w:val="401"/>
        <w:ind w:firstLine="480"/>
        <w:rPr>
          <w:rFonts w:ascii="仿宋" w:hAnsi="仿宋" w:eastAsia="仿宋" w:cs="仿宋"/>
        </w:rPr>
      </w:pPr>
    </w:p>
    <w:p>
      <w:pPr>
        <w:pStyle w:val="401"/>
        <w:ind w:firstLine="480"/>
        <w:rPr>
          <w:rFonts w:ascii="仿宋" w:hAnsi="仿宋" w:eastAsia="仿宋" w:cs="仿宋"/>
        </w:rPr>
      </w:pPr>
    </w:p>
    <w:p>
      <w:pPr>
        <w:pStyle w:val="60"/>
        <w:ind w:firstLine="0"/>
        <w:rPr>
          <w:rFonts w:ascii="仿宋" w:hAnsi="仿宋" w:eastAsia="仿宋" w:cs="仿宋"/>
          <w:b/>
          <w:sz w:val="36"/>
          <w:lang w:val="en-US"/>
        </w:rPr>
      </w:pPr>
      <w:r>
        <w:rPr>
          <w:rFonts w:hint="eastAsia" w:ascii="仿宋" w:hAnsi="仿宋" w:eastAsia="仿宋" w:cs="仿宋"/>
          <w:b/>
          <w:sz w:val="36"/>
          <w:lang w:val="en-US"/>
        </w:rPr>
        <w:t>附件9：</w:t>
      </w:r>
    </w:p>
    <w:p>
      <w:pPr>
        <w:pStyle w:val="4"/>
        <w:jc w:val="center"/>
        <w:rPr>
          <w:rFonts w:ascii="仿宋" w:eastAsia="仿宋" w:cs="仿宋"/>
          <w:lang w:val="en-US"/>
        </w:rPr>
      </w:pPr>
      <w:r>
        <w:rPr>
          <w:rFonts w:hint="eastAsia" w:ascii="仿宋" w:eastAsia="仿宋" w:cs="仿宋"/>
        </w:rPr>
        <w:t>政府采购活动现场确认声明书</w:t>
      </w:r>
    </w:p>
    <w:p>
      <w:pPr>
        <w:spacing w:line="360" w:lineRule="auto"/>
        <w:rPr>
          <w:rFonts w:ascii="仿宋" w:hAnsi="仿宋" w:eastAsia="仿宋" w:cs="仿宋"/>
          <w:szCs w:val="21"/>
        </w:rPr>
      </w:pPr>
      <w:r>
        <w:rPr>
          <w:rFonts w:hint="eastAsia" w:ascii="仿宋" w:hAnsi="仿宋" w:eastAsia="仿宋" w:cs="仿宋"/>
          <w:szCs w:val="21"/>
        </w:rPr>
        <w:t>杭州诚华工程项目管理有限公司：</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本人 ____________（授权代表姓名），经由_____________（单位） ______ （法定代表人姓名）合法授权参加 </w:t>
      </w:r>
      <w:r>
        <w:rPr>
          <w:rFonts w:hint="eastAsia" w:ascii="仿宋" w:hAnsi="仿宋" w:eastAsia="仿宋" w:cs="仿宋"/>
          <w:szCs w:val="21"/>
          <w:u w:val="single"/>
        </w:rPr>
        <w:t xml:space="preserve">                             </w:t>
      </w:r>
      <w:r>
        <w:rPr>
          <w:rFonts w:hint="eastAsia" w:ascii="仿宋" w:hAnsi="仿宋" w:eastAsia="仿宋" w:cs="仿宋"/>
          <w:szCs w:val="21"/>
        </w:rPr>
        <w:t xml:space="preserve"> （编号：</w:t>
      </w:r>
      <w:r>
        <w:rPr>
          <w:rFonts w:hint="eastAsia" w:ascii="仿宋" w:hAnsi="仿宋" w:eastAsia="仿宋" w:cs="仿宋"/>
          <w:szCs w:val="21"/>
          <w:u w:val="single"/>
        </w:rPr>
        <w:t xml:space="preserve">                </w:t>
      </w:r>
      <w:r>
        <w:rPr>
          <w:rFonts w:hint="eastAsia" w:ascii="仿宋" w:hAnsi="仿宋" w:eastAsia="仿宋" w:cs="仿宋"/>
          <w:szCs w:val="21"/>
        </w:rPr>
        <w:t>）政府采购活动．经与本单位法人代表（负责人）联系确认，现就有关公平竞争事项郑重声明如下:</w:t>
      </w:r>
      <w:r>
        <w:rPr>
          <w:rFonts w:hint="eastAsia" w:ascii="仿宋" w:hAnsi="仿宋" w:eastAsia="仿宋" w:cs="仿宋"/>
          <w:szCs w:val="21"/>
        </w:rPr>
        <w:cr/>
      </w:r>
      <w:r>
        <w:rPr>
          <w:rFonts w:hint="eastAsia" w:ascii="仿宋" w:hAnsi="仿宋" w:eastAsia="仿宋" w:cs="仿宋"/>
          <w:szCs w:val="21"/>
        </w:rPr>
        <w:t xml:space="preserve">    一、本单位与采购人之间口不存在利害关系口存在下列利害关系: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二、现己清楚知道参加本项目采购活动的其他所有供应商名称，本单位  口与其他所有供应商之间均不存在利害关系   口与______________（供应商名称）之间存在下列利害关系: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A．法定代表人或负责人或实际控制人是同一人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B．法定代表人或负责人或实际控制人是夫妻关系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C．法定代表人或负责人或实际控制人是直系血亲关系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D．法定代表人或负责人或实际控制人存在三代以内旁系血亲关系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E．法定代表人或负责人或实际控制人存在近姻亲关系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F．法定代表人或负责人或实际控制人存在股份控制或实际控制关系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G．存在共同直接或间接投资设立子公司、联营企业和合营企业情况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I．其他利害关系情况 ________________________________________。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三、现己清楚知道并严格遵守政府采购法律法规和现场纪律。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cs="仿宋"/>
          <w:szCs w:val="21"/>
        </w:rPr>
      </w:pPr>
    </w:p>
    <w:p>
      <w:pPr>
        <w:spacing w:line="360" w:lineRule="auto"/>
        <w:ind w:firstLine="420" w:firstLineChars="200"/>
        <w:jc w:val="right"/>
        <w:rPr>
          <w:rFonts w:ascii="仿宋" w:hAnsi="仿宋" w:eastAsia="仿宋" w:cs="仿宋"/>
          <w:szCs w:val="21"/>
        </w:rPr>
      </w:pPr>
      <w:r>
        <w:rPr>
          <w:rFonts w:hint="eastAsia" w:ascii="仿宋" w:hAnsi="仿宋" w:eastAsia="仿宋" w:cs="仿宋"/>
          <w:szCs w:val="21"/>
        </w:rPr>
        <w:t xml:space="preserve">（供应商代表签名）: </w:t>
      </w:r>
    </w:p>
    <w:p>
      <w:pPr>
        <w:spacing w:line="360" w:lineRule="auto"/>
        <w:ind w:firstLine="420" w:firstLineChars="200"/>
        <w:jc w:val="right"/>
        <w:rPr>
          <w:rFonts w:ascii="仿宋" w:hAnsi="仿宋" w:eastAsia="仿宋" w:cs="仿宋"/>
          <w:szCs w:val="21"/>
        </w:rPr>
      </w:pPr>
      <w:r>
        <w:rPr>
          <w:rFonts w:hint="eastAsia" w:ascii="仿宋" w:hAnsi="仿宋" w:eastAsia="仿宋" w:cs="仿宋"/>
          <w:szCs w:val="21"/>
        </w:rPr>
        <w:t>202  年  月   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
          <w:sz w:val="28"/>
          <w:szCs w:val="28"/>
          <w:lang w:val="en-US" w:eastAsia="zh-CN"/>
        </w:rPr>
        <w:t>1551864487</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pPr>
        <w:pStyle w:val="401"/>
        <w:ind w:firstLine="480"/>
        <w:rPr>
          <w:rFonts w:ascii="仿宋" w:hAnsi="仿宋" w:eastAsia="仿宋" w:cs="仿宋"/>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28</w: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26" w:name="_Toc131845147"/>
    <w:bookmarkStart w:id="527" w:name="_Toc36110187"/>
    <w:bookmarkStart w:id="528" w:name="_Toc164085800"/>
    <w:bookmarkStart w:id="529" w:name="_Toc91899912"/>
    <w:r>
      <w:rPr>
        <w:rFonts w:hint="eastAsia" w:ascii="仿宋_GB2312" w:eastAsia="仿宋_GB2312"/>
        <w:kern w:val="0"/>
        <w:szCs w:val="21"/>
      </w:rPr>
      <w:t xml:space="preserve"> 页</w:t>
    </w:r>
    <w:bookmarkEnd w:id="526"/>
    <w:bookmarkEnd w:id="527"/>
    <w:bookmarkEnd w:id="528"/>
    <w:bookmarkEnd w:id="5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44"/>
      <w:rPr>
        <w:rFonts w:ascii="宋体" w:hAnsi="宋体" w:cs="宋体"/>
        <w:sz w:val="17"/>
        <w:szCs w:val="17"/>
      </w:rPr>
    </w:pPr>
    <w:r>
      <w:rPr>
        <w:rFonts w:ascii="Times New Roman" w:hAnsi="Times New Roman" w:eastAsia="宋体" w:cs="Times New Roman"/>
        <w:kern w:val="2"/>
        <w:sz w:val="17"/>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9"/>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mBu9w8ABAACMAwAADgAAAAAAAAABACAAAAAfAQAAZHJzL2Uyb0RvYy54bWxQSwUG&#10;AAAAAAYABgBZAQAAUQUAA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rect>
          </w:pict>
        </mc:Fallback>
      </mc:AlternateContent>
    </w:r>
    <w:r>
      <w:rPr>
        <w:rFonts w:ascii="Times New Roman" w:hAnsi="Times New Roman" w:eastAsia="宋体" w:cs="Times New Roman"/>
        <w:kern w:val="2"/>
        <w:sz w:val="17"/>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9"/>
                          </w:pPr>
                        </w:p>
                      </w:txbxContent>
                    </wps:txbx>
                    <wps:bodyPr wrap="none" lIns="0" tIns="0" rIns="0" bIns="0" upright="1">
                      <a:spAutoFit/>
                    </wps:bodyPr>
                  </wps:wsp>
                </a:graphicData>
              </a:graphic>
            </wp:anchor>
          </w:drawing>
        </mc:Choice>
        <mc:Fallback>
          <w:pict>
            <v:rect id="矩形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Aae2I8ABAACMAwAADgAAAAAAAAABACAAAAAfAQAAZHJzL2Uyb0RvYy54bWxQSwUG&#10;AAAAAAYABgBZAQAAUQUAAAAA&#10;">
              <v:fill on="f" focussize="0,0"/>
              <v:stroke on="f"/>
              <v:imagedata o:title=""/>
              <o:lock v:ext="edit" aspectratio="f"/>
              <v:textbox inset="0mm,0mm,0mm,0mm" style="mso-fit-shape-to-text:t;">
                <w:txbxContent>
                  <w:p>
                    <w:pPr>
                      <w:pStyle w:val="39"/>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F23E9"/>
    <w:multiLevelType w:val="singleLevel"/>
    <w:tmpl w:val="4A1F23E9"/>
    <w:lvl w:ilvl="0" w:tentative="0">
      <w:start w:val="1"/>
      <w:numFmt w:val="decimal"/>
      <w:suff w:val="nothing"/>
      <w:lvlText w:val="（%1）"/>
      <w:lvlJc w:val="left"/>
    </w:lvl>
  </w:abstractNum>
  <w:abstractNum w:abstractNumId="1">
    <w:nsid w:val="5E62D5EC"/>
    <w:multiLevelType w:val="singleLevel"/>
    <w:tmpl w:val="5E62D5EC"/>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NTY0MjcyNWIzNDk2ZmM4YmM5YWJkNTAxMzczODUifQ=="/>
    <w:docVar w:name="KSO_WPS_MARK_KEY" w:val="ef58ead0-ae51-40da-b544-9db86631db9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306"/>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396B"/>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8D"/>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946"/>
    <w:rsid w:val="00A31F05"/>
    <w:rsid w:val="00A31FD2"/>
    <w:rsid w:val="00A3404D"/>
    <w:rsid w:val="00A341AB"/>
    <w:rsid w:val="00A34290"/>
    <w:rsid w:val="00A355F9"/>
    <w:rsid w:val="00A357D3"/>
    <w:rsid w:val="00A35AA9"/>
    <w:rsid w:val="00A35B8E"/>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05E"/>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18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0D8"/>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0D2"/>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358F5"/>
    <w:rsid w:val="02DC4B10"/>
    <w:rsid w:val="02DD76CE"/>
    <w:rsid w:val="02F36323"/>
    <w:rsid w:val="02F5619C"/>
    <w:rsid w:val="0326446A"/>
    <w:rsid w:val="032D5555"/>
    <w:rsid w:val="036634D2"/>
    <w:rsid w:val="03CC5D27"/>
    <w:rsid w:val="03DD35E4"/>
    <w:rsid w:val="04076900"/>
    <w:rsid w:val="041A5A3B"/>
    <w:rsid w:val="042311BA"/>
    <w:rsid w:val="042B157A"/>
    <w:rsid w:val="048B0454"/>
    <w:rsid w:val="048F763B"/>
    <w:rsid w:val="049F330E"/>
    <w:rsid w:val="04A15E27"/>
    <w:rsid w:val="04AA775C"/>
    <w:rsid w:val="04AF1889"/>
    <w:rsid w:val="04F66F48"/>
    <w:rsid w:val="05251E14"/>
    <w:rsid w:val="05A16594"/>
    <w:rsid w:val="05A7762D"/>
    <w:rsid w:val="060E5941"/>
    <w:rsid w:val="06110FAF"/>
    <w:rsid w:val="06493CA7"/>
    <w:rsid w:val="06581AF4"/>
    <w:rsid w:val="065A6178"/>
    <w:rsid w:val="066F1CF3"/>
    <w:rsid w:val="06930BB8"/>
    <w:rsid w:val="06D63B9D"/>
    <w:rsid w:val="07245D42"/>
    <w:rsid w:val="07264C62"/>
    <w:rsid w:val="076101D5"/>
    <w:rsid w:val="0779354C"/>
    <w:rsid w:val="08061376"/>
    <w:rsid w:val="081D461C"/>
    <w:rsid w:val="08452D77"/>
    <w:rsid w:val="086401F8"/>
    <w:rsid w:val="08751CAA"/>
    <w:rsid w:val="087E4C40"/>
    <w:rsid w:val="08A871D0"/>
    <w:rsid w:val="08D66AD6"/>
    <w:rsid w:val="08DA33A3"/>
    <w:rsid w:val="08E01DB0"/>
    <w:rsid w:val="08E80F13"/>
    <w:rsid w:val="09335624"/>
    <w:rsid w:val="0944690F"/>
    <w:rsid w:val="09535675"/>
    <w:rsid w:val="095F057D"/>
    <w:rsid w:val="09642282"/>
    <w:rsid w:val="09733572"/>
    <w:rsid w:val="09772C16"/>
    <w:rsid w:val="098353B5"/>
    <w:rsid w:val="09A92330"/>
    <w:rsid w:val="09B06B87"/>
    <w:rsid w:val="09C061BF"/>
    <w:rsid w:val="09C13146"/>
    <w:rsid w:val="09E04166"/>
    <w:rsid w:val="0A0A57FB"/>
    <w:rsid w:val="0A1C0718"/>
    <w:rsid w:val="0A3E7710"/>
    <w:rsid w:val="0A5B7E63"/>
    <w:rsid w:val="0AA374A5"/>
    <w:rsid w:val="0AAB7649"/>
    <w:rsid w:val="0ABC5606"/>
    <w:rsid w:val="0AC55B6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94B69"/>
    <w:rsid w:val="0CC007F7"/>
    <w:rsid w:val="0CC617AC"/>
    <w:rsid w:val="0CDE6ACB"/>
    <w:rsid w:val="0CE618DF"/>
    <w:rsid w:val="0CFE707A"/>
    <w:rsid w:val="0D063BDA"/>
    <w:rsid w:val="0D08375F"/>
    <w:rsid w:val="0D184CFB"/>
    <w:rsid w:val="0D4A7419"/>
    <w:rsid w:val="0D6C2329"/>
    <w:rsid w:val="0D815058"/>
    <w:rsid w:val="0D827401"/>
    <w:rsid w:val="0D84094E"/>
    <w:rsid w:val="0D8A00E9"/>
    <w:rsid w:val="0D8D589E"/>
    <w:rsid w:val="0DA01C73"/>
    <w:rsid w:val="0DD63300"/>
    <w:rsid w:val="0DF50604"/>
    <w:rsid w:val="0DF702FE"/>
    <w:rsid w:val="0E060E51"/>
    <w:rsid w:val="0E5604B2"/>
    <w:rsid w:val="0E6D5D79"/>
    <w:rsid w:val="0E7C61D3"/>
    <w:rsid w:val="0E9D0089"/>
    <w:rsid w:val="0EB803EE"/>
    <w:rsid w:val="0EF94D4B"/>
    <w:rsid w:val="0F0F3F6F"/>
    <w:rsid w:val="0F0F40E1"/>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7700C"/>
    <w:rsid w:val="10C26171"/>
    <w:rsid w:val="10F33360"/>
    <w:rsid w:val="10FC16EA"/>
    <w:rsid w:val="110F1D40"/>
    <w:rsid w:val="11266F33"/>
    <w:rsid w:val="118963A1"/>
    <w:rsid w:val="11B6371C"/>
    <w:rsid w:val="11C6522A"/>
    <w:rsid w:val="11E104CC"/>
    <w:rsid w:val="11E20309"/>
    <w:rsid w:val="12255233"/>
    <w:rsid w:val="12530213"/>
    <w:rsid w:val="127723A9"/>
    <w:rsid w:val="12862074"/>
    <w:rsid w:val="12883966"/>
    <w:rsid w:val="129E45B4"/>
    <w:rsid w:val="12D81596"/>
    <w:rsid w:val="12EC4DFD"/>
    <w:rsid w:val="13072A44"/>
    <w:rsid w:val="13340169"/>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D872C0"/>
    <w:rsid w:val="16A8729C"/>
    <w:rsid w:val="16B33777"/>
    <w:rsid w:val="16BC70A7"/>
    <w:rsid w:val="16C6339E"/>
    <w:rsid w:val="172F2D79"/>
    <w:rsid w:val="17557BEF"/>
    <w:rsid w:val="17B422BA"/>
    <w:rsid w:val="17D349C1"/>
    <w:rsid w:val="18044413"/>
    <w:rsid w:val="1830729E"/>
    <w:rsid w:val="1870062C"/>
    <w:rsid w:val="18817102"/>
    <w:rsid w:val="18830A15"/>
    <w:rsid w:val="18852B28"/>
    <w:rsid w:val="188B5321"/>
    <w:rsid w:val="19655AF1"/>
    <w:rsid w:val="19742C91"/>
    <w:rsid w:val="1978317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671B7"/>
    <w:rsid w:val="1B713184"/>
    <w:rsid w:val="1BA209CF"/>
    <w:rsid w:val="1BA52702"/>
    <w:rsid w:val="1BB4777D"/>
    <w:rsid w:val="1BD75AB8"/>
    <w:rsid w:val="1C0459C2"/>
    <w:rsid w:val="1C0E58C7"/>
    <w:rsid w:val="1C1B3B4A"/>
    <w:rsid w:val="1C7E1EF2"/>
    <w:rsid w:val="1C88086E"/>
    <w:rsid w:val="1C9123DB"/>
    <w:rsid w:val="1D266CE1"/>
    <w:rsid w:val="1D3963AF"/>
    <w:rsid w:val="1D6A673C"/>
    <w:rsid w:val="1D8725B2"/>
    <w:rsid w:val="1D9247AE"/>
    <w:rsid w:val="1DB567EC"/>
    <w:rsid w:val="1DC75107"/>
    <w:rsid w:val="1DF51A98"/>
    <w:rsid w:val="1E3D060F"/>
    <w:rsid w:val="1E3F7D2E"/>
    <w:rsid w:val="1E4134E4"/>
    <w:rsid w:val="1E5062B3"/>
    <w:rsid w:val="1E523514"/>
    <w:rsid w:val="1E714A66"/>
    <w:rsid w:val="1E802593"/>
    <w:rsid w:val="1E8B6156"/>
    <w:rsid w:val="1EA703CC"/>
    <w:rsid w:val="1EB7330C"/>
    <w:rsid w:val="1EB8717C"/>
    <w:rsid w:val="1F0A0FF3"/>
    <w:rsid w:val="1F5771FF"/>
    <w:rsid w:val="1F7A2683"/>
    <w:rsid w:val="1F81262D"/>
    <w:rsid w:val="1FE868A9"/>
    <w:rsid w:val="20034907"/>
    <w:rsid w:val="20173E4B"/>
    <w:rsid w:val="204E48BC"/>
    <w:rsid w:val="208921B3"/>
    <w:rsid w:val="20973DEB"/>
    <w:rsid w:val="20B26522"/>
    <w:rsid w:val="20B44310"/>
    <w:rsid w:val="211116EB"/>
    <w:rsid w:val="216133FC"/>
    <w:rsid w:val="21D56769"/>
    <w:rsid w:val="21E52EF3"/>
    <w:rsid w:val="21FB5D7B"/>
    <w:rsid w:val="21FF43ED"/>
    <w:rsid w:val="22015E94"/>
    <w:rsid w:val="220B1C3D"/>
    <w:rsid w:val="221D1D20"/>
    <w:rsid w:val="22334A87"/>
    <w:rsid w:val="22B42350"/>
    <w:rsid w:val="22BE6801"/>
    <w:rsid w:val="22DE21BE"/>
    <w:rsid w:val="233500BF"/>
    <w:rsid w:val="23377FF7"/>
    <w:rsid w:val="236B425F"/>
    <w:rsid w:val="23836192"/>
    <w:rsid w:val="23901F29"/>
    <w:rsid w:val="239C0061"/>
    <w:rsid w:val="23A36F08"/>
    <w:rsid w:val="23B908A4"/>
    <w:rsid w:val="23E95BEF"/>
    <w:rsid w:val="23ED78C8"/>
    <w:rsid w:val="23FD0064"/>
    <w:rsid w:val="24454A6E"/>
    <w:rsid w:val="245375B0"/>
    <w:rsid w:val="24642C0A"/>
    <w:rsid w:val="24B22173"/>
    <w:rsid w:val="24B95AD9"/>
    <w:rsid w:val="24BE24DA"/>
    <w:rsid w:val="24CF5825"/>
    <w:rsid w:val="24D663E6"/>
    <w:rsid w:val="24D77F2B"/>
    <w:rsid w:val="24DC32EC"/>
    <w:rsid w:val="24E82634"/>
    <w:rsid w:val="25537BFE"/>
    <w:rsid w:val="255F0B60"/>
    <w:rsid w:val="258B00E2"/>
    <w:rsid w:val="25A917A6"/>
    <w:rsid w:val="25BE27CC"/>
    <w:rsid w:val="25F74A5C"/>
    <w:rsid w:val="25F82554"/>
    <w:rsid w:val="2628662C"/>
    <w:rsid w:val="262D45DE"/>
    <w:rsid w:val="266114D9"/>
    <w:rsid w:val="26871DC8"/>
    <w:rsid w:val="26A53EF9"/>
    <w:rsid w:val="26A94201"/>
    <w:rsid w:val="26AC274F"/>
    <w:rsid w:val="27044A29"/>
    <w:rsid w:val="27051632"/>
    <w:rsid w:val="271D34C8"/>
    <w:rsid w:val="276142BF"/>
    <w:rsid w:val="27783712"/>
    <w:rsid w:val="27907362"/>
    <w:rsid w:val="28333E1D"/>
    <w:rsid w:val="28454BD6"/>
    <w:rsid w:val="28455253"/>
    <w:rsid w:val="285048C9"/>
    <w:rsid w:val="28551971"/>
    <w:rsid w:val="285B1C53"/>
    <w:rsid w:val="2863055D"/>
    <w:rsid w:val="28904CC6"/>
    <w:rsid w:val="289F7086"/>
    <w:rsid w:val="28C32028"/>
    <w:rsid w:val="28CC490F"/>
    <w:rsid w:val="28D80690"/>
    <w:rsid w:val="28DE40AA"/>
    <w:rsid w:val="28EA4454"/>
    <w:rsid w:val="29345E77"/>
    <w:rsid w:val="294C65AD"/>
    <w:rsid w:val="29806583"/>
    <w:rsid w:val="298B3C4C"/>
    <w:rsid w:val="29B570DA"/>
    <w:rsid w:val="29F26D24"/>
    <w:rsid w:val="2A15033F"/>
    <w:rsid w:val="2A1662C1"/>
    <w:rsid w:val="2A1C7367"/>
    <w:rsid w:val="2A2815FA"/>
    <w:rsid w:val="2A6D6092"/>
    <w:rsid w:val="2A7D76B4"/>
    <w:rsid w:val="2AE91F4C"/>
    <w:rsid w:val="2AFE060C"/>
    <w:rsid w:val="2B437463"/>
    <w:rsid w:val="2B7807EE"/>
    <w:rsid w:val="2BA50BF7"/>
    <w:rsid w:val="2BBF00EC"/>
    <w:rsid w:val="2BC37CFD"/>
    <w:rsid w:val="2BD5237F"/>
    <w:rsid w:val="2BE536CE"/>
    <w:rsid w:val="2BE758D9"/>
    <w:rsid w:val="2C09049E"/>
    <w:rsid w:val="2C0A653C"/>
    <w:rsid w:val="2C191F85"/>
    <w:rsid w:val="2C3167C0"/>
    <w:rsid w:val="2C342EB0"/>
    <w:rsid w:val="2CCB2F3A"/>
    <w:rsid w:val="2CE82D6F"/>
    <w:rsid w:val="2D0B2E6B"/>
    <w:rsid w:val="2D343236"/>
    <w:rsid w:val="2D723404"/>
    <w:rsid w:val="2DD15014"/>
    <w:rsid w:val="2DF72DE4"/>
    <w:rsid w:val="2E0220AF"/>
    <w:rsid w:val="2E047B0F"/>
    <w:rsid w:val="2E4B082A"/>
    <w:rsid w:val="2E586144"/>
    <w:rsid w:val="2E5D4E86"/>
    <w:rsid w:val="2E5D790B"/>
    <w:rsid w:val="2E9A3C18"/>
    <w:rsid w:val="2EBB0FEE"/>
    <w:rsid w:val="2EC63002"/>
    <w:rsid w:val="2ED753FC"/>
    <w:rsid w:val="2F0A6B38"/>
    <w:rsid w:val="2F946CCB"/>
    <w:rsid w:val="2FD25781"/>
    <w:rsid w:val="2FDC745C"/>
    <w:rsid w:val="2FFD7934"/>
    <w:rsid w:val="304C0A6E"/>
    <w:rsid w:val="30733ACD"/>
    <w:rsid w:val="308C3862"/>
    <w:rsid w:val="309379D8"/>
    <w:rsid w:val="30A270F7"/>
    <w:rsid w:val="30DF1478"/>
    <w:rsid w:val="30EC586F"/>
    <w:rsid w:val="319C6071"/>
    <w:rsid w:val="31AC537E"/>
    <w:rsid w:val="31E3679B"/>
    <w:rsid w:val="31E732FD"/>
    <w:rsid w:val="32517576"/>
    <w:rsid w:val="325E1392"/>
    <w:rsid w:val="32BE5C2C"/>
    <w:rsid w:val="32FB6478"/>
    <w:rsid w:val="330E7821"/>
    <w:rsid w:val="33263B3F"/>
    <w:rsid w:val="335564B6"/>
    <w:rsid w:val="335F695E"/>
    <w:rsid w:val="336963EB"/>
    <w:rsid w:val="33816EEB"/>
    <w:rsid w:val="33EB55CD"/>
    <w:rsid w:val="33EC4C02"/>
    <w:rsid w:val="340D2360"/>
    <w:rsid w:val="3410665D"/>
    <w:rsid w:val="34152ECA"/>
    <w:rsid w:val="34211214"/>
    <w:rsid w:val="342E63AB"/>
    <w:rsid w:val="34950E68"/>
    <w:rsid w:val="34986E94"/>
    <w:rsid w:val="34AF62C9"/>
    <w:rsid w:val="34CB4388"/>
    <w:rsid w:val="34CB78E4"/>
    <w:rsid w:val="34FA6E12"/>
    <w:rsid w:val="353C3ACE"/>
    <w:rsid w:val="354D7158"/>
    <w:rsid w:val="358D5588"/>
    <w:rsid w:val="363A3B40"/>
    <w:rsid w:val="365302AE"/>
    <w:rsid w:val="36607A0A"/>
    <w:rsid w:val="366E227C"/>
    <w:rsid w:val="366F2E0D"/>
    <w:rsid w:val="367B6A5C"/>
    <w:rsid w:val="36A74ADA"/>
    <w:rsid w:val="36AD60D5"/>
    <w:rsid w:val="36B224F9"/>
    <w:rsid w:val="36EC0CC9"/>
    <w:rsid w:val="373158C6"/>
    <w:rsid w:val="373F410B"/>
    <w:rsid w:val="37620260"/>
    <w:rsid w:val="37EE7094"/>
    <w:rsid w:val="38296C89"/>
    <w:rsid w:val="383002EB"/>
    <w:rsid w:val="38586797"/>
    <w:rsid w:val="386509AB"/>
    <w:rsid w:val="38BC0149"/>
    <w:rsid w:val="38D87D1C"/>
    <w:rsid w:val="393257DC"/>
    <w:rsid w:val="395767F4"/>
    <w:rsid w:val="39636459"/>
    <w:rsid w:val="396B7F6C"/>
    <w:rsid w:val="3991089E"/>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F7FFF"/>
    <w:rsid w:val="3D3A0F8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7638E"/>
    <w:rsid w:val="3F060E16"/>
    <w:rsid w:val="3F1D1096"/>
    <w:rsid w:val="3F25542B"/>
    <w:rsid w:val="3F2F0234"/>
    <w:rsid w:val="3F456A6E"/>
    <w:rsid w:val="3F6363FE"/>
    <w:rsid w:val="3F756B8F"/>
    <w:rsid w:val="3F95482B"/>
    <w:rsid w:val="3F960BB7"/>
    <w:rsid w:val="4019356B"/>
    <w:rsid w:val="40556AC9"/>
    <w:rsid w:val="40592157"/>
    <w:rsid w:val="406E1CAE"/>
    <w:rsid w:val="40A0133A"/>
    <w:rsid w:val="40C31A53"/>
    <w:rsid w:val="40E20083"/>
    <w:rsid w:val="40E751D2"/>
    <w:rsid w:val="40FF545D"/>
    <w:rsid w:val="410067C8"/>
    <w:rsid w:val="416C0FBC"/>
    <w:rsid w:val="418F0D2A"/>
    <w:rsid w:val="41D01505"/>
    <w:rsid w:val="42474939"/>
    <w:rsid w:val="424C3C57"/>
    <w:rsid w:val="4254498C"/>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54E01"/>
    <w:rsid w:val="449101DD"/>
    <w:rsid w:val="44DE1391"/>
    <w:rsid w:val="451B225C"/>
    <w:rsid w:val="452410C9"/>
    <w:rsid w:val="45317DFB"/>
    <w:rsid w:val="456D3CE4"/>
    <w:rsid w:val="4579042C"/>
    <w:rsid w:val="457A047C"/>
    <w:rsid w:val="457F0571"/>
    <w:rsid w:val="45851176"/>
    <w:rsid w:val="45C63B94"/>
    <w:rsid w:val="460E7DA5"/>
    <w:rsid w:val="46422483"/>
    <w:rsid w:val="4659254A"/>
    <w:rsid w:val="465B0637"/>
    <w:rsid w:val="465E3F0D"/>
    <w:rsid w:val="466A16E6"/>
    <w:rsid w:val="467A2DE5"/>
    <w:rsid w:val="46893F2B"/>
    <w:rsid w:val="46C4686E"/>
    <w:rsid w:val="477B778F"/>
    <w:rsid w:val="478203EC"/>
    <w:rsid w:val="47B025FA"/>
    <w:rsid w:val="47FB3B18"/>
    <w:rsid w:val="4809698F"/>
    <w:rsid w:val="4811697D"/>
    <w:rsid w:val="487A3E25"/>
    <w:rsid w:val="48837895"/>
    <w:rsid w:val="488B5503"/>
    <w:rsid w:val="48937E21"/>
    <w:rsid w:val="489A0361"/>
    <w:rsid w:val="48B1243F"/>
    <w:rsid w:val="48B94FF3"/>
    <w:rsid w:val="48E243BB"/>
    <w:rsid w:val="48E37AAB"/>
    <w:rsid w:val="48FD4B4C"/>
    <w:rsid w:val="490A68E0"/>
    <w:rsid w:val="491055FE"/>
    <w:rsid w:val="49243A3F"/>
    <w:rsid w:val="495F5B3E"/>
    <w:rsid w:val="496F77D7"/>
    <w:rsid w:val="497654FD"/>
    <w:rsid w:val="498F13BF"/>
    <w:rsid w:val="49B64211"/>
    <w:rsid w:val="49D01BD3"/>
    <w:rsid w:val="49F6167F"/>
    <w:rsid w:val="4A064FA0"/>
    <w:rsid w:val="4A16615C"/>
    <w:rsid w:val="4A4424D7"/>
    <w:rsid w:val="4AB82D0F"/>
    <w:rsid w:val="4AEB7664"/>
    <w:rsid w:val="4AFD7C19"/>
    <w:rsid w:val="4B0567D1"/>
    <w:rsid w:val="4B236AAE"/>
    <w:rsid w:val="4B707271"/>
    <w:rsid w:val="4B9739F7"/>
    <w:rsid w:val="4BEE2503"/>
    <w:rsid w:val="4C0B44E0"/>
    <w:rsid w:val="4C245A30"/>
    <w:rsid w:val="4C9473E5"/>
    <w:rsid w:val="4CB6685F"/>
    <w:rsid w:val="4CC367FE"/>
    <w:rsid w:val="4D077F3C"/>
    <w:rsid w:val="4D0E4287"/>
    <w:rsid w:val="4D123355"/>
    <w:rsid w:val="4D2A3B31"/>
    <w:rsid w:val="4D2C5930"/>
    <w:rsid w:val="4D312C52"/>
    <w:rsid w:val="4D905305"/>
    <w:rsid w:val="4D926C66"/>
    <w:rsid w:val="4D964A72"/>
    <w:rsid w:val="4D9C1254"/>
    <w:rsid w:val="4E002792"/>
    <w:rsid w:val="4E6B0751"/>
    <w:rsid w:val="4E793892"/>
    <w:rsid w:val="4E7E60CF"/>
    <w:rsid w:val="4E800872"/>
    <w:rsid w:val="4E8F764A"/>
    <w:rsid w:val="4EC569ED"/>
    <w:rsid w:val="4ED50EA1"/>
    <w:rsid w:val="4EEC050C"/>
    <w:rsid w:val="4F104EC3"/>
    <w:rsid w:val="4F47354A"/>
    <w:rsid w:val="4F911C54"/>
    <w:rsid w:val="4FC80A09"/>
    <w:rsid w:val="4FE625E0"/>
    <w:rsid w:val="5021480F"/>
    <w:rsid w:val="505E6C5B"/>
    <w:rsid w:val="50962ECB"/>
    <w:rsid w:val="50A42E38"/>
    <w:rsid w:val="50A4577F"/>
    <w:rsid w:val="50B73D1F"/>
    <w:rsid w:val="50BD5BC9"/>
    <w:rsid w:val="50C11EEE"/>
    <w:rsid w:val="50E97CFC"/>
    <w:rsid w:val="50FA4028"/>
    <w:rsid w:val="510D65B7"/>
    <w:rsid w:val="511157AB"/>
    <w:rsid w:val="512C1180"/>
    <w:rsid w:val="5142540C"/>
    <w:rsid w:val="518832C8"/>
    <w:rsid w:val="519D3C50"/>
    <w:rsid w:val="51A0432A"/>
    <w:rsid w:val="51A86090"/>
    <w:rsid w:val="51B7396D"/>
    <w:rsid w:val="51FA302C"/>
    <w:rsid w:val="522E4CC3"/>
    <w:rsid w:val="5244713B"/>
    <w:rsid w:val="52615633"/>
    <w:rsid w:val="526F4DE4"/>
    <w:rsid w:val="52977FD4"/>
    <w:rsid w:val="52A25790"/>
    <w:rsid w:val="52A96B6F"/>
    <w:rsid w:val="52B45975"/>
    <w:rsid w:val="52D94AA4"/>
    <w:rsid w:val="52EA3A62"/>
    <w:rsid w:val="52F50BB8"/>
    <w:rsid w:val="53097272"/>
    <w:rsid w:val="53544462"/>
    <w:rsid w:val="53794425"/>
    <w:rsid w:val="5397158E"/>
    <w:rsid w:val="54013861"/>
    <w:rsid w:val="54487265"/>
    <w:rsid w:val="544D6070"/>
    <w:rsid w:val="54605E1E"/>
    <w:rsid w:val="547C1DBE"/>
    <w:rsid w:val="54B3506A"/>
    <w:rsid w:val="54CA0D16"/>
    <w:rsid w:val="54DD4057"/>
    <w:rsid w:val="54E7490F"/>
    <w:rsid w:val="550764A4"/>
    <w:rsid w:val="550B2BF6"/>
    <w:rsid w:val="55214EB5"/>
    <w:rsid w:val="55364EFD"/>
    <w:rsid w:val="5552317F"/>
    <w:rsid w:val="555D4828"/>
    <w:rsid w:val="557A4C8B"/>
    <w:rsid w:val="558931E1"/>
    <w:rsid w:val="55923347"/>
    <w:rsid w:val="55925180"/>
    <w:rsid w:val="55983B1B"/>
    <w:rsid w:val="55A8376B"/>
    <w:rsid w:val="55DC29B6"/>
    <w:rsid w:val="55DD4241"/>
    <w:rsid w:val="566B6D1E"/>
    <w:rsid w:val="56814596"/>
    <w:rsid w:val="56FA64C5"/>
    <w:rsid w:val="57032A2C"/>
    <w:rsid w:val="570F5219"/>
    <w:rsid w:val="57236B81"/>
    <w:rsid w:val="574E5B1B"/>
    <w:rsid w:val="575D12B5"/>
    <w:rsid w:val="57610A87"/>
    <w:rsid w:val="577B1140"/>
    <w:rsid w:val="577B7F21"/>
    <w:rsid w:val="577F181B"/>
    <w:rsid w:val="57921984"/>
    <w:rsid w:val="579737F0"/>
    <w:rsid w:val="57A40C39"/>
    <w:rsid w:val="57AB7B30"/>
    <w:rsid w:val="57AF5251"/>
    <w:rsid w:val="57B26373"/>
    <w:rsid w:val="57B63F04"/>
    <w:rsid w:val="57CD20C2"/>
    <w:rsid w:val="57D675AB"/>
    <w:rsid w:val="57D95FDD"/>
    <w:rsid w:val="58917D2F"/>
    <w:rsid w:val="5894085C"/>
    <w:rsid w:val="58982D7E"/>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A1AE0"/>
    <w:rsid w:val="5AD63A24"/>
    <w:rsid w:val="5B1A5487"/>
    <w:rsid w:val="5B2E1A1D"/>
    <w:rsid w:val="5B843A1C"/>
    <w:rsid w:val="5B873E3F"/>
    <w:rsid w:val="5B8C2158"/>
    <w:rsid w:val="5C02690E"/>
    <w:rsid w:val="5C0827EA"/>
    <w:rsid w:val="5C196DA7"/>
    <w:rsid w:val="5C2A048C"/>
    <w:rsid w:val="5C80234E"/>
    <w:rsid w:val="5C8A680C"/>
    <w:rsid w:val="5D0C4701"/>
    <w:rsid w:val="5D0F0395"/>
    <w:rsid w:val="5D221076"/>
    <w:rsid w:val="5D397964"/>
    <w:rsid w:val="5D5A391C"/>
    <w:rsid w:val="5D5F10C0"/>
    <w:rsid w:val="5D677955"/>
    <w:rsid w:val="5D891B7B"/>
    <w:rsid w:val="5DAC1801"/>
    <w:rsid w:val="5DAD38EE"/>
    <w:rsid w:val="5E006862"/>
    <w:rsid w:val="5E0207B9"/>
    <w:rsid w:val="5E145476"/>
    <w:rsid w:val="5E1834A1"/>
    <w:rsid w:val="5E261785"/>
    <w:rsid w:val="5E4A7017"/>
    <w:rsid w:val="5E552BBA"/>
    <w:rsid w:val="5E611C10"/>
    <w:rsid w:val="5E7A0F3F"/>
    <w:rsid w:val="5EFC7377"/>
    <w:rsid w:val="5F06174D"/>
    <w:rsid w:val="5F265461"/>
    <w:rsid w:val="5F3A3602"/>
    <w:rsid w:val="5F45733B"/>
    <w:rsid w:val="5F6277C6"/>
    <w:rsid w:val="5F6D0B1D"/>
    <w:rsid w:val="5F8D0B82"/>
    <w:rsid w:val="5FCC5339"/>
    <w:rsid w:val="5FE34A5B"/>
    <w:rsid w:val="5FFE1E36"/>
    <w:rsid w:val="60232584"/>
    <w:rsid w:val="60317D0E"/>
    <w:rsid w:val="607330CE"/>
    <w:rsid w:val="60825176"/>
    <w:rsid w:val="608778DB"/>
    <w:rsid w:val="609F2AC4"/>
    <w:rsid w:val="60FA2EE8"/>
    <w:rsid w:val="61054A27"/>
    <w:rsid w:val="610A52BC"/>
    <w:rsid w:val="611D2366"/>
    <w:rsid w:val="61421856"/>
    <w:rsid w:val="615227C4"/>
    <w:rsid w:val="61654E3F"/>
    <w:rsid w:val="6182292A"/>
    <w:rsid w:val="619F7F92"/>
    <w:rsid w:val="61AF2696"/>
    <w:rsid w:val="61E74B18"/>
    <w:rsid w:val="61F94C26"/>
    <w:rsid w:val="62000E56"/>
    <w:rsid w:val="624F3E49"/>
    <w:rsid w:val="62632286"/>
    <w:rsid w:val="62874B2C"/>
    <w:rsid w:val="62885958"/>
    <w:rsid w:val="62F40B65"/>
    <w:rsid w:val="62FC2CFE"/>
    <w:rsid w:val="63024505"/>
    <w:rsid w:val="635600A5"/>
    <w:rsid w:val="635B1DB5"/>
    <w:rsid w:val="63665701"/>
    <w:rsid w:val="63711FED"/>
    <w:rsid w:val="63880DDC"/>
    <w:rsid w:val="638D750D"/>
    <w:rsid w:val="63AC6CC0"/>
    <w:rsid w:val="64055776"/>
    <w:rsid w:val="64240056"/>
    <w:rsid w:val="643E143A"/>
    <w:rsid w:val="64491666"/>
    <w:rsid w:val="648B6EEF"/>
    <w:rsid w:val="64C158BF"/>
    <w:rsid w:val="64CE2EAA"/>
    <w:rsid w:val="653C3090"/>
    <w:rsid w:val="6574787A"/>
    <w:rsid w:val="65854376"/>
    <w:rsid w:val="658767BE"/>
    <w:rsid w:val="65892531"/>
    <w:rsid w:val="65F96E2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244565"/>
    <w:rsid w:val="68551F4F"/>
    <w:rsid w:val="687C10C9"/>
    <w:rsid w:val="68840C16"/>
    <w:rsid w:val="68876EFB"/>
    <w:rsid w:val="68884654"/>
    <w:rsid w:val="689F444F"/>
    <w:rsid w:val="68B96DBB"/>
    <w:rsid w:val="68CA2805"/>
    <w:rsid w:val="68E937A3"/>
    <w:rsid w:val="693E15D3"/>
    <w:rsid w:val="69627681"/>
    <w:rsid w:val="6977531D"/>
    <w:rsid w:val="697C46A7"/>
    <w:rsid w:val="69B635AA"/>
    <w:rsid w:val="69CC2BFF"/>
    <w:rsid w:val="69FD55B8"/>
    <w:rsid w:val="6A0B1C62"/>
    <w:rsid w:val="6A2406C8"/>
    <w:rsid w:val="6A33337F"/>
    <w:rsid w:val="6A465A7A"/>
    <w:rsid w:val="6A4D58B0"/>
    <w:rsid w:val="6ADE0BD1"/>
    <w:rsid w:val="6AE96859"/>
    <w:rsid w:val="6B147746"/>
    <w:rsid w:val="6B234E48"/>
    <w:rsid w:val="6B24787C"/>
    <w:rsid w:val="6B45401D"/>
    <w:rsid w:val="6B573233"/>
    <w:rsid w:val="6B5B6274"/>
    <w:rsid w:val="6B935D53"/>
    <w:rsid w:val="6BAA17FB"/>
    <w:rsid w:val="6C196F71"/>
    <w:rsid w:val="6C226FCB"/>
    <w:rsid w:val="6C31226F"/>
    <w:rsid w:val="6C384A25"/>
    <w:rsid w:val="6C552F0B"/>
    <w:rsid w:val="6C6E63F9"/>
    <w:rsid w:val="6C8C67B7"/>
    <w:rsid w:val="6C9D744C"/>
    <w:rsid w:val="6D167928"/>
    <w:rsid w:val="6D26299B"/>
    <w:rsid w:val="6D4772EC"/>
    <w:rsid w:val="6D9078AF"/>
    <w:rsid w:val="6D9E3445"/>
    <w:rsid w:val="6DAA3FEF"/>
    <w:rsid w:val="6DC0172B"/>
    <w:rsid w:val="6DCB690C"/>
    <w:rsid w:val="6DD41A5B"/>
    <w:rsid w:val="6DF43C2E"/>
    <w:rsid w:val="6DF51CA3"/>
    <w:rsid w:val="6E6935BC"/>
    <w:rsid w:val="6E8335BD"/>
    <w:rsid w:val="6E8E12EF"/>
    <w:rsid w:val="6E972936"/>
    <w:rsid w:val="6ED446C5"/>
    <w:rsid w:val="6F291EBC"/>
    <w:rsid w:val="6F2A7D94"/>
    <w:rsid w:val="6F8331F1"/>
    <w:rsid w:val="6F8D32DA"/>
    <w:rsid w:val="6FA05CCE"/>
    <w:rsid w:val="6FAE1A09"/>
    <w:rsid w:val="6FD75BF8"/>
    <w:rsid w:val="6FF716A2"/>
    <w:rsid w:val="707723D0"/>
    <w:rsid w:val="70F5661B"/>
    <w:rsid w:val="711118D9"/>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D237C0"/>
    <w:rsid w:val="74F27A15"/>
    <w:rsid w:val="75067759"/>
    <w:rsid w:val="752E6DCD"/>
    <w:rsid w:val="75511246"/>
    <w:rsid w:val="7551380D"/>
    <w:rsid w:val="75600BE5"/>
    <w:rsid w:val="7564475C"/>
    <w:rsid w:val="758134F1"/>
    <w:rsid w:val="7583797F"/>
    <w:rsid w:val="759A22AD"/>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50E22"/>
    <w:rsid w:val="775D75EA"/>
    <w:rsid w:val="77701517"/>
    <w:rsid w:val="777F31F2"/>
    <w:rsid w:val="77D1700D"/>
    <w:rsid w:val="77DE79A1"/>
    <w:rsid w:val="77EC04CC"/>
    <w:rsid w:val="78775729"/>
    <w:rsid w:val="78A42DB0"/>
    <w:rsid w:val="78A656AB"/>
    <w:rsid w:val="78B2245C"/>
    <w:rsid w:val="78E172CC"/>
    <w:rsid w:val="78EA1D1F"/>
    <w:rsid w:val="7904172F"/>
    <w:rsid w:val="79057F15"/>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803CF3"/>
    <w:rsid w:val="7BEE0103"/>
    <w:rsid w:val="7C0A0FE4"/>
    <w:rsid w:val="7C254906"/>
    <w:rsid w:val="7C590818"/>
    <w:rsid w:val="7C7C10F6"/>
    <w:rsid w:val="7C853BEA"/>
    <w:rsid w:val="7C881368"/>
    <w:rsid w:val="7CC544E3"/>
    <w:rsid w:val="7CE27788"/>
    <w:rsid w:val="7D0C32F1"/>
    <w:rsid w:val="7D0F408D"/>
    <w:rsid w:val="7D491C6C"/>
    <w:rsid w:val="7D515947"/>
    <w:rsid w:val="7D5429C0"/>
    <w:rsid w:val="7D6E6D43"/>
    <w:rsid w:val="7DAE603B"/>
    <w:rsid w:val="7DB57A34"/>
    <w:rsid w:val="7DE60973"/>
    <w:rsid w:val="7DEF0916"/>
    <w:rsid w:val="7E1E5218"/>
    <w:rsid w:val="7E9A4E1F"/>
    <w:rsid w:val="7EA7723A"/>
    <w:rsid w:val="7EEA6053"/>
    <w:rsid w:val="7EF56FBB"/>
    <w:rsid w:val="7F0768EB"/>
    <w:rsid w:val="7F143BEC"/>
    <w:rsid w:val="7F1E3F4E"/>
    <w:rsid w:val="7F715AF2"/>
    <w:rsid w:val="7F886E69"/>
    <w:rsid w:val="7FC9192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93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2"/>
    <w:qFormat/>
    <w:uiPriority w:val="0"/>
    <w:pPr>
      <w:shd w:val="clear" w:color="auto" w:fill="000080"/>
    </w:pPr>
  </w:style>
  <w:style w:type="paragraph" w:styleId="20">
    <w:name w:val="annotation text"/>
    <w:basedOn w:val="1"/>
    <w:link w:val="860"/>
    <w:qFormat/>
    <w:uiPriority w:val="99"/>
    <w:pPr>
      <w:jc w:val="left"/>
    </w:pPr>
  </w:style>
  <w:style w:type="paragraph" w:styleId="21">
    <w:name w:val="Salutation"/>
    <w:basedOn w:val="1"/>
    <w:next w:val="1"/>
    <w:link w:val="820"/>
    <w:qFormat/>
    <w:uiPriority w:val="0"/>
    <w:rPr>
      <w:rFonts w:ascii="仿宋_GB2312" w:eastAsia="仿宋_GB2312"/>
      <w:sz w:val="28"/>
      <w:szCs w:val="20"/>
    </w:rPr>
  </w:style>
  <w:style w:type="paragraph" w:styleId="22">
    <w:name w:val="Body Text 3"/>
    <w:basedOn w:val="1"/>
    <w:link w:val="84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78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4"/>
    <w:qFormat/>
    <w:uiPriority w:val="0"/>
    <w:pPr>
      <w:ind w:left="100" w:leftChars="2500"/>
    </w:pPr>
    <w:rPr>
      <w:rFonts w:ascii="宋体"/>
      <w:sz w:val="24"/>
      <w:szCs w:val="21"/>
      <w:lang w:val="zh-CN"/>
    </w:rPr>
  </w:style>
  <w:style w:type="paragraph" w:styleId="36">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7">
    <w:name w:val="endnote text"/>
    <w:basedOn w:val="1"/>
    <w:link w:val="945"/>
    <w:qFormat/>
    <w:uiPriority w:val="0"/>
    <w:rPr>
      <w:lang w:val="zh-CN"/>
    </w:rPr>
  </w:style>
  <w:style w:type="paragraph" w:styleId="38">
    <w:name w:val="Balloon Text"/>
    <w:basedOn w:val="1"/>
    <w:link w:val="721"/>
    <w:qFormat/>
    <w:uiPriority w:val="0"/>
    <w:rPr>
      <w:sz w:val="18"/>
      <w:szCs w:val="18"/>
    </w:rPr>
  </w:style>
  <w:style w:type="paragraph" w:styleId="39">
    <w:name w:val="footer"/>
    <w:basedOn w:val="1"/>
    <w:link w:val="896"/>
    <w:qFormat/>
    <w:uiPriority w:val="99"/>
    <w:pPr>
      <w:tabs>
        <w:tab w:val="center" w:pos="4153"/>
        <w:tab w:val="right" w:pos="8306"/>
      </w:tabs>
      <w:snapToGrid w:val="0"/>
      <w:jc w:val="left"/>
    </w:pPr>
    <w:rPr>
      <w:sz w:val="18"/>
      <w:szCs w:val="18"/>
    </w:rPr>
  </w:style>
  <w:style w:type="paragraph" w:styleId="40">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830"/>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4"/>
    <w:qFormat/>
    <w:uiPriority w:val="0"/>
    <w:pPr>
      <w:spacing w:after="120" w:line="480" w:lineRule="auto"/>
    </w:pPr>
  </w:style>
  <w:style w:type="paragraph" w:styleId="56">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37"/>
    <w:qFormat/>
    <w:uiPriority w:val="0"/>
    <w:rPr>
      <w:b/>
      <w:bCs/>
    </w:rPr>
  </w:style>
  <w:style w:type="paragraph" w:styleId="60">
    <w:name w:val="Body Text First Indent"/>
    <w:basedOn w:val="2"/>
    <w:next w:val="1"/>
    <w:link w:val="839"/>
    <w:qFormat/>
    <w:uiPriority w:val="0"/>
    <w:pPr>
      <w:ind w:firstLine="420"/>
    </w:pPr>
    <w:rPr>
      <w:rFonts w:hAnsi="Calibri" w:cs="Times New Roman"/>
      <w:szCs w:val="20"/>
    </w:rPr>
  </w:style>
  <w:style w:type="paragraph" w:styleId="61">
    <w:name w:val="Body Text First Indent 2"/>
    <w:basedOn w:val="24"/>
    <w:next w:val="60"/>
    <w:link w:val="66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UserStyle_0"/>
    <w:basedOn w:val="1"/>
    <w:qFormat/>
    <w:uiPriority w:val="0"/>
    <w:pPr>
      <w:spacing w:before="156" w:line="360" w:lineRule="auto"/>
      <w:ind w:firstLine="510" w:firstLineChars="200"/>
      <w:textAlignment w:val="baseline"/>
    </w:pPr>
    <w:rPr>
      <w:rFonts w:ascii="Calibri" w:hAnsi="Calibri"/>
      <w:sz w:val="24"/>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Char"/>
    <w:basedOn w:val="1"/>
    <w:qFormat/>
    <w:uiPriority w:val="0"/>
    <w:rPr>
      <w:rFonts w:ascii="仿宋_GB2312" w:eastAsia="仿宋_GB2312"/>
      <w:b/>
      <w:sz w:val="32"/>
      <w:szCs w:val="32"/>
    </w:rPr>
  </w:style>
  <w:style w:type="paragraph" w:customStyle="1" w:styleId="82">
    <w:name w:val="正文文本首行缩进 21"/>
    <w:basedOn w:val="24"/>
    <w:qFormat/>
    <w:uiPriority w:val="99"/>
    <w:pPr>
      <w:spacing w:line="200" w:lineRule="atLeast"/>
      <w:ind w:firstLine="420"/>
    </w:pPr>
    <w:rPr>
      <w:rFonts w:hAnsi="Courier New"/>
      <w:spacing w:val="-4"/>
      <w:sz w:val="18"/>
    </w:rPr>
  </w:style>
  <w:style w:type="paragraph" w:customStyle="1" w:styleId="83">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85">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9"/>
    <w:qFormat/>
    <w:uiPriority w:val="0"/>
    <w:pPr>
      <w:spacing w:before="156" w:line="360" w:lineRule="auto"/>
      <w:ind w:firstLine="510" w:firstLineChars="200"/>
    </w:pPr>
    <w:rPr>
      <w:sz w:val="24"/>
      <w:szCs w:val="20"/>
    </w:rPr>
  </w:style>
  <w:style w:type="paragraph" w:customStyle="1" w:styleId="91">
    <w:name w:val="无间隔1"/>
    <w:link w:val="677"/>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5"/>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4"/>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30"/>
    <w:qFormat/>
    <w:uiPriority w:val="0"/>
    <w:pPr>
      <w:ind w:left="0" w:right="466" w:firstLine="288"/>
    </w:pPr>
    <w:rPr>
      <w:rFonts w:hAnsi="宋体"/>
    </w:rPr>
  </w:style>
  <w:style w:type="paragraph" w:customStyle="1" w:styleId="98">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7"/>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72"/>
    <w:qFormat/>
    <w:uiPriority w:val="0"/>
    <w:pPr>
      <w:adjustRightInd/>
      <w:spacing w:line="360" w:lineRule="auto"/>
      <w:ind w:firstLine="480" w:firstLineChars="200"/>
    </w:pPr>
    <w:rPr>
      <w:kern w:val="0"/>
      <w:sz w:val="24"/>
    </w:rPr>
  </w:style>
  <w:style w:type="paragraph" w:customStyle="1" w:styleId="103">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3"/>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5"/>
    <w:qFormat/>
    <w:uiPriority w:val="0"/>
    <w:pPr>
      <w:tabs>
        <w:tab w:val="left" w:pos="2356"/>
      </w:tabs>
    </w:pPr>
  </w:style>
  <w:style w:type="paragraph" w:customStyle="1" w:styleId="108">
    <w:name w:val="样式 标题 4h4H4Fab-4T5Ref Heading 1rh1Heading sqlsect 1.2.3...."/>
    <w:basedOn w:val="7"/>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8"/>
    <w:qFormat/>
    <w:uiPriority w:val="0"/>
    <w:pPr>
      <w:adjustRightInd/>
    </w:pPr>
    <w:rPr>
      <w:rFonts w:ascii="宋体" w:hAnsi="Courier New"/>
      <w:kern w:val="0"/>
      <w:sz w:val="20"/>
      <w:szCs w:val="20"/>
    </w:rPr>
  </w:style>
  <w:style w:type="paragraph" w:customStyle="1" w:styleId="111">
    <w:name w:val="正文说明"/>
    <w:basedOn w:val="1"/>
    <w:link w:val="850"/>
    <w:qFormat/>
    <w:uiPriority w:val="0"/>
    <w:pPr>
      <w:adjustRightInd/>
      <w:spacing w:line="360" w:lineRule="auto"/>
    </w:pPr>
    <w:rPr>
      <w:kern w:val="0"/>
      <w:sz w:val="24"/>
    </w:rPr>
  </w:style>
  <w:style w:type="paragraph" w:customStyle="1" w:styleId="112">
    <w:name w:val="Table Text"/>
    <w:basedOn w:val="1"/>
    <w:link w:val="856"/>
    <w:qFormat/>
    <w:uiPriority w:val="0"/>
    <w:pPr>
      <w:widowControl/>
      <w:spacing w:before="60" w:after="60"/>
      <w:jc w:val="left"/>
    </w:pPr>
    <w:rPr>
      <w:kern w:val="0"/>
      <w:sz w:val="24"/>
    </w:rPr>
  </w:style>
  <w:style w:type="paragraph" w:customStyle="1" w:styleId="113">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8"/>
    <w:qFormat/>
    <w:uiPriority w:val="0"/>
    <w:pPr>
      <w:widowControl/>
      <w:snapToGrid w:val="0"/>
      <w:spacing w:afterLines="50"/>
      <w:ind w:firstLine="200" w:firstLineChars="200"/>
    </w:pPr>
    <w:rPr>
      <w:kern w:val="0"/>
      <w:sz w:val="24"/>
      <w:szCs w:val="20"/>
    </w:rPr>
  </w:style>
  <w:style w:type="paragraph" w:customStyle="1" w:styleId="118">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6"/>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7"/>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6"/>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5"/>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8"/>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5"/>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7"/>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5"/>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Lines="0" w:afterLines="0"/>
      <w:ind w:left="1680"/>
      <w:outlineLvl w:val="2"/>
    </w:pPr>
  </w:style>
  <w:style w:type="paragraph" w:customStyle="1" w:styleId="345">
    <w:name w:val="章标题"/>
    <w:next w:val="32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Lines="50"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83"/>
    <w:next w:val="390"/>
    <w:qFormat/>
    <w:uiPriority w:val="0"/>
    <w:pPr>
      <w:autoSpaceDE w:val="0"/>
      <w:autoSpaceDN w:val="0"/>
      <w:snapToGrid w:val="0"/>
      <w:spacing w:after="120" w:line="360" w:lineRule="auto"/>
      <w:ind w:left="420" w:leftChars="200"/>
    </w:pPr>
    <w:rPr>
      <w:szCs w:val="21"/>
    </w:rPr>
  </w:style>
  <w:style w:type="paragraph" w:customStyle="1" w:styleId="390">
    <w:name w:val="正文文本首行缩进 2"/>
    <w:basedOn w:val="389"/>
    <w:qFormat/>
    <w:uiPriority w:val="99"/>
    <w:pPr>
      <w:spacing w:line="200" w:lineRule="atLeast"/>
      <w:ind w:firstLine="420"/>
    </w:pPr>
    <w:rPr>
      <w:rFonts w:ascii="宋体" w:cs="宋体"/>
      <w:spacing w:val="-4"/>
      <w:sz w:val="18"/>
      <w:szCs w:val="18"/>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6"/>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5"/>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7"/>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1"/>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9"/>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6"/>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8"/>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1"/>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10">
    <w:name w:val="_Style 947"/>
    <w:basedOn w:val="1"/>
    <w:next w:val="105"/>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纯文本3"/>
    <w:basedOn w:val="1"/>
    <w:qFormat/>
    <w:uiPriority w:val="0"/>
    <w:pPr>
      <w:adjustRightInd/>
      <w:snapToGrid w:val="0"/>
      <w:jc w:val="left"/>
    </w:pPr>
    <w:rPr>
      <w:rFonts w:ascii="Century Gothic" w:hAnsi="楷体_GB2312" w:eastAsia="Century Gothic"/>
      <w:szCs w:val="20"/>
    </w:rPr>
  </w:style>
  <w:style w:type="paragraph" w:customStyle="1" w:styleId="624">
    <w:name w:val="List Paragraph"/>
    <w:basedOn w:val="1"/>
    <w:qFormat/>
    <w:uiPriority w:val="1"/>
    <w:pPr>
      <w:spacing w:before="159"/>
      <w:ind w:left="120" w:firstLine="640"/>
    </w:pPr>
    <w:rPr>
      <w:rFonts w:ascii="宋体" w:hAnsi="宋体" w:eastAsia="宋体" w:cs="宋体"/>
      <w:lang w:val="en-US" w:eastAsia="zh-CN" w:bidi="ar-SA"/>
    </w:rPr>
  </w:style>
  <w:style w:type="paragraph" w:customStyle="1" w:styleId="625">
    <w:name w:val="No Spacing"/>
    <w:basedOn w:val="1"/>
    <w:qFormat/>
    <w:uiPriority w:val="99"/>
    <w:rPr>
      <w:szCs w:val="22"/>
    </w:rPr>
  </w:style>
  <w:style w:type="character" w:customStyle="1" w:styleId="626">
    <w:name w:val="表格非标题文字 Char"/>
    <w:link w:val="85"/>
    <w:qFormat/>
    <w:uiPriority w:val="0"/>
    <w:rPr>
      <w:rFonts w:ascii="Futura Bk" w:hAnsi="Futura Bk"/>
      <w:kern w:val="2"/>
      <w:sz w:val="18"/>
      <w:szCs w:val="21"/>
      <w:lang w:val="en-US" w:eastAsia="zh-CN" w:bidi="ar-SA"/>
    </w:rPr>
  </w:style>
  <w:style w:type="character" w:customStyle="1" w:styleId="627">
    <w:name w:val="*正文 Char"/>
    <w:link w:val="86"/>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7"/>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字符"/>
    <w:link w:val="59"/>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8"/>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9"/>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字符"/>
    <w:link w:val="61"/>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69"/>
    <w:qFormat/>
    <w:uiPriority w:val="0"/>
    <w:rPr>
      <w:rFonts w:ascii="Arial" w:hAnsi="Arial" w:eastAsia="黑体" w:cs="Arial"/>
      <w:snapToGrid w:val="0"/>
      <w:kern w:val="0"/>
      <w:szCs w:val="21"/>
    </w:rPr>
  </w:style>
  <w:style w:type="character" w:customStyle="1" w:styleId="66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90"/>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字符"/>
    <w:link w:val="46"/>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1"/>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字符"/>
    <w:link w:val="9"/>
    <w:qFormat/>
    <w:uiPriority w:val="0"/>
    <w:rPr>
      <w:rFonts w:ascii="Arial" w:hAnsi="Arial" w:eastAsia="黑体"/>
      <w:b/>
      <w:bCs/>
      <w:kern w:val="2"/>
      <w:sz w:val="24"/>
      <w:szCs w:val="24"/>
    </w:rPr>
  </w:style>
  <w:style w:type="character" w:customStyle="1" w:styleId="685">
    <w:name w:val="纯文本 Char_0"/>
    <w:link w:val="92"/>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4"/>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5"/>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字符"/>
    <w:link w:val="35"/>
    <w:qFormat/>
    <w:uiPriority w:val="0"/>
    <w:rPr>
      <w:rFonts w:ascii="宋体"/>
      <w:kern w:val="2"/>
      <w:sz w:val="24"/>
      <w:szCs w:val="21"/>
      <w:lang w:val="zh-CN"/>
    </w:rPr>
  </w:style>
  <w:style w:type="character" w:customStyle="1" w:styleId="715">
    <w:name w:val="标题 9 字符"/>
    <w:link w:val="12"/>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字符1"/>
    <w:link w:val="38"/>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6"/>
    <w:qFormat/>
    <w:locked/>
    <w:uiPriority w:val="0"/>
    <w:rPr>
      <w:rFonts w:ascii="Tahoma" w:hAnsi="Tahoma"/>
      <w:sz w:val="24"/>
      <w:szCs w:val="24"/>
    </w:rPr>
  </w:style>
  <w:style w:type="character" w:customStyle="1" w:styleId="725">
    <w:name w:val="正文缩进 字符2"/>
    <w:link w:val="6"/>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7"/>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字符"/>
    <w:link w:val="19"/>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69"/>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字符"/>
    <w:link w:val="29"/>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9"/>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100"/>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字符"/>
    <w:link w:val="17"/>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101"/>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2"/>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3"/>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4"/>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字符1"/>
    <w:link w:val="24"/>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6"/>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字符1"/>
    <w:link w:val="3"/>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字符"/>
    <w:link w:val="58"/>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字符"/>
    <w:link w:val="8"/>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字符"/>
    <w:link w:val="21"/>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字符"/>
    <w:link w:val="56"/>
    <w:qFormat/>
    <w:uiPriority w:val="0"/>
    <w:rPr>
      <w:rFonts w:ascii="黑体" w:hAnsi="Courier New" w:eastAsia="黑体"/>
    </w:rPr>
  </w:style>
  <w:style w:type="character" w:customStyle="1" w:styleId="824">
    <w:name w:val="正文文本 2 字符1"/>
    <w:link w:val="55"/>
    <w:qFormat/>
    <w:uiPriority w:val="0"/>
    <w:rPr>
      <w:kern w:val="2"/>
      <w:sz w:val="21"/>
      <w:szCs w:val="24"/>
    </w:rPr>
  </w:style>
  <w:style w:type="character" w:customStyle="1" w:styleId="825">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字符"/>
    <w:link w:val="10"/>
    <w:qFormat/>
    <w:uiPriority w:val="0"/>
    <w:rPr>
      <w:b/>
      <w:bCs/>
      <w:kern w:val="2"/>
      <w:sz w:val="24"/>
      <w:szCs w:val="24"/>
    </w:rPr>
  </w:style>
  <w:style w:type="character" w:customStyle="1" w:styleId="828">
    <w:name w:val="正文文本缩进 2 字符"/>
    <w:link w:val="36"/>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字符"/>
    <w:link w:val="49"/>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9"/>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10"/>
    <w:qFormat/>
    <w:uiPriority w:val="0"/>
    <w:rPr>
      <w:rFonts w:ascii="宋体" w:hAnsi="Courier New"/>
    </w:rPr>
  </w:style>
  <w:style w:type="character" w:customStyle="1" w:styleId="839">
    <w:name w:val="正文首行缩进 字符"/>
    <w:link w:val="60"/>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字符1"/>
    <w:link w:val="7"/>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字符"/>
    <w:link w:val="22"/>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11"/>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2"/>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字符1"/>
    <w:link w:val="20"/>
    <w:qFormat/>
    <w:uiPriority w:val="99"/>
    <w:rPr>
      <w:kern w:val="2"/>
      <w:sz w:val="21"/>
      <w:szCs w:val="24"/>
    </w:rPr>
  </w:style>
  <w:style w:type="character" w:customStyle="1" w:styleId="861">
    <w:name w:val="签名 字符"/>
    <w:link w:val="41"/>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3"/>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4"/>
    <w:qFormat/>
    <w:uiPriority w:val="0"/>
    <w:rPr>
      <w:rFonts w:ascii="宋体"/>
    </w:rPr>
  </w:style>
  <w:style w:type="character" w:customStyle="1" w:styleId="872">
    <w:name w:val="标题 8 字符"/>
    <w:link w:val="11"/>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字符"/>
    <w:link w:val="52"/>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5"/>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字符2"/>
    <w:link w:val="39"/>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6"/>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字符2"/>
    <w:link w:val="40"/>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7"/>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8"/>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9"/>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20"/>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69"/>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1"/>
    <w:qFormat/>
    <w:uiPriority w:val="0"/>
    <w:rPr>
      <w:rFonts w:cs="宋体"/>
      <w:kern w:val="2"/>
      <w:sz w:val="24"/>
    </w:rPr>
  </w:style>
  <w:style w:type="character" w:customStyle="1" w:styleId="93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8">
    <w:name w:val="gray6"/>
    <w:basedOn w:val="69"/>
    <w:qFormat/>
    <w:uiPriority w:val="0"/>
    <w:rPr>
      <w:rFonts w:ascii="Arial" w:hAnsi="Arial" w:eastAsia="黑体" w:cs="Arial"/>
      <w:snapToGrid w:val="0"/>
      <w:kern w:val="0"/>
      <w:szCs w:val="21"/>
    </w:rPr>
  </w:style>
  <w:style w:type="character" w:customStyle="1" w:styleId="939">
    <w:name w:val="hui"/>
    <w:basedOn w:val="69"/>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字符"/>
    <w:link w:val="37"/>
    <w:qFormat/>
    <w:uiPriority w:val="0"/>
    <w:rPr>
      <w:kern w:val="2"/>
      <w:sz w:val="21"/>
      <w:szCs w:val="24"/>
      <w:lang w:val="zh-CN"/>
    </w:rPr>
  </w:style>
  <w:style w:type="character" w:customStyle="1" w:styleId="946">
    <w:name w:val="无间隔 Char"/>
    <w:link w:val="171"/>
    <w:qFormat/>
    <w:uiPriority w:val="99"/>
    <w:rPr>
      <w:kern w:val="2"/>
      <w:sz w:val="21"/>
      <w:szCs w:val="22"/>
    </w:rPr>
  </w:style>
  <w:style w:type="character" w:customStyle="1" w:styleId="947">
    <w:name w:val="标准文本 Char Char"/>
    <w:link w:val="609"/>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rPr>
      <w:rFonts w:ascii="等线" w:hAnsi="等线"/>
      <w:kern w:val="2"/>
      <w:sz w:val="21"/>
      <w:szCs w:val="24"/>
      <w:lang w:val="en-US" w:eastAsia="zh-CN" w:bidi="ar-SA"/>
    </w:rPr>
  </w:style>
  <w:style w:type="table" w:customStyle="1" w:styleId="96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40751</Words>
  <Characters>43428</Characters>
  <Lines>325</Lines>
  <Paragraphs>91</Paragraphs>
  <TotalTime>11</TotalTime>
  <ScaleCrop>false</ScaleCrop>
  <LinksUpToDate>false</LinksUpToDate>
  <CharactersWithSpaces>45493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2024-03-08T07:08:00Z</dcterms:created>
  <dc:creator>玥</dc:creator>
  <cp:lastModifiedBy>假装、</cp:lastModifiedBy>
  <cp:lastPrinted>2024-04-18T07:32:00Z</cp:lastPrinted>
  <dcterms:modified xsi:type="dcterms:W3CDTF">2024-06-04T00:20:44Z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2430F5288E184D4CB354BDC97C81575F_13</vt:lpwstr>
  </property>
</Properties>
</file>