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F7C38">
      <w:pPr>
        <w:spacing w:line="360" w:lineRule="auto"/>
        <w:jc w:val="center"/>
        <w:rPr>
          <w:rFonts w:ascii="宋体" w:hAnsi="宋体" w:cs="宋体"/>
          <w:b/>
          <w:color w:val="auto"/>
          <w:sz w:val="24"/>
          <w:highlight w:val="none"/>
        </w:rPr>
      </w:pPr>
    </w:p>
    <w:p w14:paraId="781F17A2">
      <w:pPr>
        <w:spacing w:line="360" w:lineRule="auto"/>
        <w:jc w:val="center"/>
        <w:rPr>
          <w:rFonts w:ascii="宋体" w:hAnsi="宋体" w:cs="宋体"/>
          <w:b/>
          <w:color w:val="auto"/>
          <w:sz w:val="24"/>
          <w:highlight w:val="none"/>
        </w:rPr>
      </w:pPr>
    </w:p>
    <w:p w14:paraId="71FCE2CA">
      <w:pPr>
        <w:adjustRightInd/>
        <w:spacing w:line="360" w:lineRule="auto"/>
        <w:jc w:val="center"/>
        <w:rPr>
          <w:rFonts w:ascii="宋体" w:hAnsi="宋体" w:cs="宋体"/>
          <w:b/>
          <w:color w:val="auto"/>
          <w:sz w:val="44"/>
          <w:szCs w:val="44"/>
          <w:highlight w:val="none"/>
        </w:rPr>
      </w:pPr>
    </w:p>
    <w:p w14:paraId="7E2C9C26">
      <w:pPr>
        <w:spacing w:line="360" w:lineRule="auto"/>
        <w:jc w:val="center"/>
        <w:rPr>
          <w:rFonts w:ascii="宋体" w:hAnsi="宋体" w:cs="宋体"/>
          <w:b/>
          <w:color w:val="auto"/>
          <w:sz w:val="44"/>
          <w:szCs w:val="44"/>
          <w:highlight w:val="none"/>
        </w:rPr>
      </w:pPr>
    </w:p>
    <w:p w14:paraId="5651AF60">
      <w:pPr>
        <w:adjustRightInd/>
        <w:spacing w:line="360" w:lineRule="auto"/>
        <w:jc w:val="center"/>
        <w:rPr>
          <w:rFonts w:ascii="宋体" w:hAnsi="宋体" w:cs="宋体"/>
          <w:b/>
          <w:color w:val="auto"/>
          <w:sz w:val="48"/>
          <w:szCs w:val="48"/>
          <w:highlight w:val="none"/>
        </w:rPr>
      </w:pPr>
    </w:p>
    <w:p w14:paraId="71F66CD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余杭区公物仓外包运营管理服务采购项目</w:t>
      </w:r>
    </w:p>
    <w:p w14:paraId="4BB432D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54185C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A766A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HZZR-F241111N</w:t>
      </w:r>
    </w:p>
    <w:p w14:paraId="3474C527">
      <w:pPr>
        <w:adjustRightInd/>
        <w:spacing w:line="360" w:lineRule="auto"/>
        <w:rPr>
          <w:rFonts w:ascii="宋体" w:hAnsi="宋体" w:cs="宋体"/>
          <w:color w:val="auto"/>
          <w:sz w:val="28"/>
          <w:szCs w:val="20"/>
          <w:highlight w:val="none"/>
        </w:rPr>
      </w:pPr>
    </w:p>
    <w:p w14:paraId="67DA35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387D202">
      <w:pPr>
        <w:spacing w:line="360" w:lineRule="auto"/>
        <w:jc w:val="center"/>
        <w:rPr>
          <w:rFonts w:ascii="宋体" w:hAnsi="宋体" w:cs="宋体"/>
          <w:b/>
          <w:color w:val="auto"/>
          <w:sz w:val="44"/>
          <w:szCs w:val="44"/>
          <w:highlight w:val="none"/>
        </w:rPr>
      </w:pPr>
    </w:p>
    <w:p w14:paraId="37D6E92D">
      <w:pPr>
        <w:spacing w:line="360" w:lineRule="auto"/>
        <w:jc w:val="center"/>
        <w:rPr>
          <w:rFonts w:ascii="宋体" w:hAnsi="宋体" w:cs="宋体"/>
          <w:color w:val="auto"/>
          <w:sz w:val="24"/>
          <w:highlight w:val="none"/>
        </w:rPr>
      </w:pPr>
    </w:p>
    <w:p w14:paraId="6D82F286">
      <w:pPr>
        <w:spacing w:line="360" w:lineRule="auto"/>
        <w:jc w:val="center"/>
        <w:rPr>
          <w:rFonts w:ascii="宋体" w:hAnsi="宋体" w:cs="宋体"/>
          <w:color w:val="auto"/>
          <w:sz w:val="24"/>
          <w:highlight w:val="none"/>
        </w:rPr>
      </w:pPr>
    </w:p>
    <w:p w14:paraId="54A552DF">
      <w:pPr>
        <w:spacing w:line="360" w:lineRule="auto"/>
        <w:rPr>
          <w:rFonts w:ascii="宋体" w:hAnsi="宋体" w:cs="宋体"/>
          <w:color w:val="auto"/>
          <w:sz w:val="32"/>
          <w:szCs w:val="32"/>
          <w:highlight w:val="none"/>
        </w:rPr>
      </w:pPr>
    </w:p>
    <w:p w14:paraId="0E0FC3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杭州市余杭区机关事务服务中心</w:t>
      </w:r>
    </w:p>
    <w:p w14:paraId="10DC91E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535C5D8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7BD530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27F2080">
      <w:pPr>
        <w:pStyle w:val="323"/>
        <w:rPr>
          <w:color w:val="auto"/>
          <w:highlight w:val="none"/>
        </w:rPr>
      </w:pPr>
    </w:p>
    <w:p w14:paraId="5A936C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C97E51B">
      <w:pPr>
        <w:spacing w:line="360" w:lineRule="auto"/>
        <w:rPr>
          <w:rFonts w:ascii="宋体" w:hAnsi="宋体" w:cs="宋体"/>
          <w:color w:val="auto"/>
          <w:sz w:val="32"/>
          <w:szCs w:val="32"/>
          <w:highlight w:val="none"/>
        </w:rPr>
      </w:pPr>
    </w:p>
    <w:p w14:paraId="1F28670E">
      <w:pPr>
        <w:spacing w:line="360" w:lineRule="auto"/>
        <w:rPr>
          <w:rFonts w:ascii="宋体" w:hAnsi="宋体" w:cs="宋体"/>
          <w:color w:val="auto"/>
          <w:sz w:val="32"/>
          <w:szCs w:val="32"/>
          <w:highlight w:val="none"/>
        </w:rPr>
      </w:pPr>
    </w:p>
    <w:p w14:paraId="04A769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434F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C757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15117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896A0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9073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CD2111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0718AE">
      <w:pPr>
        <w:spacing w:line="360" w:lineRule="auto"/>
        <w:ind w:firstLine="549" w:firstLineChars="229"/>
        <w:rPr>
          <w:rFonts w:ascii="宋体" w:hAnsi="宋体" w:cs="宋体"/>
          <w:color w:val="auto"/>
          <w:sz w:val="24"/>
          <w:highlight w:val="none"/>
        </w:rPr>
      </w:pPr>
    </w:p>
    <w:p w14:paraId="4178BDEE">
      <w:pPr>
        <w:spacing w:line="360" w:lineRule="auto"/>
        <w:ind w:firstLine="549" w:firstLineChars="229"/>
        <w:rPr>
          <w:rFonts w:ascii="宋体" w:hAnsi="宋体" w:cs="宋体"/>
          <w:color w:val="auto"/>
          <w:sz w:val="24"/>
          <w:highlight w:val="none"/>
        </w:rPr>
      </w:pPr>
    </w:p>
    <w:p w14:paraId="1FB41B36">
      <w:pPr>
        <w:spacing w:line="360" w:lineRule="auto"/>
        <w:ind w:firstLine="549" w:firstLineChars="229"/>
        <w:rPr>
          <w:rFonts w:ascii="宋体" w:hAnsi="宋体" w:cs="宋体"/>
          <w:color w:val="auto"/>
          <w:sz w:val="24"/>
          <w:highlight w:val="none"/>
        </w:rPr>
      </w:pPr>
    </w:p>
    <w:p w14:paraId="6216DE5E">
      <w:pPr>
        <w:spacing w:line="360" w:lineRule="auto"/>
        <w:ind w:firstLine="549" w:firstLineChars="229"/>
        <w:rPr>
          <w:rFonts w:ascii="宋体" w:hAnsi="宋体" w:cs="宋体"/>
          <w:color w:val="auto"/>
          <w:sz w:val="24"/>
          <w:highlight w:val="none"/>
        </w:rPr>
      </w:pPr>
    </w:p>
    <w:p w14:paraId="48DAEA95">
      <w:pPr>
        <w:spacing w:line="360" w:lineRule="auto"/>
        <w:ind w:firstLine="549" w:firstLineChars="229"/>
        <w:rPr>
          <w:rFonts w:ascii="宋体" w:hAnsi="宋体" w:cs="宋体"/>
          <w:color w:val="auto"/>
          <w:sz w:val="24"/>
          <w:highlight w:val="none"/>
        </w:rPr>
      </w:pPr>
    </w:p>
    <w:p w14:paraId="7181A902">
      <w:pPr>
        <w:spacing w:line="360" w:lineRule="auto"/>
        <w:ind w:firstLine="549" w:firstLineChars="229"/>
        <w:rPr>
          <w:rFonts w:ascii="宋体" w:hAnsi="宋体" w:cs="宋体"/>
          <w:color w:val="auto"/>
          <w:sz w:val="24"/>
          <w:highlight w:val="none"/>
        </w:rPr>
      </w:pPr>
    </w:p>
    <w:p w14:paraId="1D3D8846">
      <w:pPr>
        <w:spacing w:line="360" w:lineRule="auto"/>
        <w:ind w:firstLine="549" w:firstLineChars="229"/>
        <w:rPr>
          <w:rFonts w:ascii="宋体" w:hAnsi="宋体" w:cs="宋体"/>
          <w:color w:val="auto"/>
          <w:sz w:val="24"/>
          <w:highlight w:val="none"/>
        </w:rPr>
      </w:pPr>
    </w:p>
    <w:p w14:paraId="18168269">
      <w:pPr>
        <w:spacing w:line="360" w:lineRule="auto"/>
        <w:ind w:firstLine="549" w:firstLineChars="229"/>
        <w:rPr>
          <w:rFonts w:ascii="宋体" w:hAnsi="宋体" w:cs="宋体"/>
          <w:color w:val="auto"/>
          <w:sz w:val="24"/>
          <w:highlight w:val="none"/>
        </w:rPr>
      </w:pPr>
    </w:p>
    <w:p w14:paraId="75B60C7C">
      <w:pPr>
        <w:spacing w:line="360" w:lineRule="auto"/>
        <w:ind w:firstLine="549" w:firstLineChars="229"/>
        <w:rPr>
          <w:rFonts w:ascii="宋体" w:hAnsi="宋体" w:cs="宋体"/>
          <w:color w:val="auto"/>
          <w:sz w:val="24"/>
          <w:highlight w:val="none"/>
        </w:rPr>
      </w:pPr>
    </w:p>
    <w:p w14:paraId="1F99AE2F">
      <w:pPr>
        <w:spacing w:line="360" w:lineRule="auto"/>
        <w:ind w:firstLine="549" w:firstLineChars="229"/>
        <w:rPr>
          <w:rFonts w:ascii="宋体" w:hAnsi="宋体" w:cs="宋体"/>
          <w:color w:val="auto"/>
          <w:sz w:val="24"/>
          <w:highlight w:val="none"/>
        </w:rPr>
      </w:pPr>
    </w:p>
    <w:p w14:paraId="1C7F85F3">
      <w:pPr>
        <w:spacing w:line="360" w:lineRule="auto"/>
        <w:ind w:firstLine="549" w:firstLineChars="229"/>
        <w:rPr>
          <w:rFonts w:ascii="宋体" w:hAnsi="宋体" w:cs="宋体"/>
          <w:color w:val="auto"/>
          <w:sz w:val="24"/>
          <w:highlight w:val="none"/>
        </w:rPr>
      </w:pPr>
    </w:p>
    <w:p w14:paraId="11040F6B">
      <w:pPr>
        <w:spacing w:line="360" w:lineRule="auto"/>
        <w:ind w:firstLine="549" w:firstLineChars="229"/>
        <w:rPr>
          <w:rFonts w:ascii="宋体" w:hAnsi="宋体" w:cs="宋体"/>
          <w:color w:val="auto"/>
          <w:sz w:val="24"/>
          <w:highlight w:val="none"/>
        </w:rPr>
      </w:pPr>
    </w:p>
    <w:p w14:paraId="35151373">
      <w:pPr>
        <w:spacing w:line="360" w:lineRule="auto"/>
        <w:rPr>
          <w:rFonts w:ascii="宋体" w:hAnsi="宋体" w:cs="宋体"/>
          <w:color w:val="auto"/>
          <w:sz w:val="24"/>
          <w:highlight w:val="none"/>
        </w:rPr>
      </w:pPr>
    </w:p>
    <w:p w14:paraId="5A354E8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B23CDF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24AC16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余杭区公物仓外包运营管理服务采购项目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https://www.zcygov.cn/）获取（下载）招标文件，并于202</w:t>
      </w:r>
      <w:r>
        <w:rPr>
          <w:rStyle w:val="78"/>
          <w:rFonts w:hint="eastAsia" w:ascii="宋体" w:hAnsi="宋体" w:cs="宋体"/>
          <w:color w:val="auto"/>
          <w:kern w:val="2"/>
          <w:sz w:val="24"/>
          <w:szCs w:val="24"/>
          <w:highlight w:val="none"/>
          <w:lang w:val="en-US" w:eastAsia="zh-CN"/>
        </w:rPr>
        <w:t>4</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12</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17</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14</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val="en-US" w:eastAsia="zh-CN"/>
        </w:rPr>
        <w:t>00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BC79B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0261EE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HZZR-F241111N</w:t>
      </w:r>
    </w:p>
    <w:p w14:paraId="50C2987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余杭区公物仓外包运营管理服务采购项目</w:t>
      </w:r>
    </w:p>
    <w:p w14:paraId="2AABB0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2800000.00</w:t>
      </w:r>
      <w:r>
        <w:rPr>
          <w:rFonts w:ascii="宋体" w:hAnsi="宋体" w:cs="宋体"/>
          <w:color w:val="auto"/>
          <w:sz w:val="24"/>
          <w:highlight w:val="none"/>
        </w:rPr>
        <w:t xml:space="preserve"> </w:t>
      </w:r>
    </w:p>
    <w:p w14:paraId="1AF1710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2800000.00</w:t>
      </w:r>
      <w:r>
        <w:rPr>
          <w:rFonts w:ascii="宋体" w:hAnsi="宋体" w:cs="宋体"/>
          <w:color w:val="auto"/>
          <w:sz w:val="24"/>
          <w:highlight w:val="none"/>
        </w:rPr>
        <w:t xml:space="preserve">  </w:t>
      </w:r>
    </w:p>
    <w:p w14:paraId="59F93762">
      <w:pPr>
        <w:pStyle w:val="6"/>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为余杭公物仓提供运营管理服务，做好公共物资、应急、公益、涉案物资及档案物资的日常运营服务管理及物资配送工作。</w:t>
      </w:r>
    </w:p>
    <w:p w14:paraId="5F2C3FE9">
      <w:pPr>
        <w:pStyle w:val="6"/>
        <w:spacing w:line="360" w:lineRule="auto"/>
        <w:ind w:firstLine="480"/>
        <w:rPr>
          <w:rFonts w:hint="eastAsia" w:ascii="宋体" w:hAnsi="宋体" w:eastAsia="宋体"/>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27772573">
      <w:pPr>
        <w:pStyle w:val="6"/>
        <w:spacing w:line="360" w:lineRule="auto"/>
        <w:ind w:firstLine="480"/>
        <w:rPr>
          <w:rFonts w:ascii="宋体" w:hAnsi="宋体" w:cs="宋体"/>
          <w:color w:val="auto"/>
          <w:highlight w:val="none"/>
        </w:rPr>
      </w:pPr>
      <w:r>
        <w:rPr>
          <w:rFonts w:hint="eastAsia" w:ascii="宋体" w:hAnsi="宋体" w:cs="宋体"/>
          <w:b/>
          <w:snapToGrid w:val="0"/>
          <w:color w:val="auto"/>
          <w:sz w:val="24"/>
          <w:highlight w:val="none"/>
        </w:rPr>
        <w:t>合同履约期限：</w:t>
      </w:r>
      <w:r>
        <w:rPr>
          <w:rFonts w:hint="eastAsia" w:ascii="国标宋体" w:hAnsi="国标宋体" w:eastAsia="国标宋体" w:cs="国标宋体"/>
          <w:color w:val="auto"/>
          <w:sz w:val="24"/>
          <w:szCs w:val="24"/>
          <w:highlight w:val="none"/>
          <w:lang w:eastAsia="zh-CN"/>
        </w:rPr>
        <w:t>自合同签订生效之日起</w:t>
      </w:r>
      <w:r>
        <w:rPr>
          <w:rFonts w:hint="eastAsia" w:ascii="国标宋体" w:hAnsi="国标宋体" w:eastAsia="国标宋体" w:cs="国标宋体"/>
          <w:color w:val="auto"/>
          <w:sz w:val="24"/>
          <w:szCs w:val="24"/>
          <w:highlight w:val="none"/>
          <w:lang w:val="en-US" w:eastAsia="zh-CN"/>
        </w:rPr>
        <w:t>12</w:t>
      </w:r>
      <w:r>
        <w:rPr>
          <w:rFonts w:hint="eastAsia" w:ascii="国标宋体" w:hAnsi="国标宋体" w:eastAsia="国标宋体" w:cs="国标宋体"/>
          <w:color w:val="auto"/>
          <w:sz w:val="24"/>
          <w:szCs w:val="24"/>
          <w:highlight w:val="none"/>
          <w:lang w:eastAsia="zh-CN"/>
        </w:rPr>
        <w:t>个月。</w:t>
      </w:r>
    </w:p>
    <w:p w14:paraId="0DFD03C6">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2A1C89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CF93E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27DDC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0F96D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B49E526">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5980C511">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5209BAD">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6AF30943">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7BFCC9B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50C52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DAF400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614B1F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6679F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5437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93777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E91C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9FA6F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E3FDCB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37BF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7876D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4B2EAF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7CFBD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7B52D5">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6A4BA129">
      <w:pPr>
        <w:numPr>
          <w:ilvl w:val="0"/>
          <w:numId w:val="0"/>
        </w:numPr>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rPr>
        <w:t>https://zfcg.czt.zj.gov.cn/site/detail?categoryCode=ZcyAnnouncement&amp;parentId=600007&amp;articleId=SLVD0Er8HtTagjo4qSR3iA==</w:t>
      </w:r>
    </w:p>
    <w:p w14:paraId="32DE03AC">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08542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A550E2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7EBE7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461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DF03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D39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D68E4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409974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501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 xml:space="preserve"> </w:t>
      </w:r>
    </w:p>
    <w:p w14:paraId="304CA0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址：杭州市余杭区仓前街道文一西路1500号</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号楼4楼       </w:t>
      </w:r>
    </w:p>
    <w:p w14:paraId="559A9C2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阮周奕</w:t>
      </w:r>
    </w:p>
    <w:p w14:paraId="525116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项目联系方式（询问）：0571-89516735</w:t>
      </w:r>
    </w:p>
    <w:p w14:paraId="2AEB65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姚丽霞</w:t>
      </w:r>
    </w:p>
    <w:p w14:paraId="429AC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质疑联系方式：0571-89516720</w:t>
      </w:r>
    </w:p>
    <w:p w14:paraId="7E96BD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E9CC9F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0977292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09AC43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6FA6F6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07B46D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5CBA6E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32722B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186FC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7A484E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3CC350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8C3ED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26BCC475">
      <w:pPr>
        <w:spacing w:line="360" w:lineRule="auto"/>
        <w:ind w:firstLine="480"/>
        <w:rPr>
          <w:rFonts w:hint="eastAsia" w:ascii="宋体" w:hAnsi="宋体" w:cs="宋体"/>
          <w:color w:val="auto"/>
          <w:sz w:val="24"/>
          <w:highlight w:val="none"/>
          <w:lang w:val="en-US" w:eastAsia="zh-CN"/>
        </w:rPr>
      </w:pPr>
    </w:p>
    <w:p w14:paraId="4946BB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41B5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983DE5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BFEA2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D2A36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408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69A4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83C8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0117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D36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C029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27C88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98F7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68D0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2DE4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6132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23F9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余杭区公物仓外包运营管理服务采购项目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rPr>
              <w:t>行业；</w:t>
            </w:r>
          </w:p>
          <w:p w14:paraId="1A428897">
            <w:pPr>
              <w:pStyle w:val="4"/>
              <w:ind w:left="0" w:firstLine="0"/>
              <w:rPr>
                <w:rFonts w:ascii="宋体" w:hAnsi="宋体" w:eastAsia="宋体" w:cs="宋体"/>
                <w:color w:val="auto"/>
                <w:highlight w:val="none"/>
                <w:lang w:val="en-US"/>
              </w:rPr>
            </w:pPr>
            <w:r>
              <w:rPr>
                <w:rFonts w:hint="eastAsia" w:ascii="宋体" w:hAnsi="宋体" w:eastAsia="宋体" w:cs="Arial"/>
                <w:b/>
                <w:bCs/>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7CD42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ABC768">
            <w:pPr>
              <w:snapToGrid w:val="0"/>
              <w:spacing w:line="360" w:lineRule="auto"/>
              <w:jc w:val="center"/>
              <w:rPr>
                <w:rFonts w:ascii="宋体" w:hAnsi="宋体" w:cs="宋体"/>
                <w:color w:val="auto"/>
                <w:sz w:val="24"/>
                <w:highlight w:val="none"/>
              </w:rPr>
            </w:pPr>
          </w:p>
          <w:p w14:paraId="397922FC">
            <w:pPr>
              <w:snapToGrid w:val="0"/>
              <w:spacing w:line="360" w:lineRule="auto"/>
              <w:jc w:val="center"/>
              <w:rPr>
                <w:rFonts w:ascii="宋体" w:hAnsi="宋体" w:cs="宋体"/>
                <w:color w:val="auto"/>
                <w:sz w:val="24"/>
                <w:highlight w:val="none"/>
              </w:rPr>
            </w:pPr>
          </w:p>
          <w:p w14:paraId="4BFBB9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3A45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3861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47EB47A">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29B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01D1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9C6CA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54317">
            <w:pPr>
              <w:spacing w:line="360" w:lineRule="auto"/>
              <w:rPr>
                <w:rFonts w:hint="eastAsia" w:ascii="宋体" w:hAnsi="宋体" w:eastAsia="宋体" w:cs="宋体"/>
                <w:color w:val="auto"/>
                <w:sz w:val="24"/>
                <w:highlight w:val="none"/>
                <w:lang w:eastAsia="zh-CN"/>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eastAsia="zh-CN"/>
              </w:rPr>
              <w:t>电梯、</w:t>
            </w:r>
            <w:r>
              <w:rPr>
                <w:rFonts w:hint="eastAsia" w:ascii="宋体" w:hAnsi="宋体" w:cs="宋体"/>
                <w:color w:val="auto"/>
                <w:sz w:val="24"/>
                <w:highlight w:val="none"/>
                <w:u w:val="single"/>
              </w:rPr>
              <w:t>房屋养护维修</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3332E856">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7E2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118E1C9">
            <w:pPr>
              <w:snapToGrid w:val="0"/>
              <w:spacing w:line="360" w:lineRule="auto"/>
              <w:jc w:val="center"/>
              <w:rPr>
                <w:rFonts w:ascii="宋体" w:hAnsi="宋体" w:cs="宋体"/>
                <w:color w:val="auto"/>
                <w:sz w:val="24"/>
                <w:highlight w:val="none"/>
              </w:rPr>
            </w:pPr>
          </w:p>
          <w:p w14:paraId="564B6606">
            <w:pPr>
              <w:snapToGrid w:val="0"/>
              <w:spacing w:line="360" w:lineRule="auto"/>
              <w:jc w:val="center"/>
              <w:rPr>
                <w:rFonts w:ascii="宋体" w:hAnsi="宋体" w:cs="宋体"/>
                <w:color w:val="auto"/>
                <w:sz w:val="24"/>
                <w:highlight w:val="none"/>
              </w:rPr>
            </w:pPr>
          </w:p>
          <w:p w14:paraId="3A17E1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320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AF79D">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6E3022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1F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BB3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BE9C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A9CF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25FA120">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3C097C8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207D6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73F59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D80108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84041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3DD1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E1DCEB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2D5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85C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B1FC0E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BF76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EA8A88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B7315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0D5E7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03E3F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161E5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BF99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421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ADD568F">
            <w:pPr>
              <w:snapToGrid w:val="0"/>
              <w:spacing w:line="360" w:lineRule="auto"/>
              <w:jc w:val="center"/>
              <w:rPr>
                <w:rFonts w:ascii="宋体" w:hAnsi="宋体" w:cs="宋体"/>
                <w:color w:val="auto"/>
                <w:sz w:val="24"/>
                <w:highlight w:val="none"/>
              </w:rPr>
            </w:pPr>
          </w:p>
          <w:p w14:paraId="04193652">
            <w:pPr>
              <w:snapToGrid w:val="0"/>
              <w:spacing w:line="360" w:lineRule="auto"/>
              <w:jc w:val="center"/>
              <w:rPr>
                <w:rFonts w:ascii="宋体" w:hAnsi="宋体" w:cs="宋体"/>
                <w:color w:val="auto"/>
                <w:sz w:val="24"/>
                <w:highlight w:val="none"/>
              </w:rPr>
            </w:pPr>
          </w:p>
          <w:p w14:paraId="23079F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AF2EF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0789A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A72D7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836F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5F02CD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3807D6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414A2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F5E5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1EEF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6043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E4D7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22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2FD9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1481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1906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2E5C68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AFD8F7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7441BE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D8492D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149BD9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1877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18B712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32A0C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F13B4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B9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3C68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7F7E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0CEE73">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2BD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E23F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56BD3BB">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61A5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841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1FECB60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AA60C4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034772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FF0CE9A">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516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2B312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C8EA427">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DCC6C98">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w:t>
            </w:r>
            <w:r>
              <w:rPr>
                <w:rFonts w:hint="eastAsia" w:ascii="宋体" w:hAnsi="宋体" w:cs="宋体"/>
                <w:snapToGrid w:val="0"/>
                <w:color w:val="auto"/>
                <w:kern w:val="28"/>
                <w:sz w:val="24"/>
                <w:szCs w:val="24"/>
                <w:highlight w:val="none"/>
                <w:lang w:val="en-US" w:eastAsia="zh-CN"/>
              </w:rPr>
              <w:t>参照</w:t>
            </w:r>
            <w:r>
              <w:rPr>
                <w:rFonts w:hint="eastAsia" w:ascii="宋体" w:hAnsi="宋体" w:cs="宋体"/>
                <w:snapToGrid w:val="0"/>
                <w:color w:val="auto"/>
                <w:kern w:val="28"/>
                <w:sz w:val="24"/>
                <w:szCs w:val="24"/>
                <w:highlight w:val="none"/>
              </w:rPr>
              <w:t>《计价格［2002］1980号》文件中服务类收费标准</w:t>
            </w:r>
            <w:r>
              <w:rPr>
                <w:rFonts w:hint="eastAsia" w:ascii="宋体" w:hAnsi="宋体" w:cs="宋体"/>
                <w:snapToGrid w:val="0"/>
                <w:color w:val="auto"/>
                <w:kern w:val="28"/>
                <w:sz w:val="24"/>
                <w:szCs w:val="24"/>
                <w:highlight w:val="none"/>
                <w:lang w:val="en-US" w:eastAsia="zh-CN"/>
              </w:rPr>
              <w:t>的80%</w:t>
            </w:r>
            <w:r>
              <w:rPr>
                <w:rFonts w:hint="eastAsia" w:ascii="宋体" w:hAnsi="宋体" w:cs="宋体"/>
                <w:snapToGrid w:val="0"/>
                <w:color w:val="auto"/>
                <w:kern w:val="28"/>
                <w:sz w:val="24"/>
                <w:szCs w:val="24"/>
                <w:highlight w:val="none"/>
              </w:rPr>
              <w:t>计算。</w:t>
            </w:r>
          </w:p>
          <w:p w14:paraId="5CE15F63">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6FAC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DEDB3F">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0E089DC">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67A62073">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40EE92E6">
      <w:pPr>
        <w:snapToGrid w:val="0"/>
        <w:spacing w:line="360" w:lineRule="auto"/>
        <w:jc w:val="center"/>
        <w:rPr>
          <w:rFonts w:ascii="宋体" w:hAnsi="宋体" w:cs="宋体"/>
          <w:b/>
          <w:color w:val="auto"/>
          <w:sz w:val="32"/>
          <w:szCs w:val="20"/>
          <w:highlight w:val="none"/>
        </w:rPr>
      </w:pPr>
    </w:p>
    <w:bookmarkEnd w:id="10"/>
    <w:p w14:paraId="338DA649">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068BEB9D">
      <w:pPr>
        <w:adjustRightInd/>
        <w:spacing w:line="360" w:lineRule="auto"/>
        <w:ind w:firstLine="3845" w:firstLineChars="1197"/>
        <w:outlineLvl w:val="0"/>
        <w:rPr>
          <w:rFonts w:hint="eastAsia" w:ascii="宋体" w:hAnsi="宋体" w:cs="宋体"/>
          <w:b/>
          <w:color w:val="auto"/>
          <w:sz w:val="32"/>
          <w:szCs w:val="20"/>
          <w:highlight w:val="none"/>
        </w:rPr>
      </w:pPr>
    </w:p>
    <w:p w14:paraId="2EFA73EF">
      <w:pPr>
        <w:adjustRightInd/>
        <w:spacing w:line="360" w:lineRule="auto"/>
        <w:ind w:firstLine="3845" w:firstLineChars="1197"/>
        <w:outlineLvl w:val="0"/>
        <w:rPr>
          <w:rFonts w:hint="eastAsia" w:ascii="宋体" w:hAnsi="宋体" w:cs="宋体"/>
          <w:b/>
          <w:color w:val="auto"/>
          <w:sz w:val="32"/>
          <w:szCs w:val="20"/>
          <w:highlight w:val="none"/>
        </w:rPr>
      </w:pPr>
    </w:p>
    <w:p w14:paraId="5521A9BD">
      <w:pPr>
        <w:adjustRightInd/>
        <w:spacing w:line="360" w:lineRule="auto"/>
        <w:ind w:firstLine="3845" w:firstLineChars="1197"/>
        <w:outlineLvl w:val="0"/>
        <w:rPr>
          <w:rFonts w:hint="eastAsia" w:ascii="宋体" w:hAnsi="宋体" w:cs="宋体"/>
          <w:b/>
          <w:color w:val="auto"/>
          <w:sz w:val="32"/>
          <w:szCs w:val="20"/>
          <w:highlight w:val="none"/>
        </w:rPr>
      </w:pPr>
    </w:p>
    <w:p w14:paraId="6F100B30">
      <w:pPr>
        <w:adjustRightInd/>
        <w:spacing w:line="360" w:lineRule="auto"/>
        <w:ind w:firstLine="3845" w:firstLineChars="1197"/>
        <w:outlineLvl w:val="0"/>
        <w:rPr>
          <w:rFonts w:hint="eastAsia" w:ascii="宋体" w:hAnsi="宋体" w:cs="宋体"/>
          <w:b/>
          <w:color w:val="auto"/>
          <w:sz w:val="32"/>
          <w:szCs w:val="20"/>
          <w:highlight w:val="none"/>
        </w:rPr>
      </w:pPr>
    </w:p>
    <w:p w14:paraId="6ADE1B93">
      <w:pPr>
        <w:adjustRightInd/>
        <w:spacing w:line="360" w:lineRule="auto"/>
        <w:ind w:firstLine="3845" w:firstLineChars="1197"/>
        <w:outlineLvl w:val="0"/>
        <w:rPr>
          <w:rFonts w:hint="eastAsia" w:ascii="宋体" w:hAnsi="宋体" w:cs="宋体"/>
          <w:b/>
          <w:color w:val="auto"/>
          <w:sz w:val="32"/>
          <w:szCs w:val="20"/>
          <w:highlight w:val="none"/>
        </w:rPr>
      </w:pPr>
    </w:p>
    <w:p w14:paraId="2E1C7951">
      <w:pPr>
        <w:adjustRightInd/>
        <w:spacing w:line="360" w:lineRule="auto"/>
        <w:ind w:firstLine="3845" w:firstLineChars="1197"/>
        <w:outlineLvl w:val="0"/>
        <w:rPr>
          <w:rFonts w:hint="eastAsia" w:ascii="宋体" w:hAnsi="宋体" w:cs="宋体"/>
          <w:b/>
          <w:color w:val="auto"/>
          <w:sz w:val="32"/>
          <w:szCs w:val="20"/>
          <w:highlight w:val="none"/>
        </w:rPr>
      </w:pPr>
    </w:p>
    <w:p w14:paraId="5B6BE274">
      <w:pPr>
        <w:adjustRightInd/>
        <w:spacing w:line="360" w:lineRule="auto"/>
        <w:ind w:firstLine="3845" w:firstLineChars="1197"/>
        <w:outlineLvl w:val="0"/>
        <w:rPr>
          <w:rFonts w:hint="eastAsia" w:ascii="宋体" w:hAnsi="宋体" w:cs="宋体"/>
          <w:b/>
          <w:color w:val="auto"/>
          <w:sz w:val="32"/>
          <w:szCs w:val="20"/>
          <w:highlight w:val="none"/>
        </w:rPr>
      </w:pPr>
    </w:p>
    <w:p w14:paraId="0FD200D8">
      <w:pPr>
        <w:adjustRightInd/>
        <w:spacing w:line="360" w:lineRule="auto"/>
        <w:ind w:firstLine="3845" w:firstLineChars="1197"/>
        <w:outlineLvl w:val="0"/>
        <w:rPr>
          <w:rFonts w:hint="eastAsia" w:ascii="宋体" w:hAnsi="宋体" w:cs="宋体"/>
          <w:b/>
          <w:color w:val="auto"/>
          <w:sz w:val="32"/>
          <w:szCs w:val="20"/>
          <w:highlight w:val="none"/>
        </w:rPr>
      </w:pPr>
    </w:p>
    <w:p w14:paraId="244C411A">
      <w:pPr>
        <w:adjustRightInd/>
        <w:spacing w:line="360" w:lineRule="auto"/>
        <w:ind w:firstLine="0" w:firstLineChars="0"/>
        <w:outlineLvl w:val="0"/>
        <w:rPr>
          <w:rFonts w:hint="eastAsia" w:ascii="宋体" w:hAnsi="宋体" w:cs="宋体"/>
          <w:b/>
          <w:color w:val="auto"/>
          <w:sz w:val="32"/>
          <w:szCs w:val="20"/>
          <w:highlight w:val="none"/>
        </w:rPr>
      </w:pPr>
    </w:p>
    <w:p w14:paraId="093DD25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28A9C6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8E981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8B726C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B7BB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3C033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E8D6F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ADC90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E404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EBB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C20B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0FB7AB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4E78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270B5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548EDB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9C4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DA6E3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D9CA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F1D9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7C49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BE9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A73112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488E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28F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32BB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798A4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21A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613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3A56D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4FABB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07FEF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9BBA71A">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2724D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5E57E5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9A690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ACAB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9BBAF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FA79B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16F948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8C417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97084C7">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5B184A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4959A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E3ABD5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AFF72C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C55025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10C77D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C261D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CDE7DE">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33147E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D2E837">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F198251">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684FC7">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70ED8C8">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759F4D7">
      <w:pPr>
        <w:pStyle w:val="57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BC11EED">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C6EEB10">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1267798">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E8D0449">
      <w:pPr>
        <w:pStyle w:val="575"/>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85DECB9">
      <w:pPr>
        <w:pStyle w:val="575"/>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4034A051">
      <w:pPr>
        <w:pStyle w:val="575"/>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A48367F">
      <w:pPr>
        <w:pStyle w:val="575"/>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304EB15A">
      <w:pPr>
        <w:pStyle w:val="88"/>
        <w:snapToGrid w:val="0"/>
        <w:spacing w:before="0"/>
        <w:ind w:firstLine="360"/>
        <w:rPr>
          <w:rFonts w:ascii="宋体" w:hAnsi="宋体" w:cs="宋体"/>
          <w:color w:val="auto"/>
          <w:sz w:val="18"/>
          <w:szCs w:val="18"/>
          <w:highlight w:val="none"/>
        </w:rPr>
      </w:pPr>
    </w:p>
    <w:p w14:paraId="2E94147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10745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FC5EC1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365959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39DA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8850B5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B586E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A5AE86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9E1BA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ED53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953D3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4B4E621">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9D3BF03">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11921A">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E7AFAB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F463A5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9FDD0F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DD4EEA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D8347D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447FC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80FE0C3">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E12744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20781F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84E4A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B18B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86D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17D0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37EB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0C44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A531E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540E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8ABB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30DE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26EF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8C107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0583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3FBD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7118DD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69329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782BF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DA709D">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042CADF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327C03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76EADE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28E1C36">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DF2D48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D3690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EE13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EB0AC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3C7F65E">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C1F5992">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64CF652">
      <w:pPr>
        <w:pStyle w:val="8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708B1E">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CA2256A">
      <w:pPr>
        <w:pStyle w:val="8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F7A209">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9E3A64">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0AD7B6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DAC5B7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F54CC77">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ACD376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EFFE80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8C0C392">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FB412C5">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FF64C01">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36325D">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4CF146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107CB2">
      <w:pPr>
        <w:pStyle w:val="8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C0C4E35">
      <w:pPr>
        <w:pStyle w:val="8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E42ADF9">
      <w:pPr>
        <w:pStyle w:val="88"/>
        <w:spacing w:before="0"/>
        <w:ind w:firstLine="643"/>
        <w:rPr>
          <w:rFonts w:ascii="宋体" w:hAnsi="宋体" w:cs="宋体"/>
          <w:b/>
          <w:color w:val="auto"/>
          <w:sz w:val="32"/>
          <w:highlight w:val="none"/>
        </w:rPr>
      </w:pPr>
    </w:p>
    <w:p w14:paraId="4612F94F">
      <w:pPr>
        <w:pStyle w:val="8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A1CA0FC">
      <w:pPr>
        <w:pStyle w:val="24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5897808">
      <w:pPr>
        <w:pStyle w:val="24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B04BB9">
      <w:pPr>
        <w:pStyle w:val="24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3EBB53A">
      <w:pPr>
        <w:pStyle w:val="24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7914B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C30E4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FF2F9E0">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AB70F24">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9072E6">
      <w:pPr>
        <w:pStyle w:val="8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C629DAC">
      <w:pPr>
        <w:pStyle w:val="8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679130">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5D74DAC">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E05EE43">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2EC1CE5">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157CAA4">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B689CCB">
      <w:pPr>
        <w:pStyle w:val="88"/>
        <w:spacing w:before="0"/>
        <w:ind w:firstLine="0" w:firstLineChars="0"/>
        <w:rPr>
          <w:rFonts w:ascii="宋体" w:hAnsi="宋体" w:cs="宋体"/>
          <w:color w:val="auto"/>
          <w:kern w:val="0"/>
          <w:szCs w:val="24"/>
          <w:highlight w:val="none"/>
        </w:rPr>
      </w:pPr>
    </w:p>
    <w:p w14:paraId="4A7F08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4BC70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6548A9C">
      <w:pPr>
        <w:spacing w:line="360" w:lineRule="auto"/>
        <w:rPr>
          <w:rFonts w:ascii="宋体" w:hAnsi="宋体" w:cs="宋体"/>
          <w:b/>
          <w:color w:val="auto"/>
          <w:sz w:val="24"/>
          <w:highlight w:val="none"/>
        </w:rPr>
      </w:pPr>
    </w:p>
    <w:p w14:paraId="7597D32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56D7B36">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2917C3B">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7087D7B">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F917B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1993B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B959F5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E17D1FD">
      <w:pPr>
        <w:pStyle w:val="88"/>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B212F6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B272F42">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DF568E4">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0B415BE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72F7EE">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948BDF">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39F4F33">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49ABD0E">
      <w:pPr>
        <w:pStyle w:val="8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35E7086">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360A8BC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lang w:val="en-US" w:eastAsia="zh-CN"/>
        </w:rPr>
        <w:t>本项目不收取履约保证金</w:t>
      </w:r>
      <w:r>
        <w:rPr>
          <w:rFonts w:hint="eastAsia" w:ascii="宋体" w:hAnsi="宋体" w:cs="宋体"/>
          <w:color w:val="auto"/>
          <w:sz w:val="24"/>
          <w:highlight w:val="none"/>
        </w:rPr>
        <w:t>。</w:t>
      </w:r>
    </w:p>
    <w:p w14:paraId="65F96BC9">
      <w:pPr>
        <w:pStyle w:val="4"/>
        <w:rPr>
          <w:color w:val="auto"/>
          <w:highlight w:val="none"/>
        </w:rPr>
      </w:pPr>
      <w:r>
        <w:rPr>
          <w:rFonts w:ascii="宋体" w:hAnsi="宋体" w:eastAsia="宋体"/>
          <w:b/>
          <w:bCs/>
          <w:color w:val="auto"/>
          <w:sz w:val="24"/>
          <w:szCs w:val="32"/>
          <w:highlight w:val="none"/>
          <w:lang w:val="en-US"/>
        </w:rPr>
        <w:t>27.预付款</w:t>
      </w:r>
    </w:p>
    <w:p w14:paraId="1F272D8E">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F19D0B">
      <w:pPr>
        <w:snapToGrid w:val="0"/>
        <w:spacing w:line="360" w:lineRule="auto"/>
        <w:ind w:firstLine="0" w:firstLineChars="0"/>
        <w:rPr>
          <w:rFonts w:hint="eastAsia" w:ascii="宋体" w:hAnsi="宋体" w:cs="宋体"/>
          <w:b/>
          <w:color w:val="auto"/>
          <w:sz w:val="32"/>
          <w:highlight w:val="none"/>
        </w:rPr>
      </w:pPr>
    </w:p>
    <w:p w14:paraId="5BD6CC15">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C30C10">
      <w:pPr>
        <w:pStyle w:val="8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9352DAF">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B0971AA">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4F50F67">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D1EF13E">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19D9BD2">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25441B7">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53FDE0">
      <w:pPr>
        <w:tabs>
          <w:tab w:val="left" w:pos="0"/>
        </w:tabs>
        <w:spacing w:line="360" w:lineRule="auto"/>
        <w:ind w:firstLine="480"/>
        <w:rPr>
          <w:rFonts w:ascii="宋体" w:hAnsi="宋体" w:cs="宋体"/>
          <w:color w:val="auto"/>
          <w:sz w:val="24"/>
          <w:highlight w:val="none"/>
        </w:rPr>
      </w:pPr>
    </w:p>
    <w:p w14:paraId="73B5FF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3E641C1">
      <w:pPr>
        <w:pStyle w:val="26"/>
        <w:spacing w:line="360" w:lineRule="auto"/>
        <w:ind w:firstLine="0" w:firstLineChars="0"/>
        <w:rPr>
          <w:rFonts w:cs="宋体"/>
          <w:b/>
          <w:color w:val="auto"/>
          <w:highlight w:val="none"/>
        </w:rPr>
      </w:pPr>
      <w:r>
        <w:rPr>
          <w:rFonts w:hint="eastAsia" w:cs="宋体"/>
          <w:b/>
          <w:color w:val="auto"/>
          <w:highlight w:val="none"/>
        </w:rPr>
        <w:t>30.验收</w:t>
      </w:r>
    </w:p>
    <w:p w14:paraId="588207E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4A9D9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0E683D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9BC0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C75777">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4743B95">
      <w:pPr>
        <w:pStyle w:val="81"/>
        <w:rPr>
          <w:color w:val="auto"/>
          <w:highlight w:val="none"/>
        </w:rPr>
      </w:pPr>
    </w:p>
    <w:bookmarkEnd w:id="13"/>
    <w:p w14:paraId="5CED643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07468"/>
      <w:bookmarkEnd w:id="16"/>
      <w:bookmarkStart w:id="17" w:name="_Hlt75236290"/>
      <w:bookmarkEnd w:id="17"/>
      <w:bookmarkStart w:id="18" w:name="_Hlt75236011"/>
      <w:bookmarkEnd w:id="18"/>
      <w:bookmarkStart w:id="19" w:name="_Hlt68403820"/>
      <w:bookmarkEnd w:id="19"/>
      <w:bookmarkStart w:id="20" w:name="_Hlt75236101"/>
      <w:bookmarkEnd w:id="20"/>
      <w:bookmarkStart w:id="21" w:name="_Hlt68057669"/>
      <w:bookmarkEnd w:id="21"/>
      <w:bookmarkStart w:id="22" w:name="_Hlt74729768"/>
      <w:bookmarkEnd w:id="22"/>
      <w:bookmarkStart w:id="23" w:name="_Hlt68072998"/>
      <w:bookmarkEnd w:id="23"/>
      <w:bookmarkStart w:id="24" w:name="_Hlt74730295"/>
      <w:bookmarkEnd w:id="24"/>
      <w:bookmarkStart w:id="25" w:name="_Hlt68073093"/>
      <w:bookmarkEnd w:id="25"/>
      <w:bookmarkStart w:id="26" w:name="_Hlt68072990"/>
      <w:bookmarkEnd w:id="26"/>
    </w:p>
    <w:bookmarkEnd w:id="11"/>
    <w:bookmarkEnd w:id="12"/>
    <w:p w14:paraId="6AA7422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7639A5F">
      <w:pPr>
        <w:numPr>
          <w:ilvl w:val="0"/>
          <w:numId w:val="0"/>
        </w:numPr>
        <w:wordWrap/>
        <w:spacing w:line="360" w:lineRule="auto"/>
        <w:ind w:firstLine="482" w:firstLineChars="200"/>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一、项目概况</w:t>
      </w:r>
    </w:p>
    <w:p w14:paraId="22CBADDF">
      <w:pPr>
        <w:numPr>
          <w:ilvl w:val="0"/>
          <w:numId w:val="0"/>
        </w:numPr>
        <w:wordWrap/>
        <w:spacing w:line="360" w:lineRule="auto"/>
        <w:ind w:firstLine="480" w:firstLineChars="200"/>
        <w:jc w:val="both"/>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val="en-US" w:eastAsia="zh-CN"/>
        </w:rPr>
        <w:t>余杭区公物仓位于径山镇长乐村蔡家头，面积2.24万平方米。</w:t>
      </w:r>
      <w:r>
        <w:rPr>
          <w:rFonts w:hint="eastAsia" w:ascii="国标宋体" w:hAnsi="国标宋体" w:eastAsia="国标宋体" w:cs="国标宋体"/>
          <w:color w:val="auto"/>
          <w:sz w:val="24"/>
          <w:szCs w:val="24"/>
          <w:highlight w:val="none"/>
        </w:rPr>
        <w:t>集公共物资</w:t>
      </w:r>
      <w:r>
        <w:rPr>
          <w:rFonts w:hint="eastAsia" w:ascii="国标宋体" w:hAnsi="国标宋体" w:eastAsia="国标宋体" w:cs="国标宋体"/>
          <w:color w:val="auto"/>
          <w:sz w:val="24"/>
          <w:szCs w:val="24"/>
          <w:highlight w:val="none"/>
          <w:lang w:eastAsia="zh-CN"/>
        </w:rPr>
        <w:t>及应急物资</w:t>
      </w:r>
      <w:r>
        <w:rPr>
          <w:rFonts w:hint="eastAsia" w:ascii="国标宋体" w:hAnsi="国标宋体" w:eastAsia="国标宋体" w:cs="国标宋体"/>
          <w:color w:val="auto"/>
          <w:sz w:val="24"/>
          <w:szCs w:val="24"/>
          <w:highlight w:val="none"/>
        </w:rPr>
        <w:t>管理、机关档案管理、涉案罚没物资管理、</w:t>
      </w:r>
      <w:r>
        <w:rPr>
          <w:rFonts w:hint="eastAsia" w:ascii="国标宋体" w:hAnsi="国标宋体" w:eastAsia="国标宋体" w:cs="国标宋体"/>
          <w:color w:val="auto"/>
          <w:sz w:val="24"/>
          <w:szCs w:val="24"/>
          <w:highlight w:val="none"/>
          <w:lang w:eastAsia="zh-CN"/>
        </w:rPr>
        <w:t>公益物资管理等</w:t>
      </w:r>
      <w:r>
        <w:rPr>
          <w:rFonts w:hint="eastAsia" w:ascii="国标宋体" w:hAnsi="国标宋体" w:eastAsia="国标宋体" w:cs="国标宋体"/>
          <w:color w:val="auto"/>
          <w:sz w:val="24"/>
          <w:szCs w:val="24"/>
          <w:highlight w:val="none"/>
        </w:rPr>
        <w:t>于一体，</w:t>
      </w:r>
      <w:r>
        <w:rPr>
          <w:rFonts w:hint="eastAsia" w:ascii="国标宋体" w:hAnsi="国标宋体" w:eastAsia="国标宋体" w:cs="国标宋体"/>
          <w:color w:val="auto"/>
          <w:sz w:val="24"/>
          <w:szCs w:val="24"/>
          <w:highlight w:val="none"/>
          <w:lang w:eastAsia="zh-CN"/>
        </w:rPr>
        <w:t>本项目要求按照规范化、标准化、数字化相关要求做好日常管理及物资配送工作。公物仓内</w:t>
      </w:r>
      <w:r>
        <w:rPr>
          <w:rFonts w:hint="eastAsia" w:ascii="国标宋体" w:hAnsi="国标宋体" w:eastAsia="国标宋体" w:cs="国标宋体"/>
          <w:color w:val="auto"/>
          <w:sz w:val="24"/>
          <w:szCs w:val="24"/>
          <w:highlight w:val="none"/>
          <w:lang w:val="en-US" w:eastAsia="zh-CN"/>
        </w:rPr>
        <w:t>有消防设备3套（水喷淋、高压细水雾、七氟丙烷气体灭火各一套）、电梯5部、厢式机器人3部。</w:t>
      </w:r>
    </w:p>
    <w:p w14:paraId="185DA4D1">
      <w:pPr>
        <w:numPr>
          <w:ilvl w:val="0"/>
          <w:numId w:val="0"/>
        </w:numPr>
        <w:wordWrap/>
        <w:spacing w:line="360" w:lineRule="auto"/>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color w:val="auto"/>
          <w:sz w:val="24"/>
          <w:szCs w:val="24"/>
          <w:highlight w:val="none"/>
          <w:lang w:val="en-US" w:eastAsia="zh-CN"/>
        </w:rPr>
        <w:t xml:space="preserve">   </w:t>
      </w:r>
      <w:r>
        <w:rPr>
          <w:rFonts w:hint="eastAsia" w:ascii="国标宋体" w:hAnsi="国标宋体" w:eastAsia="国标宋体" w:cs="国标宋体"/>
          <w:b/>
          <w:bCs/>
          <w:color w:val="auto"/>
          <w:kern w:val="2"/>
          <w:sz w:val="24"/>
          <w:szCs w:val="24"/>
          <w:highlight w:val="none"/>
          <w:lang w:val="en-US" w:eastAsia="zh-CN" w:bidi="ar-SA"/>
        </w:rPr>
        <w:t xml:space="preserve"> 二、服务年限</w:t>
      </w:r>
    </w:p>
    <w:p w14:paraId="5493EEC3">
      <w:pPr>
        <w:numPr>
          <w:ilvl w:val="0"/>
          <w:numId w:val="0"/>
        </w:numPr>
        <w:wordWrap/>
        <w:spacing w:line="360" w:lineRule="auto"/>
        <w:ind w:firstLine="480" w:firstLineChars="200"/>
        <w:jc w:val="both"/>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eastAsia="zh-CN"/>
        </w:rPr>
        <w:t>自合同签订生效之日起</w:t>
      </w:r>
      <w:r>
        <w:rPr>
          <w:rFonts w:hint="eastAsia" w:ascii="国标宋体" w:hAnsi="国标宋体" w:eastAsia="国标宋体" w:cs="国标宋体"/>
          <w:color w:val="auto"/>
          <w:sz w:val="24"/>
          <w:szCs w:val="24"/>
          <w:highlight w:val="none"/>
          <w:lang w:val="en-US" w:eastAsia="zh-CN"/>
        </w:rPr>
        <w:t>12</w:t>
      </w:r>
      <w:r>
        <w:rPr>
          <w:rFonts w:hint="eastAsia" w:ascii="国标宋体" w:hAnsi="国标宋体" w:eastAsia="国标宋体" w:cs="国标宋体"/>
          <w:color w:val="auto"/>
          <w:sz w:val="24"/>
          <w:szCs w:val="24"/>
          <w:highlight w:val="none"/>
          <w:lang w:eastAsia="zh-CN"/>
        </w:rPr>
        <w:t>个月。</w:t>
      </w:r>
    </w:p>
    <w:p w14:paraId="08345B06">
      <w:pPr>
        <w:spacing w:line="360" w:lineRule="auto"/>
        <w:rPr>
          <w:rFonts w:hint="eastAsia" w:ascii="宋体" w:hAnsi="宋体" w:eastAsia="宋体" w:cs="宋体"/>
          <w:b/>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w:t>
      </w:r>
      <w:r>
        <w:rPr>
          <w:rFonts w:hint="eastAsia" w:ascii="国标宋体" w:hAnsi="国标宋体" w:eastAsia="国标宋体" w:cs="国标宋体"/>
          <w:b/>
          <w:bCs/>
          <w:color w:val="auto"/>
          <w:kern w:val="2"/>
          <w:sz w:val="24"/>
          <w:szCs w:val="24"/>
          <w:highlight w:val="none"/>
          <w:lang w:val="en-US" w:eastAsia="zh-CN" w:bidi="ar-SA"/>
        </w:rPr>
        <w:t>三、</w:t>
      </w:r>
      <w:r>
        <w:rPr>
          <w:rFonts w:hint="eastAsia" w:ascii="宋体" w:hAnsi="宋体" w:eastAsia="宋体" w:cs="宋体"/>
          <w:b/>
          <w:color w:val="auto"/>
          <w:sz w:val="24"/>
          <w:szCs w:val="24"/>
          <w:highlight w:val="none"/>
        </w:rPr>
        <w:t>列入本次采购的服务基本要求为：</w:t>
      </w:r>
    </w:p>
    <w:p w14:paraId="344DB9D2">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本项目需要项目经理</w:t>
      </w:r>
      <w:r>
        <w:rPr>
          <w:rFonts w:hint="eastAsia" w:ascii="宋体" w:hAnsi="宋体" w:eastAsia="宋体" w:cs="宋体"/>
          <w:color w:val="auto"/>
          <w:sz w:val="24"/>
          <w:szCs w:val="24"/>
          <w:highlight w:val="none"/>
          <w:lang w:val="en-US" w:eastAsia="zh-CN"/>
        </w:rPr>
        <w:t>1人，客服经理1人，仓储管理员6人，</w:t>
      </w:r>
      <w:r>
        <w:rPr>
          <w:rFonts w:hint="eastAsia" w:ascii="宋体" w:hAnsi="宋体" w:eastAsia="宋体" w:cs="宋体"/>
          <w:color w:val="auto"/>
          <w:sz w:val="24"/>
          <w:szCs w:val="24"/>
          <w:highlight w:val="none"/>
          <w:lang w:eastAsia="zh-CN"/>
        </w:rPr>
        <w:t>装卸及</w:t>
      </w:r>
      <w:r>
        <w:rPr>
          <w:rFonts w:hint="eastAsia" w:ascii="宋体" w:hAnsi="宋体" w:eastAsia="宋体" w:cs="宋体"/>
          <w:color w:val="auto"/>
          <w:sz w:val="24"/>
          <w:szCs w:val="24"/>
          <w:highlight w:val="none"/>
        </w:rPr>
        <w:t>配送押运员</w:t>
      </w:r>
      <w:r>
        <w:rPr>
          <w:rFonts w:hint="eastAsia" w:ascii="宋体" w:hAnsi="宋体" w:eastAsia="宋体" w:cs="宋体"/>
          <w:color w:val="auto"/>
          <w:sz w:val="24"/>
          <w:szCs w:val="24"/>
          <w:highlight w:val="none"/>
          <w:lang w:val="en-US" w:eastAsia="zh-CN"/>
        </w:rPr>
        <w:t>4人，驾驶员2人，保安及消控人员16人，保洁及绿化服务人员3人，水电工2人，网络系统维护1人，要求持证上岗。</w:t>
      </w:r>
      <w:r>
        <w:rPr>
          <w:rFonts w:hint="eastAsia" w:ascii="宋体" w:hAnsi="宋体" w:eastAsia="宋体" w:cs="宋体"/>
          <w:color w:val="auto"/>
          <w:sz w:val="24"/>
          <w:szCs w:val="24"/>
          <w:highlight w:val="none"/>
        </w:rPr>
        <w:t>实际用工人员投入不得少于</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人，投标单位可根据实地踏看工作量增加工作人员，临时有大任务的需临时增加用工人员（含报价中）。用工人员工资不得低于杭州市政府公布的最低工资水平，按规定缴纳社保，并确保工作团队的稳定性。</w:t>
      </w:r>
      <w:r>
        <w:rPr>
          <w:rFonts w:hint="eastAsia" w:ascii="宋体" w:hAnsi="宋体" w:eastAsia="宋体" w:cs="宋体"/>
          <w:color w:val="auto"/>
          <w:sz w:val="24"/>
          <w:szCs w:val="24"/>
          <w:highlight w:val="none"/>
          <w:lang w:eastAsia="zh-CN"/>
        </w:rPr>
        <w:t>垃圾桶、垃圾袋、扫把、拖把等保洁物资，消毒水、免洗手液、创可贴等物资，纸、笔等办公物品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所有外出保障费用，加班费用等均包含报价中。</w:t>
      </w:r>
    </w:p>
    <w:p w14:paraId="0D7E263A">
      <w:pPr>
        <w:pStyle w:val="26"/>
        <w:spacing w:line="360" w:lineRule="auto"/>
        <w:rPr>
          <w:rFonts w:hint="eastAsia"/>
          <w:color w:val="auto"/>
          <w:highlight w:val="none"/>
        </w:rPr>
      </w:pPr>
      <w:r>
        <w:rPr>
          <w:rFonts w:hint="eastAsia" w:ascii="宋体" w:hAnsi="宋体" w:eastAsia="宋体" w:cs="宋体"/>
          <w:color w:val="auto"/>
          <w:sz w:val="24"/>
          <w:szCs w:val="24"/>
          <w:highlight w:val="none"/>
          <w:lang w:eastAsia="zh-CN"/>
        </w:rPr>
        <w:t>具体职责内容详见下表：</w:t>
      </w:r>
    </w:p>
    <w:tbl>
      <w:tblPr>
        <w:tblStyle w:val="64"/>
        <w:tblpPr w:leftFromText="180" w:rightFromText="180" w:vertAnchor="text" w:horzAnchor="page" w:tblpX="1463" w:tblpY="49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15"/>
        <w:gridCol w:w="630"/>
        <w:gridCol w:w="5970"/>
        <w:gridCol w:w="1230"/>
      </w:tblGrid>
      <w:tr w14:paraId="47C7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5" w:type="dxa"/>
            <w:vAlign w:val="center"/>
          </w:tcPr>
          <w:p w14:paraId="49D5AA53">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序号</w:t>
            </w:r>
          </w:p>
        </w:tc>
        <w:tc>
          <w:tcPr>
            <w:tcW w:w="1215" w:type="dxa"/>
            <w:vAlign w:val="center"/>
          </w:tcPr>
          <w:p w14:paraId="5A1123CD">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岗位</w:t>
            </w:r>
          </w:p>
        </w:tc>
        <w:tc>
          <w:tcPr>
            <w:tcW w:w="630" w:type="dxa"/>
            <w:vAlign w:val="center"/>
          </w:tcPr>
          <w:p w14:paraId="0EDA8472">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人数</w:t>
            </w:r>
          </w:p>
        </w:tc>
        <w:tc>
          <w:tcPr>
            <w:tcW w:w="5970" w:type="dxa"/>
            <w:vAlign w:val="center"/>
          </w:tcPr>
          <w:p w14:paraId="1244B620">
            <w:pPr>
              <w:widowControl w:val="0"/>
              <w:wordWrap/>
              <w:adjustRightInd/>
              <w:snapToGrid/>
              <w:spacing w:line="360" w:lineRule="exact"/>
              <w:ind w:left="0" w:leftChars="0" w:right="0" w:firstLine="1440" w:firstLineChars="60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工作说明</w:t>
            </w:r>
          </w:p>
        </w:tc>
        <w:tc>
          <w:tcPr>
            <w:tcW w:w="1230" w:type="dxa"/>
            <w:vAlign w:val="top"/>
          </w:tcPr>
          <w:p w14:paraId="7AC26510">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w:t>
            </w:r>
          </w:p>
        </w:tc>
      </w:tr>
      <w:tr w14:paraId="1ED0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5" w:type="dxa"/>
            <w:vAlign w:val="center"/>
          </w:tcPr>
          <w:p w14:paraId="456F7A9F">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215" w:type="dxa"/>
            <w:vAlign w:val="center"/>
          </w:tcPr>
          <w:p w14:paraId="3B546296">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项目经理</w:t>
            </w:r>
          </w:p>
        </w:tc>
        <w:tc>
          <w:tcPr>
            <w:tcW w:w="630" w:type="dxa"/>
            <w:vAlign w:val="center"/>
          </w:tcPr>
          <w:p w14:paraId="59A7D55D">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70" w:type="dxa"/>
            <w:vAlign w:val="center"/>
          </w:tcPr>
          <w:p w14:paraId="61317A81">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负责项目日常运作管理，明确项目部成员岗位职责分工，统筹安排</w:t>
            </w:r>
            <w:r>
              <w:rPr>
                <w:rFonts w:hint="eastAsia" w:ascii="宋体" w:hAnsi="宋体" w:cs="宋体"/>
                <w:color w:val="auto"/>
                <w:kern w:val="0"/>
                <w:sz w:val="24"/>
                <w:szCs w:val="24"/>
                <w:highlight w:val="none"/>
                <w:lang w:eastAsia="zh-CN"/>
              </w:rPr>
              <w:t>，做好主要事项的对外沟通交流接待工作。</w:t>
            </w:r>
          </w:p>
        </w:tc>
        <w:tc>
          <w:tcPr>
            <w:tcW w:w="1230" w:type="dxa"/>
            <w:vAlign w:val="top"/>
          </w:tcPr>
          <w:p w14:paraId="68EB9EF7">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45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3337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95" w:type="dxa"/>
            <w:vAlign w:val="center"/>
          </w:tcPr>
          <w:p w14:paraId="6469669C">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215" w:type="dxa"/>
            <w:vAlign w:val="center"/>
          </w:tcPr>
          <w:p w14:paraId="1AC53599">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客服经理</w:t>
            </w:r>
          </w:p>
        </w:tc>
        <w:tc>
          <w:tcPr>
            <w:tcW w:w="630" w:type="dxa"/>
            <w:vAlign w:val="center"/>
          </w:tcPr>
          <w:p w14:paraId="5E0A3BCD">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5970" w:type="dxa"/>
            <w:vAlign w:val="center"/>
          </w:tcPr>
          <w:p w14:paraId="461B2D92">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订单接收与分配、线上问题的解答及内外部的沟通协调</w:t>
            </w:r>
            <w:r>
              <w:rPr>
                <w:rFonts w:hint="eastAsia" w:ascii="宋体" w:hAnsi="宋体" w:cs="宋体"/>
                <w:color w:val="auto"/>
                <w:kern w:val="0"/>
                <w:sz w:val="24"/>
                <w:szCs w:val="24"/>
                <w:highlight w:val="none"/>
                <w:lang w:eastAsia="zh-CN"/>
              </w:rPr>
              <w:t>。</w:t>
            </w:r>
          </w:p>
        </w:tc>
        <w:tc>
          <w:tcPr>
            <w:tcW w:w="1230" w:type="dxa"/>
            <w:vAlign w:val="top"/>
          </w:tcPr>
          <w:p w14:paraId="6863C498">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45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0055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5" w:type="dxa"/>
            <w:vAlign w:val="center"/>
          </w:tcPr>
          <w:p w14:paraId="69C7B7BC">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215" w:type="dxa"/>
            <w:vAlign w:val="center"/>
          </w:tcPr>
          <w:p w14:paraId="170BC3B7">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仓储管理员</w:t>
            </w:r>
          </w:p>
        </w:tc>
        <w:tc>
          <w:tcPr>
            <w:tcW w:w="630" w:type="dxa"/>
            <w:vAlign w:val="center"/>
          </w:tcPr>
          <w:p w14:paraId="50F771CA">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5970" w:type="dxa"/>
            <w:vAlign w:val="center"/>
          </w:tcPr>
          <w:p w14:paraId="203F1469">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负责库房内部区域化的物资进出，运送</w:t>
            </w:r>
            <w:r>
              <w:rPr>
                <w:rFonts w:hint="eastAsia" w:ascii="宋体" w:hAnsi="宋体" w:cs="宋体"/>
                <w:color w:val="auto"/>
                <w:kern w:val="0"/>
                <w:sz w:val="24"/>
                <w:szCs w:val="24"/>
                <w:highlight w:val="none"/>
                <w:lang w:eastAsia="zh-CN"/>
              </w:rPr>
              <w:t>、盘点</w:t>
            </w:r>
            <w:r>
              <w:rPr>
                <w:rFonts w:hint="eastAsia" w:ascii="宋体" w:hAnsi="宋体" w:cs="宋体"/>
                <w:color w:val="auto"/>
                <w:kern w:val="0"/>
                <w:sz w:val="24"/>
                <w:szCs w:val="24"/>
                <w:highlight w:val="none"/>
              </w:rPr>
              <w:t>及日常</w:t>
            </w:r>
            <w:r>
              <w:rPr>
                <w:rFonts w:hint="eastAsia" w:ascii="宋体" w:hAnsi="宋体" w:cs="宋体"/>
                <w:color w:val="auto"/>
                <w:kern w:val="0"/>
                <w:sz w:val="24"/>
                <w:szCs w:val="24"/>
                <w:highlight w:val="none"/>
                <w:lang w:eastAsia="zh-CN"/>
              </w:rPr>
              <w:t>维护</w:t>
            </w:r>
            <w:r>
              <w:rPr>
                <w:rFonts w:hint="eastAsia" w:ascii="宋体" w:hAnsi="宋体" w:cs="宋体"/>
                <w:color w:val="auto"/>
                <w:kern w:val="0"/>
                <w:sz w:val="24"/>
                <w:szCs w:val="24"/>
                <w:highlight w:val="none"/>
              </w:rPr>
              <w:t>管理</w:t>
            </w:r>
            <w:r>
              <w:rPr>
                <w:rFonts w:hint="eastAsia" w:ascii="宋体" w:hAnsi="宋体" w:cs="宋体"/>
                <w:color w:val="auto"/>
                <w:kern w:val="0"/>
                <w:sz w:val="24"/>
                <w:szCs w:val="24"/>
                <w:highlight w:val="none"/>
                <w:lang w:eastAsia="zh-CN"/>
              </w:rPr>
              <w:t>，熟悉系统操作。</w:t>
            </w:r>
          </w:p>
        </w:tc>
        <w:tc>
          <w:tcPr>
            <w:tcW w:w="1230" w:type="dxa"/>
            <w:vAlign w:val="top"/>
          </w:tcPr>
          <w:p w14:paraId="6F70E15B">
            <w:pPr>
              <w:widowControl w:val="0"/>
              <w:wordWrap/>
              <w:adjustRightInd/>
              <w:snapToGrid/>
              <w:spacing w:line="360" w:lineRule="exact"/>
              <w:ind w:left="0" w:leftChars="0" w:right="0"/>
              <w:jc w:val="both"/>
              <w:textAlignment w:val="center"/>
              <w:outlineLvl w:val="9"/>
              <w:rPr>
                <w:rFonts w:ascii="宋体" w:hAnsi="宋体" w:cs="宋体"/>
                <w:color w:val="auto"/>
                <w:kern w:val="0"/>
                <w:sz w:val="24"/>
                <w:szCs w:val="24"/>
                <w:highlight w:val="none"/>
              </w:rPr>
            </w:pPr>
          </w:p>
          <w:p w14:paraId="770FBDA6">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4869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5" w:type="dxa"/>
            <w:vAlign w:val="center"/>
          </w:tcPr>
          <w:p w14:paraId="53FCC2B5">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215" w:type="dxa"/>
            <w:vAlign w:val="center"/>
          </w:tcPr>
          <w:p w14:paraId="57C2E46B">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eastAsia="zh-CN"/>
              </w:rPr>
              <w:t>装卸、</w:t>
            </w:r>
            <w:r>
              <w:rPr>
                <w:rFonts w:hint="eastAsia" w:ascii="宋体" w:hAnsi="宋体" w:cs="宋体"/>
                <w:color w:val="auto"/>
                <w:kern w:val="0"/>
                <w:sz w:val="24"/>
                <w:szCs w:val="24"/>
                <w:highlight w:val="none"/>
              </w:rPr>
              <w:t>配送押运员</w:t>
            </w:r>
          </w:p>
        </w:tc>
        <w:tc>
          <w:tcPr>
            <w:tcW w:w="630" w:type="dxa"/>
            <w:vAlign w:val="center"/>
          </w:tcPr>
          <w:p w14:paraId="3E23D3A4">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5970" w:type="dxa"/>
            <w:vAlign w:val="center"/>
          </w:tcPr>
          <w:p w14:paraId="07725F9A">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负责货物的装卸和档案的上下架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负责档案的调阅配送</w:t>
            </w:r>
            <w:r>
              <w:rPr>
                <w:rFonts w:hint="eastAsia" w:ascii="宋体" w:hAnsi="宋体" w:cs="宋体"/>
                <w:color w:val="auto"/>
                <w:kern w:val="0"/>
                <w:sz w:val="24"/>
                <w:szCs w:val="24"/>
                <w:highlight w:val="none"/>
                <w:lang w:eastAsia="zh-CN"/>
              </w:rPr>
              <w:t>。</w:t>
            </w:r>
          </w:p>
        </w:tc>
        <w:tc>
          <w:tcPr>
            <w:tcW w:w="1230" w:type="dxa"/>
            <w:vAlign w:val="top"/>
          </w:tcPr>
          <w:p w14:paraId="6C9394D3">
            <w:pPr>
              <w:widowControl w:val="0"/>
              <w:wordWrap/>
              <w:adjustRightInd/>
              <w:snapToGrid/>
              <w:spacing w:line="360" w:lineRule="exact"/>
              <w:ind w:left="0" w:leftChars="0" w:right="0"/>
              <w:jc w:val="both"/>
              <w:textAlignment w:val="center"/>
              <w:outlineLvl w:val="9"/>
              <w:rPr>
                <w:rFonts w:ascii="宋体" w:hAnsi="宋体" w:cs="宋体"/>
                <w:color w:val="auto"/>
                <w:kern w:val="0"/>
                <w:sz w:val="24"/>
                <w:szCs w:val="24"/>
                <w:highlight w:val="none"/>
              </w:rPr>
            </w:pPr>
          </w:p>
          <w:p w14:paraId="4A4384B6">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55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625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5" w:type="dxa"/>
            <w:vAlign w:val="center"/>
          </w:tcPr>
          <w:p w14:paraId="1D4C0779">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215" w:type="dxa"/>
            <w:vAlign w:val="center"/>
          </w:tcPr>
          <w:p w14:paraId="2ADD2B2F">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驾驶员</w:t>
            </w:r>
          </w:p>
        </w:tc>
        <w:tc>
          <w:tcPr>
            <w:tcW w:w="630" w:type="dxa"/>
            <w:vAlign w:val="center"/>
          </w:tcPr>
          <w:p w14:paraId="65AE7D1E">
            <w:pPr>
              <w:widowControl w:val="0"/>
              <w:wordWrap/>
              <w:adjustRightInd/>
              <w:snapToGrid/>
              <w:spacing w:line="360" w:lineRule="exact"/>
              <w:ind w:left="0" w:leftChars="0" w:right="0"/>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5970" w:type="dxa"/>
            <w:vAlign w:val="center"/>
          </w:tcPr>
          <w:p w14:paraId="655ECF12">
            <w:pPr>
              <w:widowControl w:val="0"/>
              <w:wordWrap/>
              <w:adjustRightInd/>
              <w:snapToGrid/>
              <w:spacing w:line="360" w:lineRule="exact"/>
              <w:ind w:left="0" w:leftChars="0" w:right="0"/>
              <w:jc w:val="both"/>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eastAsia="zh-CN"/>
              </w:rPr>
              <w:t>负责熟练驾驶大型商务货车、</w:t>
            </w:r>
            <w:r>
              <w:rPr>
                <w:rFonts w:hint="eastAsia" w:ascii="宋体" w:hAnsi="宋体" w:cs="宋体"/>
                <w:color w:val="auto"/>
                <w:kern w:val="0"/>
                <w:sz w:val="24"/>
                <w:szCs w:val="24"/>
                <w:highlight w:val="none"/>
              </w:rPr>
              <w:t>4.2米厢式货车</w:t>
            </w:r>
            <w:r>
              <w:rPr>
                <w:rFonts w:hint="eastAsia" w:ascii="宋体" w:hAnsi="宋体" w:cs="宋体"/>
                <w:color w:val="auto"/>
                <w:kern w:val="0"/>
                <w:sz w:val="24"/>
                <w:szCs w:val="24"/>
                <w:highlight w:val="none"/>
                <w:lang w:eastAsia="zh-CN"/>
              </w:rPr>
              <w:t>。</w:t>
            </w:r>
          </w:p>
        </w:tc>
        <w:tc>
          <w:tcPr>
            <w:tcW w:w="1230" w:type="dxa"/>
            <w:vAlign w:val="top"/>
          </w:tcPr>
          <w:p w14:paraId="503AA649">
            <w:pPr>
              <w:widowControl w:val="0"/>
              <w:wordWrap/>
              <w:adjustRightInd/>
              <w:snapToGrid/>
              <w:spacing w:line="360" w:lineRule="exact"/>
              <w:ind w:left="0" w:leftChars="0" w:right="0"/>
              <w:jc w:val="both"/>
              <w:textAlignment w:val="center"/>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55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072E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4D7407F1">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215" w:type="dxa"/>
            <w:vAlign w:val="center"/>
          </w:tcPr>
          <w:p w14:paraId="32298CD5">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保安</w:t>
            </w:r>
          </w:p>
        </w:tc>
        <w:tc>
          <w:tcPr>
            <w:tcW w:w="630" w:type="dxa"/>
            <w:vAlign w:val="center"/>
          </w:tcPr>
          <w:p w14:paraId="7714AD92">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p>
        </w:tc>
        <w:tc>
          <w:tcPr>
            <w:tcW w:w="5970" w:type="dxa"/>
            <w:vAlign w:val="center"/>
          </w:tcPr>
          <w:p w14:paraId="078DC6FF">
            <w:pPr>
              <w:widowControl w:val="0"/>
              <w:wordWrap/>
              <w:adjustRightInd/>
              <w:snapToGrid/>
              <w:spacing w:line="360" w:lineRule="exact"/>
              <w:ind w:left="0" w:leftChars="0" w:right="0" w:firstLine="0" w:firstLineChars="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大门岗，仓库大门及机动岗，2个岗位，每个岗位</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班</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运转。负责维护固定区域内的安全</w:t>
            </w:r>
            <w:r>
              <w:rPr>
                <w:rFonts w:hint="eastAsia" w:ascii="宋体" w:hAnsi="宋体" w:cs="宋体"/>
                <w:color w:val="auto"/>
                <w:kern w:val="0"/>
                <w:sz w:val="24"/>
                <w:szCs w:val="24"/>
                <w:highlight w:val="none"/>
                <w:lang w:eastAsia="zh-CN"/>
              </w:rPr>
              <w:t>巡逻</w:t>
            </w:r>
            <w:r>
              <w:rPr>
                <w:rFonts w:hint="eastAsia" w:ascii="宋体" w:hAnsi="宋体" w:cs="宋体"/>
                <w:color w:val="auto"/>
                <w:kern w:val="0"/>
                <w:sz w:val="24"/>
                <w:szCs w:val="24"/>
                <w:highlight w:val="none"/>
              </w:rPr>
              <w:t>以及正常的工作秩序</w:t>
            </w:r>
            <w:r>
              <w:rPr>
                <w:rFonts w:hint="eastAsia" w:ascii="宋体" w:hAnsi="宋体" w:cs="宋体"/>
                <w:color w:val="auto"/>
                <w:kern w:val="0"/>
                <w:sz w:val="24"/>
                <w:szCs w:val="24"/>
                <w:highlight w:val="none"/>
                <w:lang w:eastAsia="zh-CN"/>
              </w:rPr>
              <w:t>。</w:t>
            </w:r>
          </w:p>
        </w:tc>
        <w:tc>
          <w:tcPr>
            <w:tcW w:w="1230" w:type="dxa"/>
            <w:vAlign w:val="top"/>
          </w:tcPr>
          <w:p w14:paraId="05904538">
            <w:pPr>
              <w:widowControl w:val="0"/>
              <w:wordWrap/>
              <w:adjustRightInd/>
              <w:snapToGrid/>
              <w:spacing w:line="360" w:lineRule="exact"/>
              <w:ind w:left="0" w:leftChars="0" w:right="0" w:firstLine="0" w:firstLineChars="0"/>
              <w:jc w:val="both"/>
              <w:textAlignment w:val="center"/>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3A6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6A1A50B8">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215" w:type="dxa"/>
            <w:vAlign w:val="center"/>
          </w:tcPr>
          <w:p w14:paraId="4593EBA8">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消控监控</w:t>
            </w:r>
          </w:p>
        </w:tc>
        <w:tc>
          <w:tcPr>
            <w:tcW w:w="630" w:type="dxa"/>
            <w:vAlign w:val="center"/>
          </w:tcPr>
          <w:p w14:paraId="590A9DF3">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5970" w:type="dxa"/>
            <w:vAlign w:val="center"/>
          </w:tcPr>
          <w:p w14:paraId="43B8524B">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每班2人4班3运转，保证24小时都有两名人员在岗。负责消防监控中心各种设备的监视和运用，做好日常检查及操作工作，保证设备正常运行。</w:t>
            </w:r>
          </w:p>
        </w:tc>
        <w:tc>
          <w:tcPr>
            <w:tcW w:w="1230" w:type="dxa"/>
            <w:vAlign w:val="top"/>
          </w:tcPr>
          <w:p w14:paraId="7850F43F">
            <w:pPr>
              <w:widowControl w:val="0"/>
              <w:wordWrap/>
              <w:adjustRightInd/>
              <w:snapToGrid/>
              <w:spacing w:line="360" w:lineRule="exact"/>
              <w:ind w:left="0" w:leftChars="0" w:right="0" w:firstLine="0" w:firstLineChars="0"/>
              <w:jc w:val="both"/>
              <w:textAlignment w:val="center"/>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3F1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147B75F4">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215" w:type="dxa"/>
            <w:vAlign w:val="center"/>
          </w:tcPr>
          <w:p w14:paraId="39AFE1D2">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w:t>
            </w:r>
            <w:r>
              <w:rPr>
                <w:rFonts w:hint="eastAsia" w:ascii="宋体" w:hAnsi="宋体" w:cs="宋体"/>
                <w:color w:val="auto"/>
                <w:kern w:val="0"/>
                <w:sz w:val="24"/>
                <w:szCs w:val="24"/>
                <w:highlight w:val="none"/>
                <w:lang w:eastAsia="zh-CN"/>
              </w:rPr>
              <w:t>及绿化</w:t>
            </w:r>
          </w:p>
        </w:tc>
        <w:tc>
          <w:tcPr>
            <w:tcW w:w="630" w:type="dxa"/>
            <w:vAlign w:val="center"/>
          </w:tcPr>
          <w:p w14:paraId="229E7A5A">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p>
        </w:tc>
        <w:tc>
          <w:tcPr>
            <w:tcW w:w="5970" w:type="dxa"/>
            <w:vAlign w:val="center"/>
          </w:tcPr>
          <w:p w14:paraId="2D0D69C8">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负责各区域内的清洁卫生工作达到规定标准，保证区域</w:t>
            </w:r>
            <w:r>
              <w:rPr>
                <w:rFonts w:hint="eastAsia" w:ascii="宋体" w:hAnsi="宋体" w:cs="宋体"/>
                <w:color w:val="auto"/>
                <w:kern w:val="0"/>
                <w:sz w:val="24"/>
                <w:szCs w:val="24"/>
                <w:highlight w:val="none"/>
                <w:lang w:eastAsia="zh-CN"/>
              </w:rPr>
              <w:t>内</w:t>
            </w:r>
            <w:r>
              <w:rPr>
                <w:rFonts w:hint="eastAsia" w:ascii="宋体" w:hAnsi="宋体" w:cs="宋体"/>
                <w:color w:val="auto"/>
                <w:kern w:val="0"/>
                <w:sz w:val="24"/>
                <w:szCs w:val="24"/>
                <w:highlight w:val="none"/>
              </w:rPr>
              <w:t>干净整洁</w:t>
            </w:r>
            <w:r>
              <w:rPr>
                <w:rFonts w:hint="eastAsia" w:ascii="宋体" w:hAnsi="宋体" w:cs="宋体"/>
                <w:color w:val="auto"/>
                <w:kern w:val="0"/>
                <w:sz w:val="24"/>
                <w:szCs w:val="24"/>
                <w:highlight w:val="none"/>
                <w:lang w:eastAsia="zh-CN"/>
              </w:rPr>
              <w:t>，垃圾分类准确；负责区域内树木花草的日常养护和管理，室内花卉植物的摆放养护。</w:t>
            </w:r>
          </w:p>
        </w:tc>
        <w:tc>
          <w:tcPr>
            <w:tcW w:w="1230" w:type="dxa"/>
            <w:vAlign w:val="top"/>
          </w:tcPr>
          <w:p w14:paraId="7D0FEF69">
            <w:pPr>
              <w:widowControl w:val="0"/>
              <w:wordWrap/>
              <w:adjustRightInd/>
              <w:snapToGrid/>
              <w:spacing w:line="360" w:lineRule="exact"/>
              <w:ind w:left="0" w:leftChars="0" w:right="0" w:firstLine="0" w:firstLineChars="0"/>
              <w:jc w:val="both"/>
              <w:textAlignment w:val="center"/>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55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046B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54E06DCF">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215" w:type="dxa"/>
            <w:vAlign w:val="center"/>
          </w:tcPr>
          <w:p w14:paraId="23C164EE">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水电工</w:t>
            </w:r>
          </w:p>
        </w:tc>
        <w:tc>
          <w:tcPr>
            <w:tcW w:w="630" w:type="dxa"/>
            <w:vAlign w:val="center"/>
          </w:tcPr>
          <w:p w14:paraId="557BA228">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p>
        </w:tc>
        <w:tc>
          <w:tcPr>
            <w:tcW w:w="5970" w:type="dxa"/>
            <w:vAlign w:val="center"/>
          </w:tcPr>
          <w:p w14:paraId="5A0FBEEB">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负责水电、设备设施日常维护保养及维修</w:t>
            </w:r>
            <w:r>
              <w:rPr>
                <w:rFonts w:hint="eastAsia" w:ascii="宋体" w:hAnsi="宋体" w:cs="宋体"/>
                <w:color w:val="auto"/>
                <w:kern w:val="0"/>
                <w:sz w:val="24"/>
                <w:szCs w:val="24"/>
                <w:highlight w:val="none"/>
                <w:lang w:eastAsia="zh-CN"/>
              </w:rPr>
              <w:t>，需要高配证。</w:t>
            </w:r>
          </w:p>
        </w:tc>
        <w:tc>
          <w:tcPr>
            <w:tcW w:w="1230" w:type="dxa"/>
            <w:vAlign w:val="top"/>
          </w:tcPr>
          <w:p w14:paraId="690135B5">
            <w:pPr>
              <w:widowControl w:val="0"/>
              <w:wordWrap/>
              <w:adjustRightInd/>
              <w:snapToGrid/>
              <w:spacing w:line="360" w:lineRule="exact"/>
              <w:ind w:left="0" w:leftChars="0" w:right="0" w:firstLine="0" w:firstLineChars="0"/>
              <w:jc w:val="both"/>
              <w:textAlignment w:val="center"/>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55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70AA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60966AF3">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215" w:type="dxa"/>
            <w:vAlign w:val="center"/>
          </w:tcPr>
          <w:p w14:paraId="0A4A58A8">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网络系统维护</w:t>
            </w:r>
          </w:p>
        </w:tc>
        <w:tc>
          <w:tcPr>
            <w:tcW w:w="630" w:type="dxa"/>
            <w:vAlign w:val="center"/>
          </w:tcPr>
          <w:p w14:paraId="57E86BB2">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5970" w:type="dxa"/>
            <w:vAlign w:val="center"/>
          </w:tcPr>
          <w:p w14:paraId="5D801E60">
            <w:pPr>
              <w:widowControl w:val="0"/>
              <w:wordWrap/>
              <w:adjustRightInd/>
              <w:snapToGrid/>
              <w:spacing w:line="360" w:lineRule="exact"/>
              <w:ind w:right="0"/>
              <w:jc w:val="both"/>
              <w:outlineLvl w:val="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负责园区网络系统的维护</w:t>
            </w:r>
            <w:r>
              <w:rPr>
                <w:rFonts w:hint="eastAsia" w:ascii="宋体" w:hAnsi="宋体" w:cs="宋体"/>
                <w:color w:val="auto"/>
                <w:sz w:val="24"/>
                <w:szCs w:val="24"/>
                <w:highlight w:val="none"/>
                <w:lang w:eastAsia="zh-CN"/>
              </w:rPr>
              <w:t>及正常运营，</w:t>
            </w:r>
            <w:r>
              <w:rPr>
                <w:rFonts w:hint="eastAsia" w:ascii="宋体" w:hAnsi="宋体" w:cs="宋体"/>
                <w:color w:val="auto"/>
                <w:kern w:val="0"/>
                <w:sz w:val="24"/>
                <w:szCs w:val="24"/>
                <w:highlight w:val="none"/>
                <w:lang w:eastAsia="zh-CN"/>
              </w:rPr>
              <w:t>包含公物仓平台的日常运维及安全管理，</w:t>
            </w:r>
            <w:r>
              <w:rPr>
                <w:rFonts w:hint="eastAsia" w:ascii="宋体" w:hAnsi="宋体" w:cs="宋体"/>
                <w:color w:val="auto"/>
                <w:kern w:val="0"/>
                <w:sz w:val="24"/>
                <w:szCs w:val="24"/>
                <w:highlight w:val="none"/>
                <w:lang w:val="en-US" w:eastAsia="zh-CN"/>
              </w:rPr>
              <w:t>人员</w:t>
            </w:r>
            <w:r>
              <w:rPr>
                <w:rFonts w:hint="eastAsia" w:ascii="宋体" w:hAnsi="宋体" w:cs="宋体"/>
                <w:color w:val="auto"/>
                <w:sz w:val="24"/>
                <w:szCs w:val="24"/>
                <w:highlight w:val="none"/>
                <w:lang w:val="en-US" w:eastAsia="zh-CN"/>
              </w:rPr>
              <w:t>具备相应的技术识别、IT基础设施部署与应用、运行维护和安全保障能力。</w:t>
            </w:r>
          </w:p>
        </w:tc>
        <w:tc>
          <w:tcPr>
            <w:tcW w:w="1230" w:type="dxa"/>
            <w:vAlign w:val="top"/>
          </w:tcPr>
          <w:p w14:paraId="0F306D83">
            <w:pPr>
              <w:widowControl w:val="0"/>
              <w:wordWrap/>
              <w:adjustRightInd/>
              <w:snapToGrid/>
              <w:spacing w:line="360" w:lineRule="exact"/>
              <w:ind w:left="0" w:leftChars="0" w:right="0" w:firstLine="0" w:firstLineChars="0"/>
              <w:jc w:val="both"/>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45</w:t>
            </w:r>
            <w:r>
              <w:rPr>
                <w:rFonts w:hint="eastAsia" w:ascii="宋体" w:hAnsi="宋体" w:cs="宋体"/>
                <w:color w:val="auto"/>
                <w:kern w:val="0"/>
                <w:sz w:val="24"/>
                <w:szCs w:val="24"/>
                <w:highlight w:val="none"/>
              </w:rPr>
              <w:t>岁</w:t>
            </w:r>
            <w:r>
              <w:rPr>
                <w:rFonts w:hint="eastAsia" w:hAnsi="宋体" w:cs="宋体"/>
                <w:color w:val="auto"/>
                <w:kern w:val="0"/>
                <w:sz w:val="24"/>
                <w:szCs w:val="24"/>
                <w:highlight w:val="none"/>
                <w:lang w:eastAsia="zh-CN"/>
              </w:rPr>
              <w:t>以下</w:t>
            </w:r>
          </w:p>
        </w:tc>
      </w:tr>
      <w:tr w14:paraId="790B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95" w:type="dxa"/>
            <w:vAlign w:val="center"/>
          </w:tcPr>
          <w:p w14:paraId="7D6B84AF">
            <w:pPr>
              <w:widowControl w:val="0"/>
              <w:wordWrap/>
              <w:adjustRightInd/>
              <w:snapToGrid/>
              <w:spacing w:line="360" w:lineRule="exact"/>
              <w:ind w:left="0" w:leftChars="0" w:right="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215" w:type="dxa"/>
            <w:vAlign w:val="center"/>
          </w:tcPr>
          <w:p w14:paraId="2218A265">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w:t>
            </w:r>
            <w:r>
              <w:rPr>
                <w:rFonts w:hint="eastAsia" w:ascii="宋体" w:hAnsi="宋体" w:cs="宋体"/>
                <w:color w:val="auto"/>
                <w:kern w:val="0"/>
                <w:sz w:val="24"/>
                <w:szCs w:val="24"/>
                <w:highlight w:val="none"/>
                <w:lang w:eastAsia="zh-CN"/>
              </w:rPr>
              <w:t>相关</w:t>
            </w:r>
            <w:r>
              <w:rPr>
                <w:rFonts w:hint="eastAsia" w:ascii="宋体" w:hAnsi="宋体" w:cs="宋体"/>
                <w:color w:val="auto"/>
                <w:kern w:val="0"/>
                <w:sz w:val="24"/>
                <w:szCs w:val="24"/>
                <w:highlight w:val="none"/>
              </w:rPr>
              <w:t>耗材</w:t>
            </w:r>
            <w:r>
              <w:rPr>
                <w:rFonts w:hint="eastAsia" w:ascii="宋体" w:hAnsi="宋体" w:cs="宋体"/>
                <w:color w:val="auto"/>
                <w:kern w:val="0"/>
                <w:sz w:val="24"/>
                <w:szCs w:val="24"/>
                <w:highlight w:val="none"/>
                <w:lang w:eastAsia="zh-CN"/>
              </w:rPr>
              <w:t>及相关设施设备日常维修</w:t>
            </w:r>
          </w:p>
        </w:tc>
        <w:tc>
          <w:tcPr>
            <w:tcW w:w="630" w:type="dxa"/>
            <w:vAlign w:val="center"/>
          </w:tcPr>
          <w:p w14:paraId="14BF12C6">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p>
        </w:tc>
        <w:tc>
          <w:tcPr>
            <w:tcW w:w="5970" w:type="dxa"/>
            <w:vAlign w:val="center"/>
          </w:tcPr>
          <w:p w14:paraId="675D65AF">
            <w:pPr>
              <w:widowControl w:val="0"/>
              <w:numPr>
                <w:ilvl w:val="0"/>
                <w:numId w:val="2"/>
              </w:numPr>
              <w:wordWrap/>
              <w:adjustRightInd/>
              <w:snapToGrid/>
              <w:spacing w:line="360" w:lineRule="exact"/>
              <w:ind w:left="0" w:leftChars="0" w:right="0" w:firstLine="0" w:firstLineChars="0"/>
              <w:jc w:val="both"/>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卫生纸、洗手液、洁厕液、拖把、水桶、分类垃圾桶、垃圾袋、擦手纸等</w:t>
            </w:r>
            <w:r>
              <w:rPr>
                <w:rFonts w:hint="eastAsia" w:ascii="宋体" w:hAnsi="宋体" w:cs="宋体"/>
                <w:color w:val="auto"/>
                <w:kern w:val="0"/>
                <w:sz w:val="24"/>
                <w:szCs w:val="24"/>
                <w:highlight w:val="none"/>
                <w:lang w:eastAsia="zh-CN"/>
              </w:rPr>
              <w:t>，需</w:t>
            </w:r>
            <w:r>
              <w:rPr>
                <w:rFonts w:hint="eastAsia" w:ascii="国标宋体" w:hAnsi="国标宋体" w:eastAsia="国标宋体" w:cs="国标宋体"/>
                <w:color w:val="auto"/>
                <w:sz w:val="24"/>
                <w:szCs w:val="24"/>
                <w:highlight w:val="none"/>
              </w:rPr>
              <w:t>符合国家相关安全标准</w:t>
            </w:r>
            <w:r>
              <w:rPr>
                <w:rFonts w:hint="eastAsia" w:ascii="宋体" w:hAnsi="宋体" w:cs="宋体"/>
                <w:color w:val="auto"/>
                <w:kern w:val="0"/>
                <w:sz w:val="24"/>
                <w:szCs w:val="24"/>
                <w:highlight w:val="none"/>
                <w:lang w:eastAsia="zh-CN"/>
              </w:rPr>
              <w:t>。</w:t>
            </w:r>
          </w:p>
          <w:p w14:paraId="4CC0246D">
            <w:pPr>
              <w:widowControl w:val="0"/>
              <w:numPr>
                <w:ilvl w:val="0"/>
                <w:numId w:val="2"/>
              </w:numPr>
              <w:wordWrap/>
              <w:adjustRightInd/>
              <w:snapToGrid/>
              <w:spacing w:line="360" w:lineRule="exact"/>
              <w:ind w:left="0" w:leftChars="0" w:right="0" w:firstLine="0" w:firstLineChars="0"/>
              <w:jc w:val="both"/>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日常设施设备维修（日常维修指</w:t>
            </w:r>
            <w:r>
              <w:rPr>
                <w:rFonts w:hint="eastAsia" w:ascii="宋体" w:hAnsi="宋体" w:cs="宋体"/>
                <w:color w:val="auto"/>
                <w:kern w:val="0"/>
                <w:sz w:val="24"/>
                <w:szCs w:val="24"/>
                <w:highlight w:val="none"/>
              </w:rPr>
              <w:t>单次</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000元以下日常维修费用</w:t>
            </w:r>
            <w:r>
              <w:rPr>
                <w:rFonts w:hint="eastAsia" w:ascii="宋体" w:hAnsi="宋体" w:cs="宋体"/>
                <w:color w:val="auto"/>
                <w:kern w:val="0"/>
                <w:sz w:val="24"/>
                <w:szCs w:val="24"/>
                <w:highlight w:val="none"/>
                <w:lang w:eastAsia="zh-CN"/>
              </w:rPr>
              <w:t>）</w:t>
            </w:r>
          </w:p>
        </w:tc>
        <w:tc>
          <w:tcPr>
            <w:tcW w:w="1230" w:type="dxa"/>
            <w:vAlign w:val="top"/>
          </w:tcPr>
          <w:p w14:paraId="1E05B7C4">
            <w:pPr>
              <w:widowControl w:val="0"/>
              <w:wordWrap/>
              <w:adjustRightInd/>
              <w:snapToGrid/>
              <w:spacing w:line="360" w:lineRule="exact"/>
              <w:ind w:left="0" w:leftChars="0" w:right="0" w:firstLine="0" w:firstLineChars="0"/>
              <w:jc w:val="both"/>
              <w:outlineLvl w:val="9"/>
              <w:rPr>
                <w:rFonts w:ascii="宋体" w:hAnsi="宋体" w:cs="宋体"/>
                <w:color w:val="auto"/>
                <w:kern w:val="0"/>
                <w:sz w:val="24"/>
                <w:szCs w:val="24"/>
                <w:highlight w:val="none"/>
              </w:rPr>
            </w:pPr>
          </w:p>
          <w:p w14:paraId="41CE0CAE">
            <w:pPr>
              <w:widowControl w:val="0"/>
              <w:wordWrap/>
              <w:adjustRightInd/>
              <w:snapToGrid/>
              <w:spacing w:line="360" w:lineRule="exact"/>
              <w:ind w:left="0" w:leftChars="0" w:right="0" w:firstLine="0" w:firstLineChars="0"/>
              <w:jc w:val="both"/>
              <w:outlineLvl w:val="9"/>
              <w:rPr>
                <w:rFonts w:hint="eastAsia" w:ascii="宋体" w:hAnsi="宋体" w:eastAsia="宋体" w:cs="宋体"/>
                <w:color w:val="auto"/>
                <w:kern w:val="0"/>
                <w:sz w:val="24"/>
                <w:szCs w:val="24"/>
                <w:highlight w:val="none"/>
                <w:lang w:val="en-US" w:eastAsia="zh-CN"/>
              </w:rPr>
            </w:pPr>
          </w:p>
        </w:tc>
      </w:tr>
      <w:tr w14:paraId="6E73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5" w:type="dxa"/>
            <w:vAlign w:val="center"/>
          </w:tcPr>
          <w:p w14:paraId="47A6CDAC">
            <w:pPr>
              <w:widowControl w:val="0"/>
              <w:wordWrap/>
              <w:adjustRightInd/>
              <w:snapToGrid/>
              <w:spacing w:line="360" w:lineRule="exact"/>
              <w:ind w:left="0" w:leftChars="0" w:right="0"/>
              <w:jc w:val="center"/>
              <w:textAlignment w:val="center"/>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215" w:type="dxa"/>
            <w:vAlign w:val="center"/>
          </w:tcPr>
          <w:p w14:paraId="10D46F38">
            <w:pPr>
              <w:widowControl w:val="0"/>
              <w:wordWrap/>
              <w:adjustRightInd/>
              <w:snapToGrid/>
              <w:spacing w:line="360" w:lineRule="exact"/>
              <w:ind w:left="0" w:leftChars="0" w:right="0" w:firstLine="0" w:firstLineChars="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设备维护</w:t>
            </w:r>
          </w:p>
        </w:tc>
        <w:tc>
          <w:tcPr>
            <w:tcW w:w="630" w:type="dxa"/>
            <w:vAlign w:val="center"/>
          </w:tcPr>
          <w:p w14:paraId="1C184958">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p>
        </w:tc>
        <w:tc>
          <w:tcPr>
            <w:tcW w:w="5970" w:type="dxa"/>
            <w:vAlign w:val="center"/>
          </w:tcPr>
          <w:p w14:paraId="7E758CA8">
            <w:pPr>
              <w:widowControl w:val="0"/>
              <w:wordWrap/>
              <w:adjustRightInd/>
              <w:snapToGrid/>
              <w:spacing w:line="360" w:lineRule="exact"/>
              <w:ind w:left="0" w:leftChars="0" w:right="0" w:firstLine="0" w:firstLineChars="0"/>
              <w:jc w:val="both"/>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园区内消防设备、监控设备、电梯等设备的日常维护维保。</w:t>
            </w:r>
          </w:p>
        </w:tc>
        <w:tc>
          <w:tcPr>
            <w:tcW w:w="1230" w:type="dxa"/>
            <w:vAlign w:val="top"/>
          </w:tcPr>
          <w:p w14:paraId="52551001">
            <w:pPr>
              <w:widowControl w:val="0"/>
              <w:wordWrap/>
              <w:adjustRightInd/>
              <w:snapToGrid/>
              <w:spacing w:line="360" w:lineRule="exact"/>
              <w:ind w:left="0" w:leftChars="0" w:right="0" w:firstLine="0" w:firstLineChars="0"/>
              <w:jc w:val="both"/>
              <w:outlineLvl w:val="9"/>
              <w:rPr>
                <w:rFonts w:hint="eastAsia" w:ascii="宋体" w:hAnsi="宋体" w:cs="宋体"/>
                <w:color w:val="auto"/>
                <w:kern w:val="0"/>
                <w:sz w:val="24"/>
                <w:szCs w:val="24"/>
                <w:highlight w:val="none"/>
                <w:lang w:val="en-US" w:eastAsia="zh-CN"/>
              </w:rPr>
            </w:pPr>
          </w:p>
        </w:tc>
      </w:tr>
      <w:tr w14:paraId="5E1A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 w:type="dxa"/>
            <w:vAlign w:val="center"/>
          </w:tcPr>
          <w:p w14:paraId="6992BD58">
            <w:pPr>
              <w:widowControl w:val="0"/>
              <w:wordWrap/>
              <w:adjustRightInd/>
              <w:snapToGrid/>
              <w:spacing w:line="360" w:lineRule="exact"/>
              <w:ind w:left="0" w:leftChars="0" w:right="0"/>
              <w:jc w:val="center"/>
              <w:textAlignment w:val="center"/>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215" w:type="dxa"/>
            <w:vAlign w:val="center"/>
          </w:tcPr>
          <w:p w14:paraId="1A87332C">
            <w:pPr>
              <w:widowControl w:val="0"/>
              <w:wordWrap/>
              <w:adjustRightInd/>
              <w:snapToGrid/>
              <w:spacing w:line="360" w:lineRule="exact"/>
              <w:ind w:left="0" w:leftChars="0" w:right="0" w:firstLine="0" w:firstLineChars="0"/>
              <w:jc w:val="both"/>
              <w:textAlignment w:val="center"/>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车辆租赁服务（含油费）</w:t>
            </w:r>
          </w:p>
        </w:tc>
        <w:tc>
          <w:tcPr>
            <w:tcW w:w="630" w:type="dxa"/>
            <w:vAlign w:val="center"/>
          </w:tcPr>
          <w:p w14:paraId="1CDD4D4A">
            <w:pPr>
              <w:widowControl w:val="0"/>
              <w:wordWrap/>
              <w:adjustRightInd/>
              <w:snapToGrid/>
              <w:spacing w:line="360" w:lineRule="exact"/>
              <w:ind w:left="0" w:leftChars="0" w:right="0" w:firstLine="0" w:firstLineChars="0"/>
              <w:jc w:val="center"/>
              <w:textAlignment w:val="center"/>
              <w:outlineLvl w:val="9"/>
              <w:rPr>
                <w:rFonts w:hint="eastAsia" w:ascii="宋体" w:hAnsi="宋体" w:cs="宋体"/>
                <w:color w:val="auto"/>
                <w:kern w:val="0"/>
                <w:sz w:val="24"/>
                <w:szCs w:val="24"/>
                <w:highlight w:val="none"/>
              </w:rPr>
            </w:pPr>
          </w:p>
        </w:tc>
        <w:tc>
          <w:tcPr>
            <w:tcW w:w="5970" w:type="dxa"/>
            <w:vAlign w:val="center"/>
          </w:tcPr>
          <w:p w14:paraId="28C3CDEE">
            <w:pPr>
              <w:widowControl w:val="0"/>
              <w:wordWrap/>
              <w:adjustRightInd/>
              <w:snapToGrid/>
              <w:spacing w:line="360" w:lineRule="exact"/>
              <w:ind w:left="0" w:leftChars="0" w:right="0" w:firstLine="0" w:firstLineChars="0"/>
              <w:jc w:val="both"/>
              <w:outlineLvl w:val="9"/>
              <w:rPr>
                <w:rFonts w:hint="eastAsia" w:ascii="宋体" w:hAnsi="宋体" w:cs="宋体"/>
                <w:color w:val="auto"/>
                <w:kern w:val="0"/>
                <w:sz w:val="24"/>
                <w:szCs w:val="24"/>
                <w:highlight w:val="none"/>
                <w:lang w:val="en-US" w:eastAsia="zh-CN"/>
              </w:rPr>
            </w:pPr>
            <w:r>
              <w:rPr>
                <w:rFonts w:hint="eastAsia" w:ascii="国标宋体" w:hAnsi="国标宋体" w:eastAsia="国标宋体" w:cs="国标宋体"/>
                <w:color w:val="auto"/>
                <w:sz w:val="24"/>
                <w:szCs w:val="24"/>
                <w:highlight w:val="none"/>
                <w:lang w:val="en-US" w:eastAsia="zh-CN"/>
              </w:rPr>
              <w:t>2辆符合</w:t>
            </w:r>
            <w:r>
              <w:rPr>
                <w:rFonts w:hint="eastAsia" w:ascii="国标宋体" w:hAnsi="国标宋体" w:eastAsia="国标宋体" w:cs="国标宋体"/>
                <w:color w:val="auto"/>
                <w:sz w:val="24"/>
                <w:szCs w:val="24"/>
                <w:highlight w:val="none"/>
              </w:rPr>
              <w:t>安全运输标准的厢式车辆</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3.8米及以上</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，运输车辆</w:t>
            </w:r>
            <w:r>
              <w:rPr>
                <w:rFonts w:hint="eastAsia" w:ascii="国标宋体" w:hAnsi="国标宋体" w:eastAsia="国标宋体" w:cs="国标宋体"/>
                <w:color w:val="auto"/>
                <w:sz w:val="24"/>
                <w:szCs w:val="24"/>
                <w:highlight w:val="none"/>
                <w:lang w:eastAsia="zh-CN"/>
              </w:rPr>
              <w:t>须</w:t>
            </w:r>
            <w:r>
              <w:rPr>
                <w:rFonts w:hint="eastAsia" w:ascii="国标宋体" w:hAnsi="国标宋体" w:eastAsia="国标宋体" w:cs="国标宋体"/>
                <w:color w:val="auto"/>
                <w:sz w:val="24"/>
                <w:szCs w:val="24"/>
                <w:highlight w:val="none"/>
              </w:rPr>
              <w:t>配备车载监控系统、GPS卫星定位</w:t>
            </w:r>
            <w:r>
              <w:rPr>
                <w:rFonts w:hint="eastAsia" w:ascii="国标宋体" w:hAnsi="国标宋体" w:eastAsia="国标宋体" w:cs="国标宋体"/>
                <w:color w:val="auto"/>
                <w:sz w:val="24"/>
                <w:szCs w:val="24"/>
                <w:highlight w:val="none"/>
                <w:lang w:eastAsia="zh-CN"/>
              </w:rPr>
              <w:t>跟踪</w:t>
            </w:r>
            <w:r>
              <w:rPr>
                <w:rFonts w:hint="eastAsia" w:ascii="国标宋体" w:hAnsi="国标宋体" w:eastAsia="国标宋体" w:cs="国标宋体"/>
                <w:color w:val="auto"/>
                <w:sz w:val="24"/>
                <w:szCs w:val="24"/>
                <w:highlight w:val="none"/>
              </w:rPr>
              <w:t>系统</w:t>
            </w:r>
            <w:r>
              <w:rPr>
                <w:rFonts w:hint="eastAsia" w:ascii="国标宋体" w:hAnsi="国标宋体" w:eastAsia="国标宋体" w:cs="国标宋体"/>
                <w:color w:val="auto"/>
                <w:sz w:val="24"/>
                <w:szCs w:val="24"/>
                <w:highlight w:val="none"/>
                <w:lang w:eastAsia="zh-CN"/>
              </w:rPr>
              <w:t>，车辆年龄在</w:t>
            </w:r>
            <w:r>
              <w:rPr>
                <w:rFonts w:hint="eastAsia" w:ascii="国标宋体" w:hAnsi="国标宋体" w:eastAsia="国标宋体" w:cs="国标宋体"/>
                <w:color w:val="auto"/>
                <w:sz w:val="24"/>
                <w:szCs w:val="24"/>
                <w:highlight w:val="none"/>
                <w:lang w:val="en-US" w:eastAsia="zh-CN"/>
              </w:rPr>
              <w:t>5年（含）以内。</w:t>
            </w:r>
          </w:p>
        </w:tc>
        <w:tc>
          <w:tcPr>
            <w:tcW w:w="1230" w:type="dxa"/>
            <w:vAlign w:val="top"/>
          </w:tcPr>
          <w:p w14:paraId="0D7B6523">
            <w:pPr>
              <w:widowControl w:val="0"/>
              <w:wordWrap/>
              <w:adjustRightInd/>
              <w:snapToGrid/>
              <w:spacing w:line="220" w:lineRule="exact"/>
              <w:ind w:left="0" w:leftChars="0" w:right="0" w:firstLine="0" w:firstLineChars="0"/>
              <w:jc w:val="both"/>
              <w:textAlignment w:val="auto"/>
              <w:outlineLvl w:val="9"/>
              <w:rPr>
                <w:rFonts w:hint="eastAsia" w:ascii="宋体" w:hAnsi="宋体" w:cs="宋体"/>
                <w:color w:val="auto"/>
                <w:kern w:val="0"/>
                <w:sz w:val="24"/>
                <w:szCs w:val="24"/>
                <w:highlight w:val="none"/>
                <w:lang w:val="en-US" w:eastAsia="zh-CN"/>
              </w:rPr>
            </w:pPr>
          </w:p>
        </w:tc>
      </w:tr>
    </w:tbl>
    <w:p w14:paraId="4A2B1E39">
      <w:pPr>
        <w:numPr>
          <w:ilvl w:val="0"/>
          <w:numId w:val="0"/>
        </w:numPr>
        <w:wordWrap/>
        <w:spacing w:line="500" w:lineRule="exact"/>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四、具体服务内容和服务要求等</w:t>
      </w:r>
    </w:p>
    <w:p w14:paraId="32B51422">
      <w:pPr>
        <w:pStyle w:val="4"/>
        <w:numPr>
          <w:ilvl w:val="0"/>
          <w:numId w:val="0"/>
        </w:numPr>
        <w:tabs>
          <w:tab w:val="left" w:pos="426"/>
          <w:tab w:val="left" w:pos="709"/>
          <w:tab w:val="clear" w:pos="432"/>
        </w:tabs>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（一）</w:t>
      </w:r>
      <w:r>
        <w:rPr>
          <w:rFonts w:hint="eastAsia" w:ascii="国标宋体" w:hAnsi="国标宋体" w:eastAsia="国标宋体" w:cs="国标宋体"/>
          <w:color w:val="auto"/>
          <w:sz w:val="24"/>
          <w:szCs w:val="24"/>
          <w:highlight w:val="none"/>
        </w:rPr>
        <w:t>运营管理要求</w:t>
      </w:r>
    </w:p>
    <w:p w14:paraId="1C901ABC">
      <w:pPr>
        <w:wordWrap/>
        <w:autoSpaceDE w:val="0"/>
        <w:autoSpaceDN w:val="0"/>
        <w:spacing w:line="500" w:lineRule="exact"/>
        <w:ind w:firstLine="480" w:firstLineChars="200"/>
        <w:jc w:val="left"/>
        <w:textAlignment w:val="baseline"/>
        <w:rPr>
          <w:rFonts w:hint="eastAsia" w:ascii="国标宋体" w:hAnsi="国标宋体" w:eastAsia="国标宋体" w:cs="国标宋体"/>
          <w:b w:val="0"/>
          <w:bCs w:val="0"/>
          <w:color w:val="auto"/>
          <w:sz w:val="24"/>
          <w:szCs w:val="24"/>
          <w:highlight w:val="none"/>
          <w:lang w:val="en-US" w:eastAsia="zh-CN"/>
        </w:rPr>
      </w:pPr>
      <w:r>
        <w:rPr>
          <w:rFonts w:hint="eastAsia" w:ascii="国标宋体" w:hAnsi="国标宋体" w:eastAsia="国标宋体" w:cs="国标宋体"/>
          <w:b w:val="0"/>
          <w:bCs w:val="0"/>
          <w:color w:val="auto"/>
          <w:sz w:val="24"/>
          <w:szCs w:val="24"/>
          <w:highlight w:val="none"/>
          <w:lang w:val="en-US"/>
        </w:rPr>
        <w:t>1</w:t>
      </w:r>
      <w:r>
        <w:rPr>
          <w:rFonts w:hint="eastAsia" w:ascii="国标宋体" w:hAnsi="国标宋体" w:eastAsia="国标宋体" w:cs="国标宋体"/>
          <w:b w:val="0"/>
          <w:bCs w:val="0"/>
          <w:color w:val="auto"/>
          <w:sz w:val="24"/>
          <w:szCs w:val="24"/>
          <w:highlight w:val="none"/>
          <w:lang w:val="en-US" w:eastAsia="zh-CN"/>
        </w:rPr>
        <w:t>.</w:t>
      </w:r>
      <w:r>
        <w:rPr>
          <w:rFonts w:hint="eastAsia" w:ascii="国标宋体" w:hAnsi="国标宋体" w:eastAsia="国标宋体" w:cs="国标宋体"/>
          <w:color w:val="auto"/>
          <w:sz w:val="24"/>
          <w:szCs w:val="24"/>
          <w:highlight w:val="none"/>
        </w:rPr>
        <w:t>总体要求</w:t>
      </w:r>
      <w:r>
        <w:rPr>
          <w:rFonts w:hint="eastAsia" w:ascii="国标宋体" w:hAnsi="国标宋体" w:eastAsia="国标宋体" w:cs="国标宋体"/>
          <w:color w:val="auto"/>
          <w:sz w:val="24"/>
          <w:szCs w:val="24"/>
          <w:highlight w:val="none"/>
          <w:lang w:eastAsia="zh-CN"/>
        </w:rPr>
        <w:t>：</w:t>
      </w:r>
      <w:r>
        <w:rPr>
          <w:rFonts w:hint="eastAsia" w:ascii="宋体" w:hAnsi="宋体" w:eastAsia="宋体" w:cs="宋体"/>
          <w:color w:val="auto"/>
          <w:sz w:val="24"/>
          <w:szCs w:val="24"/>
          <w:highlight w:val="none"/>
        </w:rPr>
        <w:t>服务方具有较强的</w:t>
      </w:r>
      <w:r>
        <w:rPr>
          <w:rFonts w:hint="eastAsia" w:ascii="宋体" w:hAnsi="宋体" w:eastAsia="宋体" w:cs="宋体"/>
          <w:color w:val="auto"/>
          <w:sz w:val="24"/>
          <w:szCs w:val="24"/>
          <w:highlight w:val="none"/>
          <w:lang w:val="en-US" w:eastAsia="zh-CN"/>
        </w:rPr>
        <w:t>快速</w:t>
      </w:r>
      <w:r>
        <w:rPr>
          <w:rFonts w:hint="eastAsia" w:ascii="宋体" w:hAnsi="宋体" w:eastAsia="宋体" w:cs="宋体"/>
          <w:color w:val="auto"/>
          <w:sz w:val="24"/>
          <w:szCs w:val="24"/>
          <w:highlight w:val="none"/>
        </w:rPr>
        <w:t>服务能力，具有较强的项目管理、技术服务和组织实施能力,</w:t>
      </w:r>
      <w:r>
        <w:rPr>
          <w:rFonts w:hint="eastAsia" w:ascii="国标宋体" w:hAnsi="国标宋体" w:eastAsia="国标宋体" w:cs="国标宋体"/>
          <w:color w:val="auto"/>
          <w:sz w:val="24"/>
          <w:szCs w:val="24"/>
          <w:highlight w:val="none"/>
        </w:rPr>
        <w:t>在服务期限内，</w:t>
      </w:r>
      <w:r>
        <w:rPr>
          <w:rFonts w:hint="eastAsia" w:ascii="国标宋体" w:hAnsi="国标宋体" w:eastAsia="国标宋体" w:cs="国标宋体"/>
          <w:color w:val="auto"/>
          <w:sz w:val="24"/>
          <w:szCs w:val="24"/>
          <w:highlight w:val="none"/>
          <w:lang w:eastAsia="zh-CN"/>
        </w:rPr>
        <w:t>做好</w:t>
      </w:r>
      <w:r>
        <w:rPr>
          <w:rFonts w:hint="eastAsia" w:ascii="国标宋体" w:hAnsi="国标宋体" w:eastAsia="国标宋体" w:cs="国标宋体"/>
          <w:b w:val="0"/>
          <w:bCs w:val="0"/>
          <w:color w:val="auto"/>
          <w:sz w:val="24"/>
          <w:szCs w:val="24"/>
          <w:highlight w:val="none"/>
          <w:lang w:val="en-US"/>
        </w:rPr>
        <w:t>公共物资、</w:t>
      </w:r>
      <w:r>
        <w:rPr>
          <w:rFonts w:hint="eastAsia" w:ascii="国标宋体" w:hAnsi="国标宋体" w:eastAsia="国标宋体" w:cs="国标宋体"/>
          <w:b w:val="0"/>
          <w:bCs w:val="0"/>
          <w:color w:val="auto"/>
          <w:sz w:val="24"/>
          <w:szCs w:val="24"/>
          <w:highlight w:val="none"/>
          <w:lang w:val="en-US" w:eastAsia="zh-CN"/>
        </w:rPr>
        <w:t>应急、公益、</w:t>
      </w:r>
      <w:r>
        <w:rPr>
          <w:rFonts w:hint="eastAsia" w:ascii="国标宋体" w:hAnsi="国标宋体" w:eastAsia="国标宋体" w:cs="国标宋体"/>
          <w:b w:val="0"/>
          <w:bCs w:val="0"/>
          <w:color w:val="auto"/>
          <w:sz w:val="24"/>
          <w:szCs w:val="24"/>
          <w:highlight w:val="none"/>
          <w:lang w:val="en-US"/>
        </w:rPr>
        <w:t>涉案物资及档案物资的运营服务管理</w:t>
      </w:r>
      <w:r>
        <w:rPr>
          <w:rFonts w:hint="eastAsia" w:ascii="国标宋体" w:hAnsi="国标宋体" w:eastAsia="国标宋体" w:cs="国标宋体"/>
          <w:b w:val="0"/>
          <w:bCs w:val="0"/>
          <w:color w:val="auto"/>
          <w:sz w:val="24"/>
          <w:szCs w:val="24"/>
          <w:highlight w:val="none"/>
          <w:lang w:val="en-US" w:eastAsia="zh-CN"/>
        </w:rPr>
        <w:t>，做好服务运营工作,并确保业务运营的标准化、规范化，运营数据采集的有效性、及时性、准确性。</w:t>
      </w:r>
    </w:p>
    <w:p w14:paraId="5D7EAEEC">
      <w:pPr>
        <w:pStyle w:val="4"/>
        <w:numPr>
          <w:ilvl w:val="0"/>
          <w:numId w:val="0"/>
        </w:numPr>
        <w:tabs>
          <w:tab w:val="left" w:pos="426"/>
          <w:tab w:val="left" w:pos="709"/>
          <w:tab w:val="clear" w:pos="432"/>
        </w:tabs>
        <w:wordWrap/>
        <w:spacing w:line="500" w:lineRule="exact"/>
        <w:ind w:firstLine="480" w:firstLineChars="200"/>
        <w:jc w:val="both"/>
        <w:rPr>
          <w:rFonts w:hint="eastAsia" w:ascii="国标宋体" w:hAnsi="国标宋体" w:eastAsia="国标宋体" w:cs="国标宋体"/>
          <w:b w:val="0"/>
          <w:bCs w:val="0"/>
          <w:color w:val="auto"/>
          <w:sz w:val="24"/>
          <w:szCs w:val="24"/>
          <w:highlight w:val="none"/>
          <w:lang w:val="en-US" w:eastAsia="zh-CN"/>
        </w:rPr>
      </w:pPr>
      <w:r>
        <w:rPr>
          <w:rFonts w:hint="eastAsia" w:ascii="国标宋体" w:hAnsi="国标宋体" w:eastAsia="国标宋体" w:cs="国标宋体"/>
          <w:b w:val="0"/>
          <w:bCs w:val="0"/>
          <w:color w:val="auto"/>
          <w:sz w:val="24"/>
          <w:szCs w:val="24"/>
          <w:highlight w:val="none"/>
          <w:lang w:val="en-US"/>
        </w:rPr>
        <w:t>2</w:t>
      </w:r>
      <w:r>
        <w:rPr>
          <w:rFonts w:hint="eastAsia" w:ascii="国标宋体" w:hAnsi="国标宋体" w:eastAsia="国标宋体" w:cs="国标宋体"/>
          <w:b w:val="0"/>
          <w:bCs w:val="0"/>
          <w:color w:val="auto"/>
          <w:sz w:val="24"/>
          <w:szCs w:val="24"/>
          <w:highlight w:val="none"/>
          <w:lang w:val="en-US" w:eastAsia="zh-CN"/>
        </w:rPr>
        <w:t>.</w:t>
      </w:r>
      <w:r>
        <w:rPr>
          <w:rFonts w:hint="eastAsia" w:ascii="国标宋体" w:hAnsi="国标宋体" w:eastAsia="国标宋体" w:cs="国标宋体"/>
          <w:b w:val="0"/>
          <w:bCs w:val="0"/>
          <w:color w:val="auto"/>
          <w:sz w:val="24"/>
          <w:szCs w:val="24"/>
          <w:highlight w:val="none"/>
          <w:lang w:val="en-US"/>
        </w:rPr>
        <w:t>需根据业务管理需求对库区内的无人智能设备实施规范操作及日常管理</w:t>
      </w:r>
      <w:r>
        <w:rPr>
          <w:rFonts w:hint="eastAsia" w:ascii="国标宋体" w:hAnsi="国标宋体" w:eastAsia="国标宋体" w:cs="国标宋体"/>
          <w:b w:val="0"/>
          <w:bCs w:val="0"/>
          <w:color w:val="auto"/>
          <w:sz w:val="24"/>
          <w:szCs w:val="24"/>
          <w:highlight w:val="none"/>
          <w:lang w:val="en-US" w:eastAsia="zh-CN"/>
        </w:rPr>
        <w:t>，能熟练操作公共物资管理系统、智慧档案管理系统、</w:t>
      </w:r>
      <w:r>
        <w:rPr>
          <w:rFonts w:hint="eastAsia" w:ascii="国标宋体" w:hAnsi="国标宋体" w:eastAsia="国标宋体" w:cs="国标宋体"/>
          <w:b w:val="0"/>
          <w:bCs w:val="0"/>
          <w:color w:val="auto"/>
          <w:sz w:val="24"/>
          <w:szCs w:val="24"/>
          <w:highlight w:val="none"/>
        </w:rPr>
        <w:t>涉案和罚没物资管理</w:t>
      </w:r>
      <w:r>
        <w:rPr>
          <w:rFonts w:hint="eastAsia" w:ascii="国标宋体" w:hAnsi="国标宋体" w:eastAsia="国标宋体" w:cs="国标宋体"/>
          <w:b w:val="0"/>
          <w:bCs w:val="0"/>
          <w:color w:val="auto"/>
          <w:sz w:val="24"/>
          <w:szCs w:val="24"/>
          <w:highlight w:val="none"/>
          <w:lang w:eastAsia="zh-CN"/>
        </w:rPr>
        <w:t>等</w:t>
      </w:r>
      <w:r>
        <w:rPr>
          <w:rFonts w:hint="eastAsia" w:ascii="国标宋体" w:hAnsi="国标宋体" w:eastAsia="国标宋体" w:cs="国标宋体"/>
          <w:b w:val="0"/>
          <w:bCs w:val="0"/>
          <w:color w:val="auto"/>
          <w:sz w:val="24"/>
          <w:szCs w:val="24"/>
          <w:highlight w:val="none"/>
          <w:lang w:val="en-US" w:eastAsia="zh-CN"/>
        </w:rPr>
        <w:t>系统，完成库内物资出入库、录入系统、定位、上下架、盘点、远程预警、配送等日常操作。</w:t>
      </w:r>
    </w:p>
    <w:p w14:paraId="0C005B79">
      <w:pPr>
        <w:spacing w:line="56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b w:val="0"/>
          <w:bCs w:val="0"/>
          <w:color w:val="auto"/>
          <w:sz w:val="24"/>
          <w:szCs w:val="24"/>
          <w:highlight w:val="none"/>
          <w:lang w:val="en-US" w:eastAsia="zh-CN"/>
        </w:rPr>
        <w:t>3.</w:t>
      </w:r>
      <w:r>
        <w:rPr>
          <w:rFonts w:hint="eastAsia" w:ascii="国标宋体" w:hAnsi="国标宋体" w:eastAsia="国标宋体" w:cs="国标宋体"/>
          <w:color w:val="auto"/>
          <w:sz w:val="24"/>
          <w:szCs w:val="24"/>
          <w:highlight w:val="none"/>
        </w:rPr>
        <w:t>具有健全的管理制度</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应建立包括</w:t>
      </w:r>
      <w:r>
        <w:rPr>
          <w:rFonts w:hint="eastAsia" w:ascii="国标宋体" w:hAnsi="国标宋体" w:eastAsia="国标宋体" w:cs="国标宋体"/>
          <w:color w:val="auto"/>
          <w:sz w:val="24"/>
          <w:szCs w:val="24"/>
          <w:highlight w:val="none"/>
          <w:lang w:eastAsia="zh-CN"/>
        </w:rPr>
        <w:t>但</w:t>
      </w:r>
      <w:r>
        <w:rPr>
          <w:rFonts w:hint="eastAsia" w:ascii="国标宋体" w:hAnsi="国标宋体" w:eastAsia="国标宋体" w:cs="国标宋体"/>
          <w:color w:val="auto"/>
          <w:sz w:val="24"/>
          <w:szCs w:val="24"/>
          <w:highlight w:val="none"/>
        </w:rPr>
        <w:t>不限于库房管理、安全管理、门禁管理、库房6S管理、库房“八防”标准</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盘点管理、安全操作管理、温湿度管理、消防安全管理、安防监控系统管理、</w:t>
      </w:r>
      <w:r>
        <w:rPr>
          <w:rFonts w:hint="eastAsia" w:ascii="国标宋体" w:hAnsi="国标宋体" w:eastAsia="国标宋体" w:cs="国标宋体"/>
          <w:color w:val="auto"/>
          <w:sz w:val="24"/>
          <w:szCs w:val="24"/>
          <w:highlight w:val="none"/>
          <w:lang w:eastAsia="zh-CN"/>
        </w:rPr>
        <w:t>网络安全管理制度、</w:t>
      </w:r>
      <w:r>
        <w:rPr>
          <w:rFonts w:hint="eastAsia" w:ascii="国标宋体" w:hAnsi="国标宋体" w:eastAsia="国标宋体" w:cs="国标宋体"/>
          <w:color w:val="auto"/>
          <w:sz w:val="24"/>
          <w:szCs w:val="24"/>
          <w:highlight w:val="none"/>
        </w:rPr>
        <w:t>《档案工作突发事件应急处置管理办法》</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人员培训管理、访客登记、涉密保密等各项规章制度，</w:t>
      </w:r>
      <w:r>
        <w:rPr>
          <w:rFonts w:hint="eastAsia" w:ascii="国标宋体" w:hAnsi="国标宋体" w:eastAsia="国标宋体" w:cs="国标宋体"/>
          <w:color w:val="auto"/>
          <w:sz w:val="24"/>
          <w:szCs w:val="24"/>
          <w:highlight w:val="none"/>
          <w:lang w:eastAsia="zh-CN"/>
        </w:rPr>
        <w:t>有各类应预案及应急措施并落实到实处</w:t>
      </w:r>
      <w:r>
        <w:rPr>
          <w:rFonts w:hint="eastAsia" w:ascii="国标宋体" w:hAnsi="国标宋体" w:eastAsia="国标宋体" w:cs="国标宋体"/>
          <w:color w:val="auto"/>
          <w:sz w:val="24"/>
          <w:szCs w:val="24"/>
          <w:highlight w:val="none"/>
        </w:rPr>
        <w:t>。</w:t>
      </w:r>
    </w:p>
    <w:p w14:paraId="61D88600">
      <w:pPr>
        <w:pStyle w:val="261"/>
        <w:tabs>
          <w:tab w:val="left" w:pos="1134"/>
        </w:tabs>
        <w:wordWrap/>
        <w:spacing w:line="500" w:lineRule="exact"/>
        <w:ind w:firstLine="480" w:firstLineChars="200"/>
        <w:jc w:val="both"/>
        <w:rPr>
          <w:rFonts w:hint="eastAsia" w:ascii="国标宋体" w:hAnsi="国标宋体" w:eastAsia="国标宋体" w:cs="国标宋体"/>
          <w:color w:val="auto"/>
          <w:sz w:val="24"/>
          <w:szCs w:val="24"/>
          <w:highlight w:val="none"/>
          <w:lang w:val="en-US" w:eastAsia="zh-CN"/>
        </w:rPr>
      </w:pPr>
      <w:r>
        <w:rPr>
          <w:rFonts w:hint="eastAsia" w:ascii="国标宋体" w:hAnsi="国标宋体" w:eastAsia="国标宋体" w:cs="国标宋体"/>
          <w:color w:val="auto"/>
          <w:sz w:val="24"/>
          <w:szCs w:val="24"/>
          <w:highlight w:val="none"/>
          <w:lang w:val="en-US" w:eastAsia="zh-CN"/>
        </w:rPr>
        <w:t>4.</w:t>
      </w:r>
      <w:r>
        <w:rPr>
          <w:rFonts w:hint="eastAsia" w:ascii="国标宋体" w:hAnsi="国标宋体" w:eastAsia="国标宋体" w:cs="国标宋体"/>
          <w:color w:val="auto"/>
          <w:sz w:val="24"/>
          <w:szCs w:val="24"/>
          <w:highlight w:val="none"/>
        </w:rPr>
        <w:t>需对</w:t>
      </w:r>
      <w:r>
        <w:rPr>
          <w:rFonts w:hint="eastAsia" w:ascii="国标宋体" w:hAnsi="国标宋体" w:eastAsia="国标宋体" w:cs="国标宋体"/>
          <w:color w:val="auto"/>
          <w:sz w:val="24"/>
          <w:szCs w:val="24"/>
          <w:highlight w:val="none"/>
          <w:lang w:eastAsia="zh-CN"/>
        </w:rPr>
        <w:t>系统数据定期核查，对</w:t>
      </w:r>
      <w:r>
        <w:rPr>
          <w:rFonts w:hint="eastAsia" w:ascii="国标宋体" w:hAnsi="国标宋体" w:eastAsia="国标宋体" w:cs="国标宋体"/>
          <w:color w:val="auto"/>
          <w:sz w:val="24"/>
          <w:szCs w:val="24"/>
          <w:highlight w:val="none"/>
        </w:rPr>
        <w:t>库房</w:t>
      </w:r>
      <w:r>
        <w:rPr>
          <w:rFonts w:hint="eastAsia" w:ascii="国标宋体" w:hAnsi="国标宋体" w:eastAsia="国标宋体" w:cs="国标宋体"/>
          <w:color w:val="auto"/>
          <w:sz w:val="24"/>
          <w:szCs w:val="24"/>
          <w:highlight w:val="none"/>
          <w:lang w:eastAsia="zh-CN"/>
        </w:rPr>
        <w:t>物资</w:t>
      </w:r>
      <w:r>
        <w:rPr>
          <w:rFonts w:hint="eastAsia" w:ascii="国标宋体" w:hAnsi="国标宋体" w:eastAsia="国标宋体" w:cs="国标宋体"/>
          <w:color w:val="auto"/>
          <w:sz w:val="24"/>
          <w:szCs w:val="24"/>
          <w:highlight w:val="none"/>
        </w:rPr>
        <w:t>定期进行检查和清点盘库，确保</w:t>
      </w:r>
      <w:r>
        <w:rPr>
          <w:rFonts w:hint="eastAsia" w:ascii="国标宋体" w:hAnsi="国标宋体" w:eastAsia="国标宋体" w:cs="国标宋体"/>
          <w:color w:val="auto"/>
          <w:sz w:val="24"/>
          <w:szCs w:val="24"/>
          <w:highlight w:val="none"/>
          <w:lang w:eastAsia="zh-CN"/>
        </w:rPr>
        <w:t>物资</w:t>
      </w:r>
      <w:r>
        <w:rPr>
          <w:rFonts w:hint="eastAsia" w:ascii="国标宋体" w:hAnsi="国标宋体" w:eastAsia="国标宋体" w:cs="国标宋体"/>
          <w:color w:val="auto"/>
          <w:sz w:val="24"/>
          <w:szCs w:val="24"/>
          <w:highlight w:val="none"/>
        </w:rPr>
        <w:t>的完整与安全，</w:t>
      </w:r>
      <w:r>
        <w:rPr>
          <w:rFonts w:hint="eastAsia" w:ascii="国标宋体" w:hAnsi="国标宋体" w:eastAsia="国标宋体" w:cs="国标宋体"/>
          <w:color w:val="auto"/>
          <w:sz w:val="24"/>
          <w:szCs w:val="24"/>
          <w:highlight w:val="none"/>
          <w:lang w:eastAsia="zh-CN"/>
        </w:rPr>
        <w:t>要求出入库流程清晰，规范，单据完整，数据正确，</w:t>
      </w:r>
      <w:r>
        <w:rPr>
          <w:rFonts w:hint="eastAsia" w:ascii="国标宋体" w:hAnsi="国标宋体" w:eastAsia="国标宋体" w:cs="国标宋体"/>
          <w:color w:val="auto"/>
          <w:sz w:val="24"/>
          <w:szCs w:val="24"/>
          <w:highlight w:val="none"/>
        </w:rPr>
        <w:t>有完整的业务操作记录</w:t>
      </w:r>
      <w:r>
        <w:rPr>
          <w:rFonts w:hint="eastAsia" w:ascii="国标宋体" w:hAnsi="国标宋体" w:eastAsia="国标宋体" w:cs="国标宋体"/>
          <w:color w:val="auto"/>
          <w:sz w:val="24"/>
          <w:szCs w:val="24"/>
          <w:highlight w:val="none"/>
          <w:lang w:eastAsia="zh-CN"/>
        </w:rPr>
        <w:t>和</w:t>
      </w:r>
      <w:r>
        <w:rPr>
          <w:rFonts w:hint="eastAsia" w:ascii="国标宋体" w:hAnsi="国标宋体" w:eastAsia="国标宋体" w:cs="国标宋体"/>
          <w:color w:val="auto"/>
          <w:sz w:val="24"/>
          <w:szCs w:val="24"/>
          <w:highlight w:val="none"/>
        </w:rPr>
        <w:t>登记制度。</w:t>
      </w:r>
      <w:r>
        <w:rPr>
          <w:rFonts w:hint="eastAsia" w:ascii="国标宋体" w:hAnsi="国标宋体" w:eastAsia="国标宋体" w:cs="国标宋体"/>
          <w:color w:val="auto"/>
          <w:sz w:val="24"/>
          <w:szCs w:val="24"/>
          <w:highlight w:val="none"/>
          <w:lang w:val="en-US" w:eastAsia="zh-CN"/>
        </w:rPr>
        <w:t xml:space="preserve"> </w:t>
      </w:r>
    </w:p>
    <w:p w14:paraId="0D10A85A">
      <w:pPr>
        <w:pStyle w:val="261"/>
        <w:tabs>
          <w:tab w:val="left" w:pos="1134"/>
        </w:tabs>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5.</w:t>
      </w:r>
      <w:r>
        <w:rPr>
          <w:rFonts w:hint="eastAsia" w:ascii="国标宋体" w:hAnsi="国标宋体" w:eastAsia="国标宋体" w:cs="国标宋体"/>
          <w:color w:val="auto"/>
          <w:sz w:val="24"/>
          <w:szCs w:val="24"/>
          <w:highlight w:val="none"/>
        </w:rPr>
        <w:t>应对</w:t>
      </w:r>
      <w:r>
        <w:rPr>
          <w:rFonts w:hint="eastAsia" w:ascii="国标宋体" w:hAnsi="国标宋体" w:eastAsia="国标宋体" w:cs="国标宋体"/>
          <w:color w:val="auto"/>
          <w:sz w:val="24"/>
          <w:szCs w:val="24"/>
          <w:highlight w:val="none"/>
          <w:lang w:eastAsia="zh-CN"/>
        </w:rPr>
        <w:t>公物仓的</w:t>
      </w:r>
      <w:r>
        <w:rPr>
          <w:rFonts w:hint="eastAsia" w:ascii="国标宋体" w:hAnsi="国标宋体" w:eastAsia="国标宋体" w:cs="国标宋体"/>
          <w:color w:val="auto"/>
          <w:sz w:val="24"/>
          <w:szCs w:val="24"/>
          <w:highlight w:val="none"/>
        </w:rPr>
        <w:t>消防设施、防虫害设施、防盗设施、温湿度设施、环境卫生等</w:t>
      </w:r>
      <w:r>
        <w:rPr>
          <w:rFonts w:hint="eastAsia" w:ascii="国标宋体" w:hAnsi="国标宋体" w:eastAsia="国标宋体" w:cs="国标宋体"/>
          <w:color w:val="auto"/>
          <w:sz w:val="24"/>
          <w:szCs w:val="24"/>
          <w:highlight w:val="none"/>
          <w:lang w:eastAsia="zh-CN"/>
        </w:rPr>
        <w:t>进行</w:t>
      </w:r>
      <w:r>
        <w:rPr>
          <w:rFonts w:hint="eastAsia" w:ascii="国标宋体" w:hAnsi="国标宋体" w:eastAsia="国标宋体" w:cs="国标宋体"/>
          <w:color w:val="auto"/>
          <w:sz w:val="24"/>
          <w:szCs w:val="24"/>
          <w:highlight w:val="none"/>
        </w:rPr>
        <w:t>每日检查，并做好改善和记录工作</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以防安全隐患，如有异样第一时间通知采购人。库房内需整洁有序，不得堆放杂物</w:t>
      </w:r>
      <w:r>
        <w:rPr>
          <w:rFonts w:hint="eastAsia" w:ascii="国标宋体" w:hAnsi="国标宋体" w:eastAsia="国标宋体" w:cs="国标宋体"/>
          <w:color w:val="auto"/>
          <w:sz w:val="24"/>
          <w:szCs w:val="24"/>
          <w:highlight w:val="none"/>
          <w:lang w:eastAsia="zh-CN"/>
        </w:rPr>
        <w:t>，并能根据物品属性、类别等适时调整，提高仓库空间利用率</w:t>
      </w:r>
      <w:r>
        <w:rPr>
          <w:rFonts w:hint="eastAsia" w:ascii="国标宋体" w:hAnsi="国标宋体" w:eastAsia="国标宋体" w:cs="国标宋体"/>
          <w:color w:val="auto"/>
          <w:sz w:val="24"/>
          <w:szCs w:val="24"/>
          <w:highlight w:val="none"/>
        </w:rPr>
        <w:t>。</w:t>
      </w:r>
    </w:p>
    <w:p w14:paraId="57CD9410">
      <w:pPr>
        <w:pStyle w:val="99"/>
        <w:wordWrap/>
        <w:spacing w:line="500" w:lineRule="exact"/>
        <w:rPr>
          <w:rFonts w:hint="eastAsia" w:ascii="国标宋体" w:hAnsi="国标宋体" w:eastAsia="国标宋体" w:cs="国标宋体"/>
          <w:color w:val="auto"/>
          <w:kern w:val="2"/>
          <w:sz w:val="24"/>
          <w:szCs w:val="24"/>
          <w:highlight w:val="none"/>
          <w:lang w:val="en-US" w:eastAsia="zh-CN" w:bidi="ar-SA"/>
        </w:rPr>
      </w:pPr>
      <w:r>
        <w:rPr>
          <w:rFonts w:hint="eastAsia" w:ascii="国标宋体" w:hAnsi="国标宋体" w:eastAsia="国标宋体" w:cs="国标宋体"/>
          <w:color w:val="auto"/>
          <w:kern w:val="2"/>
          <w:sz w:val="24"/>
          <w:szCs w:val="24"/>
          <w:highlight w:val="none"/>
          <w:lang w:val="en-US" w:eastAsia="zh-CN" w:bidi="ar-SA"/>
        </w:rPr>
        <w:t xml:space="preserve">    6.服务方应严格遵守网络安全和保密相关法律、法规和规章制度，履行网络安全和保密义务，自愿接受网络安全和保密审查。并根据国家有关标准的要求，落实必要的管理和技术措施，防止数据的泄漏、损毁、丢失、篡改。</w:t>
      </w:r>
    </w:p>
    <w:p w14:paraId="08685241">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kern w:val="2"/>
          <w:sz w:val="24"/>
          <w:szCs w:val="24"/>
          <w:highlight w:val="none"/>
          <w:lang w:val="en-US" w:eastAsia="zh-CN" w:bidi="ar-SA"/>
        </w:rPr>
        <w:t>7.运营管理中需确保进入档</w:t>
      </w:r>
      <w:r>
        <w:rPr>
          <w:rFonts w:hint="eastAsia" w:ascii="国标宋体" w:hAnsi="国标宋体" w:eastAsia="国标宋体" w:cs="国标宋体"/>
          <w:color w:val="auto"/>
          <w:sz w:val="24"/>
          <w:szCs w:val="24"/>
          <w:highlight w:val="none"/>
        </w:rPr>
        <w:t>案</w:t>
      </w:r>
      <w:r>
        <w:rPr>
          <w:rFonts w:hint="eastAsia" w:ascii="国标宋体" w:hAnsi="国标宋体" w:eastAsia="国标宋体" w:cs="国标宋体"/>
          <w:color w:val="auto"/>
          <w:sz w:val="24"/>
          <w:szCs w:val="24"/>
          <w:highlight w:val="none"/>
          <w:lang w:eastAsia="zh-CN"/>
        </w:rPr>
        <w:t>、涉案物资</w:t>
      </w:r>
      <w:r>
        <w:rPr>
          <w:rFonts w:hint="eastAsia" w:ascii="国标宋体" w:hAnsi="国标宋体" w:eastAsia="国标宋体" w:cs="国标宋体"/>
          <w:color w:val="auto"/>
          <w:sz w:val="24"/>
          <w:szCs w:val="24"/>
          <w:highlight w:val="none"/>
        </w:rPr>
        <w:t>存储场所的所有人员不得携带手机、相机、摄像机、笔记本电脑、各类移动存储介质等信息设备和其他与工作无关的私人物品。不得携带除水以外的食物、饮料进入库房。</w:t>
      </w:r>
      <w:r>
        <w:rPr>
          <w:rFonts w:hint="eastAsia" w:ascii="国标宋体" w:hAnsi="国标宋体" w:eastAsia="国标宋体" w:cs="国标宋体"/>
          <w:color w:val="auto"/>
          <w:sz w:val="24"/>
          <w:szCs w:val="24"/>
          <w:highlight w:val="none"/>
          <w:lang w:eastAsia="zh-CN"/>
        </w:rPr>
        <w:t>库房</w:t>
      </w:r>
      <w:r>
        <w:rPr>
          <w:rFonts w:hint="eastAsia" w:ascii="国标宋体" w:hAnsi="国标宋体" w:eastAsia="国标宋体" w:cs="国标宋体"/>
          <w:color w:val="auto"/>
          <w:sz w:val="24"/>
          <w:szCs w:val="24"/>
          <w:highlight w:val="none"/>
        </w:rPr>
        <w:t>内严禁烟火</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未经采购方许可，不得带离场所内的任何物品。非授权人员，未经批准，一律不得进入档案</w:t>
      </w:r>
      <w:r>
        <w:rPr>
          <w:rFonts w:hint="eastAsia" w:ascii="国标宋体" w:hAnsi="国标宋体" w:eastAsia="国标宋体" w:cs="国标宋体"/>
          <w:color w:val="auto"/>
          <w:sz w:val="24"/>
          <w:szCs w:val="24"/>
          <w:highlight w:val="none"/>
          <w:lang w:eastAsia="zh-CN"/>
        </w:rPr>
        <w:t>、涉案</w:t>
      </w:r>
      <w:r>
        <w:rPr>
          <w:rFonts w:hint="eastAsia" w:ascii="国标宋体" w:hAnsi="国标宋体" w:eastAsia="国标宋体" w:cs="国标宋体"/>
          <w:color w:val="auto"/>
          <w:sz w:val="24"/>
          <w:szCs w:val="24"/>
          <w:highlight w:val="none"/>
        </w:rPr>
        <w:t>库房。</w:t>
      </w:r>
    </w:p>
    <w:p w14:paraId="2B5D6B4C">
      <w:pPr>
        <w:pStyle w:val="103"/>
        <w:numPr>
          <w:ilvl w:val="0"/>
          <w:numId w:val="0"/>
        </w:numPr>
        <w:wordWrap/>
        <w:spacing w:line="500" w:lineRule="exact"/>
        <w:ind w:firstLine="480" w:firstLineChars="200"/>
        <w:jc w:val="both"/>
        <w:rPr>
          <w:rFonts w:hint="eastAsia" w:ascii="国标宋体" w:hAnsi="国标宋体" w:eastAsia="国标宋体" w:cs="国标宋体"/>
          <w:color w:val="auto"/>
          <w:kern w:val="2"/>
          <w:sz w:val="24"/>
          <w:szCs w:val="24"/>
          <w:highlight w:val="none"/>
          <w:lang w:val="en-US" w:eastAsia="zh-CN" w:bidi="ar-SA"/>
        </w:rPr>
      </w:pPr>
      <w:r>
        <w:rPr>
          <w:rFonts w:hint="eastAsia" w:ascii="国标宋体" w:hAnsi="国标宋体" w:eastAsia="国标宋体" w:cs="国标宋体"/>
          <w:color w:val="auto"/>
          <w:kern w:val="2"/>
          <w:sz w:val="24"/>
          <w:szCs w:val="24"/>
          <w:highlight w:val="none"/>
          <w:lang w:val="en-US" w:eastAsia="zh-CN" w:bidi="ar-SA"/>
        </w:rPr>
        <w:t>8.日常管理：清洁保洁绿化率95%以上，客户满意度99%及以上。受托单位在日常管理中发现基建及设备上存在安全隐患等不利于物资货物管理的风险，须及时向采购人提出合理的整改建议，双方协商后，及时整改。</w:t>
      </w:r>
    </w:p>
    <w:p w14:paraId="4E512170">
      <w:pPr>
        <w:wordWrap/>
        <w:spacing w:line="500" w:lineRule="exact"/>
        <w:ind w:firstLine="480" w:firstLineChars="200"/>
        <w:rPr>
          <w:rFonts w:hint="eastAsia" w:ascii="国标宋体" w:hAnsi="国标宋体" w:eastAsia="国标宋体" w:cs="国标宋体"/>
          <w:color w:val="auto"/>
          <w:kern w:val="2"/>
          <w:sz w:val="24"/>
          <w:szCs w:val="24"/>
          <w:highlight w:val="none"/>
          <w:lang w:val="en-US" w:eastAsia="zh-CN" w:bidi="ar-SA"/>
        </w:rPr>
      </w:pPr>
      <w:r>
        <w:rPr>
          <w:rFonts w:hint="eastAsia" w:ascii="国标宋体" w:hAnsi="国标宋体" w:eastAsia="国标宋体" w:cs="国标宋体"/>
          <w:color w:val="auto"/>
          <w:kern w:val="2"/>
          <w:sz w:val="24"/>
          <w:szCs w:val="24"/>
          <w:highlight w:val="none"/>
          <w:lang w:val="en-US" w:eastAsia="zh-CN" w:bidi="ar-SA"/>
        </w:rPr>
        <w:t>9.运维管理系统在实施及运营过程及时响应需求，项目需配备专职技术团队负责系统升级迭代及日常运维培训工作，入库前能全面检测设备的运行状态，出库前再次检测设备保障能出库即用。</w:t>
      </w:r>
    </w:p>
    <w:p w14:paraId="01B66893">
      <w:pPr>
        <w:pStyle w:val="4"/>
        <w:numPr>
          <w:ilvl w:val="0"/>
          <w:numId w:val="0"/>
        </w:numPr>
        <w:tabs>
          <w:tab w:val="left" w:pos="426"/>
          <w:tab w:val="left" w:pos="709"/>
          <w:tab w:val="clear" w:pos="432"/>
        </w:tabs>
        <w:wordWrap/>
        <w:spacing w:line="500" w:lineRule="exact"/>
        <w:ind w:firstLine="482" w:firstLineChars="200"/>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（二）公共物资、应急物资、公益物资运行工作要求</w:t>
      </w:r>
    </w:p>
    <w:p w14:paraId="49DF4879">
      <w:pPr>
        <w:pStyle w:val="103"/>
        <w:wordWrap/>
        <w:spacing w:line="500" w:lineRule="exact"/>
        <w:ind w:left="0" w:leftChars="0" w:firstLine="480" w:firstLineChars="200"/>
        <w:jc w:val="both"/>
        <w:rPr>
          <w:rFonts w:hint="eastAsia" w:ascii="国标宋体" w:hAnsi="国标宋体" w:eastAsia="国标宋体" w:cs="国标宋体"/>
          <w:b w:val="0"/>
          <w:bCs w:val="0"/>
          <w:color w:val="auto"/>
          <w:kern w:val="2"/>
          <w:sz w:val="24"/>
          <w:szCs w:val="24"/>
          <w:highlight w:val="none"/>
          <w:lang w:val="en-US" w:eastAsia="zh-CN" w:bidi="ar-SA"/>
        </w:rPr>
      </w:pPr>
      <w:r>
        <w:rPr>
          <w:rFonts w:hint="eastAsia" w:ascii="国标宋体" w:hAnsi="国标宋体" w:eastAsia="国标宋体" w:cs="国标宋体"/>
          <w:b w:val="0"/>
          <w:bCs w:val="0"/>
          <w:color w:val="auto"/>
          <w:kern w:val="2"/>
          <w:sz w:val="24"/>
          <w:szCs w:val="24"/>
          <w:highlight w:val="none"/>
          <w:lang w:val="en-US" w:eastAsia="zh-CN" w:bidi="ar-SA"/>
        </w:rPr>
        <w:t>根据《公物仓物资管理规范》（DB3301/T 0418--2023）标准做好公共物资、应急物资、公益物资的入仓、验收、盘点、上架、出仓、日常管理等工作。</w:t>
      </w:r>
    </w:p>
    <w:p w14:paraId="5545B48B">
      <w:pPr>
        <w:pStyle w:val="261"/>
        <w:numPr>
          <w:ilvl w:val="0"/>
          <w:numId w:val="0"/>
        </w:numPr>
        <w:tabs>
          <w:tab w:val="left" w:pos="993"/>
          <w:tab w:val="left" w:pos="1134"/>
        </w:tabs>
        <w:wordWrap/>
        <w:spacing w:line="500" w:lineRule="exact"/>
        <w:ind w:left="426" w:leftChars="0"/>
        <w:jc w:val="both"/>
        <w:rPr>
          <w:rFonts w:hint="eastAsia" w:ascii="国标宋体" w:hAnsi="国标宋体" w:eastAsia="国标宋体" w:cs="国标宋体"/>
          <w:b/>
          <w:color w:val="auto"/>
          <w:sz w:val="24"/>
          <w:szCs w:val="24"/>
          <w:highlight w:val="none"/>
          <w:lang w:val="en-US" w:eastAsia="zh-CN"/>
        </w:rPr>
      </w:pPr>
      <w:r>
        <w:rPr>
          <w:rFonts w:hint="eastAsia" w:ascii="国标宋体" w:hAnsi="国标宋体" w:eastAsia="国标宋体" w:cs="国标宋体"/>
          <w:b/>
          <w:color w:val="auto"/>
          <w:sz w:val="24"/>
          <w:szCs w:val="24"/>
          <w:highlight w:val="none"/>
          <w:lang w:val="en-US" w:eastAsia="zh-CN"/>
        </w:rPr>
        <w:t xml:space="preserve">1.入仓管理 </w:t>
      </w:r>
    </w:p>
    <w:p w14:paraId="30DE93AF">
      <w:pPr>
        <w:pStyle w:val="261"/>
        <w:widowControl w:val="0"/>
        <w:numPr>
          <w:ilvl w:val="0"/>
          <w:numId w:val="3"/>
        </w:numPr>
        <w:tabs>
          <w:tab w:val="left" w:pos="993"/>
          <w:tab w:val="left" w:pos="1134"/>
        </w:tabs>
        <w:wordWrap/>
        <w:adjustRightInd/>
        <w:snapToGrid/>
        <w:spacing w:line="500" w:lineRule="exact"/>
        <w:ind w:firstLine="482" w:firstLineChars="200"/>
        <w:jc w:val="both"/>
        <w:textAlignment w:val="auto"/>
        <w:rPr>
          <w:rFonts w:hint="eastAsia" w:ascii="国标宋体" w:hAnsi="国标宋体" w:eastAsia="国标宋体" w:cs="国标宋体"/>
          <w:b w:val="0"/>
          <w:bCs w:val="0"/>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接受入仓物资存放申请时应确认以下内容</w:t>
      </w:r>
      <w:r>
        <w:rPr>
          <w:rFonts w:hint="eastAsia" w:ascii="国标宋体" w:hAnsi="国标宋体" w:eastAsia="国标宋体" w:cs="国标宋体"/>
          <w:b w:val="0"/>
          <w:bCs w:val="0"/>
          <w:color w:val="auto"/>
          <w:kern w:val="2"/>
          <w:sz w:val="24"/>
          <w:szCs w:val="24"/>
          <w:highlight w:val="none"/>
          <w:lang w:val="en-US" w:eastAsia="zh-CN" w:bidi="ar-SA"/>
        </w:rPr>
        <w:t>：1）该物资入仓申请经过公物仓主管部门的审核批准；2）存放物资符合入仓物资品类要求；3）列有规范的物资入库清单</w:t>
      </w:r>
    </w:p>
    <w:p w14:paraId="33DA8566">
      <w:pPr>
        <w:pStyle w:val="261"/>
        <w:widowControl w:val="0"/>
        <w:numPr>
          <w:ilvl w:val="0"/>
          <w:numId w:val="3"/>
        </w:numPr>
        <w:tabs>
          <w:tab w:val="left" w:pos="993"/>
          <w:tab w:val="left" w:pos="1134"/>
        </w:tabs>
        <w:wordWrap/>
        <w:adjustRightInd/>
        <w:snapToGrid/>
        <w:spacing w:line="500" w:lineRule="exact"/>
        <w:ind w:firstLine="482" w:firstLineChars="200"/>
        <w:jc w:val="both"/>
        <w:textAlignment w:val="auto"/>
        <w:rPr>
          <w:rFonts w:hint="eastAsia" w:ascii="国标宋体" w:hAnsi="国标宋体" w:eastAsia="国标宋体" w:cs="国标宋体"/>
          <w:b w:val="0"/>
          <w:bCs w:val="0"/>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入仓物资应符合以下要求</w:t>
      </w:r>
      <w:r>
        <w:rPr>
          <w:rFonts w:hint="eastAsia" w:ascii="国标宋体" w:hAnsi="国标宋体" w:eastAsia="国标宋体" w:cs="国标宋体"/>
          <w:b w:val="0"/>
          <w:bCs w:val="0"/>
          <w:color w:val="auto"/>
          <w:kern w:val="2"/>
          <w:sz w:val="24"/>
          <w:szCs w:val="24"/>
          <w:highlight w:val="none"/>
          <w:lang w:val="en-US" w:eastAsia="zh-CN" w:bidi="ar-SA"/>
        </w:rPr>
        <w:t>：1）入仓审批手续齐全；2）物资实际数量与物资清单一致；3）除待报废物资外，包装完好，物资无受损，不存在破损、变形等问题；4）物资不存在过期、霉变、腐蚀等问题；5）符合入仓物资的品类要求，无危化品等品类不符的物资。</w:t>
      </w:r>
    </w:p>
    <w:p w14:paraId="7C1E00C6">
      <w:pPr>
        <w:pStyle w:val="261"/>
        <w:widowControl w:val="0"/>
        <w:numPr>
          <w:ilvl w:val="0"/>
          <w:numId w:val="3"/>
        </w:numPr>
        <w:tabs>
          <w:tab w:val="left" w:pos="993"/>
          <w:tab w:val="left" w:pos="1134"/>
        </w:tabs>
        <w:wordWrap/>
        <w:adjustRightInd/>
        <w:snapToGrid/>
        <w:spacing w:line="500" w:lineRule="exact"/>
        <w:ind w:firstLine="482" w:firstLineChars="200"/>
        <w:jc w:val="both"/>
        <w:textAlignment w:val="auto"/>
        <w:rPr>
          <w:rFonts w:hint="eastAsia" w:ascii="国标宋体" w:hAnsi="国标宋体" w:eastAsia="国标宋体" w:cs="国标宋体"/>
          <w:b/>
          <w:color w:val="auto"/>
          <w:sz w:val="24"/>
          <w:szCs w:val="24"/>
          <w:highlight w:val="none"/>
        </w:rPr>
      </w:pPr>
      <w:r>
        <w:rPr>
          <w:rFonts w:hint="eastAsia" w:ascii="国标宋体" w:hAnsi="国标宋体" w:eastAsia="国标宋体" w:cs="国标宋体"/>
          <w:b/>
          <w:bCs/>
          <w:color w:val="auto"/>
          <w:kern w:val="2"/>
          <w:sz w:val="24"/>
          <w:szCs w:val="24"/>
          <w:highlight w:val="none"/>
          <w:lang w:val="en-US" w:eastAsia="zh-CN" w:bidi="ar-SA"/>
        </w:rPr>
        <w:t>货物验收：</w:t>
      </w:r>
      <w:r>
        <w:rPr>
          <w:rFonts w:hint="eastAsia" w:ascii="国标宋体" w:hAnsi="国标宋体" w:eastAsia="国标宋体" w:cs="国标宋体"/>
          <w:b w:val="0"/>
          <w:bCs w:val="0"/>
          <w:color w:val="auto"/>
          <w:kern w:val="2"/>
          <w:sz w:val="24"/>
          <w:szCs w:val="24"/>
          <w:highlight w:val="none"/>
          <w:lang w:val="en-US" w:eastAsia="zh-CN" w:bidi="ar-SA"/>
        </w:rPr>
        <w:t>1）根据已审批的公物仓物资调入审批单对到仓物资进行清点验收。2）对具有保质期要求的物资核验是否在有效期内，对不足6个月有效期的物资,上报至公物仓主管部门，得到批准后方可接收。3）确认物资与实物相符，确认无误后填写公物仓物资装卸工作记录表。4）在清点验收过程中发现物资短缺、变质、污染、损坏等情况的，应做好记录并及时上报公物仓主管部门，根据公物仓主管部门意见处置。5）清点验收无误后，应对物资存储申请单位出具的物资签收交接单签字确认。</w:t>
      </w:r>
    </w:p>
    <w:p w14:paraId="364D61BE">
      <w:pPr>
        <w:pStyle w:val="261"/>
        <w:widowControl w:val="0"/>
        <w:numPr>
          <w:ilvl w:val="0"/>
          <w:numId w:val="3"/>
        </w:numPr>
        <w:tabs>
          <w:tab w:val="left" w:pos="993"/>
          <w:tab w:val="left" w:pos="1134"/>
        </w:tabs>
        <w:wordWrap/>
        <w:adjustRightInd/>
        <w:snapToGrid/>
        <w:spacing w:line="500" w:lineRule="exact"/>
        <w:ind w:firstLine="482" w:firstLineChars="200"/>
        <w:jc w:val="both"/>
        <w:textAlignment w:val="auto"/>
        <w:rPr>
          <w:rFonts w:hint="eastAsia" w:ascii="国标宋体" w:hAnsi="国标宋体" w:eastAsia="国标宋体" w:cs="国标宋体"/>
          <w:b w:val="0"/>
          <w:bCs w:val="0"/>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物资入仓：</w:t>
      </w:r>
      <w:r>
        <w:rPr>
          <w:rFonts w:hint="eastAsia" w:ascii="国标宋体" w:hAnsi="国标宋体" w:eastAsia="国标宋体" w:cs="国标宋体"/>
          <w:b w:val="0"/>
          <w:bCs w:val="0"/>
          <w:color w:val="auto"/>
          <w:kern w:val="2"/>
          <w:sz w:val="24"/>
          <w:szCs w:val="24"/>
          <w:highlight w:val="none"/>
          <w:lang w:val="en-US" w:eastAsia="zh-CN" w:bidi="ar-SA"/>
        </w:rPr>
        <w:t>1）根据入仓物资的包装外形、重量、数量、性能和特点，结合地坪负荷、存储时间，完成物资堆码作业，作业应符合物资包装上的储运图示标志要求，无图示标志要求的以不损坏物资外包装和使用价值为准。2）堆码应遵循以下要求：不同类别物资应分类、分区存放，不同规格、不同生产批次的物品应分位、分堆、分组、分垛存放，做到整齐，横竖成直线，尽量保持端面整齐，便于检查和盘点，有效利用仓库容量。3）应根据 GB/T 14885—2022 的规定，按照资产基础分类与代码对入仓物资分类编码，扫码清点。4）应及时完成公物仓数字化信息管理平台入仓物资的信息更新。</w:t>
      </w:r>
    </w:p>
    <w:p w14:paraId="472906E7">
      <w:pPr>
        <w:pStyle w:val="261"/>
        <w:numPr>
          <w:ilvl w:val="0"/>
          <w:numId w:val="0"/>
        </w:numPr>
        <w:tabs>
          <w:tab w:val="left" w:pos="993"/>
          <w:tab w:val="left" w:pos="1134"/>
        </w:tabs>
        <w:wordWrap/>
        <w:spacing w:line="500" w:lineRule="exact"/>
        <w:jc w:val="both"/>
        <w:rPr>
          <w:rFonts w:hint="eastAsia" w:ascii="国标宋体" w:hAnsi="国标宋体" w:eastAsia="国标宋体" w:cs="国标宋体"/>
          <w:b/>
          <w:color w:val="auto"/>
          <w:sz w:val="24"/>
          <w:szCs w:val="24"/>
          <w:highlight w:val="none"/>
          <w:lang w:eastAsia="zh-CN"/>
        </w:rPr>
      </w:pPr>
      <w:r>
        <w:rPr>
          <w:rFonts w:hint="eastAsia" w:ascii="国标宋体" w:hAnsi="国标宋体" w:eastAsia="国标宋体" w:cs="国标宋体"/>
          <w:b/>
          <w:color w:val="auto"/>
          <w:sz w:val="24"/>
          <w:szCs w:val="24"/>
          <w:highlight w:val="none"/>
          <w:lang w:val="en-US" w:eastAsia="zh-CN"/>
        </w:rPr>
        <w:t xml:space="preserve">    2</w:t>
      </w:r>
      <w:r>
        <w:rPr>
          <w:rFonts w:hint="eastAsia" w:ascii="国标宋体" w:hAnsi="国标宋体" w:eastAsia="国标宋体" w:cs="国标宋体"/>
          <w:b/>
          <w:color w:val="auto"/>
          <w:sz w:val="24"/>
          <w:szCs w:val="24"/>
          <w:highlight w:val="none"/>
        </w:rPr>
        <w:t>.</w:t>
      </w:r>
      <w:r>
        <w:rPr>
          <w:rFonts w:hint="eastAsia" w:ascii="国标宋体" w:hAnsi="国标宋体" w:eastAsia="国标宋体" w:cs="国标宋体"/>
          <w:b/>
          <w:color w:val="auto"/>
          <w:sz w:val="24"/>
          <w:szCs w:val="24"/>
          <w:highlight w:val="none"/>
          <w:lang w:eastAsia="zh-CN"/>
        </w:rPr>
        <w:t>在仓管理</w:t>
      </w:r>
    </w:p>
    <w:p w14:paraId="44CFF572">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1</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日常管护</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应保持公物仓物资存放环境明亮、整洁、通畅。每周定期巡查消防、安保设施设备，做好巡查记录。根据仓内物资的温湿度要求</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调节公物仓内的温度和湿度，确保良好的存储环境。</w:t>
      </w:r>
    </w:p>
    <w:p w14:paraId="34013138">
      <w:pPr>
        <w:pStyle w:val="261"/>
        <w:tabs>
          <w:tab w:val="left" w:pos="993"/>
          <w:tab w:val="left" w:pos="1134"/>
        </w:tabs>
        <w:wordWrap/>
        <w:spacing w:line="500" w:lineRule="exact"/>
        <w:jc w:val="both"/>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2</w:t>
      </w:r>
      <w:r>
        <w:rPr>
          <w:rFonts w:hint="eastAsia" w:ascii="国标宋体" w:hAnsi="国标宋体" w:eastAsia="国标宋体" w:cs="国标宋体"/>
          <w:color w:val="auto"/>
          <w:sz w:val="24"/>
          <w:szCs w:val="24"/>
          <w:highlight w:val="none"/>
          <w:lang w:eastAsia="zh-CN"/>
        </w:rPr>
        <w:t>）清查盘点：</w:t>
      </w:r>
      <w:r>
        <w:rPr>
          <w:rFonts w:hint="eastAsia" w:ascii="国标宋体" w:hAnsi="国标宋体" w:eastAsia="国标宋体" w:cs="国标宋体"/>
          <w:color w:val="auto"/>
          <w:sz w:val="24"/>
          <w:szCs w:val="24"/>
          <w:highlight w:val="none"/>
        </w:rPr>
        <w:t>应</w:t>
      </w:r>
      <w:r>
        <w:rPr>
          <w:rFonts w:hint="eastAsia" w:ascii="国标宋体" w:hAnsi="国标宋体" w:eastAsia="国标宋体" w:cs="国标宋体"/>
          <w:color w:val="auto"/>
          <w:sz w:val="24"/>
          <w:szCs w:val="24"/>
          <w:highlight w:val="none"/>
          <w:lang w:val="en-US" w:eastAsia="zh-CN"/>
        </w:rPr>
        <w:t>使用</w:t>
      </w:r>
      <w:r>
        <w:rPr>
          <w:rFonts w:hint="eastAsia" w:ascii="国标宋体" w:hAnsi="国标宋体" w:eastAsia="国标宋体" w:cs="国标宋体"/>
          <w:color w:val="auto"/>
          <w:sz w:val="24"/>
          <w:szCs w:val="24"/>
          <w:highlight w:val="none"/>
        </w:rPr>
        <w:t>自动识别及数据采集技术对仓储物资开展清查盘点工作，每月不少于 1 次，具体包括物资数量</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物资包装情况</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物资是否存在毁损、过期、霉变、腐蚀情况</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存储位置</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准确、完整地向公物仓主管部门报告仓内物资数量信息</w:t>
      </w:r>
      <w:r>
        <w:rPr>
          <w:rFonts w:hint="eastAsia" w:ascii="国标宋体" w:hAnsi="国标宋体" w:eastAsia="国标宋体" w:cs="国标宋体"/>
          <w:color w:val="auto"/>
          <w:sz w:val="24"/>
          <w:szCs w:val="24"/>
          <w:highlight w:val="none"/>
          <w:lang w:eastAsia="zh-CN"/>
        </w:rPr>
        <w:t>，并</w:t>
      </w:r>
      <w:r>
        <w:rPr>
          <w:rFonts w:hint="eastAsia" w:ascii="国标宋体" w:hAnsi="国标宋体" w:eastAsia="国标宋体" w:cs="国标宋体"/>
          <w:color w:val="auto"/>
          <w:sz w:val="24"/>
          <w:szCs w:val="24"/>
          <w:highlight w:val="none"/>
        </w:rPr>
        <w:t>根据需求变动和品类变化及时调整仓储区域和储位分配。</w:t>
      </w:r>
    </w:p>
    <w:p w14:paraId="0CF95F98">
      <w:pPr>
        <w:pStyle w:val="261"/>
        <w:tabs>
          <w:tab w:val="left" w:pos="993"/>
          <w:tab w:val="left" w:pos="1134"/>
        </w:tabs>
        <w:wordWrap/>
        <w:spacing w:line="500" w:lineRule="exact"/>
        <w:ind w:left="426" w:firstLine="0" w:firstLineChars="0"/>
        <w:jc w:val="both"/>
        <w:rPr>
          <w:rFonts w:hint="eastAsia" w:ascii="国标宋体" w:hAnsi="国标宋体" w:eastAsia="国标宋体" w:cs="国标宋体"/>
          <w:b/>
          <w:color w:val="auto"/>
          <w:sz w:val="24"/>
          <w:szCs w:val="24"/>
          <w:highlight w:val="none"/>
          <w:lang w:eastAsia="zh-CN"/>
        </w:rPr>
      </w:pPr>
      <w:r>
        <w:rPr>
          <w:rFonts w:hint="eastAsia" w:ascii="国标宋体" w:hAnsi="国标宋体" w:eastAsia="国标宋体" w:cs="国标宋体"/>
          <w:b/>
          <w:color w:val="auto"/>
          <w:sz w:val="24"/>
          <w:szCs w:val="24"/>
          <w:highlight w:val="none"/>
          <w:lang w:val="en-US" w:eastAsia="zh-CN"/>
        </w:rPr>
        <w:t xml:space="preserve">    3</w:t>
      </w:r>
      <w:r>
        <w:rPr>
          <w:rFonts w:hint="eastAsia" w:ascii="国标宋体" w:hAnsi="国标宋体" w:eastAsia="国标宋体" w:cs="国标宋体"/>
          <w:b/>
          <w:color w:val="auto"/>
          <w:sz w:val="24"/>
          <w:szCs w:val="24"/>
          <w:highlight w:val="none"/>
        </w:rPr>
        <w:t>.</w:t>
      </w:r>
      <w:r>
        <w:rPr>
          <w:rFonts w:hint="eastAsia" w:ascii="国标宋体" w:hAnsi="国标宋体" w:eastAsia="国标宋体" w:cs="国标宋体"/>
          <w:b/>
          <w:color w:val="auto"/>
          <w:sz w:val="24"/>
          <w:szCs w:val="24"/>
          <w:highlight w:val="none"/>
          <w:lang w:eastAsia="zh-CN"/>
        </w:rPr>
        <w:t>出仓管理</w:t>
      </w:r>
    </w:p>
    <w:p w14:paraId="3E4F56F2">
      <w:pPr>
        <w:wordWrap/>
        <w:spacing w:line="500" w:lineRule="exact"/>
        <w:ind w:firstLine="424" w:firstLineChars="177"/>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（1）</w:t>
      </w:r>
      <w:r>
        <w:rPr>
          <w:rFonts w:hint="eastAsia" w:ascii="国标宋体" w:hAnsi="国标宋体" w:eastAsia="国标宋体" w:cs="国标宋体"/>
          <w:color w:val="auto"/>
          <w:sz w:val="24"/>
          <w:szCs w:val="24"/>
          <w:highlight w:val="none"/>
          <w:lang w:eastAsia="zh-CN"/>
        </w:rPr>
        <w:t>出仓查验：</w:t>
      </w:r>
      <w:r>
        <w:rPr>
          <w:rFonts w:hint="eastAsia" w:ascii="国标宋体" w:hAnsi="国标宋体" w:eastAsia="国标宋体" w:cs="国标宋体"/>
          <w:color w:val="auto"/>
          <w:sz w:val="24"/>
          <w:szCs w:val="24"/>
          <w:highlight w:val="none"/>
        </w:rPr>
        <w:t>应根据公物仓物资出仓审批单将相应的物资按照名称、品类、规格和数量排列出仓物资</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并做好相应的出库记录。</w:t>
      </w:r>
    </w:p>
    <w:p w14:paraId="25A62A26">
      <w:pPr>
        <w:wordWrap/>
        <w:spacing w:line="500" w:lineRule="exact"/>
        <w:ind w:firstLine="424" w:firstLineChars="177"/>
        <w:jc w:val="both"/>
        <w:rPr>
          <w:rFonts w:hint="eastAsia" w:ascii="国标宋体" w:hAnsi="国标宋体" w:eastAsia="国标宋体" w:cs="国标宋体"/>
          <w:color w:val="auto"/>
          <w:sz w:val="24"/>
          <w:szCs w:val="24"/>
          <w:highlight w:val="none"/>
          <w:lang w:val="en-US" w:eastAsia="zh-CN"/>
        </w:rPr>
      </w:pPr>
      <w:r>
        <w:rPr>
          <w:rFonts w:hint="eastAsia" w:ascii="国标宋体" w:hAnsi="国标宋体" w:eastAsia="国标宋体" w:cs="国标宋体"/>
          <w:color w:val="auto"/>
          <w:sz w:val="24"/>
          <w:szCs w:val="24"/>
          <w:highlight w:val="none"/>
          <w:lang w:val="en-US" w:eastAsia="zh-CN"/>
        </w:rPr>
        <w:t>（2）库存核销：根据公物仓物资出仓审批单，分类核销库存及库存位并做好最低库存量预警。</w:t>
      </w:r>
    </w:p>
    <w:p w14:paraId="6267A3AF">
      <w:pPr>
        <w:wordWrap/>
        <w:spacing w:line="500" w:lineRule="exact"/>
        <w:ind w:firstLine="424" w:firstLineChars="177"/>
        <w:jc w:val="both"/>
        <w:rPr>
          <w:rFonts w:hint="eastAsia" w:ascii="国标宋体" w:hAnsi="国标宋体" w:eastAsia="国标宋体" w:cs="国标宋体"/>
          <w:color w:val="auto"/>
          <w:sz w:val="24"/>
          <w:szCs w:val="24"/>
          <w:highlight w:val="none"/>
          <w:lang w:val="en-US" w:eastAsia="zh-CN"/>
        </w:rPr>
      </w:pPr>
      <w:r>
        <w:rPr>
          <w:rFonts w:hint="eastAsia" w:ascii="国标宋体" w:hAnsi="国标宋体" w:eastAsia="国标宋体" w:cs="国标宋体"/>
          <w:color w:val="auto"/>
          <w:sz w:val="24"/>
          <w:szCs w:val="24"/>
          <w:highlight w:val="none"/>
          <w:lang w:val="en-US" w:eastAsia="zh-CN"/>
        </w:rPr>
        <w:t>（3）装车发货：应根据物资规格及包装尺寸，按照下重上轻、下大上小原则有序安排装车，并于发车前进行二次查验，确保运输安全，做好相关物资配送及交接工作。</w:t>
      </w:r>
    </w:p>
    <w:p w14:paraId="7FFA8B2B">
      <w:pPr>
        <w:wordWrap/>
        <w:spacing w:line="500" w:lineRule="exact"/>
        <w:ind w:firstLine="426" w:firstLineChars="177"/>
        <w:jc w:val="both"/>
        <w:rPr>
          <w:rFonts w:hint="eastAsia" w:ascii="国标宋体" w:hAnsi="国标宋体" w:eastAsia="国标宋体" w:cs="国标宋体"/>
          <w:b/>
          <w:color w:val="auto"/>
          <w:sz w:val="24"/>
          <w:szCs w:val="24"/>
          <w:highlight w:val="none"/>
          <w:lang w:eastAsia="zh-CN"/>
        </w:rPr>
      </w:pPr>
      <w:r>
        <w:rPr>
          <w:rFonts w:hint="eastAsia" w:ascii="国标宋体" w:hAnsi="国标宋体" w:eastAsia="国标宋体" w:cs="国标宋体"/>
          <w:b/>
          <w:color w:val="auto"/>
          <w:sz w:val="24"/>
          <w:szCs w:val="24"/>
          <w:highlight w:val="none"/>
          <w:lang w:val="en-US" w:eastAsia="zh-CN"/>
        </w:rPr>
        <w:t>4</w:t>
      </w:r>
      <w:r>
        <w:rPr>
          <w:rFonts w:hint="eastAsia" w:ascii="国标宋体" w:hAnsi="国标宋体" w:eastAsia="国标宋体" w:cs="国标宋体"/>
          <w:b/>
          <w:color w:val="auto"/>
          <w:sz w:val="24"/>
          <w:szCs w:val="24"/>
          <w:highlight w:val="none"/>
        </w:rPr>
        <w:t>.</w:t>
      </w:r>
      <w:r>
        <w:rPr>
          <w:rFonts w:hint="eastAsia" w:ascii="国标宋体" w:hAnsi="国标宋体" w:eastAsia="国标宋体" w:cs="国标宋体"/>
          <w:b/>
          <w:color w:val="auto"/>
          <w:sz w:val="24"/>
          <w:szCs w:val="24"/>
          <w:highlight w:val="none"/>
          <w:lang w:eastAsia="zh-CN"/>
        </w:rPr>
        <w:t>物资安全与应急管理</w:t>
      </w:r>
    </w:p>
    <w:p w14:paraId="42041624">
      <w:pPr>
        <w:pStyle w:val="261"/>
        <w:widowControl w:val="0"/>
        <w:tabs>
          <w:tab w:val="left" w:pos="993"/>
          <w:tab w:val="left" w:pos="1134"/>
        </w:tabs>
        <w:wordWrap/>
        <w:adjustRightInd/>
        <w:snapToGrid/>
        <w:spacing w:line="500" w:lineRule="exact"/>
        <w:jc w:val="both"/>
        <w:textAlignment w:val="auto"/>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1</w:t>
      </w:r>
      <w:r>
        <w:rPr>
          <w:rFonts w:hint="eastAsia" w:ascii="国标宋体" w:hAnsi="国标宋体" w:eastAsia="国标宋体" w:cs="国标宋体"/>
          <w:color w:val="auto"/>
          <w:kern w:val="2"/>
          <w:sz w:val="24"/>
          <w:szCs w:val="24"/>
          <w:highlight w:val="none"/>
          <w:lang w:val="en-US" w:eastAsia="zh-CN" w:bidi="ar-SA"/>
        </w:rPr>
        <w:t>）确保实行24小时不间断远程值守监测公物仓各监控区域物资状况，发现库区</w:t>
      </w:r>
      <w:r>
        <w:rPr>
          <w:rFonts w:hint="eastAsia" w:ascii="国标宋体" w:hAnsi="国标宋体" w:eastAsia="国标宋体" w:cs="国标宋体"/>
          <w:color w:val="auto"/>
          <w:sz w:val="24"/>
          <w:szCs w:val="24"/>
          <w:highlight w:val="none"/>
        </w:rPr>
        <w:t>有异常情况第一时间通知</w:t>
      </w:r>
      <w:r>
        <w:rPr>
          <w:rFonts w:hint="eastAsia" w:ascii="国标宋体" w:hAnsi="国标宋体" w:eastAsia="国标宋体" w:cs="国标宋体"/>
          <w:color w:val="auto"/>
          <w:sz w:val="24"/>
          <w:szCs w:val="24"/>
          <w:highlight w:val="none"/>
          <w:lang w:eastAsia="zh-CN"/>
        </w:rPr>
        <w:t>公物仓</w:t>
      </w:r>
      <w:r>
        <w:rPr>
          <w:rFonts w:hint="eastAsia" w:ascii="国标宋体" w:hAnsi="国标宋体" w:eastAsia="国标宋体" w:cs="国标宋体"/>
          <w:color w:val="auto"/>
          <w:sz w:val="24"/>
          <w:szCs w:val="24"/>
          <w:highlight w:val="none"/>
        </w:rPr>
        <w:t>负责人</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确保公物仓物资安全。</w:t>
      </w:r>
    </w:p>
    <w:p w14:paraId="7B6834B9">
      <w:pPr>
        <w:pStyle w:val="261"/>
        <w:widowControl w:val="0"/>
        <w:tabs>
          <w:tab w:val="left" w:pos="993"/>
          <w:tab w:val="left" w:pos="1134"/>
        </w:tabs>
        <w:wordWrap/>
        <w:adjustRightInd/>
        <w:snapToGrid/>
        <w:spacing w:line="500" w:lineRule="exact"/>
        <w:jc w:val="both"/>
        <w:textAlignment w:val="auto"/>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2</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应根据GB 50016和GB 50222要求</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 xml:space="preserve">进行公物仓物资防火管理工作，确保相关消防设施正常运行。 </w:t>
      </w:r>
    </w:p>
    <w:p w14:paraId="2A44BFDA">
      <w:pPr>
        <w:pStyle w:val="261"/>
        <w:widowControl w:val="0"/>
        <w:tabs>
          <w:tab w:val="left" w:pos="993"/>
          <w:tab w:val="left" w:pos="1134"/>
        </w:tabs>
        <w:wordWrap/>
        <w:adjustRightInd/>
        <w:snapToGrid/>
        <w:spacing w:line="500" w:lineRule="exact"/>
        <w:jc w:val="both"/>
        <w:textAlignment w:val="auto"/>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3</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应根据 GB/T 24439要求，对公物仓物资防水防盗进行管理，确保不渗不漏、排水通畅，门窗、门锁严密完好，启闭灵活。</w:t>
      </w:r>
    </w:p>
    <w:p w14:paraId="67153CEC">
      <w:pPr>
        <w:pStyle w:val="261"/>
        <w:widowControl w:val="0"/>
        <w:tabs>
          <w:tab w:val="left" w:pos="993"/>
          <w:tab w:val="left" w:pos="1134"/>
        </w:tabs>
        <w:wordWrap/>
        <w:adjustRightInd/>
        <w:snapToGrid/>
        <w:spacing w:line="500" w:lineRule="exact"/>
        <w:jc w:val="both"/>
        <w:textAlignment w:val="auto"/>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4</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应根据 GB/T 29639 要求，做好各类应急事件处理的预案，预案内容应包含组织指挥体系及职责、预警和防御机制、应急响应、后期处理、保障措施等。</w:t>
      </w:r>
    </w:p>
    <w:p w14:paraId="3C4A8B72">
      <w:pPr>
        <w:pStyle w:val="261"/>
        <w:widowControl w:val="0"/>
        <w:tabs>
          <w:tab w:val="left" w:pos="993"/>
          <w:tab w:val="left" w:pos="1134"/>
        </w:tabs>
        <w:wordWrap/>
        <w:adjustRightInd/>
        <w:snapToGrid/>
        <w:spacing w:line="500" w:lineRule="exact"/>
        <w:jc w:val="both"/>
        <w:textAlignment w:val="auto"/>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5</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应开展安全应急预案的宣传、培训教育及演练，普及安全生产事故预防、避险、自救、互救和应急处置知识，提高全员的防范意识和应急处置能力。</w:t>
      </w:r>
    </w:p>
    <w:p w14:paraId="28ED5E19">
      <w:pPr>
        <w:pStyle w:val="4"/>
        <w:numPr>
          <w:ilvl w:val="0"/>
          <w:numId w:val="0"/>
        </w:numPr>
        <w:tabs>
          <w:tab w:val="left" w:pos="426"/>
          <w:tab w:val="left" w:pos="709"/>
          <w:tab w:val="clear" w:pos="432"/>
        </w:tabs>
        <w:wordWrap/>
        <w:spacing w:line="500" w:lineRule="exact"/>
        <w:ind w:left="560" w:leftChars="0"/>
        <w:jc w:val="both"/>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val="en-US" w:eastAsia="zh-CN"/>
        </w:rPr>
        <w:t>（三）</w:t>
      </w:r>
      <w:r>
        <w:rPr>
          <w:rFonts w:hint="eastAsia" w:ascii="国标宋体" w:hAnsi="国标宋体" w:eastAsia="国标宋体" w:cs="国标宋体"/>
          <w:color w:val="auto"/>
          <w:sz w:val="24"/>
          <w:szCs w:val="24"/>
          <w:highlight w:val="none"/>
        </w:rPr>
        <w:t>智慧档案库房运营工作</w:t>
      </w:r>
      <w:r>
        <w:rPr>
          <w:rFonts w:hint="eastAsia" w:ascii="国标宋体" w:hAnsi="国标宋体" w:eastAsia="国标宋体" w:cs="国标宋体"/>
          <w:color w:val="auto"/>
          <w:sz w:val="24"/>
          <w:szCs w:val="24"/>
          <w:highlight w:val="none"/>
          <w:lang w:eastAsia="zh-CN"/>
        </w:rPr>
        <w:t>要求</w:t>
      </w:r>
    </w:p>
    <w:p w14:paraId="120DE591">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1</w:t>
      </w:r>
      <w:r>
        <w:rPr>
          <w:rFonts w:hint="eastAsia" w:ascii="国标宋体" w:hAnsi="国标宋体" w:eastAsia="国标宋体" w:cs="国标宋体"/>
          <w:color w:val="auto"/>
          <w:sz w:val="24"/>
          <w:szCs w:val="24"/>
          <w:highlight w:val="none"/>
          <w:lang w:val="en-US" w:eastAsia="zh-CN"/>
        </w:rPr>
        <w:t>.</w:t>
      </w:r>
      <w:r>
        <w:rPr>
          <w:rFonts w:hint="eastAsia" w:ascii="国标宋体" w:hAnsi="国标宋体" w:eastAsia="国标宋体" w:cs="国标宋体"/>
          <w:color w:val="auto"/>
          <w:sz w:val="24"/>
          <w:szCs w:val="24"/>
          <w:highlight w:val="none"/>
        </w:rPr>
        <w:t>明确档案服务的流程并严格执行，</w:t>
      </w:r>
      <w:r>
        <w:rPr>
          <w:rFonts w:hint="eastAsia" w:ascii="国标宋体" w:hAnsi="国标宋体" w:eastAsia="国标宋体" w:cs="国标宋体"/>
          <w:color w:val="auto"/>
          <w:sz w:val="24"/>
          <w:szCs w:val="24"/>
          <w:highlight w:val="none"/>
          <w:lang w:eastAsia="zh-CN"/>
        </w:rPr>
        <w:t>有相关</w:t>
      </w:r>
      <w:r>
        <w:rPr>
          <w:rFonts w:hint="eastAsia" w:ascii="国标宋体" w:hAnsi="国标宋体" w:eastAsia="国标宋体" w:cs="国标宋体"/>
          <w:color w:val="auto"/>
          <w:sz w:val="24"/>
          <w:szCs w:val="24"/>
          <w:highlight w:val="none"/>
        </w:rPr>
        <w:t>档案整理、档案验收交接、档案运输、档案出入库、档案</w:t>
      </w:r>
      <w:r>
        <w:rPr>
          <w:rFonts w:hint="eastAsia" w:ascii="国标宋体" w:hAnsi="国标宋体" w:eastAsia="国标宋体" w:cs="国标宋体"/>
          <w:color w:val="auto"/>
          <w:sz w:val="24"/>
          <w:szCs w:val="24"/>
          <w:highlight w:val="none"/>
          <w:lang w:eastAsia="zh-CN"/>
        </w:rPr>
        <w:t>上下架、</w:t>
      </w:r>
      <w:r>
        <w:rPr>
          <w:rFonts w:hint="eastAsia" w:ascii="国标宋体" w:hAnsi="国标宋体" w:eastAsia="国标宋体" w:cs="国标宋体"/>
          <w:color w:val="auto"/>
          <w:sz w:val="24"/>
          <w:szCs w:val="24"/>
          <w:highlight w:val="none"/>
        </w:rPr>
        <w:t>档案存储、档案调阅利用、档案销毁、档案移库和人员管理、信息安全等相应的流程、制度和操作规范</w:t>
      </w:r>
      <w:r>
        <w:rPr>
          <w:rFonts w:hint="eastAsia" w:ascii="国标宋体" w:hAnsi="国标宋体" w:eastAsia="国标宋体" w:cs="国标宋体"/>
          <w:color w:val="auto"/>
          <w:sz w:val="24"/>
          <w:szCs w:val="24"/>
          <w:highlight w:val="none"/>
          <w:lang w:eastAsia="zh-CN"/>
        </w:rPr>
        <w:t>完善，</w:t>
      </w:r>
      <w:r>
        <w:rPr>
          <w:rFonts w:hint="eastAsia" w:ascii="国标宋体" w:hAnsi="国标宋体" w:eastAsia="国标宋体" w:cs="国标宋体"/>
          <w:color w:val="auto"/>
          <w:sz w:val="24"/>
          <w:szCs w:val="24"/>
          <w:highlight w:val="none"/>
        </w:rPr>
        <w:t>应参照</w:t>
      </w:r>
      <w:r>
        <w:rPr>
          <w:rFonts w:hint="eastAsia" w:ascii="国标宋体" w:hAnsi="国标宋体" w:eastAsia="国标宋体" w:cs="国标宋体"/>
          <w:color w:val="auto"/>
          <w:sz w:val="24"/>
          <w:szCs w:val="24"/>
          <w:highlight w:val="none"/>
          <w:lang w:val="en-US" w:eastAsia="zh-CN"/>
        </w:rPr>
        <w:t>档案行业国家相关标准</w:t>
      </w:r>
      <w:r>
        <w:rPr>
          <w:rFonts w:hint="eastAsia" w:ascii="国标宋体" w:hAnsi="国标宋体" w:eastAsia="国标宋体" w:cs="国标宋体"/>
          <w:color w:val="auto"/>
          <w:sz w:val="24"/>
          <w:szCs w:val="24"/>
          <w:highlight w:val="none"/>
        </w:rPr>
        <w:t>开展有效的档案管理工作，保证档案服务过程的可追溯性。</w:t>
      </w:r>
    </w:p>
    <w:p w14:paraId="6054ACAE">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2</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入库时需明确档案箱的使用类型，完成档案的封箱清单明细，与装箱后的档案箱号、条形码号、锁扣号对应，便于后期调阅利用、查询、销毁等。</w:t>
      </w:r>
    </w:p>
    <w:p w14:paraId="37FF5815">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4.根据合同</w:t>
      </w:r>
      <w:r>
        <w:rPr>
          <w:rFonts w:hint="eastAsia" w:ascii="国标宋体" w:hAnsi="国标宋体" w:eastAsia="国标宋体" w:cs="国标宋体"/>
          <w:color w:val="auto"/>
          <w:sz w:val="24"/>
          <w:szCs w:val="24"/>
          <w:highlight w:val="none"/>
          <w:lang w:eastAsia="zh-CN"/>
        </w:rPr>
        <w:t>内容</w:t>
      </w:r>
      <w:r>
        <w:rPr>
          <w:rFonts w:hint="eastAsia" w:ascii="国标宋体" w:hAnsi="国标宋体" w:eastAsia="国标宋体" w:cs="国标宋体"/>
          <w:color w:val="auto"/>
          <w:sz w:val="24"/>
          <w:szCs w:val="24"/>
          <w:highlight w:val="none"/>
        </w:rPr>
        <w:t>在信息系统中创建委托方档案服务工单，并约定与委托方交接</w:t>
      </w:r>
      <w:r>
        <w:rPr>
          <w:rFonts w:hint="eastAsia" w:ascii="国标宋体" w:hAnsi="国标宋体" w:eastAsia="国标宋体" w:cs="国标宋体"/>
          <w:color w:val="auto"/>
          <w:sz w:val="24"/>
          <w:szCs w:val="24"/>
          <w:highlight w:val="none"/>
          <w:lang w:eastAsia="zh-CN"/>
        </w:rPr>
        <w:t>的</w:t>
      </w:r>
      <w:r>
        <w:rPr>
          <w:rFonts w:hint="eastAsia" w:ascii="国标宋体" w:hAnsi="国标宋体" w:eastAsia="国标宋体" w:cs="国标宋体"/>
          <w:color w:val="auto"/>
          <w:sz w:val="24"/>
          <w:szCs w:val="24"/>
          <w:highlight w:val="none"/>
        </w:rPr>
        <w:t>内容及责任，封箱清单及交接清单</w:t>
      </w:r>
      <w:r>
        <w:rPr>
          <w:rFonts w:hint="eastAsia" w:ascii="国标宋体" w:hAnsi="国标宋体" w:eastAsia="国标宋体" w:cs="国标宋体"/>
          <w:color w:val="auto"/>
          <w:sz w:val="24"/>
          <w:szCs w:val="24"/>
          <w:highlight w:val="none"/>
          <w:lang w:eastAsia="zh-CN"/>
        </w:rPr>
        <w:t>经</w:t>
      </w:r>
      <w:r>
        <w:rPr>
          <w:rFonts w:hint="eastAsia" w:ascii="国标宋体" w:hAnsi="国标宋体" w:eastAsia="国标宋体" w:cs="国标宋体"/>
          <w:color w:val="auto"/>
          <w:sz w:val="24"/>
          <w:szCs w:val="24"/>
          <w:highlight w:val="none"/>
        </w:rPr>
        <w:t>核实签章确认、档案封箱确认后扫描数量交接。</w:t>
      </w:r>
    </w:p>
    <w:p w14:paraId="16AC4BE2">
      <w:pPr>
        <w:wordWrap/>
        <w:spacing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5.运送档案时使用符合档案安全运输标准的厢式车辆，运输车辆</w:t>
      </w:r>
      <w:r>
        <w:rPr>
          <w:rFonts w:hint="eastAsia" w:ascii="国标宋体" w:hAnsi="国标宋体" w:eastAsia="国标宋体" w:cs="国标宋体"/>
          <w:color w:val="auto"/>
          <w:sz w:val="24"/>
          <w:szCs w:val="24"/>
          <w:highlight w:val="none"/>
          <w:lang w:eastAsia="zh-CN"/>
        </w:rPr>
        <w:t>应</w:t>
      </w:r>
      <w:r>
        <w:rPr>
          <w:rFonts w:hint="eastAsia" w:ascii="国标宋体" w:hAnsi="国标宋体" w:eastAsia="国标宋体" w:cs="国标宋体"/>
          <w:color w:val="auto"/>
          <w:sz w:val="24"/>
          <w:szCs w:val="24"/>
          <w:highlight w:val="none"/>
        </w:rPr>
        <w:t>配备车载监控系统、GPS卫星定位</w:t>
      </w:r>
      <w:r>
        <w:rPr>
          <w:rFonts w:hint="eastAsia" w:ascii="国标宋体" w:hAnsi="国标宋体" w:eastAsia="国标宋体" w:cs="国标宋体"/>
          <w:color w:val="auto"/>
          <w:sz w:val="24"/>
          <w:szCs w:val="24"/>
          <w:highlight w:val="none"/>
          <w:lang w:eastAsia="zh-CN"/>
        </w:rPr>
        <w:t>跟踪</w:t>
      </w:r>
      <w:r>
        <w:rPr>
          <w:rFonts w:hint="eastAsia" w:ascii="国标宋体" w:hAnsi="国标宋体" w:eastAsia="国标宋体" w:cs="国标宋体"/>
          <w:color w:val="auto"/>
          <w:sz w:val="24"/>
          <w:szCs w:val="24"/>
          <w:highlight w:val="none"/>
        </w:rPr>
        <w:t>系统，并配备保安押送员，实行专人专车，运送时间和线路严格保密，并全程跟踪。</w:t>
      </w:r>
    </w:p>
    <w:p w14:paraId="65E74907">
      <w:pPr>
        <w:tabs>
          <w:tab w:val="left" w:pos="-2552"/>
          <w:tab w:val="left" w:pos="709"/>
          <w:tab w:val="left" w:pos="993"/>
        </w:tabs>
        <w:wordWrap/>
        <w:snapToGrid w:val="0"/>
        <w:spacing w:line="500" w:lineRule="exact"/>
        <w:ind w:firstLine="480" w:firstLineChars="200"/>
        <w:jc w:val="both"/>
        <w:rPr>
          <w:rFonts w:hint="eastAsia" w:ascii="国标宋体" w:hAnsi="国标宋体" w:eastAsia="国标宋体" w:cs="国标宋体"/>
          <w:b w:val="0"/>
          <w:i w:val="0"/>
          <w:color w:val="auto"/>
          <w:sz w:val="24"/>
          <w:szCs w:val="24"/>
          <w:highlight w:val="none"/>
        </w:rPr>
      </w:pPr>
      <w:r>
        <w:rPr>
          <w:rFonts w:hint="eastAsia" w:ascii="国标宋体" w:hAnsi="国标宋体" w:eastAsia="国标宋体" w:cs="国标宋体"/>
          <w:color w:val="auto"/>
          <w:sz w:val="24"/>
          <w:szCs w:val="24"/>
          <w:highlight w:val="none"/>
          <w:lang w:val="en-US" w:eastAsia="zh-CN"/>
        </w:rPr>
        <w:t>6.</w:t>
      </w:r>
      <w:r>
        <w:rPr>
          <w:rFonts w:hint="eastAsia" w:ascii="国标宋体" w:hAnsi="国标宋体" w:eastAsia="国标宋体" w:cs="国标宋体"/>
          <w:color w:val="auto"/>
          <w:sz w:val="24"/>
          <w:szCs w:val="24"/>
          <w:highlight w:val="none"/>
        </w:rPr>
        <w:t>在档案交接时，由专人负责做好清点、验收和装箱工作，履行入库登记手续</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b w:val="0"/>
          <w:i w:val="0"/>
          <w:color w:val="auto"/>
          <w:sz w:val="24"/>
          <w:szCs w:val="24"/>
          <w:highlight w:val="none"/>
        </w:rPr>
        <w:t>委托方授权人员需进入库房的，服务方指定专人全程陪同，并</w:t>
      </w:r>
      <w:r>
        <w:rPr>
          <w:rFonts w:hint="eastAsia" w:ascii="国标宋体" w:hAnsi="国标宋体" w:eastAsia="国标宋体" w:cs="国标宋体"/>
          <w:b w:val="0"/>
          <w:i w:val="0"/>
          <w:color w:val="auto"/>
          <w:sz w:val="24"/>
          <w:szCs w:val="24"/>
          <w:highlight w:val="none"/>
          <w:lang w:eastAsia="zh-CN"/>
        </w:rPr>
        <w:t>配备</w:t>
      </w:r>
      <w:r>
        <w:rPr>
          <w:rFonts w:hint="eastAsia" w:ascii="国标宋体" w:hAnsi="国标宋体" w:eastAsia="国标宋体" w:cs="国标宋体"/>
          <w:b w:val="0"/>
          <w:i w:val="0"/>
          <w:color w:val="auto"/>
          <w:sz w:val="24"/>
          <w:szCs w:val="24"/>
          <w:highlight w:val="none"/>
        </w:rPr>
        <w:t>视频监控。</w:t>
      </w:r>
    </w:p>
    <w:p w14:paraId="63351D45">
      <w:pPr>
        <w:pStyle w:val="25"/>
        <w:wordWrap/>
        <w:spacing w:after="0" w:line="500" w:lineRule="exact"/>
        <w:ind w:firstLine="480" w:firstLineChars="200"/>
        <w:jc w:val="both"/>
        <w:rPr>
          <w:rFonts w:hint="eastAsia" w:ascii="国标宋体" w:hAnsi="国标宋体" w:eastAsia="国标宋体" w:cs="国标宋体"/>
          <w:b w:val="0"/>
          <w:i w:val="0"/>
          <w:color w:val="auto"/>
          <w:sz w:val="24"/>
          <w:szCs w:val="24"/>
          <w:highlight w:val="none"/>
        </w:rPr>
      </w:pPr>
      <w:r>
        <w:rPr>
          <w:rFonts w:hint="eastAsia" w:ascii="国标宋体" w:hAnsi="国标宋体" w:eastAsia="国标宋体" w:cs="国标宋体"/>
          <w:b w:val="0"/>
          <w:i w:val="0"/>
          <w:color w:val="auto"/>
          <w:sz w:val="24"/>
          <w:szCs w:val="24"/>
          <w:highlight w:val="none"/>
          <w:lang w:val="en-US" w:eastAsia="zh-CN"/>
        </w:rPr>
        <w:t>7.</w:t>
      </w:r>
      <w:r>
        <w:rPr>
          <w:rFonts w:hint="eastAsia" w:ascii="国标宋体" w:hAnsi="国标宋体" w:eastAsia="国标宋体" w:cs="国标宋体"/>
          <w:b w:val="0"/>
          <w:i w:val="0"/>
          <w:color w:val="auto"/>
          <w:sz w:val="24"/>
          <w:szCs w:val="24"/>
          <w:highlight w:val="none"/>
        </w:rPr>
        <w:t>委托方托管档案进入本单位库房时，本单位需进行安全检查和科学消毒，不得携带易燃易爆、有毒有害气体或生物进入库区。</w:t>
      </w:r>
      <w:bookmarkStart w:id="28" w:name="_Toc25354"/>
    </w:p>
    <w:p w14:paraId="41365175">
      <w:pPr>
        <w:pStyle w:val="25"/>
        <w:numPr>
          <w:ilvl w:val="0"/>
          <w:numId w:val="0"/>
        </w:numPr>
        <w:wordWrap/>
        <w:spacing w:after="0"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8.</w:t>
      </w:r>
      <w:r>
        <w:rPr>
          <w:rFonts w:hint="eastAsia" w:ascii="国标宋体" w:hAnsi="国标宋体" w:eastAsia="国标宋体" w:cs="国标宋体"/>
          <w:color w:val="auto"/>
          <w:sz w:val="24"/>
          <w:szCs w:val="24"/>
          <w:highlight w:val="none"/>
        </w:rPr>
        <w:t>档案入库至库房后，需有档案交接单及随车单等交接手续，服务方库房管理员需核对单据与档案实物，确保数量一致后还需对档案包装外观进行确认，需符合入库要求方才接收入库，档案入库异常应有反馈沟通机制。</w:t>
      </w:r>
    </w:p>
    <w:p w14:paraId="153C7417">
      <w:pPr>
        <w:pStyle w:val="25"/>
        <w:numPr>
          <w:ilvl w:val="0"/>
          <w:numId w:val="0"/>
        </w:numPr>
        <w:wordWrap/>
        <w:spacing w:after="0"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9.</w:t>
      </w:r>
      <w:r>
        <w:rPr>
          <w:rFonts w:hint="eastAsia" w:ascii="国标宋体" w:hAnsi="国标宋体" w:eastAsia="国标宋体" w:cs="国标宋体"/>
          <w:color w:val="auto"/>
          <w:sz w:val="24"/>
          <w:szCs w:val="24"/>
          <w:highlight w:val="none"/>
        </w:rPr>
        <w:t>档案出库库房管理员需根据系统指示服务工单进行档案下架、出库扫描标签码，并保证档案箱体的质量完好</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服务方档案外勤人员接收到客服指令后，凭服务工单从库房处领取档案并与库房签字交接。</w:t>
      </w:r>
    </w:p>
    <w:p w14:paraId="79C08C78">
      <w:pPr>
        <w:pStyle w:val="25"/>
        <w:wordWrap/>
        <w:spacing w:after="0" w:line="500" w:lineRule="exact"/>
        <w:jc w:val="both"/>
        <w:rPr>
          <w:rFonts w:hint="eastAsia" w:ascii="国标宋体" w:hAnsi="国标宋体" w:eastAsia="国标宋体" w:cs="国标宋体"/>
          <w:b w:val="0"/>
          <w:i w:val="0"/>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10.</w:t>
      </w:r>
      <w:bookmarkEnd w:id="28"/>
      <w:r>
        <w:rPr>
          <w:rFonts w:hint="eastAsia" w:ascii="国标宋体" w:hAnsi="国标宋体" w:eastAsia="国标宋体" w:cs="国标宋体"/>
          <w:b w:val="0"/>
          <w:i w:val="0"/>
          <w:color w:val="auto"/>
          <w:sz w:val="24"/>
          <w:szCs w:val="24"/>
          <w:highlight w:val="none"/>
        </w:rPr>
        <w:t>档案上架、倒架应由库房管理专业人</w:t>
      </w:r>
      <w:r>
        <w:rPr>
          <w:rFonts w:hint="eastAsia" w:ascii="国标宋体" w:hAnsi="国标宋体" w:eastAsia="国标宋体" w:cs="国标宋体"/>
          <w:b w:val="0"/>
          <w:i w:val="0"/>
          <w:color w:val="auto"/>
          <w:sz w:val="24"/>
          <w:szCs w:val="24"/>
          <w:highlight w:val="none"/>
          <w:lang w:eastAsia="zh-CN"/>
        </w:rPr>
        <w:t>员根据</w:t>
      </w:r>
      <w:r>
        <w:rPr>
          <w:rFonts w:hint="eastAsia" w:ascii="国标宋体" w:hAnsi="国标宋体" w:eastAsia="国标宋体" w:cs="国标宋体"/>
          <w:b w:val="0"/>
          <w:i w:val="0"/>
          <w:color w:val="auto"/>
          <w:sz w:val="24"/>
          <w:szCs w:val="24"/>
          <w:highlight w:val="none"/>
        </w:rPr>
        <w:t>库区布局、库位号编制规则</w:t>
      </w:r>
      <w:r>
        <w:rPr>
          <w:rFonts w:hint="eastAsia" w:ascii="国标宋体" w:hAnsi="国标宋体" w:eastAsia="国标宋体" w:cs="国标宋体"/>
          <w:b w:val="0"/>
          <w:i w:val="0"/>
          <w:color w:val="auto"/>
          <w:sz w:val="24"/>
          <w:szCs w:val="24"/>
          <w:highlight w:val="none"/>
          <w:lang w:eastAsia="zh-CN"/>
        </w:rPr>
        <w:t>，通过系统操作按照</w:t>
      </w:r>
      <w:r>
        <w:rPr>
          <w:rFonts w:hint="eastAsia" w:ascii="国标宋体" w:hAnsi="国标宋体" w:eastAsia="国标宋体" w:cs="国标宋体"/>
          <w:b w:val="0"/>
          <w:i w:val="0"/>
          <w:color w:val="auto"/>
          <w:sz w:val="24"/>
          <w:szCs w:val="24"/>
          <w:highlight w:val="none"/>
        </w:rPr>
        <w:t>档案的箱式盒式类型、委托方名称、规格尺码、客户需求、包装类型，将档案正确、安全的上架摆放</w:t>
      </w:r>
      <w:r>
        <w:rPr>
          <w:rFonts w:hint="eastAsia" w:ascii="国标宋体" w:hAnsi="国标宋体" w:eastAsia="国标宋体" w:cs="国标宋体"/>
          <w:b w:val="0"/>
          <w:i w:val="0"/>
          <w:color w:val="auto"/>
          <w:sz w:val="24"/>
          <w:szCs w:val="24"/>
          <w:highlight w:val="none"/>
          <w:lang w:eastAsia="zh-CN"/>
        </w:rPr>
        <w:t>，</w:t>
      </w:r>
      <w:r>
        <w:rPr>
          <w:rFonts w:hint="eastAsia" w:ascii="国标宋体" w:hAnsi="国标宋体" w:eastAsia="国标宋体" w:cs="国标宋体"/>
          <w:b w:val="0"/>
          <w:i w:val="0"/>
          <w:color w:val="auto"/>
          <w:sz w:val="24"/>
          <w:szCs w:val="24"/>
          <w:highlight w:val="none"/>
        </w:rPr>
        <w:t>完成提交数据后，档案箱数计入库存,并做好相关表单记录。</w:t>
      </w:r>
    </w:p>
    <w:p w14:paraId="772E658D">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11.</w:t>
      </w:r>
      <w:r>
        <w:rPr>
          <w:rFonts w:hint="eastAsia" w:ascii="国标宋体" w:hAnsi="国标宋体" w:eastAsia="国标宋体" w:cs="国标宋体"/>
          <w:color w:val="auto"/>
          <w:sz w:val="24"/>
          <w:szCs w:val="24"/>
          <w:highlight w:val="none"/>
        </w:rPr>
        <w:t>服务方应根据保密规定为委托方提供档案调阅服务并设定调阅者权限，满足委托方的需求。非委托方调阅、查阅相关档案资料的应征得委托方同意，并提供有委托方单位公章的书面授权。</w:t>
      </w:r>
    </w:p>
    <w:p w14:paraId="20C6E9D1">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12</w:t>
      </w:r>
      <w:r>
        <w:rPr>
          <w:rFonts w:hint="eastAsia" w:ascii="国标宋体" w:hAnsi="国标宋体" w:eastAsia="国标宋体" w:cs="国标宋体"/>
          <w:color w:val="auto"/>
          <w:sz w:val="24"/>
          <w:szCs w:val="24"/>
          <w:highlight w:val="none"/>
        </w:rPr>
        <w:t>.服务方提供档案调阅服务时，应核对调阅者身份，并对调阅日期、单位、人员、内容和方式等进行逐项登记记录</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调阅人查阅、复制、下载或打印等应履行档案调阅登记手续</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保存期限不少于三年。</w:t>
      </w:r>
    </w:p>
    <w:p w14:paraId="4CF84850">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13</w:t>
      </w:r>
      <w:r>
        <w:rPr>
          <w:rFonts w:hint="eastAsia" w:ascii="国标宋体" w:hAnsi="国标宋体" w:eastAsia="国标宋体" w:cs="国标宋体"/>
          <w:color w:val="auto"/>
          <w:sz w:val="24"/>
          <w:szCs w:val="24"/>
          <w:highlight w:val="none"/>
        </w:rPr>
        <w:t>.服务方为委托方提供档案调阅配送服务，需安排专车及保安押运专员专程及时送达，在核对接收人员身份后，与委托方履行交接手续。</w:t>
      </w:r>
    </w:p>
    <w:p w14:paraId="051C05CA">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15</w:t>
      </w:r>
      <w:r>
        <w:rPr>
          <w:rFonts w:hint="eastAsia" w:ascii="国标宋体" w:hAnsi="国标宋体" w:eastAsia="国标宋体" w:cs="国标宋体"/>
          <w:color w:val="auto"/>
          <w:sz w:val="24"/>
          <w:szCs w:val="24"/>
          <w:highlight w:val="none"/>
        </w:rPr>
        <w:t>.档案现场调阅：委托方可在本单位专门的调阅室现场调阅利用其寄存的档案（查阅、复制、拍照等），应有专人陪同，全程都在监控下完成</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提供档案调阅服务人员有权监督调阅人保护档案。</w:t>
      </w:r>
    </w:p>
    <w:p w14:paraId="76DBA0AC">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16</w:t>
      </w:r>
      <w:r>
        <w:rPr>
          <w:rFonts w:hint="eastAsia" w:ascii="国标宋体" w:hAnsi="国标宋体" w:eastAsia="国标宋体" w:cs="国标宋体"/>
          <w:color w:val="auto"/>
          <w:sz w:val="24"/>
          <w:szCs w:val="24"/>
          <w:highlight w:val="none"/>
        </w:rPr>
        <w:t>.档案远程调阅：操作应在调阅室现场监控下操作，需要接收到委托方开箱委托授权书，方能进行开箱、查找和拍照、扫描等复制行为，严禁使用个人手机进行拍照传输。没有委托方或其授权人员的同意或在场情况下，严禁打开档案箱接触其内部档案。</w:t>
      </w:r>
    </w:p>
    <w:p w14:paraId="53B2EF5F">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17</w:t>
      </w:r>
      <w:r>
        <w:rPr>
          <w:rFonts w:hint="eastAsia" w:ascii="国标宋体" w:hAnsi="国标宋体" w:eastAsia="国标宋体" w:cs="国标宋体"/>
          <w:color w:val="auto"/>
          <w:sz w:val="24"/>
          <w:szCs w:val="24"/>
          <w:highlight w:val="none"/>
        </w:rPr>
        <w:t>.委托方调阅、查阅档案资料申请方式应</w:t>
      </w:r>
      <w:r>
        <w:rPr>
          <w:rFonts w:hint="eastAsia" w:ascii="国标宋体" w:hAnsi="国标宋体" w:eastAsia="国标宋体" w:cs="国标宋体"/>
          <w:color w:val="auto"/>
          <w:sz w:val="24"/>
          <w:szCs w:val="24"/>
          <w:highlight w:val="none"/>
          <w:lang w:eastAsia="zh-CN"/>
        </w:rPr>
        <w:t>按照</w:t>
      </w:r>
      <w:r>
        <w:rPr>
          <w:rFonts w:hint="eastAsia" w:ascii="国标宋体" w:hAnsi="国标宋体" w:eastAsia="国标宋体" w:cs="国标宋体"/>
          <w:color w:val="auto"/>
          <w:sz w:val="24"/>
          <w:szCs w:val="24"/>
          <w:highlight w:val="none"/>
        </w:rPr>
        <w:t>合同中双方约定的方式</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接收到通知的，本单位将调阅档案送递至合同里所标注的委托方地址。</w:t>
      </w:r>
    </w:p>
    <w:p w14:paraId="7B63B6E4">
      <w:pPr>
        <w:pStyle w:val="25"/>
        <w:wordWrap/>
        <w:spacing w:after="0" w:line="500" w:lineRule="exact"/>
        <w:ind w:firstLine="480" w:firstLineChars="20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18</w:t>
      </w:r>
      <w:r>
        <w:rPr>
          <w:rFonts w:hint="eastAsia" w:ascii="国标宋体" w:hAnsi="国标宋体" w:eastAsia="国标宋体" w:cs="国标宋体"/>
          <w:color w:val="auto"/>
          <w:sz w:val="24"/>
          <w:szCs w:val="24"/>
          <w:highlight w:val="none"/>
        </w:rPr>
        <w:t>.委托方调出的档案调阅利用完毕后，由本单位上门收取，双方现场进行</w:t>
      </w:r>
      <w:r>
        <w:rPr>
          <w:rFonts w:hint="eastAsia" w:ascii="国标宋体" w:hAnsi="国标宋体" w:eastAsia="国标宋体" w:cs="国标宋体"/>
          <w:color w:val="auto"/>
          <w:sz w:val="24"/>
          <w:szCs w:val="24"/>
          <w:highlight w:val="none"/>
          <w:lang w:eastAsia="zh-CN"/>
        </w:rPr>
        <w:t>相关信息</w:t>
      </w:r>
      <w:r>
        <w:rPr>
          <w:rFonts w:hint="eastAsia" w:ascii="国标宋体" w:hAnsi="国标宋体" w:eastAsia="国标宋体" w:cs="国标宋体"/>
          <w:color w:val="auto"/>
          <w:sz w:val="24"/>
          <w:szCs w:val="24"/>
          <w:highlight w:val="none"/>
        </w:rPr>
        <w:t>确认核实。双方现场清点交接后方完成调档的全过程，在调档的各个环节做好表单的记录填写并定期汇总装订成册。</w:t>
      </w:r>
    </w:p>
    <w:p w14:paraId="66281624">
      <w:pPr>
        <w:pStyle w:val="4"/>
        <w:numPr>
          <w:ilvl w:val="0"/>
          <w:numId w:val="0"/>
        </w:numPr>
        <w:tabs>
          <w:tab w:val="left" w:pos="426"/>
          <w:tab w:val="left" w:pos="709"/>
          <w:tab w:val="clear" w:pos="432"/>
        </w:tabs>
        <w:wordWrap/>
        <w:spacing w:line="500" w:lineRule="exact"/>
        <w:ind w:left="560" w:leftChars="0"/>
        <w:jc w:val="both"/>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val="en-US" w:eastAsia="zh-CN"/>
        </w:rPr>
        <w:t>（四）</w:t>
      </w:r>
      <w:r>
        <w:rPr>
          <w:rFonts w:hint="eastAsia" w:ascii="国标宋体" w:hAnsi="国标宋体" w:eastAsia="国标宋体" w:cs="国标宋体"/>
          <w:color w:val="auto"/>
          <w:sz w:val="24"/>
          <w:szCs w:val="24"/>
          <w:highlight w:val="none"/>
        </w:rPr>
        <w:t>涉案罚没物资仓运营管理</w:t>
      </w:r>
      <w:r>
        <w:rPr>
          <w:rFonts w:hint="eastAsia" w:ascii="国标宋体" w:hAnsi="国标宋体" w:eastAsia="国标宋体" w:cs="国标宋体"/>
          <w:color w:val="auto"/>
          <w:sz w:val="24"/>
          <w:szCs w:val="24"/>
          <w:highlight w:val="none"/>
          <w:lang w:eastAsia="zh-CN"/>
        </w:rPr>
        <w:t>要求</w:t>
      </w:r>
    </w:p>
    <w:p w14:paraId="76217A1F">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eastAsia="zh-CN"/>
        </w:rPr>
        <w:t>1</w:t>
      </w:r>
      <w:r>
        <w:rPr>
          <w:rFonts w:hint="eastAsia" w:ascii="国标宋体" w:hAnsi="国标宋体" w:eastAsia="国标宋体" w:cs="国标宋体"/>
          <w:color w:val="auto"/>
          <w:spacing w:val="-5"/>
          <w:kern w:val="0"/>
          <w:sz w:val="24"/>
          <w:szCs w:val="24"/>
          <w:highlight w:val="none"/>
          <w:lang w:val="en-US" w:eastAsia="zh-CN"/>
        </w:rPr>
        <w:t>.</w:t>
      </w:r>
      <w:r>
        <w:rPr>
          <w:rFonts w:hint="eastAsia" w:ascii="国标宋体" w:hAnsi="国标宋体" w:eastAsia="国标宋体" w:cs="国标宋体"/>
          <w:color w:val="auto"/>
          <w:spacing w:val="-5"/>
          <w:kern w:val="0"/>
          <w:sz w:val="24"/>
          <w:szCs w:val="24"/>
          <w:highlight w:val="none"/>
          <w:lang w:eastAsia="zh-CN"/>
        </w:rPr>
        <w:t>涉案罚没物资仓日常运维管理涵盖数据管理、系统操作、物资出入库申请、实施工单管理、物流管理、仓库管理、机器人系统等模块。依托系统实现网上管理、网上移送、信息共享，确保涉案财物管理规范移送顺畅、处置及时、处理合法。</w:t>
      </w:r>
    </w:p>
    <w:p w14:paraId="5BE8F8CE">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eastAsia="zh-CN"/>
        </w:rPr>
        <w:t>2</w:t>
      </w:r>
      <w:r>
        <w:rPr>
          <w:rFonts w:hint="eastAsia" w:ascii="国标宋体" w:hAnsi="国标宋体" w:eastAsia="国标宋体" w:cs="国标宋体"/>
          <w:color w:val="auto"/>
          <w:spacing w:val="-5"/>
          <w:kern w:val="0"/>
          <w:sz w:val="24"/>
          <w:szCs w:val="24"/>
          <w:highlight w:val="none"/>
          <w:lang w:val="en-US" w:eastAsia="zh-CN"/>
        </w:rPr>
        <w:t>.</w:t>
      </w:r>
      <w:r>
        <w:rPr>
          <w:rFonts w:hint="eastAsia" w:ascii="国标宋体" w:hAnsi="国标宋体" w:eastAsia="国标宋体" w:cs="国标宋体"/>
          <w:color w:val="auto"/>
          <w:spacing w:val="-5"/>
          <w:kern w:val="0"/>
          <w:sz w:val="24"/>
          <w:szCs w:val="24"/>
          <w:highlight w:val="none"/>
          <w:lang w:eastAsia="zh-CN"/>
        </w:rPr>
        <w:t>熟练运用系统完成机器人移库及搬运的调度服务和相关基础数据的查询服务，通过电子标签技术等先进物联设备快速准确定位物资信息，自动归集形成电子档案，实现一案一物、一码一档。</w:t>
      </w:r>
    </w:p>
    <w:p w14:paraId="5CA3CE1A">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3.</w:t>
      </w:r>
      <w:r>
        <w:rPr>
          <w:rFonts w:hint="eastAsia" w:ascii="国标宋体" w:hAnsi="国标宋体" w:eastAsia="国标宋体" w:cs="国标宋体"/>
          <w:color w:val="auto"/>
          <w:spacing w:val="-5"/>
          <w:kern w:val="0"/>
          <w:sz w:val="24"/>
          <w:szCs w:val="24"/>
          <w:highlight w:val="none"/>
          <w:lang w:eastAsia="zh-CN"/>
        </w:rPr>
        <w:t>借用、归还、领取、处理涉案和罚没物资流程清晰，涉案和罚没物资管理轨迹清晰，均可查询留痕，对涉案和罚没物资从入库、登记、出库、处理以及移送整个生命周期进行追踪管理。</w:t>
      </w:r>
    </w:p>
    <w:p w14:paraId="0317E239">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4.</w:t>
      </w:r>
      <w:r>
        <w:rPr>
          <w:rFonts w:hint="eastAsia" w:ascii="国标宋体" w:hAnsi="国标宋体" w:eastAsia="国标宋体" w:cs="国标宋体"/>
          <w:color w:val="auto"/>
          <w:spacing w:val="-5"/>
          <w:kern w:val="0"/>
          <w:sz w:val="24"/>
          <w:szCs w:val="24"/>
          <w:highlight w:val="none"/>
          <w:lang w:eastAsia="zh-CN"/>
        </w:rPr>
        <w:t>严格依法规范涉案财物入库、出库登记以及保管、提取、处置、检查监督、移交等工作。管理中心工作人员与办案人员办理物品移交、调用、归还、处理等交接时,应当对照有关法律文书、清单当场对涉案财物逐项查验核对,办理开具凭证、双方签名等手续,并在信息平台上登记流转。对于缺少法律文书、法律文书对必要事项记载不全或者实物与法律文书记载不符的，管理中心工作人员可以拒绝接收或移交，并要求办案人员补齐手续后再办理入库或出库。</w:t>
      </w:r>
    </w:p>
    <w:p w14:paraId="579DCB15">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5.</w:t>
      </w:r>
      <w:r>
        <w:rPr>
          <w:rFonts w:hint="eastAsia" w:ascii="国标宋体" w:hAnsi="国标宋体" w:eastAsia="国标宋体" w:cs="国标宋体"/>
          <w:color w:val="auto"/>
          <w:spacing w:val="-5"/>
          <w:kern w:val="0"/>
          <w:sz w:val="24"/>
          <w:szCs w:val="24"/>
          <w:highlight w:val="none"/>
          <w:lang w:eastAsia="zh-CN"/>
        </w:rPr>
        <w:t>借用、归还、交接、领取、处理涉案和罚没物资时应有专人陪同，由专人负责做好清点、验收和装箱工作，全程都在监控下完成，提供相关程序的服务人员有权监督调阅人保护涉案和罚没物资。</w:t>
      </w:r>
    </w:p>
    <w:p w14:paraId="6749264D">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6.</w:t>
      </w:r>
      <w:r>
        <w:rPr>
          <w:rFonts w:hint="eastAsia" w:ascii="国标宋体" w:hAnsi="国标宋体" w:eastAsia="国标宋体" w:cs="国标宋体"/>
          <w:color w:val="auto"/>
          <w:spacing w:val="-5"/>
          <w:kern w:val="0"/>
          <w:sz w:val="24"/>
          <w:szCs w:val="24"/>
          <w:highlight w:val="none"/>
          <w:lang w:eastAsia="zh-CN"/>
        </w:rPr>
        <w:t>守库员必须取得相应专业资质证书，承担守护警戒、消控、远程监控等任务，做到24小时不间断安全值守，应具备处置突发事件的应急力量。</w:t>
      </w:r>
    </w:p>
    <w:p w14:paraId="04B00AD5">
      <w:pPr>
        <w:wordWrap/>
        <w:spacing w:line="500" w:lineRule="exact"/>
        <w:jc w:val="both"/>
        <w:rPr>
          <w:rFonts w:hint="eastAsia" w:ascii="国标宋体" w:hAnsi="国标宋体" w:eastAsia="国标宋体" w:cs="国标宋体"/>
          <w:color w:val="auto"/>
          <w:spacing w:val="-5"/>
          <w:kern w:val="0"/>
          <w:sz w:val="24"/>
          <w:szCs w:val="24"/>
          <w:highlight w:val="none"/>
          <w:lang w:val="en-US" w:eastAsia="zh-CN"/>
        </w:rPr>
      </w:pPr>
      <w:r>
        <w:rPr>
          <w:rFonts w:hint="eastAsia" w:ascii="国标宋体" w:hAnsi="国标宋体" w:eastAsia="国标宋体" w:cs="国标宋体"/>
          <w:color w:val="auto"/>
          <w:spacing w:val="-5"/>
          <w:kern w:val="0"/>
          <w:sz w:val="24"/>
          <w:szCs w:val="24"/>
          <w:highlight w:val="none"/>
          <w:lang w:val="en-US" w:eastAsia="zh-CN"/>
        </w:rPr>
        <w:t xml:space="preserve">    7.建立</w:t>
      </w:r>
      <w:r>
        <w:rPr>
          <w:rFonts w:hint="eastAsia" w:ascii="国标宋体" w:hAnsi="国标宋体" w:eastAsia="国标宋体" w:cs="国标宋体"/>
          <w:color w:val="auto"/>
          <w:spacing w:val="-5"/>
          <w:kern w:val="0"/>
          <w:sz w:val="24"/>
          <w:szCs w:val="24"/>
          <w:highlight w:val="none"/>
          <w:lang w:eastAsia="zh-CN"/>
        </w:rPr>
        <w:t>涉案财物的保管台账严格履行涉案财物出入登记制度，仔细核对,设立标签,做到账物相符、去向明确。管理物证必须做到一案一档，账物相符；对管理的物证，保管员应逐一编号登记并录入管理系统，做到实时、动态、信息化管理。</w:t>
      </w:r>
      <w:r>
        <w:rPr>
          <w:rFonts w:hint="eastAsia" w:ascii="国标宋体" w:hAnsi="国标宋体" w:eastAsia="国标宋体" w:cs="国标宋体"/>
          <w:color w:val="auto"/>
          <w:spacing w:val="-5"/>
          <w:kern w:val="0"/>
          <w:sz w:val="24"/>
          <w:szCs w:val="24"/>
          <w:highlight w:val="none"/>
          <w:lang w:val="en-US" w:eastAsia="zh-CN"/>
        </w:rPr>
        <w:t xml:space="preserve"> </w:t>
      </w:r>
    </w:p>
    <w:p w14:paraId="5814D0BF">
      <w:pPr>
        <w:numPr>
          <w:ilvl w:val="0"/>
          <w:numId w:val="4"/>
        </w:num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eastAsia="zh-CN"/>
        </w:rPr>
        <w:t>在办案单位归还调用物证时，应当进行检查、核对；如有损毁短少、调换、丢失等情况的，应当如实记录，并报告管理中心负责人。</w:t>
      </w:r>
    </w:p>
    <w:p w14:paraId="583D8D8B">
      <w:pPr>
        <w:numPr>
          <w:ilvl w:val="0"/>
          <w:numId w:val="0"/>
        </w:numPr>
        <w:wordWrap/>
        <w:spacing w:line="500" w:lineRule="exact"/>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 xml:space="preserve">    9.</w:t>
      </w:r>
      <w:r>
        <w:rPr>
          <w:rFonts w:hint="eastAsia" w:ascii="国标宋体" w:hAnsi="国标宋体" w:eastAsia="国标宋体" w:cs="国标宋体"/>
          <w:color w:val="auto"/>
          <w:spacing w:val="-5"/>
          <w:kern w:val="0"/>
          <w:sz w:val="24"/>
          <w:szCs w:val="24"/>
          <w:highlight w:val="none"/>
          <w:lang w:eastAsia="zh-CN"/>
        </w:rPr>
        <w:t>系统管理员不得进</w:t>
      </w:r>
      <w:r>
        <w:rPr>
          <w:rFonts w:hint="eastAsia" w:ascii="国标宋体" w:hAnsi="国标宋体" w:eastAsia="国标宋体" w:cs="国标宋体"/>
          <w:color w:val="auto"/>
          <w:spacing w:val="-5"/>
          <w:kern w:val="0"/>
          <w:sz w:val="24"/>
          <w:szCs w:val="24"/>
          <w:highlight w:val="none"/>
          <w:lang w:val="en-US" w:eastAsia="zh-CN"/>
        </w:rPr>
        <w:t>入涉案财物保管</w:t>
      </w:r>
      <w:r>
        <w:rPr>
          <w:rFonts w:hint="eastAsia" w:ascii="国标宋体" w:hAnsi="国标宋体" w:eastAsia="国标宋体" w:cs="国标宋体"/>
          <w:color w:val="auto"/>
          <w:spacing w:val="-5"/>
          <w:kern w:val="0"/>
          <w:sz w:val="24"/>
          <w:szCs w:val="24"/>
          <w:highlight w:val="none"/>
          <w:lang w:eastAsia="zh-CN"/>
        </w:rPr>
        <w:t>区域、不得私自登录系统、不得携带信息载体进入工作区域、不得私自信息拷贝。入库期间，做到“同开库、同在场、同离开”。</w:t>
      </w:r>
    </w:p>
    <w:p w14:paraId="46464643">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10.</w:t>
      </w:r>
      <w:r>
        <w:rPr>
          <w:rFonts w:hint="eastAsia" w:ascii="国标宋体" w:hAnsi="国标宋体" w:eastAsia="国标宋体" w:cs="国标宋体"/>
          <w:color w:val="auto"/>
          <w:spacing w:val="-5"/>
          <w:kern w:val="0"/>
          <w:sz w:val="24"/>
          <w:szCs w:val="24"/>
          <w:highlight w:val="none"/>
          <w:lang w:eastAsia="zh-CN"/>
        </w:rPr>
        <w:t>实行前后台隔离制度,保管区域仅限涉案财物管理中心工作人员进入。办案人员、当事人及利害关系人未经许可不得进入。</w:t>
      </w:r>
    </w:p>
    <w:p w14:paraId="1C59CFC8">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11.</w:t>
      </w:r>
      <w:r>
        <w:rPr>
          <w:rFonts w:hint="eastAsia" w:ascii="国标宋体" w:hAnsi="国标宋体" w:eastAsia="国标宋体" w:cs="国标宋体"/>
          <w:color w:val="auto"/>
          <w:spacing w:val="-5"/>
          <w:kern w:val="0"/>
          <w:sz w:val="24"/>
          <w:szCs w:val="24"/>
          <w:highlight w:val="none"/>
          <w:lang w:eastAsia="zh-CN"/>
        </w:rPr>
        <w:t>库区内禁止拍照、外泄物品信息；</w:t>
      </w:r>
      <w:r>
        <w:rPr>
          <w:rFonts w:hint="eastAsia" w:ascii="国标宋体" w:hAnsi="国标宋体" w:eastAsia="国标宋体" w:cs="国标宋体"/>
          <w:color w:val="auto"/>
          <w:spacing w:val="-5"/>
          <w:kern w:val="0"/>
          <w:sz w:val="24"/>
          <w:szCs w:val="24"/>
          <w:highlight w:val="none"/>
          <w:lang w:val="en-US" w:eastAsia="zh-CN"/>
        </w:rPr>
        <w:t>禁止使用保管的涉案财物；</w:t>
      </w:r>
      <w:r>
        <w:rPr>
          <w:rFonts w:hint="eastAsia" w:ascii="国标宋体" w:hAnsi="国标宋体" w:eastAsia="国标宋体" w:cs="国标宋体"/>
          <w:color w:val="auto"/>
          <w:spacing w:val="-5"/>
          <w:kern w:val="0"/>
          <w:sz w:val="24"/>
          <w:szCs w:val="24"/>
          <w:highlight w:val="none"/>
          <w:lang w:eastAsia="zh-CN"/>
        </w:rPr>
        <w:t>禁止无关人员进入工作区域，禁止工作人员进入非工作区域，如有工作需要，必须经监管员批准并由保管员陪同进入。达不到陪同人员要求时，不得进入财物保管区域。</w:t>
      </w:r>
    </w:p>
    <w:p w14:paraId="12CDF5D2">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12.</w:t>
      </w:r>
      <w:r>
        <w:rPr>
          <w:rFonts w:hint="eastAsia" w:ascii="国标宋体" w:hAnsi="国标宋体" w:eastAsia="国标宋体" w:cs="国标宋体"/>
          <w:color w:val="auto"/>
          <w:spacing w:val="-5"/>
          <w:kern w:val="0"/>
          <w:sz w:val="24"/>
          <w:szCs w:val="24"/>
          <w:highlight w:val="none"/>
          <w:lang w:eastAsia="zh-CN"/>
        </w:rPr>
        <w:t>对入库的涉案财物实行一案一档分类分区妥善保管,防止因保管不善而丢失、损毁、虫蛀、霉烂、变质。保管员定期检查盘点，加强防盗、防火、防潮、防霉等设备日常维护，发现财物遗失、损坏等异常情况，应立即报告。</w:t>
      </w:r>
    </w:p>
    <w:p w14:paraId="794B166B">
      <w:pPr>
        <w:wordWrap/>
        <w:spacing w:line="500" w:lineRule="exact"/>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 xml:space="preserve">     13.</w:t>
      </w:r>
      <w:r>
        <w:rPr>
          <w:rFonts w:hint="eastAsia" w:ascii="国标宋体" w:hAnsi="国标宋体" w:eastAsia="国标宋体" w:cs="国标宋体"/>
          <w:color w:val="auto"/>
          <w:spacing w:val="-5"/>
          <w:kern w:val="0"/>
          <w:sz w:val="24"/>
          <w:szCs w:val="24"/>
          <w:highlight w:val="none"/>
          <w:lang w:eastAsia="zh-CN"/>
        </w:rPr>
        <w:t>落实专人 24 小时不间断值守，达到防火、防盗、防腐、防潮防磁、防虫害等要求。贵重物品保管库房(区)应实行专柜、专库保管,实行双人双锁管理。</w:t>
      </w:r>
    </w:p>
    <w:p w14:paraId="53F51CD9">
      <w:pPr>
        <w:wordWrap/>
        <w:spacing w:line="500" w:lineRule="exact"/>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 xml:space="preserve">     14.</w:t>
      </w:r>
      <w:r>
        <w:rPr>
          <w:rFonts w:hint="eastAsia" w:ascii="国标宋体" w:hAnsi="国标宋体" w:eastAsia="国标宋体" w:cs="国标宋体"/>
          <w:color w:val="auto"/>
          <w:spacing w:val="-5"/>
          <w:kern w:val="0"/>
          <w:sz w:val="24"/>
          <w:szCs w:val="24"/>
          <w:highlight w:val="none"/>
          <w:lang w:eastAsia="zh-CN"/>
        </w:rPr>
        <w:t>对于移送单位提出涉案财物有冷藏、恒温防磁等特殊保管要求的,管理中心应根据要求存放至相应库房(区)。移送单位未提出特殊保管要求，但管理中心工作人员认为需特殊保管的，应征询移送单位意见，按照移送单位意见进行存放。</w:t>
      </w:r>
    </w:p>
    <w:p w14:paraId="48CED8E7">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15.</w:t>
      </w:r>
      <w:r>
        <w:rPr>
          <w:rFonts w:hint="eastAsia" w:ascii="国标宋体" w:hAnsi="国标宋体" w:eastAsia="国标宋体" w:cs="国标宋体"/>
          <w:color w:val="auto"/>
          <w:spacing w:val="-5"/>
          <w:kern w:val="0"/>
          <w:sz w:val="24"/>
          <w:szCs w:val="24"/>
          <w:highlight w:val="none"/>
          <w:lang w:eastAsia="zh-CN"/>
        </w:rPr>
        <w:t>对保管的涉案财物应当定期进行检查。对未及时入库、长期调用的物品,要了解情况、催促入库:发现物品有腐烂、变质等异常情况,或者案件已办结的,要通知执法办案部门、办案人员及时作出处理:对作出长期保存处置意见的物品,要及时移库至长期保管库房(区)。</w:t>
      </w:r>
    </w:p>
    <w:p w14:paraId="41B9A833">
      <w:pPr>
        <w:wordWrap/>
        <w:spacing w:line="500" w:lineRule="exact"/>
        <w:ind w:firstLine="460" w:firstLineChars="200"/>
        <w:jc w:val="both"/>
        <w:rPr>
          <w:rFonts w:hint="eastAsia" w:ascii="国标宋体" w:hAnsi="国标宋体" w:eastAsia="国标宋体" w:cs="国标宋体"/>
          <w:color w:val="auto"/>
          <w:spacing w:val="-5"/>
          <w:kern w:val="0"/>
          <w:sz w:val="24"/>
          <w:szCs w:val="24"/>
          <w:highlight w:val="none"/>
          <w:lang w:eastAsia="zh-CN"/>
        </w:rPr>
      </w:pPr>
      <w:r>
        <w:rPr>
          <w:rFonts w:hint="eastAsia" w:ascii="国标宋体" w:hAnsi="国标宋体" w:eastAsia="国标宋体" w:cs="国标宋体"/>
          <w:color w:val="auto"/>
          <w:spacing w:val="-5"/>
          <w:kern w:val="0"/>
          <w:sz w:val="24"/>
          <w:szCs w:val="24"/>
          <w:highlight w:val="none"/>
          <w:lang w:val="en-US" w:eastAsia="zh-CN"/>
        </w:rPr>
        <w:t>16.</w:t>
      </w:r>
      <w:r>
        <w:rPr>
          <w:rFonts w:hint="eastAsia" w:ascii="国标宋体" w:hAnsi="国标宋体" w:eastAsia="国标宋体" w:cs="国标宋体"/>
          <w:color w:val="auto"/>
          <w:spacing w:val="-5"/>
          <w:kern w:val="0"/>
          <w:sz w:val="24"/>
          <w:szCs w:val="24"/>
          <w:highlight w:val="none"/>
          <w:lang w:eastAsia="zh-CN"/>
        </w:rPr>
        <w:t xml:space="preserve"> 应配合公安、检察、法院实施涉案财物的发还、移送、销毁、拍卖、变卖等处置工作,并将处置结果及时录入信息平台,处置凭证存档备查。应当每月对涉案财物进行清点盘库,确保涉案财物底数清晰、流转去向明确，应当每季度对库存涉案财物进行梳理,并将梳理结果通报。</w:t>
      </w:r>
    </w:p>
    <w:p w14:paraId="6274B778">
      <w:pPr>
        <w:pStyle w:val="25"/>
        <w:wordWrap/>
        <w:spacing w:after="0" w:line="500" w:lineRule="exact"/>
        <w:ind w:firstLine="482" w:firstLineChars="200"/>
        <w:jc w:val="both"/>
        <w:rPr>
          <w:rFonts w:hint="eastAsia" w:ascii="国标宋体" w:hAnsi="国标宋体" w:eastAsia="国标宋体" w:cs="国标宋体"/>
          <w:b/>
          <w:bCs/>
          <w:color w:val="auto"/>
          <w:sz w:val="24"/>
          <w:szCs w:val="24"/>
          <w:highlight w:val="none"/>
        </w:rPr>
      </w:pPr>
      <w:r>
        <w:rPr>
          <w:rFonts w:hint="eastAsia" w:ascii="国标宋体" w:hAnsi="国标宋体" w:eastAsia="国标宋体" w:cs="国标宋体"/>
          <w:b/>
          <w:bCs/>
          <w:color w:val="auto"/>
          <w:sz w:val="24"/>
          <w:szCs w:val="24"/>
          <w:highlight w:val="none"/>
          <w:lang w:eastAsia="zh-CN"/>
        </w:rPr>
        <w:t>五、</w:t>
      </w:r>
      <w:r>
        <w:rPr>
          <w:rFonts w:hint="eastAsia" w:ascii="国标宋体" w:hAnsi="国标宋体" w:eastAsia="国标宋体" w:cs="国标宋体"/>
          <w:b/>
          <w:bCs/>
          <w:color w:val="auto"/>
          <w:sz w:val="24"/>
          <w:szCs w:val="24"/>
          <w:highlight w:val="none"/>
        </w:rPr>
        <w:t>服务承诺要求</w:t>
      </w:r>
    </w:p>
    <w:p w14:paraId="6A536409">
      <w:pPr>
        <w:wordWrap/>
        <w:autoSpaceDE w:val="0"/>
        <w:autoSpaceDN w:val="0"/>
        <w:spacing w:line="500" w:lineRule="exact"/>
        <w:ind w:right="-178" w:rightChars="-85" w:firstLine="480" w:firstLineChars="20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1</w:t>
      </w:r>
      <w:r>
        <w:rPr>
          <w:rFonts w:hint="eastAsia" w:ascii="国标宋体" w:hAnsi="国标宋体" w:eastAsia="国标宋体" w:cs="国标宋体"/>
          <w:color w:val="auto"/>
          <w:sz w:val="24"/>
          <w:szCs w:val="24"/>
          <w:highlight w:val="none"/>
          <w:lang w:eastAsia="zh-CN"/>
        </w:rPr>
        <w:t>.供应商</w:t>
      </w:r>
      <w:r>
        <w:rPr>
          <w:rFonts w:hint="eastAsia" w:ascii="国标宋体" w:hAnsi="国标宋体" w:eastAsia="国标宋体" w:cs="国标宋体"/>
          <w:color w:val="auto"/>
          <w:sz w:val="24"/>
          <w:szCs w:val="24"/>
          <w:highlight w:val="none"/>
        </w:rPr>
        <w:t>在履行合同义务期间，应制订具体的质量保证措施及质量保证及相关服务的承诺。如因服务质量未达到目标，供应商应因此承担责任和经济赔偿。</w:t>
      </w:r>
    </w:p>
    <w:p w14:paraId="471301B2">
      <w:pPr>
        <w:wordWrap/>
        <w:autoSpaceDE w:val="0"/>
        <w:autoSpaceDN w:val="0"/>
        <w:spacing w:line="500" w:lineRule="exact"/>
        <w:ind w:right="-178" w:rightChars="-85" w:firstLine="480" w:firstLineChars="200"/>
        <w:jc w:val="both"/>
        <w:textAlignment w:val="bottom"/>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rPr>
        <w:t xml:space="preserve"> </w:t>
      </w:r>
      <w:r>
        <w:rPr>
          <w:rFonts w:hint="eastAsia" w:ascii="国标宋体" w:hAnsi="国标宋体" w:eastAsia="国标宋体" w:cs="国标宋体"/>
          <w:color w:val="auto"/>
          <w:sz w:val="24"/>
          <w:szCs w:val="24"/>
          <w:highlight w:val="none"/>
          <w:lang w:val="en-US" w:eastAsia="zh-CN"/>
        </w:rPr>
        <w:t>2.</w:t>
      </w:r>
      <w:r>
        <w:rPr>
          <w:rFonts w:hint="eastAsia" w:ascii="国标宋体" w:hAnsi="国标宋体" w:eastAsia="国标宋体" w:cs="国标宋体"/>
          <w:color w:val="auto"/>
          <w:sz w:val="24"/>
          <w:szCs w:val="24"/>
          <w:highlight w:val="none"/>
        </w:rPr>
        <w:t>由于工作的特殊性，供应商与服务人员必须与采购方签订保密协议</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应做好</w:t>
      </w:r>
      <w:r>
        <w:rPr>
          <w:rFonts w:hint="eastAsia" w:ascii="国标宋体" w:hAnsi="国标宋体" w:eastAsia="国标宋体" w:cs="国标宋体"/>
          <w:color w:val="auto"/>
          <w:sz w:val="24"/>
          <w:szCs w:val="24"/>
          <w:highlight w:val="none"/>
          <w:lang w:eastAsia="zh-CN"/>
        </w:rPr>
        <w:t>项目组的</w:t>
      </w:r>
      <w:r>
        <w:rPr>
          <w:rFonts w:hint="eastAsia" w:ascii="国标宋体" w:hAnsi="国标宋体" w:eastAsia="国标宋体" w:cs="国标宋体"/>
          <w:color w:val="auto"/>
          <w:sz w:val="24"/>
          <w:szCs w:val="24"/>
          <w:highlight w:val="none"/>
        </w:rPr>
        <w:t>人员保密教育工作。</w:t>
      </w:r>
      <w:r>
        <w:rPr>
          <w:rFonts w:hint="eastAsia" w:ascii="国标宋体" w:hAnsi="国标宋体" w:eastAsia="国标宋体" w:cs="国标宋体"/>
          <w:color w:val="auto"/>
          <w:sz w:val="24"/>
          <w:szCs w:val="24"/>
          <w:highlight w:val="none"/>
          <w:lang w:eastAsia="zh-CN"/>
        </w:rPr>
        <w:t>承诺遵守相关保密工作要求，严禁私自</w:t>
      </w:r>
      <w:r>
        <w:rPr>
          <w:rFonts w:hint="eastAsia" w:ascii="国标宋体" w:hAnsi="国标宋体" w:eastAsia="国标宋体" w:cs="国标宋体"/>
          <w:color w:val="auto"/>
          <w:sz w:val="24"/>
          <w:szCs w:val="24"/>
          <w:highlight w:val="none"/>
        </w:rPr>
        <w:t>带任何电子设备、摄像设备进入库区</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私自查看、调阅</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复制、存储</w:t>
      </w:r>
      <w:r>
        <w:rPr>
          <w:rFonts w:hint="eastAsia" w:ascii="国标宋体" w:hAnsi="国标宋体" w:eastAsia="国标宋体" w:cs="国标宋体"/>
          <w:color w:val="auto"/>
          <w:sz w:val="24"/>
          <w:szCs w:val="24"/>
          <w:highlight w:val="none"/>
          <w:lang w:eastAsia="zh-CN"/>
        </w:rPr>
        <w:t>物资的</w:t>
      </w:r>
      <w:r>
        <w:rPr>
          <w:rFonts w:hint="eastAsia" w:ascii="国标宋体" w:hAnsi="国标宋体" w:eastAsia="国标宋体" w:cs="国标宋体"/>
          <w:color w:val="auto"/>
          <w:sz w:val="24"/>
          <w:szCs w:val="24"/>
          <w:highlight w:val="none"/>
        </w:rPr>
        <w:t>信息</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严禁在管理信息终端上搭载任何外接设备</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严禁向任何人泄露管理系统登录账号、密码</w:t>
      </w:r>
      <w:r>
        <w:rPr>
          <w:rFonts w:hint="eastAsia" w:ascii="国标宋体" w:hAnsi="国标宋体" w:eastAsia="国标宋体" w:cs="国标宋体"/>
          <w:color w:val="auto"/>
          <w:sz w:val="24"/>
          <w:szCs w:val="24"/>
          <w:highlight w:val="none"/>
          <w:lang w:eastAsia="zh-CN"/>
        </w:rPr>
        <w:t>及其他相关信息。</w:t>
      </w:r>
    </w:p>
    <w:p w14:paraId="4CACC2E9">
      <w:pPr>
        <w:wordWrap/>
        <w:autoSpaceDE w:val="0"/>
        <w:autoSpaceDN w:val="0"/>
        <w:spacing w:line="500" w:lineRule="exact"/>
        <w:ind w:right="-178" w:rightChars="-85" w:firstLine="480" w:firstLineChars="20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3.</w:t>
      </w:r>
      <w:r>
        <w:rPr>
          <w:rFonts w:hint="eastAsia" w:ascii="国标宋体" w:hAnsi="国标宋体" w:eastAsia="国标宋体" w:cs="国标宋体"/>
          <w:color w:val="auto"/>
          <w:sz w:val="24"/>
          <w:szCs w:val="24"/>
          <w:highlight w:val="none"/>
        </w:rPr>
        <w:t>供应商应自行承担项目实施过程中的安全责任，采购人在任何情况下不承担任何责任。</w:t>
      </w:r>
    </w:p>
    <w:p w14:paraId="5EDD34A9">
      <w:pPr>
        <w:wordWrap/>
        <w:autoSpaceDE w:val="0"/>
        <w:autoSpaceDN w:val="0"/>
        <w:spacing w:line="500" w:lineRule="exact"/>
        <w:ind w:right="-178" w:rightChars="-85" w:firstLine="480" w:firstLineChars="20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4.</w:t>
      </w:r>
      <w:r>
        <w:rPr>
          <w:rFonts w:hint="eastAsia" w:ascii="国标宋体" w:hAnsi="国标宋体" w:eastAsia="国标宋体" w:cs="国标宋体"/>
          <w:color w:val="auto"/>
          <w:sz w:val="24"/>
          <w:szCs w:val="24"/>
          <w:highlight w:val="none"/>
        </w:rPr>
        <w:t>在服务期内，当出现问题时，中标供应商应承诺在</w:t>
      </w:r>
      <w:r>
        <w:rPr>
          <w:rFonts w:hint="eastAsia" w:ascii="国标宋体" w:hAnsi="国标宋体" w:eastAsia="国标宋体" w:cs="国标宋体"/>
          <w:color w:val="auto"/>
          <w:sz w:val="24"/>
          <w:szCs w:val="24"/>
          <w:highlight w:val="none"/>
          <w:lang w:val="en-US" w:eastAsia="zh-CN"/>
        </w:rPr>
        <w:t>1</w:t>
      </w:r>
      <w:r>
        <w:rPr>
          <w:rFonts w:hint="eastAsia" w:ascii="国标宋体" w:hAnsi="国标宋体" w:eastAsia="国标宋体" w:cs="国标宋体"/>
          <w:color w:val="auto"/>
          <w:sz w:val="24"/>
          <w:szCs w:val="24"/>
          <w:highlight w:val="none"/>
        </w:rPr>
        <w:t>小时内响应并提出解决方案，</w:t>
      </w:r>
      <w:r>
        <w:rPr>
          <w:rFonts w:hint="eastAsia" w:ascii="国标宋体" w:hAnsi="国标宋体" w:eastAsia="国标宋体" w:cs="国标宋体"/>
          <w:color w:val="auto"/>
          <w:sz w:val="24"/>
          <w:szCs w:val="24"/>
          <w:highlight w:val="none"/>
          <w:lang w:val="en-US" w:eastAsia="zh-CN"/>
        </w:rPr>
        <w:t>2</w:t>
      </w:r>
      <w:r>
        <w:rPr>
          <w:rFonts w:hint="eastAsia" w:ascii="国标宋体" w:hAnsi="国标宋体" w:eastAsia="国标宋体" w:cs="国标宋体"/>
          <w:color w:val="auto"/>
          <w:sz w:val="24"/>
          <w:szCs w:val="24"/>
          <w:highlight w:val="none"/>
        </w:rPr>
        <w:t xml:space="preserve">小时之内到现场对存在问题进行处理，并提出相应防范措施。如果逾期未作出响应，供应商应承担由于故障所造成的全部损失。 </w:t>
      </w:r>
    </w:p>
    <w:p w14:paraId="0250FD5F">
      <w:pPr>
        <w:wordWrap/>
        <w:autoSpaceDE w:val="0"/>
        <w:autoSpaceDN w:val="0"/>
        <w:spacing w:line="500" w:lineRule="exact"/>
        <w:ind w:right="-178" w:rightChars="-85" w:firstLine="480" w:firstLineChars="200"/>
        <w:jc w:val="both"/>
        <w:textAlignment w:val="bottom"/>
        <w:rPr>
          <w:rFonts w:hint="eastAsia" w:ascii="国标宋体" w:hAnsi="国标宋体" w:eastAsia="国标宋体" w:cs="国标宋体"/>
          <w:color w:val="auto"/>
          <w:sz w:val="24"/>
          <w:szCs w:val="24"/>
          <w:highlight w:val="none"/>
          <w:lang w:val="en-US"/>
        </w:rPr>
      </w:pPr>
      <w:r>
        <w:rPr>
          <w:rFonts w:hint="eastAsia" w:ascii="国标宋体" w:hAnsi="国标宋体" w:eastAsia="国标宋体" w:cs="国标宋体"/>
          <w:color w:val="auto"/>
          <w:sz w:val="24"/>
          <w:szCs w:val="24"/>
          <w:highlight w:val="none"/>
          <w:lang w:val="en-US" w:eastAsia="zh-CN"/>
        </w:rPr>
        <w:t>5</w:t>
      </w:r>
      <w:r>
        <w:rPr>
          <w:rFonts w:hint="eastAsia" w:ascii="国标宋体" w:hAnsi="国标宋体" w:eastAsia="国标宋体" w:cs="国标宋体"/>
          <w:color w:val="auto"/>
          <w:sz w:val="24"/>
          <w:szCs w:val="24"/>
          <w:highlight w:val="none"/>
        </w:rPr>
        <w:t>.</w:t>
      </w:r>
      <w:r>
        <w:rPr>
          <w:rFonts w:hint="eastAsia" w:ascii="国标宋体" w:hAnsi="国标宋体" w:eastAsia="国标宋体" w:cs="国标宋体"/>
          <w:color w:val="auto"/>
          <w:sz w:val="24"/>
          <w:szCs w:val="24"/>
          <w:highlight w:val="none"/>
          <w:lang w:eastAsia="zh-CN"/>
        </w:rPr>
        <w:t>在运营服务中，供应商</w:t>
      </w:r>
      <w:r>
        <w:rPr>
          <w:rFonts w:hint="eastAsia" w:ascii="国标宋体" w:hAnsi="国标宋体" w:eastAsia="国标宋体" w:cs="国标宋体"/>
          <w:color w:val="auto"/>
          <w:sz w:val="24"/>
          <w:szCs w:val="24"/>
          <w:highlight w:val="none"/>
        </w:rPr>
        <w:t>应按照《中华人民共和国网络安全法》《中华人民共和国数据安全法》《中华人民共和国个人信息保护法》等法律法规及规章制度的要求，履行网络和数据安全保护义务。应加强网络和数据安全风险监测，制定网络与数据安全应急预案，完善应急机制。一旦发现数据安全缺陷、漏洞等风险时，立即采取补救措施；发生数据安全事件时，立即采取处置措施。</w:t>
      </w:r>
    </w:p>
    <w:p w14:paraId="7484FDEE">
      <w:pPr>
        <w:pStyle w:val="622"/>
        <w:widowControl w:val="0"/>
        <w:wordWrap/>
        <w:autoSpaceDE w:val="0"/>
        <w:autoSpaceDN w:val="0"/>
        <w:adjustRightInd w:val="0"/>
        <w:spacing w:line="500" w:lineRule="exact"/>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六、服务人员及管理要求</w:t>
      </w:r>
    </w:p>
    <w:p w14:paraId="61DC000E">
      <w:pPr>
        <w:wordWrap/>
        <w:autoSpaceDE w:val="0"/>
        <w:autoSpaceDN w:val="0"/>
        <w:spacing w:line="500" w:lineRule="exact"/>
        <w:ind w:right="-178" w:rightChars="-85"/>
        <w:jc w:val="both"/>
        <w:textAlignment w:val="bottom"/>
        <w:rPr>
          <w:rFonts w:hint="eastAsia" w:ascii="国标宋体" w:hAnsi="国标宋体" w:eastAsia="国标宋体" w:cs="国标宋体"/>
          <w:color w:val="auto"/>
          <w:sz w:val="24"/>
          <w:szCs w:val="24"/>
          <w:highlight w:val="none"/>
          <w:lang w:eastAsia="zh-CN"/>
        </w:rPr>
      </w:pPr>
      <w:r>
        <w:rPr>
          <w:rFonts w:hint="eastAsia" w:ascii="国标宋体" w:hAnsi="国标宋体" w:eastAsia="国标宋体" w:cs="国标宋体"/>
          <w:color w:val="auto"/>
          <w:sz w:val="24"/>
          <w:szCs w:val="24"/>
          <w:highlight w:val="none"/>
          <w:lang w:val="en-US" w:eastAsia="zh-CN"/>
        </w:rPr>
        <w:t xml:space="preserve">  </w:t>
      </w:r>
      <w:r>
        <w:rPr>
          <w:rFonts w:hint="eastAsia" w:ascii="国标宋体" w:hAnsi="国标宋体" w:eastAsia="国标宋体" w:cs="国标宋体"/>
          <w:color w:val="auto"/>
          <w:kern w:val="2"/>
          <w:sz w:val="24"/>
          <w:szCs w:val="24"/>
          <w:highlight w:val="none"/>
          <w:lang w:val="en-US" w:eastAsia="zh-CN" w:bidi="ar-SA"/>
        </w:rPr>
        <w:t xml:space="preserve">  1.</w:t>
      </w:r>
      <w:r>
        <w:rPr>
          <w:rFonts w:hint="eastAsia" w:ascii="国标宋体" w:hAnsi="国标宋体" w:eastAsia="国标宋体" w:cs="国标宋体"/>
          <w:color w:val="auto"/>
          <w:sz w:val="24"/>
          <w:szCs w:val="24"/>
          <w:highlight w:val="none"/>
        </w:rPr>
        <w:t>按要求</w:t>
      </w:r>
      <w:r>
        <w:rPr>
          <w:rFonts w:hint="eastAsia" w:ascii="国标宋体" w:hAnsi="国标宋体" w:eastAsia="国标宋体" w:cs="国标宋体"/>
          <w:color w:val="auto"/>
          <w:sz w:val="24"/>
          <w:szCs w:val="24"/>
          <w:highlight w:val="none"/>
          <w:lang w:eastAsia="zh-CN"/>
        </w:rPr>
        <w:t>配备本项目组人员</w:t>
      </w:r>
      <w:r>
        <w:rPr>
          <w:rFonts w:hint="eastAsia" w:ascii="国标宋体" w:hAnsi="国标宋体" w:eastAsia="国标宋体" w:cs="国标宋体"/>
          <w:color w:val="auto"/>
          <w:sz w:val="24"/>
          <w:szCs w:val="24"/>
          <w:highlight w:val="none"/>
        </w:rPr>
        <w:t>，并保持人员的稳定</w:t>
      </w:r>
      <w:r>
        <w:rPr>
          <w:rFonts w:hint="eastAsia" w:ascii="国标宋体" w:hAnsi="国标宋体" w:eastAsia="国标宋体" w:cs="国标宋体"/>
          <w:color w:val="auto"/>
          <w:sz w:val="24"/>
          <w:szCs w:val="24"/>
          <w:highlight w:val="none"/>
          <w:lang w:eastAsia="zh-CN"/>
        </w:rPr>
        <w:t>。如遇特殊情况需借用本项目工作人员，须报请采购人批准，并保证本项目正常运行。遇调动或辞职时，需提前</w:t>
      </w:r>
      <w:r>
        <w:rPr>
          <w:rFonts w:hint="eastAsia" w:ascii="国标宋体" w:hAnsi="国标宋体" w:eastAsia="国标宋体" w:cs="国标宋体"/>
          <w:color w:val="auto"/>
          <w:sz w:val="24"/>
          <w:szCs w:val="24"/>
          <w:highlight w:val="none"/>
          <w:lang w:val="en-US" w:eastAsia="zh-CN"/>
        </w:rPr>
        <w:t>3</w:t>
      </w:r>
      <w:r>
        <w:rPr>
          <w:rFonts w:hint="eastAsia" w:ascii="国标宋体" w:hAnsi="国标宋体" w:eastAsia="国标宋体" w:cs="国标宋体"/>
          <w:color w:val="auto"/>
          <w:sz w:val="24"/>
          <w:szCs w:val="24"/>
          <w:highlight w:val="none"/>
          <w:lang w:eastAsia="zh-CN"/>
        </w:rPr>
        <w:t>0天告知采购人并得到同意后才能更换，</w:t>
      </w:r>
      <w:r>
        <w:rPr>
          <w:rFonts w:hint="eastAsia" w:ascii="国标宋体" w:hAnsi="国标宋体" w:eastAsia="国标宋体" w:cs="国标宋体"/>
          <w:color w:val="auto"/>
          <w:sz w:val="24"/>
          <w:szCs w:val="24"/>
          <w:highlight w:val="none"/>
        </w:rPr>
        <w:t>中标供应商</w:t>
      </w:r>
      <w:r>
        <w:rPr>
          <w:rFonts w:hint="eastAsia" w:ascii="国标宋体" w:hAnsi="国标宋体" w:eastAsia="国标宋体" w:cs="国标宋体"/>
          <w:color w:val="auto"/>
          <w:sz w:val="24"/>
          <w:szCs w:val="24"/>
          <w:highlight w:val="none"/>
          <w:lang w:eastAsia="zh-CN"/>
        </w:rPr>
        <w:t>按要求及时补充相应人员，提前做好交接班。无故更换或者不经采购人同意擅自更换按违约处理。对采购人认为无能力、工作失职或不合适人员，应立即更换。岗位人数不足时，按相应岗位成本扣除服务费。</w:t>
      </w:r>
    </w:p>
    <w:p w14:paraId="693F2457">
      <w:pPr>
        <w:wordWrap/>
        <w:autoSpaceDE w:val="0"/>
        <w:autoSpaceDN w:val="0"/>
        <w:spacing w:line="500" w:lineRule="exact"/>
        <w:ind w:right="-178" w:rightChars="-85"/>
        <w:jc w:val="both"/>
        <w:textAlignment w:val="bottom"/>
        <w:rPr>
          <w:rFonts w:hint="eastAsia" w:ascii="国标宋体" w:hAnsi="国标宋体" w:eastAsia="国标宋体" w:cs="国标宋体"/>
          <w:color w:val="auto"/>
          <w:sz w:val="24"/>
          <w:szCs w:val="24"/>
          <w:highlight w:val="none"/>
          <w:lang w:val="en-US" w:eastAsia="zh-CN"/>
        </w:rPr>
      </w:pPr>
      <w:r>
        <w:rPr>
          <w:rFonts w:hint="eastAsia" w:ascii="国标宋体" w:hAnsi="国标宋体" w:eastAsia="国标宋体" w:cs="国标宋体"/>
          <w:color w:val="auto"/>
          <w:sz w:val="24"/>
          <w:szCs w:val="24"/>
          <w:highlight w:val="none"/>
          <w:lang w:val="en-US" w:eastAsia="zh-CN"/>
        </w:rPr>
        <w:t xml:space="preserve">    2.具有明晰的岗位职责及安全保密措施。管理人员要忠于职守，严禁任何情况下代替委托方签字，自觉做好安全防范工作，确保各类物资的完整和安全。</w:t>
      </w:r>
    </w:p>
    <w:p w14:paraId="3E7B7D29">
      <w:pPr>
        <w:wordWrap/>
        <w:autoSpaceDE w:val="0"/>
        <w:autoSpaceDN w:val="0"/>
        <w:spacing w:line="500" w:lineRule="exact"/>
        <w:ind w:right="-178" w:rightChars="-85"/>
        <w:jc w:val="both"/>
        <w:textAlignment w:val="bottom"/>
        <w:rPr>
          <w:rFonts w:hint="eastAsia" w:ascii="国标宋体" w:hAnsi="国标宋体" w:eastAsia="国标宋体" w:cs="国标宋体"/>
          <w:color w:val="auto"/>
          <w:kern w:val="2"/>
          <w:sz w:val="24"/>
          <w:szCs w:val="24"/>
          <w:highlight w:val="none"/>
          <w:lang w:val="en-US" w:eastAsia="zh-CN" w:bidi="ar-SA"/>
        </w:rPr>
      </w:pPr>
      <w:r>
        <w:rPr>
          <w:rFonts w:hint="eastAsia" w:ascii="国标宋体" w:hAnsi="国标宋体" w:eastAsia="国标宋体" w:cs="国标宋体"/>
          <w:color w:val="auto"/>
          <w:sz w:val="24"/>
          <w:szCs w:val="24"/>
          <w:highlight w:val="none"/>
          <w:lang w:val="en-US" w:eastAsia="zh-CN"/>
        </w:rPr>
        <w:t xml:space="preserve">    3.所有服务人员实行统一管理，统一着装，实行挂牌服务，态度热情，服</w:t>
      </w:r>
      <w:r>
        <w:rPr>
          <w:rFonts w:hint="eastAsia" w:ascii="国标宋体" w:hAnsi="国标宋体" w:eastAsia="国标宋体" w:cs="国标宋体"/>
          <w:color w:val="auto"/>
          <w:kern w:val="2"/>
          <w:sz w:val="24"/>
          <w:szCs w:val="24"/>
          <w:highlight w:val="none"/>
          <w:lang w:val="en-US" w:eastAsia="zh-CN" w:bidi="ar-SA"/>
        </w:rPr>
        <w:t>务规范应符合法律法规的要求。</w:t>
      </w:r>
    </w:p>
    <w:p w14:paraId="73BBD825">
      <w:pPr>
        <w:pStyle w:val="261"/>
        <w:tabs>
          <w:tab w:val="left" w:pos="1134"/>
        </w:tabs>
        <w:wordWrap/>
        <w:spacing w:line="500" w:lineRule="exact"/>
        <w:ind w:firstLine="0" w:firstLineChars="0"/>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color w:val="auto"/>
          <w:kern w:val="2"/>
          <w:sz w:val="24"/>
          <w:szCs w:val="24"/>
          <w:highlight w:val="none"/>
          <w:lang w:val="en-US" w:eastAsia="zh-CN" w:bidi="ar-SA"/>
        </w:rPr>
        <w:t xml:space="preserve">   </w:t>
      </w:r>
      <w:r>
        <w:rPr>
          <w:rFonts w:hint="eastAsia" w:ascii="国标宋体" w:hAnsi="国标宋体" w:eastAsia="国标宋体" w:cs="国标宋体"/>
          <w:color w:val="auto"/>
          <w:sz w:val="24"/>
          <w:szCs w:val="24"/>
          <w:highlight w:val="none"/>
          <w:lang w:val="en-US" w:eastAsia="zh-CN"/>
        </w:rPr>
        <w:t>▲</w:t>
      </w:r>
      <w:r>
        <w:rPr>
          <w:rFonts w:hint="eastAsia" w:ascii="国标宋体" w:hAnsi="国标宋体" w:eastAsia="国标宋体" w:cs="国标宋体"/>
          <w:color w:val="auto"/>
          <w:kern w:val="2"/>
          <w:sz w:val="24"/>
          <w:szCs w:val="24"/>
          <w:highlight w:val="none"/>
          <w:lang w:val="en-US" w:eastAsia="zh-CN" w:bidi="ar-SA"/>
        </w:rPr>
        <w:t xml:space="preserve"> 4.</w:t>
      </w:r>
      <w:r>
        <w:rPr>
          <w:rFonts w:hint="eastAsia" w:ascii="国标宋体" w:hAnsi="国标宋体" w:eastAsia="国标宋体" w:cs="国标宋体"/>
          <w:b/>
          <w:bCs/>
          <w:color w:val="auto"/>
          <w:kern w:val="2"/>
          <w:sz w:val="24"/>
          <w:szCs w:val="24"/>
          <w:highlight w:val="none"/>
          <w:lang w:val="en-US" w:eastAsia="zh-CN" w:bidi="ar-SA"/>
        </w:rPr>
        <w:t>相关</w:t>
      </w:r>
      <w:r>
        <w:rPr>
          <w:rFonts w:hint="eastAsia" w:ascii="国标宋体" w:hAnsi="国标宋体" w:eastAsia="国标宋体" w:cs="国标宋体"/>
          <w:b/>
          <w:bCs/>
          <w:color w:val="auto"/>
          <w:sz w:val="24"/>
          <w:szCs w:val="24"/>
          <w:highlight w:val="none"/>
        </w:rPr>
        <w:t>服务工种</w:t>
      </w:r>
      <w:r>
        <w:rPr>
          <w:rFonts w:hint="eastAsia" w:ascii="国标宋体" w:hAnsi="国标宋体" w:eastAsia="国标宋体" w:cs="国标宋体"/>
          <w:b/>
          <w:bCs/>
          <w:color w:val="auto"/>
          <w:sz w:val="24"/>
          <w:szCs w:val="24"/>
          <w:highlight w:val="none"/>
          <w:lang w:eastAsia="zh-CN"/>
        </w:rPr>
        <w:t>须</w:t>
      </w:r>
      <w:r>
        <w:rPr>
          <w:rFonts w:hint="eastAsia" w:ascii="国标宋体" w:hAnsi="国标宋体" w:eastAsia="国标宋体" w:cs="国标宋体"/>
          <w:b/>
          <w:bCs/>
          <w:color w:val="auto"/>
          <w:sz w:val="24"/>
          <w:szCs w:val="24"/>
          <w:highlight w:val="none"/>
        </w:rPr>
        <w:t>持证上岗</w:t>
      </w:r>
      <w:r>
        <w:rPr>
          <w:rFonts w:hint="eastAsia" w:ascii="国标宋体" w:hAnsi="国标宋体" w:eastAsia="国标宋体" w:cs="国标宋体"/>
          <w:b/>
          <w:bCs/>
          <w:color w:val="auto"/>
          <w:sz w:val="24"/>
          <w:szCs w:val="24"/>
          <w:highlight w:val="none"/>
          <w:lang w:eastAsia="zh-CN"/>
        </w:rPr>
        <w:t>，</w:t>
      </w:r>
      <w:r>
        <w:rPr>
          <w:rFonts w:hint="eastAsia" w:ascii="国标宋体" w:hAnsi="国标宋体" w:eastAsia="国标宋体" w:cs="国标宋体"/>
          <w:b/>
          <w:bCs/>
          <w:color w:val="auto"/>
          <w:sz w:val="24"/>
          <w:szCs w:val="24"/>
          <w:highlight w:val="none"/>
        </w:rPr>
        <w:t>中标单位进场服务一个月内，须向采购人提供按国家有关部门规定</w:t>
      </w:r>
      <w:r>
        <w:rPr>
          <w:rFonts w:hint="eastAsia" w:ascii="国标宋体" w:hAnsi="国标宋体" w:eastAsia="国标宋体" w:cs="国标宋体"/>
          <w:b/>
          <w:bCs/>
          <w:color w:val="auto"/>
          <w:sz w:val="24"/>
          <w:szCs w:val="24"/>
          <w:highlight w:val="none"/>
          <w:lang w:eastAsia="zh-CN"/>
        </w:rPr>
        <w:t>的相关证件并</w:t>
      </w:r>
      <w:r>
        <w:rPr>
          <w:rFonts w:hint="eastAsia" w:ascii="国标宋体" w:hAnsi="国标宋体" w:eastAsia="国标宋体" w:cs="国标宋体"/>
          <w:b/>
          <w:bCs/>
          <w:color w:val="auto"/>
          <w:sz w:val="24"/>
          <w:szCs w:val="24"/>
          <w:highlight w:val="none"/>
        </w:rPr>
        <w:t>有年审合格记录</w:t>
      </w:r>
      <w:r>
        <w:rPr>
          <w:rFonts w:hint="eastAsia" w:ascii="国标宋体" w:hAnsi="国标宋体" w:eastAsia="国标宋体" w:cs="国标宋体"/>
          <w:b/>
          <w:bCs/>
          <w:color w:val="auto"/>
          <w:sz w:val="24"/>
          <w:szCs w:val="24"/>
          <w:highlight w:val="none"/>
          <w:lang w:eastAsia="zh-CN"/>
        </w:rPr>
        <w:t>，</w:t>
      </w:r>
      <w:r>
        <w:rPr>
          <w:rFonts w:hint="eastAsia" w:ascii="国标宋体" w:hAnsi="国标宋体" w:eastAsia="国标宋体" w:cs="国标宋体"/>
          <w:b/>
          <w:bCs/>
          <w:color w:val="auto"/>
          <w:kern w:val="2"/>
          <w:sz w:val="24"/>
          <w:szCs w:val="24"/>
          <w:highlight w:val="none"/>
          <w:lang w:val="en-US" w:eastAsia="zh-CN" w:bidi="ar-SA"/>
        </w:rPr>
        <w:t>重要岗位需定期进行专项技能培训。</w:t>
      </w:r>
      <w:r>
        <w:rPr>
          <w:rFonts w:hint="eastAsia" w:ascii="国标宋体" w:hAnsi="国标宋体" w:eastAsia="国标宋体" w:cs="国标宋体"/>
          <w:b/>
          <w:bCs/>
          <w:color w:val="auto"/>
          <w:sz w:val="24"/>
          <w:szCs w:val="24"/>
          <w:highlight w:val="none"/>
        </w:rPr>
        <w:t>合同签订后，进场服务的项目组主要成员须与投标文件一致，如有出入自动解除合同。</w:t>
      </w:r>
    </w:p>
    <w:p w14:paraId="6905CDDC">
      <w:pPr>
        <w:pStyle w:val="261"/>
        <w:widowControl w:val="0"/>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w:t>
      </w:r>
      <w:r>
        <w:rPr>
          <w:rFonts w:hint="eastAsia" w:ascii="国标宋体" w:hAnsi="国标宋体" w:eastAsia="国标宋体" w:cs="国标宋体"/>
          <w:color w:val="auto"/>
          <w:sz w:val="24"/>
          <w:szCs w:val="24"/>
          <w:highlight w:val="none"/>
        </w:rPr>
        <w:t>▲</w:t>
      </w:r>
      <w:r>
        <w:rPr>
          <w:rFonts w:hint="eastAsia" w:ascii="国标宋体" w:hAnsi="国标宋体" w:eastAsia="国标宋体" w:cs="国标宋体"/>
          <w:color w:val="auto"/>
          <w:sz w:val="24"/>
          <w:szCs w:val="24"/>
          <w:highlight w:val="none"/>
          <w:lang w:val="en-US" w:eastAsia="zh-CN"/>
        </w:rPr>
        <w:t>5.</w:t>
      </w:r>
      <w:r>
        <w:rPr>
          <w:rFonts w:hint="eastAsia" w:ascii="国标宋体" w:hAnsi="国标宋体" w:eastAsia="国标宋体" w:cs="国标宋体"/>
          <w:b/>
          <w:bCs/>
          <w:color w:val="auto"/>
          <w:sz w:val="24"/>
          <w:szCs w:val="24"/>
          <w:highlight w:val="none"/>
        </w:rPr>
        <w:t>合同签订后，中标单位进场服务一个月内，须向采购人提供</w:t>
      </w:r>
      <w:r>
        <w:rPr>
          <w:rFonts w:hint="eastAsia" w:ascii="国标宋体" w:hAnsi="国标宋体" w:eastAsia="国标宋体" w:cs="国标宋体"/>
          <w:b/>
          <w:bCs/>
          <w:color w:val="auto"/>
          <w:sz w:val="24"/>
          <w:szCs w:val="24"/>
          <w:highlight w:val="none"/>
          <w:lang w:eastAsia="zh-CN"/>
        </w:rPr>
        <w:t>电梯、</w:t>
      </w:r>
      <w:r>
        <w:rPr>
          <w:rFonts w:hint="eastAsia" w:ascii="国标宋体" w:hAnsi="国标宋体" w:eastAsia="国标宋体" w:cs="国标宋体"/>
          <w:b/>
          <w:bCs/>
          <w:color w:val="auto"/>
          <w:sz w:val="24"/>
          <w:szCs w:val="24"/>
          <w:highlight w:val="none"/>
        </w:rPr>
        <w:t>房屋养护维修等国家规定的相应资质证书或有相应资质分包单位的分包协议</w:t>
      </w:r>
      <w:r>
        <w:rPr>
          <w:rFonts w:hint="eastAsia" w:ascii="国标宋体" w:hAnsi="国标宋体" w:eastAsia="国标宋体" w:cs="国标宋体"/>
          <w:b/>
          <w:bCs/>
          <w:color w:val="auto"/>
          <w:sz w:val="24"/>
          <w:szCs w:val="24"/>
          <w:highlight w:val="none"/>
          <w:lang w:eastAsia="zh-CN"/>
        </w:rPr>
        <w:t>（如分包）</w:t>
      </w:r>
      <w:r>
        <w:rPr>
          <w:rFonts w:hint="eastAsia" w:ascii="国标宋体" w:hAnsi="国标宋体" w:eastAsia="国标宋体" w:cs="国标宋体"/>
          <w:b/>
          <w:bCs/>
          <w:color w:val="auto"/>
          <w:sz w:val="24"/>
          <w:szCs w:val="24"/>
          <w:highlight w:val="none"/>
        </w:rPr>
        <w:t>，否则自动解除合同。</w:t>
      </w:r>
    </w:p>
    <w:p w14:paraId="38670683">
      <w:pPr>
        <w:pStyle w:val="261"/>
        <w:numPr>
          <w:ilvl w:val="0"/>
          <w:numId w:val="0"/>
        </w:numPr>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color w:val="auto"/>
          <w:sz w:val="24"/>
          <w:szCs w:val="24"/>
          <w:highlight w:val="none"/>
          <w:lang w:val="en-US" w:eastAsia="zh-CN"/>
        </w:rPr>
        <w:t xml:space="preserve">    6.</w:t>
      </w:r>
      <w:r>
        <w:rPr>
          <w:rFonts w:hint="eastAsia" w:ascii="国标宋体" w:hAnsi="国标宋体" w:eastAsia="国标宋体" w:cs="国标宋体"/>
          <w:color w:val="auto"/>
          <w:sz w:val="24"/>
          <w:szCs w:val="24"/>
          <w:highlight w:val="none"/>
        </w:rPr>
        <w:t>派驻服务人员由中标供应商自行管理，并按照法律法规和地方政府的规定支付服务人员工资、福利、保险、奖金、加班费等一切费用。采购人一律不再支付任何费用。</w:t>
      </w:r>
      <w:r>
        <w:rPr>
          <w:rFonts w:hint="eastAsia" w:ascii="国标宋体" w:hAnsi="国标宋体" w:eastAsia="国标宋体" w:cs="国标宋体"/>
          <w:b w:val="0"/>
          <w:color w:val="auto"/>
          <w:kern w:val="2"/>
          <w:sz w:val="24"/>
          <w:szCs w:val="24"/>
          <w:highlight w:val="none"/>
          <w:lang w:val="en-US" w:eastAsia="zh-CN" w:bidi="ar-SA"/>
        </w:rPr>
        <w:t>服务人员实行综合制工作劳动制度，节假日有紧急情况或任务时第一时间响应。</w:t>
      </w:r>
    </w:p>
    <w:p w14:paraId="6393A6DD">
      <w:pPr>
        <w:pStyle w:val="261"/>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7.</w:t>
      </w:r>
      <w:r>
        <w:rPr>
          <w:rFonts w:hint="eastAsia" w:ascii="国标宋体" w:hAnsi="国标宋体" w:eastAsia="国标宋体" w:cs="国标宋体"/>
          <w:color w:val="auto"/>
          <w:sz w:val="24"/>
          <w:szCs w:val="24"/>
          <w:highlight w:val="none"/>
        </w:rPr>
        <w:t>中标供应商的驻派服务人员应遵守安全操作规章制度，若发生人身伤害</w:t>
      </w:r>
      <w:r>
        <w:rPr>
          <w:rFonts w:hint="eastAsia" w:ascii="国标宋体" w:hAnsi="国标宋体" w:eastAsia="国标宋体" w:cs="国标宋体"/>
          <w:color w:val="auto"/>
          <w:sz w:val="24"/>
          <w:szCs w:val="24"/>
          <w:highlight w:val="none"/>
          <w:lang w:eastAsia="zh-CN"/>
        </w:rPr>
        <w:t>、运输事故</w:t>
      </w:r>
      <w:r>
        <w:rPr>
          <w:rFonts w:hint="eastAsia" w:ascii="国标宋体" w:hAnsi="国标宋体" w:eastAsia="国标宋体" w:cs="国标宋体"/>
          <w:color w:val="auto"/>
          <w:sz w:val="24"/>
          <w:szCs w:val="24"/>
          <w:highlight w:val="none"/>
        </w:rPr>
        <w:t>及意外伤害等工伤事故，由中标供应商负责，与采购人无关。</w:t>
      </w:r>
    </w:p>
    <w:p w14:paraId="40B1EEC7">
      <w:pPr>
        <w:pStyle w:val="261"/>
        <w:widowControl w:val="0"/>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8.</w:t>
      </w:r>
      <w:r>
        <w:rPr>
          <w:rFonts w:hint="eastAsia" w:ascii="国标宋体" w:hAnsi="国标宋体" w:eastAsia="国标宋体" w:cs="国标宋体"/>
          <w:color w:val="auto"/>
          <w:sz w:val="24"/>
          <w:szCs w:val="24"/>
          <w:highlight w:val="none"/>
        </w:rPr>
        <w:t>所有的工作除应按中标单位的内部流程实施外还应接受采购单位或第三方的检查。中标单位达不到采购单位要求及各项服务承诺，采购单位有权要求其整改，直至扣款或终止合同。</w:t>
      </w:r>
    </w:p>
    <w:p w14:paraId="5AED33C1">
      <w:pPr>
        <w:pStyle w:val="3"/>
        <w:numPr>
          <w:ilvl w:val="0"/>
          <w:numId w:val="0"/>
        </w:numPr>
        <w:wordWrap/>
        <w:spacing w:line="500" w:lineRule="exact"/>
        <w:ind w:leftChars="200"/>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七、结算方式：</w:t>
      </w:r>
    </w:p>
    <w:p w14:paraId="79EF6F2D">
      <w:pPr>
        <w:pStyle w:val="261"/>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新宋体" w:hAnsi="新宋体" w:eastAsia="新宋体" w:cs="新宋体"/>
          <w:color w:val="auto"/>
          <w:sz w:val="24"/>
          <w:szCs w:val="24"/>
          <w:highlight w:val="none"/>
          <w:shd w:val="clear" w:color="040000" w:fill="FFFFFF"/>
          <w:lang w:val="en-US" w:eastAsia="zh-CN"/>
        </w:rPr>
        <w:t xml:space="preserve">    </w:t>
      </w:r>
      <w:r>
        <w:rPr>
          <w:rFonts w:hint="eastAsia" w:ascii="国标宋体" w:hAnsi="国标宋体" w:eastAsia="国标宋体" w:cs="国标宋体"/>
          <w:color w:val="auto"/>
          <w:sz w:val="24"/>
          <w:szCs w:val="24"/>
          <w:highlight w:val="none"/>
          <w:lang w:val="en-US" w:eastAsia="zh-CN"/>
        </w:rPr>
        <w:t>1、</w:t>
      </w:r>
      <w:r>
        <w:rPr>
          <w:rFonts w:hint="eastAsia" w:ascii="国标宋体" w:hAnsi="国标宋体" w:eastAsia="国标宋体" w:cs="国标宋体"/>
          <w:color w:val="auto"/>
          <w:sz w:val="24"/>
          <w:szCs w:val="24"/>
          <w:highlight w:val="none"/>
        </w:rPr>
        <w:t>自合同签订后</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lang w:val="en-US" w:eastAsia="zh-CN"/>
        </w:rPr>
        <w:t>具备支付条件5个工作日内，甲方向乙方支付合同金额的40%作为预付款；</w:t>
      </w:r>
      <w:r>
        <w:rPr>
          <w:rFonts w:hint="eastAsia" w:ascii="国标宋体" w:hAnsi="国标宋体" w:eastAsia="国标宋体" w:cs="国标宋体"/>
          <w:color w:val="auto"/>
          <w:sz w:val="24"/>
          <w:szCs w:val="24"/>
          <w:highlight w:val="none"/>
        </w:rPr>
        <w:t>每</w:t>
      </w:r>
      <w:r>
        <w:rPr>
          <w:rFonts w:hint="eastAsia" w:ascii="国标宋体" w:hAnsi="国标宋体" w:eastAsia="国标宋体" w:cs="国标宋体"/>
          <w:color w:val="auto"/>
          <w:sz w:val="24"/>
          <w:szCs w:val="24"/>
          <w:highlight w:val="none"/>
          <w:lang w:val="en-US" w:eastAsia="zh-CN"/>
        </w:rPr>
        <w:t>三个月</w:t>
      </w:r>
      <w:r>
        <w:rPr>
          <w:rFonts w:hint="eastAsia" w:ascii="国标宋体" w:hAnsi="国标宋体" w:eastAsia="国标宋体" w:cs="国标宋体"/>
          <w:color w:val="auto"/>
          <w:sz w:val="24"/>
          <w:szCs w:val="24"/>
          <w:highlight w:val="none"/>
        </w:rPr>
        <w:t>经考核合格</w:t>
      </w:r>
      <w:r>
        <w:rPr>
          <w:rFonts w:hint="eastAsia" w:ascii="国标宋体" w:hAnsi="国标宋体" w:eastAsia="国标宋体" w:cs="国标宋体"/>
          <w:color w:val="auto"/>
          <w:sz w:val="24"/>
          <w:szCs w:val="24"/>
          <w:highlight w:val="none"/>
          <w:lang w:val="en-US" w:eastAsia="zh-CN"/>
        </w:rPr>
        <w:t>后，具备支付条件5个工作日内，甲方向乙方</w:t>
      </w:r>
      <w:r>
        <w:rPr>
          <w:rFonts w:hint="eastAsia" w:ascii="国标宋体" w:hAnsi="国标宋体" w:eastAsia="国标宋体" w:cs="国标宋体"/>
          <w:color w:val="auto"/>
          <w:sz w:val="24"/>
          <w:szCs w:val="24"/>
          <w:highlight w:val="none"/>
        </w:rPr>
        <w:t>支付年合同价的</w:t>
      </w:r>
      <w:r>
        <w:rPr>
          <w:rFonts w:hint="eastAsia" w:ascii="国标宋体" w:hAnsi="国标宋体" w:eastAsia="国标宋体" w:cs="国标宋体"/>
          <w:color w:val="auto"/>
          <w:sz w:val="24"/>
          <w:szCs w:val="24"/>
          <w:highlight w:val="none"/>
          <w:lang w:val="en-US" w:eastAsia="zh-CN"/>
        </w:rPr>
        <w:t>15</w:t>
      </w:r>
      <w:r>
        <w:rPr>
          <w:rFonts w:hint="eastAsia" w:ascii="国标宋体" w:hAnsi="国标宋体" w:eastAsia="国标宋体" w:cs="国标宋体"/>
          <w:color w:val="auto"/>
          <w:sz w:val="24"/>
          <w:szCs w:val="24"/>
          <w:highlight w:val="none"/>
        </w:rPr>
        <w:t>%。</w:t>
      </w:r>
    </w:p>
    <w:p w14:paraId="66E3DFAB">
      <w:pPr>
        <w:pStyle w:val="261"/>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2、</w:t>
      </w:r>
      <w:r>
        <w:rPr>
          <w:rFonts w:hint="eastAsia" w:ascii="国标宋体" w:hAnsi="国标宋体" w:eastAsia="国标宋体" w:cs="国标宋体"/>
          <w:color w:val="auto"/>
          <w:sz w:val="24"/>
          <w:szCs w:val="24"/>
          <w:highlight w:val="none"/>
        </w:rPr>
        <w:t>中标人因合同违约、工作失误或根据考核结果造成的扣款，采购人在支付每三个月服务费时在应支付的服务费中相应扣除。</w:t>
      </w:r>
    </w:p>
    <w:p w14:paraId="74950665">
      <w:pPr>
        <w:pStyle w:val="261"/>
        <w:numPr>
          <w:ilvl w:val="0"/>
          <w:numId w:val="0"/>
        </w:numPr>
        <w:wordWrap/>
        <w:spacing w:line="500" w:lineRule="exact"/>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3、</w:t>
      </w:r>
      <w:r>
        <w:rPr>
          <w:rFonts w:hint="eastAsia" w:ascii="国标宋体" w:hAnsi="国标宋体" w:eastAsia="国标宋体" w:cs="国标宋体"/>
          <w:color w:val="auto"/>
          <w:sz w:val="24"/>
          <w:szCs w:val="24"/>
          <w:highlight w:val="none"/>
        </w:rPr>
        <w:t>采购人每次付款前，中标人须提交对应金额的正规发票。</w:t>
      </w:r>
    </w:p>
    <w:p w14:paraId="11BE4A32">
      <w:pPr>
        <w:wordWrap/>
        <w:spacing w:line="500" w:lineRule="exact"/>
        <w:ind w:left="-57" w:leftChars="-27" w:right="-176" w:rightChars="-84" w:firstLine="482" w:firstLineChars="200"/>
        <w:jc w:val="both"/>
        <w:rPr>
          <w:rFonts w:hint="eastAsia" w:ascii="国标宋体" w:hAnsi="国标宋体" w:eastAsia="国标宋体" w:cs="国标宋体"/>
          <w:b/>
          <w:bCs/>
          <w:color w:val="auto"/>
          <w:kern w:val="2"/>
          <w:sz w:val="24"/>
          <w:szCs w:val="24"/>
          <w:highlight w:val="none"/>
          <w:lang w:val="en-US" w:eastAsia="zh-CN" w:bidi="ar-SA"/>
        </w:rPr>
      </w:pPr>
      <w:r>
        <w:rPr>
          <w:rFonts w:hint="eastAsia" w:ascii="国标宋体" w:hAnsi="国标宋体" w:eastAsia="国标宋体" w:cs="国标宋体"/>
          <w:b/>
          <w:bCs/>
          <w:color w:val="auto"/>
          <w:kern w:val="2"/>
          <w:sz w:val="24"/>
          <w:szCs w:val="24"/>
          <w:highlight w:val="none"/>
          <w:lang w:val="en-US" w:eastAsia="zh-CN" w:bidi="ar-SA"/>
        </w:rPr>
        <w:t>八、其他要求</w:t>
      </w:r>
    </w:p>
    <w:p w14:paraId="74D889F6">
      <w:pPr>
        <w:pStyle w:val="261"/>
        <w:wordWrap/>
        <w:spacing w:line="500" w:lineRule="exact"/>
        <w:ind w:firstLine="0" w:firstLineChars="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 xml:space="preserve">    1</w:t>
      </w:r>
      <w:r>
        <w:rPr>
          <w:rFonts w:hint="eastAsia" w:ascii="国标宋体" w:hAnsi="国标宋体" w:eastAsia="国标宋体" w:cs="国标宋体"/>
          <w:color w:val="auto"/>
          <w:sz w:val="24"/>
          <w:szCs w:val="24"/>
          <w:highlight w:val="none"/>
          <w:lang w:val="en-US" w:eastAsia="zh-CN"/>
        </w:rPr>
        <w:t>.</w:t>
      </w:r>
      <w:r>
        <w:rPr>
          <w:rFonts w:hint="eastAsia" w:ascii="国标宋体" w:hAnsi="国标宋体" w:eastAsia="国标宋体" w:cs="国标宋体"/>
          <w:color w:val="auto"/>
          <w:sz w:val="24"/>
          <w:szCs w:val="24"/>
          <w:highlight w:val="none"/>
        </w:rPr>
        <w:t>中标供应商不得</w:t>
      </w:r>
      <w:r>
        <w:rPr>
          <w:rFonts w:hint="eastAsia" w:ascii="国标宋体" w:hAnsi="国标宋体" w:eastAsia="国标宋体" w:cs="国标宋体"/>
          <w:color w:val="auto"/>
          <w:sz w:val="24"/>
          <w:szCs w:val="24"/>
          <w:highlight w:val="none"/>
          <w:lang w:val="en-US" w:eastAsia="zh-CN"/>
        </w:rPr>
        <w:t>未经采购人同意下私自</w:t>
      </w:r>
      <w:r>
        <w:rPr>
          <w:rFonts w:hint="eastAsia" w:ascii="国标宋体" w:hAnsi="国标宋体" w:eastAsia="国标宋体" w:cs="国标宋体"/>
          <w:color w:val="auto"/>
          <w:sz w:val="24"/>
          <w:szCs w:val="24"/>
          <w:highlight w:val="none"/>
        </w:rPr>
        <w:t>转包或分包项目内容。未经采购人同意，中标供应商不得对该项目的硬件设施及布置</w:t>
      </w:r>
      <w:r>
        <w:rPr>
          <w:rFonts w:hint="eastAsia" w:ascii="国标宋体" w:hAnsi="国标宋体" w:eastAsia="国标宋体" w:cs="国标宋体"/>
          <w:color w:val="auto"/>
          <w:sz w:val="24"/>
          <w:szCs w:val="24"/>
          <w:highlight w:val="none"/>
          <w:lang w:eastAsia="zh-CN"/>
        </w:rPr>
        <w:t>自行更换</w:t>
      </w:r>
      <w:r>
        <w:rPr>
          <w:rFonts w:hint="eastAsia" w:ascii="国标宋体" w:hAnsi="国标宋体" w:eastAsia="国标宋体" w:cs="国标宋体"/>
          <w:color w:val="auto"/>
          <w:sz w:val="24"/>
          <w:szCs w:val="24"/>
          <w:highlight w:val="none"/>
        </w:rPr>
        <w:t>。</w:t>
      </w:r>
    </w:p>
    <w:p w14:paraId="78D341AE">
      <w:pPr>
        <w:pStyle w:val="261"/>
        <w:wordWrap/>
        <w:spacing w:line="500" w:lineRule="exact"/>
        <w:ind w:firstLine="0" w:firstLineChars="0"/>
        <w:jc w:val="both"/>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 xml:space="preserve">    2</w:t>
      </w:r>
      <w:r>
        <w:rPr>
          <w:rFonts w:hint="eastAsia" w:ascii="国标宋体" w:hAnsi="国标宋体" w:eastAsia="国标宋体" w:cs="国标宋体"/>
          <w:color w:val="auto"/>
          <w:sz w:val="24"/>
          <w:szCs w:val="24"/>
          <w:highlight w:val="none"/>
          <w:lang w:val="en-US" w:eastAsia="zh-CN"/>
        </w:rPr>
        <w:t>.</w:t>
      </w:r>
      <w:r>
        <w:rPr>
          <w:rFonts w:hint="eastAsia" w:ascii="国标宋体" w:hAnsi="国标宋体" w:eastAsia="国标宋体" w:cs="国标宋体"/>
          <w:color w:val="auto"/>
          <w:sz w:val="24"/>
          <w:szCs w:val="24"/>
          <w:highlight w:val="none"/>
        </w:rPr>
        <w:t>中标供应商在做好本职工作的同时，有责任向采购人提供合理化建议，以提高管理效率和管理质量。</w:t>
      </w:r>
    </w:p>
    <w:p w14:paraId="0327DEE4">
      <w:pPr>
        <w:numPr>
          <w:ilvl w:val="0"/>
          <w:numId w:val="0"/>
        </w:numPr>
        <w:wordWrap/>
        <w:autoSpaceDE w:val="0"/>
        <w:autoSpaceDN w:val="0"/>
        <w:spacing w:line="500" w:lineRule="exact"/>
        <w:ind w:right="-178" w:rightChars="-85"/>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lang w:val="en-US" w:eastAsia="zh-CN"/>
        </w:rPr>
        <w:t xml:space="preserve">    3.</w:t>
      </w:r>
      <w:r>
        <w:rPr>
          <w:rFonts w:hint="eastAsia" w:ascii="国标宋体" w:hAnsi="国标宋体" w:eastAsia="国标宋体" w:cs="国标宋体"/>
          <w:color w:val="auto"/>
          <w:sz w:val="24"/>
          <w:szCs w:val="24"/>
          <w:highlight w:val="none"/>
        </w:rPr>
        <w:t>中标供应商使用的工具、器材、消耗品等相关用品必须符合国家相关安全标准，须在指定地点整齐摆放。中标供应商不得私自带无关人员进入</w:t>
      </w:r>
      <w:r>
        <w:rPr>
          <w:rFonts w:hint="eastAsia" w:ascii="国标宋体" w:hAnsi="国标宋体" w:eastAsia="国标宋体" w:cs="国标宋体"/>
          <w:color w:val="auto"/>
          <w:sz w:val="24"/>
          <w:szCs w:val="24"/>
          <w:highlight w:val="none"/>
          <w:lang w:eastAsia="zh-CN"/>
        </w:rPr>
        <w:t>本项目</w:t>
      </w:r>
      <w:r>
        <w:rPr>
          <w:rFonts w:hint="eastAsia" w:ascii="国标宋体" w:hAnsi="国标宋体" w:eastAsia="国标宋体" w:cs="国标宋体"/>
          <w:color w:val="auto"/>
          <w:sz w:val="24"/>
          <w:szCs w:val="24"/>
          <w:highlight w:val="none"/>
        </w:rPr>
        <w:t>，</w:t>
      </w:r>
      <w:r>
        <w:rPr>
          <w:rFonts w:hint="eastAsia" w:ascii="国标宋体" w:hAnsi="国标宋体" w:eastAsia="国标宋体" w:cs="国标宋体"/>
          <w:color w:val="auto"/>
          <w:sz w:val="24"/>
          <w:szCs w:val="24"/>
          <w:highlight w:val="none"/>
          <w:lang w:eastAsia="zh-CN"/>
        </w:rPr>
        <w:t>如有必要须提前向采购人提出申请，</w:t>
      </w:r>
      <w:r>
        <w:rPr>
          <w:rFonts w:hint="eastAsia" w:ascii="国标宋体" w:hAnsi="国标宋体" w:eastAsia="国标宋体" w:cs="国标宋体"/>
          <w:color w:val="auto"/>
          <w:sz w:val="24"/>
          <w:szCs w:val="24"/>
          <w:highlight w:val="none"/>
        </w:rPr>
        <w:t>禁止在采购人处存放违禁品。</w:t>
      </w:r>
    </w:p>
    <w:p w14:paraId="4F4E47D2">
      <w:pPr>
        <w:wordWrap/>
        <w:spacing w:line="500" w:lineRule="exact"/>
        <w:ind w:firstLine="482" w:firstLineChars="200"/>
        <w:jc w:val="both"/>
        <w:rPr>
          <w:rFonts w:hint="eastAsia" w:ascii="国标宋体" w:hAnsi="国标宋体" w:eastAsia="国标宋体" w:cs="国标宋体"/>
          <w:b/>
          <w:bCs/>
          <w:color w:val="auto"/>
          <w:sz w:val="24"/>
          <w:szCs w:val="24"/>
          <w:highlight w:val="none"/>
        </w:rPr>
      </w:pPr>
      <w:r>
        <w:rPr>
          <w:rFonts w:hint="eastAsia" w:ascii="国标宋体" w:hAnsi="国标宋体" w:eastAsia="国标宋体" w:cs="国标宋体"/>
          <w:b/>
          <w:bCs/>
          <w:color w:val="auto"/>
          <w:sz w:val="24"/>
          <w:szCs w:val="24"/>
          <w:highlight w:val="none"/>
          <w:lang w:eastAsia="zh-CN"/>
        </w:rPr>
        <w:t>九</w:t>
      </w:r>
      <w:r>
        <w:rPr>
          <w:rFonts w:hint="eastAsia" w:ascii="国标宋体" w:hAnsi="国标宋体" w:eastAsia="国标宋体" w:cs="国标宋体"/>
          <w:b/>
          <w:bCs/>
          <w:color w:val="auto"/>
          <w:sz w:val="24"/>
          <w:szCs w:val="24"/>
          <w:highlight w:val="none"/>
        </w:rPr>
        <w:t>、检查与考核</w:t>
      </w:r>
    </w:p>
    <w:p w14:paraId="21B6A48F">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采购单位定期和不定期地对供应商管理服务进行检查和抽查，检查记录和整改时限反馈供应商，并</w:t>
      </w:r>
      <w:r>
        <w:rPr>
          <w:rFonts w:hint="eastAsia" w:ascii="国标宋体" w:hAnsi="国标宋体" w:eastAsia="国标宋体" w:cs="国标宋体"/>
          <w:color w:val="auto"/>
          <w:sz w:val="24"/>
          <w:szCs w:val="24"/>
          <w:highlight w:val="none"/>
          <w:lang w:eastAsia="zh-CN"/>
        </w:rPr>
        <w:t>根据</w:t>
      </w:r>
      <w:r>
        <w:rPr>
          <w:rFonts w:hint="eastAsia" w:ascii="国标宋体" w:hAnsi="国标宋体" w:eastAsia="国标宋体" w:cs="国标宋体"/>
          <w:color w:val="auto"/>
          <w:sz w:val="24"/>
          <w:szCs w:val="24"/>
          <w:highlight w:val="none"/>
        </w:rPr>
        <w:t>《杭州市余杭区区级政府公物仓外包服务管理考核实施办法》将每季考核结果进行反馈。中标单位达不到采购单位要求及各项服务承诺，采购单位有权要求其整改，直至扣款或终止合同。</w:t>
      </w:r>
    </w:p>
    <w:p w14:paraId="7A028E23">
      <w:pPr>
        <w:wordWrap/>
        <w:autoSpaceDE w:val="0"/>
        <w:autoSpaceDN w:val="0"/>
        <w:spacing w:line="500" w:lineRule="exact"/>
        <w:ind w:right="-178" w:rightChars="-85"/>
        <w:jc w:val="both"/>
        <w:textAlignment w:val="bottom"/>
        <w:rPr>
          <w:rFonts w:hint="eastAsia" w:ascii="国标宋体" w:hAnsi="国标宋体" w:eastAsia="国标宋体" w:cs="国标宋体"/>
          <w:b/>
          <w:bCs/>
          <w:color w:val="auto"/>
          <w:sz w:val="24"/>
          <w:szCs w:val="24"/>
          <w:highlight w:val="none"/>
        </w:rPr>
      </w:pPr>
      <w:r>
        <w:rPr>
          <w:rFonts w:hint="eastAsia" w:ascii="国标宋体" w:hAnsi="国标宋体" w:eastAsia="国标宋体" w:cs="国标宋体"/>
          <w:b/>
          <w:bCs/>
          <w:color w:val="auto"/>
          <w:sz w:val="24"/>
          <w:szCs w:val="24"/>
          <w:highlight w:val="none"/>
          <w:lang w:val="en-US" w:eastAsia="zh-CN"/>
        </w:rPr>
        <w:t xml:space="preserve">    </w:t>
      </w:r>
      <w:r>
        <w:rPr>
          <w:rFonts w:hint="eastAsia" w:ascii="国标宋体" w:hAnsi="国标宋体" w:eastAsia="国标宋体" w:cs="国标宋体"/>
          <w:b/>
          <w:bCs/>
          <w:color w:val="auto"/>
          <w:sz w:val="24"/>
          <w:szCs w:val="24"/>
          <w:highlight w:val="none"/>
        </w:rPr>
        <w:t>考核时间及评定方法:</w:t>
      </w:r>
    </w:p>
    <w:p w14:paraId="193BEF15">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本考核采用百分制，每年考核四次，</w:t>
      </w:r>
      <w:r>
        <w:rPr>
          <w:rFonts w:hint="eastAsia" w:ascii="国标宋体" w:hAnsi="国标宋体" w:eastAsia="国标宋体" w:cs="国标宋体"/>
          <w:color w:val="auto"/>
          <w:sz w:val="24"/>
          <w:szCs w:val="24"/>
          <w:highlight w:val="none"/>
          <w:lang w:eastAsia="zh-CN"/>
        </w:rPr>
        <w:t>由采购人负责考核，</w:t>
      </w:r>
      <w:r>
        <w:rPr>
          <w:rFonts w:hint="eastAsia" w:ascii="国标宋体" w:hAnsi="国标宋体" w:eastAsia="国标宋体" w:cs="国标宋体"/>
          <w:color w:val="auto"/>
          <w:sz w:val="24"/>
          <w:szCs w:val="24"/>
          <w:highlight w:val="none"/>
        </w:rPr>
        <w:t>考核标准由平时巡查考核及季度考核二方面相结合</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平时巡查考核</w:t>
      </w:r>
      <w:r>
        <w:rPr>
          <w:rFonts w:hint="eastAsia" w:ascii="国标宋体" w:hAnsi="国标宋体" w:eastAsia="国标宋体" w:cs="国标宋体"/>
          <w:color w:val="auto"/>
          <w:sz w:val="24"/>
          <w:szCs w:val="24"/>
          <w:highlight w:val="none"/>
          <w:lang w:eastAsia="zh-CN"/>
        </w:rPr>
        <w:t>以</w:t>
      </w:r>
      <w:r>
        <w:rPr>
          <w:rFonts w:hint="eastAsia" w:ascii="国标宋体" w:hAnsi="国标宋体" w:eastAsia="国标宋体" w:cs="国标宋体"/>
          <w:color w:val="auto"/>
          <w:sz w:val="24"/>
          <w:szCs w:val="24"/>
          <w:highlight w:val="none"/>
        </w:rPr>
        <w:t>巡查人员平时巡查时发现的问题为依据进行考核，季度考核</w:t>
      </w:r>
      <w:r>
        <w:rPr>
          <w:rFonts w:hint="eastAsia" w:ascii="国标宋体" w:hAnsi="国标宋体" w:eastAsia="国标宋体" w:cs="国标宋体"/>
          <w:color w:val="auto"/>
          <w:sz w:val="24"/>
          <w:szCs w:val="24"/>
          <w:highlight w:val="none"/>
          <w:lang w:eastAsia="zh-CN"/>
        </w:rPr>
        <w:t>以</w:t>
      </w:r>
      <w:r>
        <w:rPr>
          <w:rFonts w:hint="eastAsia" w:ascii="国标宋体" w:hAnsi="国标宋体" w:eastAsia="国标宋体" w:cs="国标宋体"/>
          <w:color w:val="auto"/>
          <w:sz w:val="24"/>
          <w:szCs w:val="24"/>
          <w:highlight w:val="none"/>
        </w:rPr>
        <w:t>中心组织相关人员每季度现场检查中发现的问题为依据进行考核，着重对考核对象的运营管理、安全保卫管理等工作情况进行检查，对工作台帐进行抽查，对</w:t>
      </w:r>
      <w:r>
        <w:rPr>
          <w:rFonts w:hint="eastAsia" w:ascii="国标宋体" w:hAnsi="国标宋体" w:eastAsia="国标宋体" w:cs="国标宋体"/>
          <w:color w:val="auto"/>
          <w:sz w:val="24"/>
          <w:szCs w:val="24"/>
          <w:highlight w:val="none"/>
          <w:lang w:eastAsia="zh-CN"/>
        </w:rPr>
        <w:t>痛点</w:t>
      </w:r>
      <w:r>
        <w:rPr>
          <w:rFonts w:hint="eastAsia" w:ascii="国标宋体" w:hAnsi="国标宋体" w:eastAsia="国标宋体" w:cs="国标宋体"/>
          <w:color w:val="auto"/>
          <w:sz w:val="24"/>
          <w:szCs w:val="24"/>
          <w:highlight w:val="none"/>
        </w:rPr>
        <w:t>难点解决情况进行督察，对上级主要工作、重大活动安排及有关创建评比活动有针对性地开展检查</w:t>
      </w:r>
      <w:r>
        <w:rPr>
          <w:rFonts w:hint="eastAsia" w:ascii="国标宋体" w:hAnsi="国标宋体" w:eastAsia="国标宋体" w:cs="国标宋体"/>
          <w:color w:val="auto"/>
          <w:sz w:val="24"/>
          <w:szCs w:val="24"/>
          <w:highlight w:val="none"/>
          <w:lang w:eastAsia="zh-CN"/>
        </w:rPr>
        <w:t>，</w:t>
      </w:r>
      <w:r>
        <w:rPr>
          <w:rFonts w:hint="eastAsia" w:ascii="国标宋体" w:hAnsi="国标宋体" w:eastAsia="国标宋体" w:cs="国标宋体"/>
          <w:color w:val="auto"/>
          <w:sz w:val="24"/>
          <w:szCs w:val="24"/>
          <w:highlight w:val="none"/>
        </w:rPr>
        <w:t>每季度考核一次，并按以下原则评定考核等级:</w:t>
      </w:r>
    </w:p>
    <w:p w14:paraId="70F1E308">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1.考核分高于</w:t>
      </w:r>
      <w:r>
        <w:rPr>
          <w:rFonts w:hint="eastAsia" w:ascii="国标宋体" w:hAnsi="国标宋体" w:eastAsia="国标宋体" w:cs="国标宋体"/>
          <w:color w:val="auto"/>
          <w:sz w:val="24"/>
          <w:szCs w:val="24"/>
          <w:highlight w:val="none"/>
          <w:lang w:val="en-US" w:eastAsia="zh-CN"/>
        </w:rPr>
        <w:t>90</w:t>
      </w:r>
      <w:r>
        <w:rPr>
          <w:rFonts w:hint="eastAsia" w:ascii="国标宋体" w:hAnsi="国标宋体" w:eastAsia="国标宋体" w:cs="国标宋体"/>
          <w:color w:val="auto"/>
          <w:sz w:val="24"/>
          <w:szCs w:val="24"/>
          <w:highlight w:val="none"/>
        </w:rPr>
        <w:t>分(含)视为优秀，全额</w:t>
      </w:r>
      <w:r>
        <w:rPr>
          <w:rFonts w:hint="eastAsia" w:ascii="国标宋体" w:hAnsi="国标宋体" w:eastAsia="国标宋体" w:cs="国标宋体"/>
          <w:color w:val="auto"/>
          <w:sz w:val="24"/>
          <w:szCs w:val="24"/>
          <w:highlight w:val="none"/>
          <w:lang w:eastAsia="zh-CN"/>
        </w:rPr>
        <w:t>支</w:t>
      </w:r>
      <w:r>
        <w:rPr>
          <w:rFonts w:hint="eastAsia" w:ascii="国标宋体" w:hAnsi="国标宋体" w:eastAsia="国标宋体" w:cs="国标宋体"/>
          <w:color w:val="auto"/>
          <w:sz w:val="24"/>
          <w:szCs w:val="24"/>
          <w:highlight w:val="none"/>
        </w:rPr>
        <w:t>付当期管理服务费用。</w:t>
      </w:r>
    </w:p>
    <w:p w14:paraId="26F26DCD">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2.考核分高于</w:t>
      </w:r>
      <w:r>
        <w:rPr>
          <w:rFonts w:hint="eastAsia" w:ascii="国标宋体" w:hAnsi="国标宋体" w:eastAsia="国标宋体" w:cs="国标宋体"/>
          <w:color w:val="auto"/>
          <w:sz w:val="24"/>
          <w:szCs w:val="24"/>
          <w:highlight w:val="none"/>
          <w:lang w:val="en-US" w:eastAsia="zh-CN"/>
        </w:rPr>
        <w:t>80</w:t>
      </w:r>
      <w:r>
        <w:rPr>
          <w:rFonts w:hint="eastAsia" w:ascii="国标宋体" w:hAnsi="国标宋体" w:eastAsia="国标宋体" w:cs="国标宋体"/>
          <w:color w:val="auto"/>
          <w:sz w:val="24"/>
          <w:szCs w:val="24"/>
          <w:highlight w:val="none"/>
        </w:rPr>
        <w:t xml:space="preserve">分(含) 但低于 </w:t>
      </w:r>
      <w:r>
        <w:rPr>
          <w:rFonts w:hint="eastAsia" w:ascii="国标宋体" w:hAnsi="国标宋体" w:eastAsia="国标宋体" w:cs="国标宋体"/>
          <w:color w:val="auto"/>
          <w:sz w:val="24"/>
          <w:szCs w:val="24"/>
          <w:highlight w:val="none"/>
          <w:lang w:val="en-US" w:eastAsia="zh-CN"/>
        </w:rPr>
        <w:t>90</w:t>
      </w:r>
      <w:r>
        <w:rPr>
          <w:rFonts w:hint="eastAsia" w:ascii="国标宋体" w:hAnsi="国标宋体" w:eastAsia="国标宋体" w:cs="国标宋体"/>
          <w:color w:val="auto"/>
          <w:sz w:val="24"/>
          <w:szCs w:val="24"/>
          <w:highlight w:val="none"/>
        </w:rPr>
        <w:t>分(不含)视为良好,支付当期管理服务费用的</w:t>
      </w:r>
      <w:r>
        <w:rPr>
          <w:rFonts w:hint="eastAsia" w:ascii="国标宋体" w:hAnsi="国标宋体" w:eastAsia="国标宋体" w:cs="国标宋体"/>
          <w:color w:val="auto"/>
          <w:sz w:val="24"/>
          <w:szCs w:val="24"/>
          <w:highlight w:val="none"/>
          <w:lang w:val="en-US" w:eastAsia="zh-CN"/>
        </w:rPr>
        <w:t>98</w:t>
      </w:r>
      <w:r>
        <w:rPr>
          <w:rFonts w:hint="eastAsia" w:ascii="国标宋体" w:hAnsi="国标宋体" w:eastAsia="国标宋体" w:cs="国标宋体"/>
          <w:color w:val="auto"/>
          <w:sz w:val="24"/>
          <w:szCs w:val="24"/>
          <w:highlight w:val="none"/>
        </w:rPr>
        <w:t>%。</w:t>
      </w:r>
    </w:p>
    <w:p w14:paraId="15C3BC65">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3.考核分高于 70 分(含) 但低于</w:t>
      </w:r>
      <w:r>
        <w:rPr>
          <w:rFonts w:hint="eastAsia" w:ascii="国标宋体" w:hAnsi="国标宋体" w:eastAsia="国标宋体" w:cs="国标宋体"/>
          <w:color w:val="auto"/>
          <w:sz w:val="24"/>
          <w:szCs w:val="24"/>
          <w:highlight w:val="none"/>
          <w:lang w:val="en-US" w:eastAsia="zh-CN"/>
        </w:rPr>
        <w:t>80</w:t>
      </w:r>
      <w:r>
        <w:rPr>
          <w:rFonts w:hint="eastAsia" w:ascii="国标宋体" w:hAnsi="国标宋体" w:eastAsia="国标宋体" w:cs="国标宋体"/>
          <w:color w:val="auto"/>
          <w:sz w:val="24"/>
          <w:szCs w:val="24"/>
          <w:highlight w:val="none"/>
        </w:rPr>
        <w:t xml:space="preserve">分(不含)视为合格,支付当期管理服务费用的 </w:t>
      </w:r>
      <w:r>
        <w:rPr>
          <w:rFonts w:hint="eastAsia" w:ascii="国标宋体" w:hAnsi="国标宋体" w:eastAsia="国标宋体" w:cs="国标宋体"/>
          <w:color w:val="auto"/>
          <w:sz w:val="24"/>
          <w:szCs w:val="24"/>
          <w:highlight w:val="none"/>
          <w:lang w:val="en-US" w:eastAsia="zh-CN"/>
        </w:rPr>
        <w:t>95</w:t>
      </w:r>
      <w:r>
        <w:rPr>
          <w:rFonts w:hint="eastAsia" w:ascii="国标宋体" w:hAnsi="国标宋体" w:eastAsia="国标宋体" w:cs="国标宋体"/>
          <w:color w:val="auto"/>
          <w:sz w:val="24"/>
          <w:szCs w:val="24"/>
          <w:highlight w:val="none"/>
        </w:rPr>
        <w:t>%。</w:t>
      </w:r>
    </w:p>
    <w:p w14:paraId="7C6C92D2">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rPr>
      </w:pPr>
      <w:r>
        <w:rPr>
          <w:rFonts w:hint="eastAsia" w:ascii="国标宋体" w:hAnsi="国标宋体" w:eastAsia="国标宋体" w:cs="国标宋体"/>
          <w:color w:val="auto"/>
          <w:sz w:val="24"/>
          <w:szCs w:val="24"/>
          <w:highlight w:val="none"/>
        </w:rPr>
        <w:t>4.考核分低于70 分(不含)视为不合格，</w:t>
      </w:r>
      <w:r>
        <w:rPr>
          <w:rFonts w:hint="eastAsia" w:ascii="国标宋体" w:hAnsi="国标宋体" w:eastAsia="国标宋体" w:cs="国标宋体"/>
          <w:color w:val="auto"/>
          <w:sz w:val="24"/>
          <w:szCs w:val="24"/>
          <w:highlight w:val="none"/>
          <w:lang w:eastAsia="zh-CN"/>
        </w:rPr>
        <w:t>支付</w:t>
      </w:r>
      <w:r>
        <w:rPr>
          <w:rFonts w:hint="eastAsia" w:ascii="国标宋体" w:hAnsi="国标宋体" w:eastAsia="国标宋体" w:cs="国标宋体"/>
          <w:color w:val="auto"/>
          <w:sz w:val="24"/>
          <w:szCs w:val="24"/>
          <w:highlight w:val="none"/>
        </w:rPr>
        <w:t>当期管理服务费用的</w:t>
      </w:r>
      <w:r>
        <w:rPr>
          <w:rFonts w:hint="eastAsia" w:ascii="国标宋体" w:hAnsi="国标宋体" w:eastAsia="国标宋体" w:cs="国标宋体"/>
          <w:color w:val="auto"/>
          <w:sz w:val="24"/>
          <w:szCs w:val="24"/>
          <w:highlight w:val="none"/>
          <w:lang w:val="en-US" w:eastAsia="zh-CN"/>
        </w:rPr>
        <w:t>90</w:t>
      </w:r>
      <w:r>
        <w:rPr>
          <w:rFonts w:hint="eastAsia" w:ascii="国标宋体" w:hAnsi="国标宋体" w:eastAsia="国标宋体" w:cs="国标宋体"/>
          <w:color w:val="auto"/>
          <w:sz w:val="24"/>
          <w:szCs w:val="24"/>
          <w:highlight w:val="none"/>
        </w:rPr>
        <w:t>%，且甲方有权根据合同相关条款进行处理，包括但不限于提前解除合同。</w:t>
      </w:r>
    </w:p>
    <w:p w14:paraId="202A05BC">
      <w:pPr>
        <w:spacing w:line="360" w:lineRule="auto"/>
        <w:ind w:firstLine="0" w:firstLineChars="0"/>
        <w:rPr>
          <w:rFonts w:hint="eastAsia" w:ascii="宋体" w:hAnsi="宋体" w:eastAsia="宋体" w:cs="宋体"/>
          <w:b/>
          <w:bCs/>
          <w:color w:val="auto"/>
          <w:sz w:val="24"/>
          <w:highlight w:val="none"/>
        </w:rPr>
      </w:pPr>
    </w:p>
    <w:p w14:paraId="3FDEBB0A">
      <w:pPr>
        <w:numPr>
          <w:ilvl w:val="0"/>
          <w:numId w:val="0"/>
        </w:numPr>
        <w:spacing w:line="360" w:lineRule="auto"/>
        <w:ind w:firstLine="0" w:firstLineChars="0"/>
        <w:jc w:val="left"/>
        <w:rPr>
          <w:rFonts w:hint="eastAsia" w:ascii="宋体" w:hAnsi="宋体" w:eastAsia="宋体" w:cs="宋体"/>
          <w:color w:val="auto"/>
          <w:sz w:val="24"/>
          <w:highlight w:val="none"/>
        </w:rPr>
      </w:pPr>
    </w:p>
    <w:p w14:paraId="41C95513">
      <w:pPr>
        <w:rPr>
          <w:rFonts w:hint="eastAsia"/>
          <w:color w:val="auto"/>
          <w:highlight w:val="none"/>
        </w:rPr>
      </w:pPr>
    </w:p>
    <w:p w14:paraId="57E16D0E">
      <w:pPr>
        <w:rPr>
          <w:rFonts w:hint="eastAsia" w:ascii="Times New Roman" w:hAnsi="Times New Roman" w:eastAsia="宋体" w:cs="Times New Roman"/>
          <w:color w:val="auto"/>
          <w:kern w:val="2"/>
          <w:sz w:val="21"/>
          <w:highlight w:val="none"/>
        </w:rPr>
      </w:pPr>
    </w:p>
    <w:p w14:paraId="0ECFC2BB">
      <w:pPr>
        <w:pStyle w:val="4"/>
        <w:rPr>
          <w:rFonts w:hint="default" w:ascii="仿宋_GB2312" w:hAnsi="仿宋" w:eastAsia="仿宋_GB2312" w:cs="Times New Roman"/>
          <w:bCs/>
          <w:color w:val="auto"/>
          <w:kern w:val="2"/>
          <w:sz w:val="32"/>
          <w:highlight w:val="none"/>
        </w:rPr>
      </w:pPr>
    </w:p>
    <w:p w14:paraId="25F3D6EB">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p>
    <w:p w14:paraId="693CCC20">
      <w:pPr>
        <w:widowControl/>
        <w:numPr>
          <w:ilvl w:val="0"/>
          <w:numId w:val="0"/>
        </w:numPr>
        <w:ind w:firstLine="0" w:firstLineChars="0"/>
        <w:jc w:val="left"/>
        <w:rPr>
          <w:rFonts w:hint="default" w:ascii="宋体" w:hAnsi="宋体" w:cs="宋体"/>
          <w:bCs/>
          <w:color w:val="auto"/>
          <w:sz w:val="24"/>
          <w:highlight w:val="none"/>
          <w:lang w:val="en-US" w:eastAsia="zh-CN"/>
        </w:rPr>
      </w:pPr>
    </w:p>
    <w:p w14:paraId="4A8C359C">
      <w:pPr>
        <w:rPr>
          <w:rFonts w:ascii="宋体" w:hAnsi="宋体" w:cs="宋体"/>
          <w:snapToGrid w:val="0"/>
          <w:color w:val="auto"/>
          <w:kern w:val="0"/>
          <w:sz w:val="24"/>
          <w:highlight w:val="none"/>
        </w:rPr>
      </w:pPr>
    </w:p>
    <w:p w14:paraId="110F97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08100"/>
      <w:bookmarkEnd w:id="29"/>
      <w:bookmarkStart w:id="30" w:name="_Toc184313303"/>
      <w:bookmarkEnd w:id="30"/>
      <w:bookmarkStart w:id="31" w:name="_Toc184314458"/>
      <w:bookmarkEnd w:id="31"/>
      <w:bookmarkStart w:id="32" w:name="_Toc184310292"/>
      <w:bookmarkEnd w:id="32"/>
      <w:bookmarkStart w:id="33" w:name="_Toc184312105"/>
      <w:bookmarkEnd w:id="33"/>
      <w:bookmarkStart w:id="34" w:name="_Toc184310312"/>
      <w:bookmarkEnd w:id="34"/>
      <w:bookmarkStart w:id="35" w:name="_Toc184308040"/>
      <w:bookmarkEnd w:id="35"/>
      <w:bookmarkStart w:id="36" w:name="_Toc184314470"/>
      <w:bookmarkEnd w:id="36"/>
      <w:bookmarkStart w:id="37" w:name="_Toc184314435"/>
      <w:bookmarkEnd w:id="37"/>
      <w:bookmarkStart w:id="38" w:name="_Toc184312110"/>
      <w:bookmarkEnd w:id="38"/>
      <w:bookmarkStart w:id="39" w:name="_Toc184308090"/>
      <w:bookmarkEnd w:id="39"/>
      <w:bookmarkStart w:id="40" w:name="_Toc184314464"/>
      <w:bookmarkEnd w:id="40"/>
      <w:bookmarkStart w:id="41" w:name="_Toc184313287"/>
      <w:bookmarkEnd w:id="41"/>
      <w:bookmarkStart w:id="42" w:name="_Toc184314459"/>
      <w:bookmarkEnd w:id="42"/>
      <w:bookmarkStart w:id="43" w:name="_Toc184314467"/>
      <w:bookmarkEnd w:id="43"/>
      <w:bookmarkStart w:id="44" w:name="_Toc184310282"/>
      <w:bookmarkEnd w:id="44"/>
      <w:bookmarkStart w:id="45" w:name="_Toc184312130"/>
      <w:bookmarkEnd w:id="45"/>
      <w:bookmarkStart w:id="46" w:name="_Toc184313296"/>
      <w:bookmarkEnd w:id="46"/>
      <w:bookmarkStart w:id="47" w:name="_Toc184308064"/>
      <w:bookmarkEnd w:id="47"/>
      <w:bookmarkStart w:id="48" w:name="_Toc184308071"/>
      <w:bookmarkEnd w:id="48"/>
      <w:bookmarkStart w:id="49" w:name="_Toc184314439"/>
      <w:bookmarkEnd w:id="49"/>
      <w:bookmarkStart w:id="50" w:name="_Toc184308087"/>
      <w:bookmarkEnd w:id="50"/>
      <w:bookmarkStart w:id="51" w:name="_Toc184310301"/>
      <w:bookmarkEnd w:id="51"/>
      <w:bookmarkStart w:id="52" w:name="_Toc184308095"/>
      <w:bookmarkEnd w:id="52"/>
      <w:bookmarkStart w:id="53" w:name="_Toc184313256"/>
      <w:bookmarkEnd w:id="53"/>
      <w:bookmarkStart w:id="54" w:name="_Toc184308094"/>
      <w:bookmarkEnd w:id="54"/>
      <w:bookmarkStart w:id="55" w:name="_Toc184313289"/>
      <w:bookmarkEnd w:id="55"/>
      <w:bookmarkStart w:id="56" w:name="_Toc184308093"/>
      <w:bookmarkEnd w:id="56"/>
      <w:bookmarkStart w:id="57" w:name="_Toc184310274"/>
      <w:bookmarkEnd w:id="57"/>
      <w:bookmarkStart w:id="58" w:name="_Toc184312071"/>
      <w:bookmarkEnd w:id="58"/>
      <w:bookmarkStart w:id="59" w:name="_Toc184308041"/>
      <w:bookmarkEnd w:id="59"/>
      <w:bookmarkStart w:id="60" w:name="_Toc184312088"/>
      <w:bookmarkEnd w:id="60"/>
      <w:bookmarkStart w:id="61" w:name="_Toc184310300"/>
      <w:bookmarkEnd w:id="61"/>
      <w:bookmarkStart w:id="62" w:name="_Toc184310288"/>
      <w:bookmarkEnd w:id="62"/>
      <w:bookmarkStart w:id="63" w:name="_Toc184312072"/>
      <w:bookmarkEnd w:id="63"/>
      <w:bookmarkStart w:id="64" w:name="_Toc184310328"/>
      <w:bookmarkEnd w:id="64"/>
      <w:bookmarkStart w:id="65" w:name="_Toc184308036"/>
      <w:bookmarkEnd w:id="65"/>
      <w:bookmarkStart w:id="66" w:name="_Toc184310333"/>
      <w:bookmarkEnd w:id="66"/>
      <w:bookmarkStart w:id="67" w:name="_Toc184308106"/>
      <w:bookmarkEnd w:id="67"/>
      <w:bookmarkStart w:id="68" w:name="_Toc184312135"/>
      <w:bookmarkEnd w:id="68"/>
      <w:bookmarkStart w:id="69" w:name="_Toc184314425"/>
      <w:bookmarkEnd w:id="69"/>
      <w:bookmarkStart w:id="70" w:name="_Toc184308047"/>
      <w:bookmarkEnd w:id="70"/>
      <w:bookmarkStart w:id="71" w:name="_Toc184313308"/>
      <w:bookmarkEnd w:id="71"/>
      <w:bookmarkStart w:id="72" w:name="_Toc184312091"/>
      <w:bookmarkEnd w:id="72"/>
      <w:bookmarkStart w:id="73" w:name="_Toc184308075"/>
      <w:bookmarkEnd w:id="73"/>
      <w:bookmarkStart w:id="74" w:name="_Toc184310299"/>
      <w:bookmarkEnd w:id="74"/>
      <w:bookmarkStart w:id="75" w:name="_Toc184310329"/>
      <w:bookmarkEnd w:id="75"/>
      <w:bookmarkStart w:id="76" w:name="_Toc184310337"/>
      <w:bookmarkEnd w:id="76"/>
      <w:bookmarkStart w:id="77" w:name="_Toc184314463"/>
      <w:bookmarkEnd w:id="77"/>
      <w:bookmarkStart w:id="78" w:name="_Toc184314426"/>
      <w:bookmarkEnd w:id="78"/>
      <w:bookmarkStart w:id="79" w:name="_Toc184310342"/>
      <w:bookmarkEnd w:id="79"/>
      <w:bookmarkStart w:id="80" w:name="_Toc184313244"/>
      <w:bookmarkEnd w:id="80"/>
      <w:bookmarkStart w:id="81" w:name="_Toc184312100"/>
      <w:bookmarkEnd w:id="81"/>
      <w:bookmarkStart w:id="82" w:name="_Toc184312129"/>
      <w:bookmarkEnd w:id="82"/>
      <w:bookmarkStart w:id="83" w:name="_Toc184312136"/>
      <w:bookmarkEnd w:id="83"/>
      <w:bookmarkStart w:id="84" w:name="_Toc184314480"/>
      <w:bookmarkEnd w:id="84"/>
      <w:bookmarkStart w:id="85" w:name="_Toc184308065"/>
      <w:bookmarkEnd w:id="85"/>
      <w:bookmarkStart w:id="86" w:name="_Toc184313239"/>
      <w:bookmarkEnd w:id="86"/>
      <w:bookmarkStart w:id="87" w:name="_Toc184313253"/>
      <w:bookmarkEnd w:id="87"/>
      <w:bookmarkStart w:id="88" w:name="_Toc184312120"/>
      <w:bookmarkEnd w:id="88"/>
      <w:bookmarkStart w:id="89" w:name="_Toc184313300"/>
      <w:bookmarkEnd w:id="89"/>
      <w:bookmarkStart w:id="90" w:name="_Toc184310341"/>
      <w:bookmarkEnd w:id="90"/>
      <w:bookmarkStart w:id="91" w:name="_Toc184312109"/>
      <w:bookmarkEnd w:id="91"/>
      <w:bookmarkStart w:id="92" w:name="_Toc184314429"/>
      <w:bookmarkEnd w:id="92"/>
      <w:bookmarkStart w:id="93" w:name="_Toc184312087"/>
      <w:bookmarkEnd w:id="93"/>
      <w:bookmarkStart w:id="94" w:name="_Toc184313298"/>
      <w:bookmarkEnd w:id="94"/>
      <w:bookmarkStart w:id="95" w:name="_Toc184314413"/>
      <w:bookmarkEnd w:id="95"/>
      <w:bookmarkStart w:id="96" w:name="_Toc184308097"/>
      <w:bookmarkEnd w:id="96"/>
      <w:bookmarkStart w:id="97" w:name="_Toc184310272"/>
      <w:bookmarkEnd w:id="97"/>
      <w:bookmarkStart w:id="98" w:name="_Toc184308082"/>
      <w:bookmarkEnd w:id="98"/>
      <w:bookmarkStart w:id="99" w:name="_Toc184308105"/>
      <w:bookmarkEnd w:id="99"/>
      <w:bookmarkStart w:id="100" w:name="_Toc184313248"/>
      <w:bookmarkEnd w:id="100"/>
      <w:bookmarkStart w:id="101" w:name="_Toc184314431"/>
      <w:bookmarkEnd w:id="101"/>
      <w:bookmarkStart w:id="102" w:name="_Toc184313288"/>
      <w:bookmarkEnd w:id="102"/>
      <w:bookmarkStart w:id="103" w:name="_Toc184312128"/>
      <w:bookmarkEnd w:id="103"/>
      <w:bookmarkStart w:id="104" w:name="_Toc184310289"/>
      <w:bookmarkEnd w:id="104"/>
      <w:bookmarkStart w:id="105" w:name="_Toc184313285"/>
      <w:bookmarkEnd w:id="105"/>
      <w:bookmarkStart w:id="106" w:name="_Toc184313307"/>
      <w:bookmarkEnd w:id="106"/>
      <w:bookmarkStart w:id="107" w:name="_Toc184310343"/>
      <w:bookmarkEnd w:id="107"/>
      <w:bookmarkStart w:id="108" w:name="_Toc184308054"/>
      <w:bookmarkEnd w:id="108"/>
      <w:bookmarkStart w:id="109" w:name="_Toc184308059"/>
      <w:bookmarkEnd w:id="109"/>
      <w:bookmarkStart w:id="110" w:name="_Toc184308045"/>
      <w:bookmarkEnd w:id="110"/>
      <w:bookmarkStart w:id="111" w:name="_Toc184310278"/>
      <w:bookmarkEnd w:id="111"/>
      <w:bookmarkStart w:id="112" w:name="_Toc184314450"/>
      <w:bookmarkEnd w:id="112"/>
      <w:bookmarkStart w:id="113" w:name="_Toc184312119"/>
      <w:bookmarkEnd w:id="113"/>
      <w:bookmarkStart w:id="114" w:name="_Toc184314475"/>
      <w:bookmarkEnd w:id="114"/>
      <w:bookmarkStart w:id="115" w:name="_Toc184312074"/>
      <w:bookmarkEnd w:id="115"/>
      <w:bookmarkStart w:id="116" w:name="_Toc184310324"/>
      <w:bookmarkEnd w:id="116"/>
      <w:bookmarkStart w:id="117" w:name="_Toc184312127"/>
      <w:bookmarkEnd w:id="117"/>
      <w:bookmarkStart w:id="118" w:name="_Toc184313291"/>
      <w:bookmarkEnd w:id="118"/>
      <w:bookmarkStart w:id="119" w:name="_Toc184308044"/>
      <w:bookmarkEnd w:id="119"/>
      <w:bookmarkStart w:id="120" w:name="_Toc184312079"/>
      <w:bookmarkEnd w:id="120"/>
      <w:bookmarkStart w:id="121" w:name="_Toc184314477"/>
      <w:bookmarkEnd w:id="121"/>
      <w:bookmarkStart w:id="122" w:name="_Toc184312097"/>
      <w:bookmarkEnd w:id="122"/>
      <w:bookmarkStart w:id="123" w:name="_Toc184312075"/>
      <w:bookmarkEnd w:id="123"/>
      <w:bookmarkStart w:id="124" w:name="_Toc184313309"/>
      <w:bookmarkEnd w:id="124"/>
      <w:bookmarkStart w:id="125" w:name="_Toc184313249"/>
      <w:bookmarkEnd w:id="125"/>
      <w:bookmarkStart w:id="126" w:name="_Toc184308083"/>
      <w:bookmarkEnd w:id="126"/>
      <w:bookmarkStart w:id="127" w:name="_Toc184313301"/>
      <w:bookmarkEnd w:id="127"/>
      <w:bookmarkStart w:id="128" w:name="_Toc184312083"/>
      <w:bookmarkEnd w:id="128"/>
      <w:bookmarkStart w:id="129" w:name="_Toc184314443"/>
      <w:bookmarkEnd w:id="129"/>
      <w:bookmarkStart w:id="130" w:name="_Toc184312126"/>
      <w:bookmarkEnd w:id="130"/>
      <w:bookmarkStart w:id="131" w:name="_Toc184313305"/>
      <w:bookmarkEnd w:id="131"/>
      <w:bookmarkStart w:id="132" w:name="_Toc184314424"/>
      <w:bookmarkEnd w:id="132"/>
      <w:bookmarkStart w:id="133" w:name="_Toc184308062"/>
      <w:bookmarkEnd w:id="133"/>
      <w:bookmarkStart w:id="134" w:name="_Toc184312081"/>
      <w:bookmarkEnd w:id="134"/>
      <w:bookmarkStart w:id="135" w:name="_Toc184314448"/>
      <w:bookmarkEnd w:id="135"/>
      <w:bookmarkStart w:id="136" w:name="_Toc184314421"/>
      <w:bookmarkEnd w:id="136"/>
      <w:bookmarkStart w:id="137" w:name="_Toc184310290"/>
      <w:bookmarkEnd w:id="137"/>
      <w:bookmarkStart w:id="138" w:name="_Toc184310303"/>
      <w:bookmarkEnd w:id="138"/>
      <w:bookmarkStart w:id="139" w:name="_Toc184312090"/>
      <w:bookmarkEnd w:id="139"/>
      <w:bookmarkStart w:id="140" w:name="_Toc184308053"/>
      <w:bookmarkEnd w:id="140"/>
      <w:bookmarkStart w:id="141" w:name="_Toc184312117"/>
      <w:bookmarkEnd w:id="141"/>
      <w:bookmarkStart w:id="142" w:name="_Toc184312132"/>
      <w:bookmarkEnd w:id="142"/>
      <w:bookmarkStart w:id="143" w:name="_Toc184314414"/>
      <w:bookmarkEnd w:id="143"/>
      <w:bookmarkStart w:id="144" w:name="_Toc184312085"/>
      <w:bookmarkEnd w:id="144"/>
      <w:bookmarkStart w:id="145" w:name="_Toc184313250"/>
      <w:bookmarkEnd w:id="145"/>
      <w:bookmarkStart w:id="146" w:name="_Toc184313252"/>
      <w:bookmarkEnd w:id="146"/>
      <w:bookmarkStart w:id="147" w:name="_Toc184308089"/>
      <w:bookmarkEnd w:id="147"/>
      <w:bookmarkStart w:id="148" w:name="_Toc184310314"/>
      <w:bookmarkEnd w:id="148"/>
      <w:bookmarkStart w:id="149" w:name="_Toc184314411"/>
      <w:bookmarkEnd w:id="149"/>
      <w:bookmarkStart w:id="150" w:name="_Toc184313246"/>
      <w:bookmarkEnd w:id="150"/>
      <w:bookmarkStart w:id="151" w:name="_Toc184313278"/>
      <w:bookmarkEnd w:id="151"/>
      <w:bookmarkStart w:id="152" w:name="_Toc184310325"/>
      <w:bookmarkEnd w:id="152"/>
      <w:bookmarkStart w:id="153" w:name="_Toc184314432"/>
      <w:bookmarkEnd w:id="153"/>
      <w:bookmarkStart w:id="154" w:name="_Toc184312116"/>
      <w:bookmarkEnd w:id="154"/>
      <w:bookmarkStart w:id="155" w:name="_Toc184310286"/>
      <w:bookmarkEnd w:id="155"/>
      <w:bookmarkStart w:id="156" w:name="_Toc184314451"/>
      <w:bookmarkEnd w:id="156"/>
      <w:bookmarkStart w:id="157" w:name="_Toc184314452"/>
      <w:bookmarkEnd w:id="157"/>
      <w:bookmarkStart w:id="158" w:name="_Toc184308066"/>
      <w:bookmarkEnd w:id="158"/>
      <w:bookmarkStart w:id="159" w:name="_Toc184314416"/>
      <w:bookmarkEnd w:id="159"/>
      <w:bookmarkStart w:id="160" w:name="_Toc184313267"/>
      <w:bookmarkEnd w:id="160"/>
      <w:bookmarkStart w:id="161" w:name="_Toc184313271"/>
      <w:bookmarkEnd w:id="161"/>
      <w:bookmarkStart w:id="162" w:name="_Toc184308108"/>
      <w:bookmarkEnd w:id="162"/>
      <w:bookmarkStart w:id="163" w:name="_Toc184310279"/>
      <w:bookmarkEnd w:id="163"/>
      <w:bookmarkStart w:id="164" w:name="_Toc184308080"/>
      <w:bookmarkEnd w:id="164"/>
      <w:bookmarkStart w:id="165" w:name="_Toc184314474"/>
      <w:bookmarkEnd w:id="165"/>
      <w:bookmarkStart w:id="166" w:name="_Toc184310334"/>
      <w:bookmarkEnd w:id="166"/>
      <w:bookmarkStart w:id="167" w:name="_Toc184313260"/>
      <w:bookmarkEnd w:id="167"/>
      <w:bookmarkStart w:id="168" w:name="_Toc184313292"/>
      <w:bookmarkEnd w:id="168"/>
      <w:bookmarkStart w:id="169" w:name="_Toc184312106"/>
      <w:bookmarkEnd w:id="169"/>
      <w:bookmarkStart w:id="170" w:name="_Toc184314415"/>
      <w:bookmarkEnd w:id="170"/>
      <w:bookmarkStart w:id="171" w:name="_Toc184310306"/>
      <w:bookmarkEnd w:id="171"/>
      <w:bookmarkStart w:id="172" w:name="_Toc184313277"/>
      <w:bookmarkEnd w:id="172"/>
      <w:bookmarkStart w:id="173" w:name="_Toc184312076"/>
      <w:bookmarkEnd w:id="173"/>
      <w:bookmarkStart w:id="174" w:name="_Toc184312068"/>
      <w:bookmarkEnd w:id="174"/>
      <w:bookmarkStart w:id="175" w:name="_Toc184314418"/>
      <w:bookmarkEnd w:id="175"/>
      <w:bookmarkStart w:id="176" w:name="_Toc184310281"/>
      <w:bookmarkEnd w:id="176"/>
      <w:bookmarkStart w:id="177" w:name="_Toc184313262"/>
      <w:bookmarkEnd w:id="177"/>
      <w:bookmarkStart w:id="178" w:name="_Toc184312093"/>
      <w:bookmarkEnd w:id="178"/>
      <w:bookmarkStart w:id="179" w:name="_Toc184310277"/>
      <w:bookmarkEnd w:id="179"/>
      <w:bookmarkStart w:id="180" w:name="_Toc184308051"/>
      <w:bookmarkEnd w:id="180"/>
      <w:bookmarkStart w:id="181" w:name="_Toc184308067"/>
      <w:bookmarkEnd w:id="181"/>
      <w:bookmarkStart w:id="182" w:name="_Toc184310302"/>
      <w:bookmarkEnd w:id="182"/>
      <w:bookmarkStart w:id="183" w:name="_Toc184314423"/>
      <w:bookmarkEnd w:id="183"/>
      <w:bookmarkStart w:id="184" w:name="_Toc184312139"/>
      <w:bookmarkEnd w:id="184"/>
      <w:bookmarkStart w:id="185" w:name="_Toc184314449"/>
      <w:bookmarkEnd w:id="185"/>
      <w:bookmarkStart w:id="186" w:name="_Toc184308070"/>
      <w:bookmarkEnd w:id="186"/>
      <w:bookmarkStart w:id="187" w:name="_Toc184310319"/>
      <w:bookmarkEnd w:id="187"/>
      <w:bookmarkStart w:id="188" w:name="_Toc184313276"/>
      <w:bookmarkEnd w:id="188"/>
      <w:bookmarkStart w:id="189" w:name="_Toc184308055"/>
      <w:bookmarkEnd w:id="189"/>
      <w:bookmarkStart w:id="190" w:name="_Toc184312080"/>
      <w:bookmarkEnd w:id="190"/>
      <w:bookmarkStart w:id="191" w:name="_Toc184308042"/>
      <w:bookmarkEnd w:id="191"/>
      <w:bookmarkStart w:id="192" w:name="_Toc184313286"/>
      <w:bookmarkEnd w:id="192"/>
      <w:bookmarkStart w:id="193" w:name="_Toc184314438"/>
      <w:bookmarkEnd w:id="193"/>
      <w:bookmarkStart w:id="194" w:name="_Toc184308103"/>
      <w:bookmarkEnd w:id="194"/>
      <w:bookmarkStart w:id="195" w:name="_Toc184308079"/>
      <w:bookmarkEnd w:id="195"/>
      <w:bookmarkStart w:id="196" w:name="_Toc184312137"/>
      <w:bookmarkEnd w:id="196"/>
      <w:bookmarkStart w:id="197" w:name="_Toc184313295"/>
      <w:bookmarkEnd w:id="197"/>
      <w:bookmarkStart w:id="198" w:name="_Toc184312082"/>
      <w:bookmarkEnd w:id="198"/>
      <w:bookmarkStart w:id="199" w:name="_Toc184314468"/>
      <w:bookmarkEnd w:id="199"/>
      <w:bookmarkStart w:id="200" w:name="_Toc184310322"/>
      <w:bookmarkEnd w:id="200"/>
      <w:bookmarkStart w:id="201" w:name="_Toc184310275"/>
      <w:bookmarkEnd w:id="201"/>
      <w:bookmarkStart w:id="202" w:name="_Toc184310293"/>
      <w:bookmarkEnd w:id="202"/>
      <w:bookmarkStart w:id="203" w:name="_Toc184308060"/>
      <w:bookmarkEnd w:id="203"/>
      <w:bookmarkStart w:id="204" w:name="_Toc184313306"/>
      <w:bookmarkEnd w:id="204"/>
      <w:bookmarkStart w:id="205" w:name="_Toc184308046"/>
      <w:bookmarkEnd w:id="205"/>
      <w:bookmarkStart w:id="206" w:name="_Toc184308043"/>
      <w:bookmarkEnd w:id="206"/>
      <w:bookmarkStart w:id="207" w:name="_Toc184314471"/>
      <w:bookmarkEnd w:id="207"/>
      <w:bookmarkStart w:id="208" w:name="_Toc184310310"/>
      <w:bookmarkEnd w:id="208"/>
      <w:bookmarkStart w:id="209" w:name="_Toc184313270"/>
      <w:bookmarkEnd w:id="209"/>
      <w:bookmarkStart w:id="210" w:name="_Toc184314417"/>
      <w:bookmarkEnd w:id="210"/>
      <w:bookmarkStart w:id="211" w:name="_Toc184314441"/>
      <w:bookmarkEnd w:id="211"/>
      <w:bookmarkStart w:id="212" w:name="_Toc184308037"/>
      <w:bookmarkEnd w:id="212"/>
      <w:bookmarkStart w:id="213" w:name="_Toc184308084"/>
      <w:bookmarkEnd w:id="213"/>
      <w:bookmarkStart w:id="214" w:name="_Toc184313283"/>
      <w:bookmarkEnd w:id="214"/>
      <w:bookmarkStart w:id="215" w:name="_Toc184310320"/>
      <w:bookmarkEnd w:id="215"/>
      <w:bookmarkStart w:id="216" w:name="_Toc184313261"/>
      <w:bookmarkEnd w:id="216"/>
      <w:bookmarkStart w:id="217" w:name="_Toc184312118"/>
      <w:bookmarkEnd w:id="217"/>
      <w:bookmarkStart w:id="218" w:name="_Toc184308063"/>
      <w:bookmarkEnd w:id="218"/>
      <w:bookmarkStart w:id="219" w:name="_Toc184313284"/>
      <w:bookmarkEnd w:id="219"/>
      <w:bookmarkStart w:id="220" w:name="_Toc184314445"/>
      <w:bookmarkEnd w:id="220"/>
      <w:bookmarkStart w:id="221" w:name="_Toc184310332"/>
      <w:bookmarkEnd w:id="221"/>
      <w:bookmarkStart w:id="222" w:name="_Toc184312111"/>
      <w:bookmarkEnd w:id="222"/>
      <w:bookmarkStart w:id="223" w:name="_Toc184308038"/>
      <w:bookmarkEnd w:id="223"/>
      <w:bookmarkStart w:id="224" w:name="_Toc184314461"/>
      <w:bookmarkEnd w:id="224"/>
      <w:bookmarkStart w:id="225" w:name="_Toc184308056"/>
      <w:bookmarkEnd w:id="225"/>
      <w:bookmarkStart w:id="226" w:name="_Toc184314430"/>
      <w:bookmarkEnd w:id="226"/>
      <w:bookmarkStart w:id="227" w:name="_Toc184313247"/>
      <w:bookmarkEnd w:id="227"/>
      <w:bookmarkStart w:id="228" w:name="_Toc184312125"/>
      <w:bookmarkEnd w:id="228"/>
      <w:bookmarkStart w:id="229" w:name="_Toc184313263"/>
      <w:bookmarkEnd w:id="229"/>
      <w:bookmarkStart w:id="230" w:name="_Toc184313304"/>
      <w:bookmarkEnd w:id="230"/>
      <w:bookmarkStart w:id="231" w:name="_Toc184313275"/>
      <w:bookmarkEnd w:id="231"/>
      <w:bookmarkStart w:id="232" w:name="_Toc184312133"/>
      <w:bookmarkEnd w:id="232"/>
      <w:bookmarkStart w:id="233" w:name="_Toc184314434"/>
      <w:bookmarkEnd w:id="233"/>
      <w:bookmarkStart w:id="234" w:name="_Toc184308061"/>
      <w:bookmarkEnd w:id="234"/>
      <w:bookmarkStart w:id="235" w:name="_Toc184314446"/>
      <w:bookmarkEnd w:id="235"/>
      <w:bookmarkStart w:id="236" w:name="_Toc184310327"/>
      <w:bookmarkEnd w:id="236"/>
      <w:bookmarkStart w:id="237" w:name="_Toc184308081"/>
      <w:bookmarkEnd w:id="237"/>
      <w:bookmarkStart w:id="238" w:name="_Toc184308076"/>
      <w:bookmarkEnd w:id="238"/>
      <w:bookmarkStart w:id="239" w:name="_Toc184313310"/>
      <w:bookmarkEnd w:id="239"/>
      <w:bookmarkStart w:id="240" w:name="_Toc184312131"/>
      <w:bookmarkEnd w:id="240"/>
      <w:bookmarkStart w:id="241" w:name="_Toc184312103"/>
      <w:bookmarkEnd w:id="241"/>
      <w:bookmarkStart w:id="242" w:name="_Toc184310309"/>
      <w:bookmarkEnd w:id="242"/>
      <w:bookmarkStart w:id="243" w:name="_Toc184313240"/>
      <w:bookmarkEnd w:id="243"/>
      <w:bookmarkStart w:id="244" w:name="_Toc184308068"/>
      <w:bookmarkEnd w:id="244"/>
      <w:bookmarkStart w:id="245" w:name="_Toc184312098"/>
      <w:bookmarkEnd w:id="245"/>
      <w:bookmarkStart w:id="246" w:name="_Toc184314412"/>
      <w:bookmarkEnd w:id="246"/>
      <w:bookmarkStart w:id="247" w:name="_Toc184308049"/>
      <w:bookmarkEnd w:id="247"/>
      <w:bookmarkStart w:id="248" w:name="_Toc184314456"/>
      <w:bookmarkEnd w:id="248"/>
      <w:bookmarkStart w:id="249" w:name="_Toc184314481"/>
      <w:bookmarkEnd w:id="249"/>
      <w:bookmarkStart w:id="250" w:name="_Toc184308107"/>
      <w:bookmarkEnd w:id="250"/>
      <w:bookmarkStart w:id="251" w:name="_Toc184314478"/>
      <w:bookmarkEnd w:id="251"/>
      <w:bookmarkStart w:id="252" w:name="_Toc184313259"/>
      <w:bookmarkEnd w:id="252"/>
      <w:bookmarkStart w:id="253" w:name="_Toc184312134"/>
      <w:bookmarkEnd w:id="253"/>
      <w:bookmarkStart w:id="254" w:name="_Toc184310287"/>
      <w:bookmarkEnd w:id="254"/>
      <w:bookmarkStart w:id="255" w:name="_Toc184310276"/>
      <w:bookmarkEnd w:id="255"/>
      <w:bookmarkStart w:id="256" w:name="_Toc184312138"/>
      <w:bookmarkEnd w:id="256"/>
      <w:bookmarkStart w:id="257" w:name="_Toc184314472"/>
      <w:bookmarkEnd w:id="257"/>
      <w:bookmarkStart w:id="258" w:name="_Toc184310305"/>
      <w:bookmarkEnd w:id="258"/>
      <w:bookmarkStart w:id="259" w:name="_Toc184312089"/>
      <w:bookmarkEnd w:id="259"/>
      <w:bookmarkStart w:id="260" w:name="_Toc184310338"/>
      <w:bookmarkEnd w:id="260"/>
      <w:bookmarkStart w:id="261" w:name="_Toc184308052"/>
      <w:bookmarkEnd w:id="261"/>
      <w:bookmarkStart w:id="262" w:name="_Toc184313297"/>
      <w:bookmarkEnd w:id="262"/>
      <w:bookmarkStart w:id="263" w:name="_Toc184310317"/>
      <w:bookmarkEnd w:id="263"/>
      <w:bookmarkStart w:id="264" w:name="_Toc184314460"/>
      <w:bookmarkEnd w:id="264"/>
      <w:bookmarkStart w:id="265" w:name="_Toc184310339"/>
      <w:bookmarkEnd w:id="265"/>
      <w:bookmarkStart w:id="266" w:name="_Toc184313302"/>
      <w:bookmarkEnd w:id="266"/>
      <w:bookmarkStart w:id="267" w:name="_Toc184314444"/>
      <w:bookmarkEnd w:id="267"/>
      <w:bookmarkStart w:id="268" w:name="_Toc184308073"/>
      <w:bookmarkEnd w:id="268"/>
      <w:bookmarkStart w:id="269" w:name="_Toc184313299"/>
      <w:bookmarkEnd w:id="269"/>
      <w:bookmarkStart w:id="270" w:name="_Toc184308039"/>
      <w:bookmarkEnd w:id="270"/>
      <w:bookmarkStart w:id="271" w:name="_Toc184314442"/>
      <w:bookmarkEnd w:id="271"/>
      <w:bookmarkStart w:id="272" w:name="_Toc184310308"/>
      <w:bookmarkEnd w:id="272"/>
      <w:bookmarkStart w:id="273" w:name="_Toc184313243"/>
      <w:bookmarkEnd w:id="273"/>
      <w:bookmarkStart w:id="274" w:name="_Toc184312077"/>
      <w:bookmarkEnd w:id="274"/>
      <w:bookmarkStart w:id="275" w:name="_Toc184312084"/>
      <w:bookmarkEnd w:id="275"/>
      <w:bookmarkStart w:id="276" w:name="_Toc184313294"/>
      <w:bookmarkEnd w:id="276"/>
      <w:bookmarkStart w:id="277" w:name="_Toc184314469"/>
      <w:bookmarkEnd w:id="277"/>
      <w:bookmarkStart w:id="278" w:name="_Toc184312121"/>
      <w:bookmarkEnd w:id="278"/>
      <w:bookmarkStart w:id="279" w:name="_Toc184310295"/>
      <w:bookmarkEnd w:id="279"/>
      <w:bookmarkStart w:id="280" w:name="_Toc184308101"/>
      <w:bookmarkEnd w:id="280"/>
      <w:bookmarkStart w:id="281" w:name="_Toc184313257"/>
      <w:bookmarkEnd w:id="281"/>
      <w:bookmarkStart w:id="282" w:name="_Toc184310336"/>
      <w:bookmarkEnd w:id="282"/>
      <w:bookmarkStart w:id="283" w:name="_Toc184310321"/>
      <w:bookmarkEnd w:id="283"/>
      <w:bookmarkStart w:id="284" w:name="_Toc184308096"/>
      <w:bookmarkEnd w:id="284"/>
      <w:bookmarkStart w:id="285" w:name="_Toc184314419"/>
      <w:bookmarkEnd w:id="285"/>
      <w:bookmarkStart w:id="286" w:name="_Toc184313282"/>
      <w:bookmarkEnd w:id="286"/>
      <w:bookmarkStart w:id="287" w:name="_Toc184310298"/>
      <w:bookmarkEnd w:id="287"/>
      <w:bookmarkStart w:id="288" w:name="_Toc184312102"/>
      <w:bookmarkEnd w:id="288"/>
      <w:bookmarkStart w:id="289" w:name="_Toc184310291"/>
      <w:bookmarkEnd w:id="289"/>
      <w:bookmarkStart w:id="290" w:name="_Toc184310273"/>
      <w:bookmarkEnd w:id="290"/>
      <w:bookmarkStart w:id="291" w:name="_Toc184310311"/>
      <w:bookmarkEnd w:id="291"/>
      <w:bookmarkStart w:id="292" w:name="_Toc184312108"/>
      <w:bookmarkEnd w:id="292"/>
      <w:bookmarkStart w:id="293" w:name="_Toc184314473"/>
      <w:bookmarkEnd w:id="293"/>
      <w:bookmarkStart w:id="294" w:name="_Toc184314410"/>
      <w:bookmarkEnd w:id="294"/>
      <w:bookmarkStart w:id="295" w:name="_Toc184312096"/>
      <w:bookmarkEnd w:id="295"/>
      <w:bookmarkStart w:id="296" w:name="_Toc184313258"/>
      <w:bookmarkEnd w:id="296"/>
      <w:bookmarkStart w:id="297" w:name="_Toc184314455"/>
      <w:bookmarkEnd w:id="297"/>
      <w:bookmarkStart w:id="298" w:name="_Toc184314440"/>
      <w:bookmarkEnd w:id="298"/>
      <w:bookmarkStart w:id="299" w:name="_Toc184310294"/>
      <w:bookmarkEnd w:id="299"/>
      <w:bookmarkStart w:id="300" w:name="_Toc184312092"/>
      <w:bookmarkEnd w:id="300"/>
      <w:bookmarkStart w:id="301" w:name="_Toc184314457"/>
      <w:bookmarkEnd w:id="301"/>
      <w:bookmarkStart w:id="302" w:name="_Toc184312067"/>
      <w:bookmarkEnd w:id="302"/>
      <w:bookmarkStart w:id="303" w:name="_Toc184310323"/>
      <w:bookmarkEnd w:id="303"/>
      <w:bookmarkStart w:id="304" w:name="_Toc184314447"/>
      <w:bookmarkEnd w:id="304"/>
      <w:bookmarkStart w:id="305" w:name="_Toc184308078"/>
      <w:bookmarkEnd w:id="305"/>
      <w:bookmarkStart w:id="306" w:name="_Toc184314479"/>
      <w:bookmarkEnd w:id="306"/>
      <w:bookmarkStart w:id="307" w:name="_Toc184314437"/>
      <w:bookmarkEnd w:id="307"/>
      <w:bookmarkStart w:id="308" w:name="_Toc184310344"/>
      <w:bookmarkEnd w:id="308"/>
      <w:bookmarkStart w:id="309" w:name="_Toc184308091"/>
      <w:bookmarkEnd w:id="309"/>
      <w:bookmarkStart w:id="310" w:name="_Toc184314433"/>
      <w:bookmarkEnd w:id="310"/>
      <w:bookmarkStart w:id="311" w:name="_Toc184314427"/>
      <w:bookmarkEnd w:id="311"/>
      <w:bookmarkStart w:id="312" w:name="_Toc184314428"/>
      <w:bookmarkEnd w:id="312"/>
      <w:bookmarkStart w:id="313" w:name="_Toc184312107"/>
      <w:bookmarkEnd w:id="313"/>
      <w:bookmarkStart w:id="314" w:name="_Toc184313242"/>
      <w:bookmarkEnd w:id="314"/>
      <w:bookmarkStart w:id="315" w:name="_Toc184312078"/>
      <w:bookmarkEnd w:id="315"/>
      <w:bookmarkStart w:id="316" w:name="_Toc184313273"/>
      <w:bookmarkEnd w:id="316"/>
      <w:bookmarkStart w:id="317" w:name="_Toc184308092"/>
      <w:bookmarkEnd w:id="317"/>
      <w:bookmarkStart w:id="318" w:name="_Toc184308057"/>
      <w:bookmarkEnd w:id="318"/>
      <w:bookmarkStart w:id="319" w:name="_Toc184310330"/>
      <w:bookmarkEnd w:id="319"/>
      <w:bookmarkStart w:id="320" w:name="_Toc184314436"/>
      <w:bookmarkEnd w:id="320"/>
      <w:bookmarkStart w:id="321" w:name="_Toc184308085"/>
      <w:bookmarkEnd w:id="321"/>
      <w:bookmarkStart w:id="322" w:name="_Toc184313268"/>
      <w:bookmarkEnd w:id="322"/>
      <w:bookmarkStart w:id="323" w:name="_Toc184310297"/>
      <w:bookmarkEnd w:id="323"/>
      <w:bookmarkStart w:id="324" w:name="_Toc184314454"/>
      <w:bookmarkEnd w:id="324"/>
      <w:bookmarkStart w:id="325" w:name="_Toc184314482"/>
      <w:bookmarkEnd w:id="325"/>
      <w:bookmarkStart w:id="326" w:name="_Toc184312104"/>
      <w:bookmarkEnd w:id="326"/>
      <w:bookmarkStart w:id="327" w:name="_Toc184313241"/>
      <w:bookmarkEnd w:id="327"/>
      <w:bookmarkStart w:id="328" w:name="_Toc184310315"/>
      <w:bookmarkEnd w:id="328"/>
      <w:bookmarkStart w:id="329" w:name="_Toc184308048"/>
      <w:bookmarkEnd w:id="329"/>
      <w:bookmarkStart w:id="330" w:name="_Toc184310307"/>
      <w:bookmarkEnd w:id="330"/>
      <w:bookmarkStart w:id="331" w:name="_Toc184308069"/>
      <w:bookmarkEnd w:id="331"/>
      <w:bookmarkStart w:id="332" w:name="_Toc184314466"/>
      <w:bookmarkEnd w:id="332"/>
      <w:bookmarkStart w:id="333" w:name="_Toc184310335"/>
      <w:bookmarkEnd w:id="333"/>
      <w:bookmarkStart w:id="334" w:name="_Toc184310304"/>
      <w:bookmarkEnd w:id="334"/>
      <w:bookmarkStart w:id="335" w:name="_Toc184308086"/>
      <w:bookmarkEnd w:id="335"/>
      <w:bookmarkStart w:id="336" w:name="_Toc184308104"/>
      <w:bookmarkEnd w:id="336"/>
      <w:bookmarkStart w:id="337" w:name="_Toc184314476"/>
      <w:bookmarkEnd w:id="337"/>
      <w:bookmarkStart w:id="338" w:name="_Toc184312095"/>
      <w:bookmarkEnd w:id="338"/>
      <w:bookmarkStart w:id="339" w:name="_Toc184310313"/>
      <w:bookmarkEnd w:id="339"/>
      <w:bookmarkStart w:id="340" w:name="_Toc184313281"/>
      <w:bookmarkEnd w:id="340"/>
      <w:bookmarkStart w:id="341" w:name="_Toc184310285"/>
      <w:bookmarkEnd w:id="341"/>
      <w:bookmarkStart w:id="342" w:name="_Toc184313293"/>
      <w:bookmarkEnd w:id="342"/>
      <w:bookmarkStart w:id="343" w:name="_Toc184308088"/>
      <w:bookmarkEnd w:id="343"/>
      <w:bookmarkStart w:id="344" w:name="_Toc184312101"/>
      <w:bookmarkEnd w:id="344"/>
      <w:bookmarkStart w:id="345" w:name="_Toc184314465"/>
      <w:bookmarkEnd w:id="345"/>
      <w:bookmarkStart w:id="346" w:name="_Toc184308058"/>
      <w:bookmarkEnd w:id="346"/>
      <w:bookmarkStart w:id="347" w:name="_Toc184314422"/>
      <w:bookmarkEnd w:id="347"/>
      <w:bookmarkStart w:id="348" w:name="_Toc184313290"/>
      <w:bookmarkEnd w:id="348"/>
      <w:bookmarkStart w:id="349" w:name="_Toc184312112"/>
      <w:bookmarkEnd w:id="349"/>
      <w:bookmarkStart w:id="350" w:name="_Toc184308072"/>
      <w:bookmarkEnd w:id="350"/>
      <w:bookmarkStart w:id="351" w:name="_Toc184313264"/>
      <w:bookmarkEnd w:id="351"/>
      <w:bookmarkStart w:id="352" w:name="_Toc184313274"/>
      <w:bookmarkEnd w:id="352"/>
      <w:bookmarkStart w:id="353" w:name="_Toc184314462"/>
      <w:bookmarkEnd w:id="353"/>
      <w:bookmarkStart w:id="354" w:name="_Toc184310316"/>
      <w:bookmarkEnd w:id="354"/>
      <w:bookmarkStart w:id="355" w:name="_Toc184312124"/>
      <w:bookmarkEnd w:id="355"/>
      <w:bookmarkStart w:id="356" w:name="_Toc184313280"/>
      <w:bookmarkEnd w:id="356"/>
      <w:bookmarkStart w:id="357" w:name="_Toc184313238"/>
      <w:bookmarkEnd w:id="357"/>
      <w:bookmarkStart w:id="358" w:name="_Toc184310280"/>
      <w:bookmarkEnd w:id="358"/>
      <w:bookmarkStart w:id="359" w:name="_Toc184313269"/>
      <w:bookmarkEnd w:id="359"/>
      <w:bookmarkStart w:id="360" w:name="_Toc184313245"/>
      <w:bookmarkEnd w:id="360"/>
      <w:bookmarkStart w:id="361" w:name="_Toc184312086"/>
      <w:bookmarkEnd w:id="361"/>
      <w:bookmarkStart w:id="362" w:name="_Toc184313272"/>
      <w:bookmarkEnd w:id="362"/>
      <w:bookmarkStart w:id="363" w:name="_Toc184312123"/>
      <w:bookmarkEnd w:id="363"/>
      <w:bookmarkStart w:id="364" w:name="_Toc184310326"/>
      <w:bookmarkEnd w:id="364"/>
      <w:bookmarkStart w:id="365" w:name="_Toc184313254"/>
      <w:bookmarkEnd w:id="365"/>
      <w:bookmarkStart w:id="366" w:name="_Toc184308099"/>
      <w:bookmarkEnd w:id="366"/>
      <w:bookmarkStart w:id="367" w:name="_Toc184313265"/>
      <w:bookmarkEnd w:id="367"/>
      <w:bookmarkStart w:id="368" w:name="_Toc184310318"/>
      <w:bookmarkEnd w:id="368"/>
      <w:bookmarkStart w:id="369" w:name="_Toc184308102"/>
      <w:bookmarkEnd w:id="369"/>
      <w:bookmarkStart w:id="370" w:name="_Toc184313251"/>
      <w:bookmarkEnd w:id="370"/>
      <w:bookmarkStart w:id="371" w:name="_Toc184314453"/>
      <w:bookmarkEnd w:id="371"/>
      <w:bookmarkStart w:id="372" w:name="_Toc184313279"/>
      <w:bookmarkEnd w:id="372"/>
      <w:bookmarkStart w:id="373" w:name="_Toc184312099"/>
      <w:bookmarkEnd w:id="373"/>
      <w:bookmarkStart w:id="374" w:name="_Toc184313266"/>
      <w:bookmarkEnd w:id="374"/>
      <w:bookmarkStart w:id="375" w:name="_Toc184312073"/>
      <w:bookmarkEnd w:id="375"/>
      <w:bookmarkStart w:id="376" w:name="_Toc184312113"/>
      <w:bookmarkEnd w:id="376"/>
      <w:bookmarkStart w:id="377" w:name="_Toc184314420"/>
      <w:bookmarkEnd w:id="377"/>
      <w:bookmarkStart w:id="378" w:name="_Toc184310284"/>
      <w:bookmarkEnd w:id="378"/>
      <w:bookmarkStart w:id="379" w:name="_Toc184308050"/>
      <w:bookmarkEnd w:id="379"/>
      <w:bookmarkStart w:id="380" w:name="_Toc184308077"/>
      <w:bookmarkEnd w:id="380"/>
      <w:bookmarkStart w:id="381" w:name="_Toc184310340"/>
      <w:bookmarkEnd w:id="381"/>
      <w:bookmarkStart w:id="382" w:name="_Toc184308074"/>
      <w:bookmarkEnd w:id="382"/>
      <w:bookmarkStart w:id="383" w:name="_Toc184312069"/>
      <w:bookmarkEnd w:id="383"/>
      <w:bookmarkStart w:id="384" w:name="_Toc184312122"/>
      <w:bookmarkEnd w:id="384"/>
      <w:bookmarkStart w:id="385" w:name="_Toc184310283"/>
      <w:bookmarkEnd w:id="385"/>
      <w:bookmarkStart w:id="386" w:name="_Toc184312070"/>
      <w:bookmarkEnd w:id="386"/>
      <w:bookmarkStart w:id="387" w:name="_Toc184310331"/>
      <w:bookmarkEnd w:id="387"/>
      <w:bookmarkStart w:id="388" w:name="_Toc184313255"/>
      <w:bookmarkEnd w:id="388"/>
      <w:bookmarkStart w:id="389" w:name="_Toc184308098"/>
      <w:bookmarkEnd w:id="389"/>
      <w:bookmarkStart w:id="390" w:name="_Toc184312094"/>
      <w:bookmarkEnd w:id="390"/>
      <w:bookmarkStart w:id="391" w:name="_Toc184312115"/>
      <w:bookmarkEnd w:id="391"/>
      <w:bookmarkStart w:id="392" w:name="_Toc184310296"/>
      <w:bookmarkEnd w:id="392"/>
      <w:bookmarkStart w:id="393" w:name="_Toc184312114"/>
      <w:bookmarkEnd w:id="393"/>
      <w:r>
        <w:rPr>
          <w:rFonts w:hint="eastAsia" w:ascii="宋体" w:hAnsi="宋体" w:cs="宋体"/>
          <w:b/>
          <w:color w:val="auto"/>
          <w:sz w:val="36"/>
          <w:szCs w:val="36"/>
          <w:highlight w:val="none"/>
        </w:rPr>
        <w:t>评标办法</w:t>
      </w:r>
    </w:p>
    <w:p w14:paraId="1426ABF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840" w:tblpY="126"/>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735"/>
        <w:gridCol w:w="559"/>
        <w:gridCol w:w="1085"/>
        <w:gridCol w:w="1566"/>
      </w:tblGrid>
      <w:tr w14:paraId="0E6D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dxa"/>
            <w:vAlign w:val="center"/>
          </w:tcPr>
          <w:p w14:paraId="0F198949">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35" w:type="dxa"/>
            <w:vAlign w:val="center"/>
          </w:tcPr>
          <w:p w14:paraId="7A5E5E6C">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59" w:type="dxa"/>
            <w:vAlign w:val="center"/>
          </w:tcPr>
          <w:p w14:paraId="1F529349">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85" w:type="dxa"/>
            <w:vAlign w:val="center"/>
          </w:tcPr>
          <w:p w14:paraId="683C7586">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仿宋_GB2312"/>
                <w:bCs/>
                <w:color w:val="auto"/>
                <w:sz w:val="24"/>
                <w:highlight w:val="none"/>
              </w:rPr>
              <w:t>主观分/客观分属性</w:t>
            </w:r>
          </w:p>
        </w:tc>
        <w:tc>
          <w:tcPr>
            <w:tcW w:w="1566" w:type="dxa"/>
            <w:vAlign w:val="top"/>
          </w:tcPr>
          <w:p w14:paraId="6FB9082D">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1954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2B0B1EC7">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735" w:type="dxa"/>
            <w:vAlign w:val="center"/>
          </w:tcPr>
          <w:p w14:paraId="7869909F">
            <w:pPr>
              <w:numPr>
                <w:ilvl w:val="-1"/>
                <w:numId w:val="0"/>
              </w:num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有效期内的质量管理体系认证证书</w:t>
            </w:r>
            <w:r>
              <w:rPr>
                <w:rFonts w:hint="eastAsia" w:ascii="宋体" w:hAnsi="宋体" w:cs="宋体"/>
                <w:color w:val="auto"/>
                <w:sz w:val="24"/>
                <w:szCs w:val="24"/>
                <w:highlight w:val="none"/>
                <w:lang w:eastAsia="zh-CN"/>
              </w:rPr>
              <w:t>、信息安全管理体系认证证书</w:t>
            </w:r>
            <w:r>
              <w:rPr>
                <w:rFonts w:hint="eastAsia" w:ascii="宋体" w:hAnsi="宋体" w:cs="宋体"/>
                <w:color w:val="auto"/>
                <w:sz w:val="24"/>
                <w:szCs w:val="24"/>
                <w:highlight w:val="none"/>
                <w:lang w:val="en-US" w:eastAsia="zh-CN"/>
              </w:rPr>
              <w:t>的，每个得2分；最多得4分；</w:t>
            </w:r>
          </w:p>
          <w:p w14:paraId="0B0AB7A1">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注：投标文件中提供有效期内的证书</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559" w:type="dxa"/>
            <w:vAlign w:val="center"/>
          </w:tcPr>
          <w:p w14:paraId="47A8C4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085" w:type="dxa"/>
            <w:vAlign w:val="center"/>
          </w:tcPr>
          <w:p w14:paraId="1A8D26F1">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center"/>
          </w:tcPr>
          <w:p w14:paraId="2214DC45">
            <w:pPr>
              <w:spacing w:line="360" w:lineRule="auto"/>
              <w:jc w:val="center"/>
              <w:outlineLvl w:val="0"/>
              <w:rPr>
                <w:rFonts w:hint="eastAsia" w:ascii="宋体" w:hAnsi="宋体" w:eastAsia="宋体" w:cs="宋体"/>
                <w:color w:val="auto"/>
                <w:sz w:val="24"/>
                <w:szCs w:val="24"/>
                <w:highlight w:val="none"/>
              </w:rPr>
            </w:pPr>
          </w:p>
        </w:tc>
      </w:tr>
      <w:tr w14:paraId="5167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2C08710D">
            <w:pPr>
              <w:numPr>
                <w:ilvl w:val="0"/>
                <w:numId w:val="0"/>
              </w:num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735" w:type="dxa"/>
            <w:vAlign w:val="center"/>
          </w:tcPr>
          <w:p w14:paraId="087385BC">
            <w:pPr>
              <w:spacing w:line="360" w:lineRule="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w:t>
            </w:r>
            <w:r>
              <w:rPr>
                <w:rFonts w:hint="eastAsia" w:ascii="宋体" w:hAnsi="宋体" w:cs="宋体"/>
                <w:b w:val="0"/>
                <w:bCs w:val="0"/>
                <w:color w:val="auto"/>
                <w:sz w:val="24"/>
                <w:szCs w:val="24"/>
                <w:highlight w:val="none"/>
                <w:lang w:val="en-US" w:eastAsia="zh-CN"/>
              </w:rPr>
              <w:t>自</w:t>
            </w:r>
            <w:r>
              <w:rPr>
                <w:rFonts w:hint="eastAsia" w:ascii="宋体" w:hAnsi="宋体" w:eastAsia="宋体" w:cs="宋体"/>
                <w:b w:val="0"/>
                <w:bCs w:val="0"/>
                <w:color w:val="auto"/>
                <w:sz w:val="24"/>
                <w:szCs w:val="24"/>
                <w:highlight w:val="none"/>
              </w:rPr>
              <w:t>2022年1月1日</w:t>
            </w:r>
            <w:r>
              <w:rPr>
                <w:rFonts w:hint="eastAsia" w:ascii="宋体" w:hAnsi="宋体" w:cs="宋体"/>
                <w:b w:val="0"/>
                <w:bCs w:val="0"/>
                <w:color w:val="auto"/>
                <w:sz w:val="24"/>
                <w:szCs w:val="24"/>
                <w:highlight w:val="none"/>
                <w:lang w:val="en-US" w:eastAsia="zh-CN"/>
              </w:rPr>
              <w:t>以</w:t>
            </w:r>
            <w:r>
              <w:rPr>
                <w:rFonts w:hint="eastAsia" w:ascii="宋体" w:hAnsi="宋体" w:eastAsia="宋体" w:cs="宋体"/>
                <w:b w:val="0"/>
                <w:bCs w:val="0"/>
                <w:color w:val="auto"/>
                <w:sz w:val="24"/>
                <w:szCs w:val="24"/>
                <w:highlight w:val="none"/>
              </w:rPr>
              <w:t>来类似项目（公共物资仓储运营管理）的成功案例，每个案例得0.5分，最高得1分。</w:t>
            </w:r>
          </w:p>
          <w:p w14:paraId="6BF0E7A1">
            <w:pPr>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注：时间以合同签约时间为准，以上内容必须提供合同的复印件</w:t>
            </w:r>
            <w:r>
              <w:rPr>
                <w:rFonts w:hint="eastAsia" w:ascii="宋体" w:hAnsi="宋体" w:cs="宋体"/>
                <w:b/>
                <w:bCs/>
                <w:color w:val="auto"/>
                <w:sz w:val="24"/>
                <w:szCs w:val="24"/>
                <w:highlight w:val="none"/>
                <w:lang w:val="en-US" w:eastAsia="zh-CN"/>
              </w:rPr>
              <w:t>或扫描件</w:t>
            </w:r>
            <w:r>
              <w:rPr>
                <w:rFonts w:hint="eastAsia" w:ascii="宋体" w:hAnsi="宋体" w:eastAsia="宋体" w:cs="宋体"/>
                <w:b/>
                <w:bCs/>
                <w:color w:val="auto"/>
                <w:sz w:val="24"/>
                <w:szCs w:val="24"/>
                <w:highlight w:val="none"/>
              </w:rPr>
              <w:t>并加盖公章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否则不得分</w:t>
            </w:r>
            <w:r>
              <w:rPr>
                <w:rFonts w:hint="eastAsia" w:ascii="宋体" w:hAnsi="宋体" w:eastAsia="宋体" w:cs="宋体"/>
                <w:b/>
                <w:bCs/>
                <w:color w:val="auto"/>
                <w:sz w:val="24"/>
                <w:szCs w:val="24"/>
                <w:highlight w:val="none"/>
              </w:rPr>
              <w:t xml:space="preserve">。 </w:t>
            </w:r>
          </w:p>
        </w:tc>
        <w:tc>
          <w:tcPr>
            <w:tcW w:w="559" w:type="dxa"/>
            <w:vAlign w:val="center"/>
          </w:tcPr>
          <w:p w14:paraId="1F4A1B5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085" w:type="dxa"/>
            <w:vAlign w:val="center"/>
          </w:tcPr>
          <w:p w14:paraId="59847C17">
            <w:pPr>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客观分</w:t>
            </w:r>
          </w:p>
        </w:tc>
        <w:tc>
          <w:tcPr>
            <w:tcW w:w="1566" w:type="dxa"/>
            <w:vAlign w:val="center"/>
          </w:tcPr>
          <w:p w14:paraId="58C5A6BF">
            <w:pPr>
              <w:spacing w:line="360" w:lineRule="auto"/>
              <w:jc w:val="center"/>
              <w:outlineLvl w:val="0"/>
              <w:rPr>
                <w:rFonts w:hint="eastAsia" w:ascii="宋体" w:hAnsi="宋体" w:eastAsia="宋体" w:cs="宋体"/>
                <w:color w:val="auto"/>
                <w:sz w:val="24"/>
                <w:szCs w:val="24"/>
                <w:highlight w:val="none"/>
              </w:rPr>
            </w:pPr>
          </w:p>
        </w:tc>
      </w:tr>
      <w:tr w14:paraId="3693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67" w:type="dxa"/>
            <w:vAlign w:val="center"/>
          </w:tcPr>
          <w:p w14:paraId="28B003C0">
            <w:pPr>
              <w:numPr>
                <w:ilvl w:val="0"/>
                <w:numId w:val="0"/>
              </w:numPr>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3</w:t>
            </w:r>
          </w:p>
        </w:tc>
        <w:tc>
          <w:tcPr>
            <w:tcW w:w="6735" w:type="dxa"/>
            <w:vAlign w:val="center"/>
          </w:tcPr>
          <w:p w14:paraId="1377C564">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投标人针对本项目提供</w:t>
            </w:r>
            <w:r>
              <w:rPr>
                <w:rFonts w:hint="eastAsia" w:ascii="宋体" w:hAnsi="宋体" w:eastAsia="宋体" w:cs="宋体"/>
                <w:color w:val="auto"/>
                <w:sz w:val="24"/>
                <w:szCs w:val="24"/>
                <w:highlight w:val="none"/>
              </w:rPr>
              <w:t>的管理服务理念，提出服务定位、目标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管理模式能够切合实际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合理可行的得4分；提出的服务定位、目标、管理模式较能够切合实际、较为合理可行的得2分；内容有所缺陷需进一步完善的得1分；内容不合理或未提供的不得分。</w:t>
            </w:r>
          </w:p>
        </w:tc>
        <w:tc>
          <w:tcPr>
            <w:tcW w:w="559" w:type="dxa"/>
            <w:vAlign w:val="center"/>
          </w:tcPr>
          <w:p w14:paraId="7DA30496">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085" w:type="dxa"/>
            <w:vAlign w:val="center"/>
          </w:tcPr>
          <w:p w14:paraId="56D8853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E46A90C">
            <w:pPr>
              <w:spacing w:line="360" w:lineRule="auto"/>
              <w:outlineLvl w:val="0"/>
              <w:rPr>
                <w:rFonts w:hint="eastAsia" w:ascii="宋体" w:hAnsi="宋体" w:eastAsia="宋体" w:cs="宋体"/>
                <w:color w:val="auto"/>
                <w:sz w:val="24"/>
                <w:szCs w:val="24"/>
                <w:highlight w:val="none"/>
              </w:rPr>
            </w:pPr>
          </w:p>
        </w:tc>
      </w:tr>
      <w:tr w14:paraId="2017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67" w:type="dxa"/>
            <w:vAlign w:val="center"/>
          </w:tcPr>
          <w:p w14:paraId="3F7EBC4D">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735" w:type="dxa"/>
            <w:vAlign w:val="center"/>
          </w:tcPr>
          <w:p w14:paraId="37B026F0">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投标人针对本项目提供</w:t>
            </w:r>
            <w:r>
              <w:rPr>
                <w:rFonts w:hint="eastAsia" w:ascii="宋体" w:hAnsi="宋体" w:eastAsia="宋体" w:cs="宋体"/>
                <w:color w:val="auto"/>
                <w:sz w:val="24"/>
                <w:szCs w:val="24"/>
                <w:highlight w:val="none"/>
              </w:rPr>
              <w:t>的组织架构及主要管理流程，包括对运作流程图、激励机制、监督机制、自我约束机制、信息反馈渠道及处理机制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内容完善、合理可行的得4分；内容较为完善、较为合理可行的得2分；内容有所缺陷需进一步完善的得1分；内容不合理或未提供的不得分。</w:t>
            </w:r>
          </w:p>
        </w:tc>
        <w:tc>
          <w:tcPr>
            <w:tcW w:w="559" w:type="dxa"/>
            <w:vAlign w:val="center"/>
          </w:tcPr>
          <w:p w14:paraId="63B25067">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085" w:type="dxa"/>
            <w:vAlign w:val="center"/>
          </w:tcPr>
          <w:p w14:paraId="7CDD1B5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6B845B36">
            <w:pPr>
              <w:spacing w:line="360" w:lineRule="auto"/>
              <w:outlineLvl w:val="0"/>
              <w:rPr>
                <w:rFonts w:hint="eastAsia" w:ascii="宋体" w:hAnsi="宋体" w:eastAsia="宋体" w:cs="宋体"/>
                <w:color w:val="auto"/>
                <w:sz w:val="24"/>
                <w:szCs w:val="24"/>
                <w:highlight w:val="none"/>
              </w:rPr>
            </w:pPr>
          </w:p>
        </w:tc>
      </w:tr>
      <w:tr w14:paraId="1BD4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67" w:type="dxa"/>
            <w:vAlign w:val="center"/>
          </w:tcPr>
          <w:p w14:paraId="63514E76">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735" w:type="dxa"/>
            <w:vAlign w:val="center"/>
          </w:tcPr>
          <w:p w14:paraId="0844D91E">
            <w:pPr>
              <w:spacing w:line="360" w:lineRule="auto"/>
              <w:outlineLvl w:val="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提供的整体运营服务方案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方案内容</w:t>
            </w:r>
            <w:r>
              <w:rPr>
                <w:rFonts w:hint="eastAsia" w:ascii="宋体" w:hAnsi="宋体" w:eastAsia="宋体" w:cs="宋体"/>
                <w:bCs/>
                <w:color w:val="auto"/>
                <w:sz w:val="24"/>
                <w:szCs w:val="24"/>
                <w:highlight w:val="none"/>
              </w:rPr>
              <w:t>科学</w:t>
            </w:r>
            <w:r>
              <w:rPr>
                <w:rFonts w:hint="eastAsia" w:ascii="宋体" w:hAnsi="宋体" w:cs="宋体"/>
                <w:bCs/>
                <w:color w:val="auto"/>
                <w:sz w:val="24"/>
                <w:szCs w:val="24"/>
                <w:highlight w:val="none"/>
                <w:lang w:val="en-US" w:eastAsia="zh-CN"/>
              </w:rPr>
              <w:t>合理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智慧化、规范</w:t>
            </w:r>
            <w:r>
              <w:rPr>
                <w:rFonts w:hint="eastAsia" w:ascii="宋体" w:hAnsi="宋体" w:cs="宋体"/>
                <w:bCs/>
                <w:color w:val="auto"/>
                <w:sz w:val="24"/>
                <w:szCs w:val="24"/>
                <w:highlight w:val="none"/>
                <w:lang w:val="en-US" w:eastAsia="zh-CN"/>
              </w:rPr>
              <w:t>的得3分；方案内容较为科学合理、较为智慧化、较为规范的得2分；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792E316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4C6FDF15">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7B450435">
            <w:pPr>
              <w:spacing w:line="360" w:lineRule="auto"/>
              <w:outlineLvl w:val="0"/>
              <w:rPr>
                <w:rFonts w:hint="eastAsia" w:ascii="宋体" w:hAnsi="宋体" w:eastAsia="宋体" w:cs="宋体"/>
                <w:color w:val="auto"/>
                <w:sz w:val="24"/>
                <w:szCs w:val="24"/>
                <w:highlight w:val="none"/>
              </w:rPr>
            </w:pPr>
          </w:p>
        </w:tc>
      </w:tr>
      <w:tr w14:paraId="1C17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Align w:val="center"/>
          </w:tcPr>
          <w:p w14:paraId="203EF837">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735" w:type="dxa"/>
            <w:vAlign w:val="center"/>
          </w:tcPr>
          <w:p w14:paraId="1266496E">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eastAsia="zh-CN"/>
              </w:rPr>
              <w:t>的物流运输体系及配送方案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方案内容</w:t>
            </w:r>
            <w:r>
              <w:rPr>
                <w:rFonts w:hint="eastAsia" w:ascii="宋体" w:hAnsi="宋体" w:eastAsia="宋体" w:cs="宋体"/>
                <w:bCs/>
                <w:color w:val="auto"/>
                <w:sz w:val="24"/>
                <w:szCs w:val="24"/>
                <w:highlight w:val="none"/>
                <w:lang w:eastAsia="zh-CN"/>
              </w:rPr>
              <w:t>安全合理、及时</w:t>
            </w:r>
            <w:r>
              <w:rPr>
                <w:rFonts w:hint="eastAsia" w:ascii="宋体" w:hAnsi="宋体" w:cs="宋体"/>
                <w:bCs/>
                <w:color w:val="auto"/>
                <w:sz w:val="24"/>
                <w:szCs w:val="24"/>
                <w:highlight w:val="none"/>
                <w:lang w:val="en-US" w:eastAsia="zh-CN"/>
              </w:rPr>
              <w:t>可靠的得3分；方案内容较为安全合理、较为及时可靠的得2分；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08BD10F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0A4BBA6B">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5B9855A2">
            <w:pPr>
              <w:spacing w:line="360" w:lineRule="auto"/>
              <w:outlineLvl w:val="0"/>
              <w:rPr>
                <w:rFonts w:hint="eastAsia" w:ascii="宋体" w:hAnsi="宋体" w:eastAsia="宋体" w:cs="宋体"/>
                <w:color w:val="auto"/>
                <w:sz w:val="24"/>
                <w:szCs w:val="24"/>
                <w:highlight w:val="none"/>
              </w:rPr>
            </w:pPr>
          </w:p>
        </w:tc>
      </w:tr>
      <w:tr w14:paraId="2F0A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467" w:type="dxa"/>
            <w:vAlign w:val="center"/>
          </w:tcPr>
          <w:p w14:paraId="05E8C343">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35" w:type="dxa"/>
            <w:vAlign w:val="center"/>
          </w:tcPr>
          <w:p w14:paraId="6F67C9EA">
            <w:pPr>
              <w:spacing w:line="360" w:lineRule="auto"/>
              <w:outlineLvl w:val="0"/>
              <w:rPr>
                <w:rFonts w:hint="eastAsia" w:ascii="宋体" w:hAnsi="宋体" w:eastAsia="宋体" w:cs="宋体"/>
                <w:bCs/>
                <w:color w:val="auto"/>
                <w:sz w:val="24"/>
                <w:szCs w:val="24"/>
                <w:highlight w:val="none"/>
              </w:rPr>
            </w:pPr>
            <w:r>
              <w:rPr>
                <w:rFonts w:hint="eastAsia" w:ascii="宋体" w:hAnsi="宋体" w:cs="宋体"/>
                <w:color w:val="auto"/>
                <w:sz w:val="24"/>
                <w:highlight w:val="none"/>
              </w:rPr>
              <w:t>投标人对本项目服务重点、难点的分析到位，提出解决方案，且方案符合实际情况，合理可行得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分，投标人对本项目服务重点、难点的分析较为到位，提出解决方案，且方案较为符合实际情况得</w:t>
            </w:r>
            <w:r>
              <w:rPr>
                <w:rFonts w:ascii="宋体" w:hAnsi="宋体" w:cs="宋体"/>
                <w:color w:val="auto"/>
                <w:sz w:val="24"/>
                <w:highlight w:val="none"/>
              </w:rPr>
              <w:t>2</w:t>
            </w:r>
            <w:r>
              <w:rPr>
                <w:rFonts w:hint="eastAsia" w:ascii="宋体" w:hAnsi="宋体" w:cs="宋体"/>
                <w:color w:val="auto"/>
                <w:sz w:val="24"/>
                <w:highlight w:val="none"/>
              </w:rPr>
              <w:t>分，投标人对本项目服务重点、难点的分析一般，提出解决方案，方案与实际情况符合度一般得</w:t>
            </w:r>
            <w:r>
              <w:rPr>
                <w:rFonts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仿宋"/>
                <w:color w:val="auto"/>
                <w:sz w:val="24"/>
                <w:highlight w:val="none"/>
              </w:rPr>
              <w:t>，方案不合理或未提供方案不得分。</w:t>
            </w:r>
          </w:p>
        </w:tc>
        <w:tc>
          <w:tcPr>
            <w:tcW w:w="559" w:type="dxa"/>
            <w:vAlign w:val="center"/>
          </w:tcPr>
          <w:p w14:paraId="1B064CD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34D82FAC">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2578BDC5">
            <w:pPr>
              <w:spacing w:line="360" w:lineRule="auto"/>
              <w:outlineLvl w:val="0"/>
              <w:rPr>
                <w:rFonts w:hint="eastAsia" w:ascii="宋体" w:hAnsi="宋体" w:eastAsia="宋体" w:cs="宋体"/>
                <w:color w:val="auto"/>
                <w:sz w:val="24"/>
                <w:szCs w:val="24"/>
                <w:highlight w:val="none"/>
              </w:rPr>
            </w:pPr>
          </w:p>
        </w:tc>
      </w:tr>
      <w:tr w14:paraId="4408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467" w:type="dxa"/>
            <w:vAlign w:val="center"/>
          </w:tcPr>
          <w:p w14:paraId="230B2330">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735" w:type="dxa"/>
            <w:vAlign w:val="center"/>
          </w:tcPr>
          <w:p w14:paraId="320EF60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的库房管理及出入库制度（按库房不同性质）</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55335FC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66489C5F">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50FAD31E">
            <w:pPr>
              <w:spacing w:line="360" w:lineRule="auto"/>
              <w:outlineLvl w:val="0"/>
              <w:rPr>
                <w:rFonts w:hint="eastAsia" w:ascii="宋体" w:hAnsi="宋体" w:eastAsia="宋体" w:cs="宋体"/>
                <w:color w:val="auto"/>
                <w:sz w:val="24"/>
                <w:szCs w:val="24"/>
                <w:highlight w:val="none"/>
              </w:rPr>
            </w:pPr>
          </w:p>
        </w:tc>
      </w:tr>
      <w:tr w14:paraId="5290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67" w:type="dxa"/>
            <w:vAlign w:val="center"/>
          </w:tcPr>
          <w:p w14:paraId="743EE87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735" w:type="dxa"/>
            <w:vAlign w:val="center"/>
          </w:tcPr>
          <w:p w14:paraId="7484956D">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的消防安全管理制度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22030D99">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578DD87C">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66E809F">
            <w:pPr>
              <w:spacing w:line="360" w:lineRule="auto"/>
              <w:outlineLvl w:val="0"/>
              <w:rPr>
                <w:rFonts w:hint="eastAsia" w:ascii="宋体" w:hAnsi="宋体" w:cs="宋体"/>
                <w:color w:val="auto"/>
                <w:sz w:val="24"/>
                <w:szCs w:val="24"/>
                <w:highlight w:val="none"/>
                <w:lang w:val="en-US" w:eastAsia="zh-CN"/>
              </w:rPr>
            </w:pPr>
          </w:p>
        </w:tc>
      </w:tr>
      <w:tr w14:paraId="6101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467" w:type="dxa"/>
            <w:vAlign w:val="center"/>
          </w:tcPr>
          <w:p w14:paraId="018A7CBA">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735" w:type="dxa"/>
            <w:vAlign w:val="center"/>
          </w:tcPr>
          <w:p w14:paraId="0D905AD2">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的仓库安防监控管理制度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09997E3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2A1085C4">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3671BB83">
            <w:pPr>
              <w:spacing w:line="360" w:lineRule="auto"/>
              <w:outlineLvl w:val="0"/>
              <w:rPr>
                <w:rFonts w:hint="eastAsia" w:ascii="宋体" w:hAnsi="宋体" w:cs="宋体"/>
                <w:color w:val="auto"/>
                <w:sz w:val="24"/>
                <w:szCs w:val="24"/>
                <w:highlight w:val="none"/>
                <w:lang w:val="en-US" w:eastAsia="zh-CN"/>
              </w:rPr>
            </w:pPr>
          </w:p>
        </w:tc>
      </w:tr>
      <w:tr w14:paraId="5723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5769EF6A">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735" w:type="dxa"/>
            <w:vAlign w:val="center"/>
          </w:tcPr>
          <w:p w14:paraId="6D6A7FDD">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的仓库应急管理制度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5E95C4A7">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35AAB304">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79694C6">
            <w:pPr>
              <w:spacing w:line="360" w:lineRule="auto"/>
              <w:outlineLvl w:val="0"/>
              <w:rPr>
                <w:rFonts w:hint="eastAsia" w:ascii="宋体" w:hAnsi="宋体" w:cs="宋体"/>
                <w:color w:val="auto"/>
                <w:sz w:val="24"/>
                <w:szCs w:val="24"/>
                <w:highlight w:val="none"/>
                <w:lang w:val="en-US" w:eastAsia="zh-CN"/>
              </w:rPr>
            </w:pPr>
          </w:p>
        </w:tc>
      </w:tr>
      <w:tr w14:paraId="30E9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1BB6A2E4">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735" w:type="dxa"/>
            <w:vAlign w:val="center"/>
          </w:tcPr>
          <w:p w14:paraId="0BE608C4">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的人员管理制度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1113DB1B">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3D089DA6">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66938C5">
            <w:pPr>
              <w:spacing w:line="360" w:lineRule="auto"/>
              <w:outlineLvl w:val="0"/>
              <w:rPr>
                <w:rFonts w:hint="eastAsia" w:ascii="宋体" w:hAnsi="宋体" w:cs="宋体"/>
                <w:color w:val="auto"/>
                <w:sz w:val="24"/>
                <w:szCs w:val="24"/>
                <w:highlight w:val="none"/>
                <w:lang w:val="en-US" w:eastAsia="zh-CN"/>
              </w:rPr>
            </w:pPr>
          </w:p>
        </w:tc>
      </w:tr>
      <w:tr w14:paraId="475D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35DC09B6">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735" w:type="dxa"/>
            <w:vAlign w:val="center"/>
          </w:tcPr>
          <w:p w14:paraId="4C18FD07">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的网络安全管理制度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7D219560">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4F5EB9E4">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65AC315">
            <w:pPr>
              <w:spacing w:line="360" w:lineRule="auto"/>
              <w:outlineLvl w:val="0"/>
              <w:rPr>
                <w:rFonts w:hint="eastAsia" w:ascii="宋体" w:hAnsi="宋体" w:cs="宋体"/>
                <w:color w:val="auto"/>
                <w:sz w:val="24"/>
                <w:szCs w:val="24"/>
                <w:highlight w:val="none"/>
                <w:lang w:val="en-US" w:eastAsia="zh-CN"/>
              </w:rPr>
            </w:pPr>
          </w:p>
        </w:tc>
      </w:tr>
      <w:tr w14:paraId="46F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0630747E">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735" w:type="dxa"/>
            <w:vAlign w:val="center"/>
          </w:tcPr>
          <w:p w14:paraId="492B694A">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的工作日志及台账管理制度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3BAE364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7B276942">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7944B2E1">
            <w:pPr>
              <w:spacing w:line="360" w:lineRule="auto"/>
              <w:outlineLvl w:val="0"/>
              <w:rPr>
                <w:rFonts w:hint="eastAsia" w:ascii="宋体" w:hAnsi="宋体" w:cs="宋体"/>
                <w:color w:val="auto"/>
                <w:sz w:val="24"/>
                <w:szCs w:val="24"/>
                <w:highlight w:val="none"/>
                <w:lang w:val="en-US" w:eastAsia="zh-CN"/>
              </w:rPr>
            </w:pPr>
          </w:p>
        </w:tc>
      </w:tr>
      <w:tr w14:paraId="2EAD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1CEB608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735" w:type="dxa"/>
            <w:vAlign w:val="center"/>
          </w:tcPr>
          <w:p w14:paraId="7B425ACD">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的涉密保密制度</w:t>
            </w:r>
            <w:r>
              <w:rPr>
                <w:rFonts w:hint="eastAsia" w:ascii="宋体" w:hAnsi="宋体" w:cs="宋体"/>
                <w:bCs/>
                <w:color w:val="auto"/>
                <w:sz w:val="24"/>
                <w:szCs w:val="24"/>
                <w:highlight w:val="none"/>
                <w:lang w:val="en-US" w:eastAsia="zh-CN"/>
              </w:rPr>
              <w:t>，制度内容完善、合理可行的得3分；制度内容较为完善、较为合理可行的得2分；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41B06A9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47A87CCA">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2EB48548">
            <w:pPr>
              <w:spacing w:line="360" w:lineRule="auto"/>
              <w:outlineLvl w:val="0"/>
              <w:rPr>
                <w:rFonts w:hint="eastAsia" w:ascii="宋体" w:hAnsi="宋体" w:cs="宋体"/>
                <w:color w:val="auto"/>
                <w:sz w:val="24"/>
                <w:szCs w:val="24"/>
                <w:highlight w:val="none"/>
                <w:lang w:val="en-US" w:eastAsia="zh-CN"/>
              </w:rPr>
            </w:pPr>
          </w:p>
        </w:tc>
      </w:tr>
      <w:tr w14:paraId="47A9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7" w:type="dxa"/>
            <w:vAlign w:val="center"/>
          </w:tcPr>
          <w:p w14:paraId="7B9630D8">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735" w:type="dxa"/>
            <w:vAlign w:val="center"/>
          </w:tcPr>
          <w:p w14:paraId="779115E9">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根据标准化及精细化管理，做好设施设备维护工作，包括房屋维护、供配电系统、给排水系统等维护</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内容完善、合理可行的得3分；内容较为完善、较为合理可行的得2分；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498011A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572F2101">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56C7021F">
            <w:pPr>
              <w:spacing w:line="360" w:lineRule="auto"/>
              <w:outlineLvl w:val="0"/>
              <w:rPr>
                <w:rFonts w:hint="eastAsia" w:ascii="宋体" w:hAnsi="宋体" w:eastAsia="宋体" w:cs="宋体"/>
                <w:color w:val="auto"/>
                <w:sz w:val="24"/>
                <w:szCs w:val="24"/>
                <w:highlight w:val="none"/>
              </w:rPr>
            </w:pPr>
          </w:p>
        </w:tc>
      </w:tr>
      <w:tr w14:paraId="68A2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7" w:type="dxa"/>
            <w:vAlign w:val="center"/>
          </w:tcPr>
          <w:p w14:paraId="11312BA6">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735" w:type="dxa"/>
            <w:vAlign w:val="center"/>
          </w:tcPr>
          <w:p w14:paraId="01A637F5">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建立设施设备维护保养规范、计划，对重点设施设备、机房进行定期巡查、高配房24小时值班、</w:t>
            </w:r>
            <w:r>
              <w:rPr>
                <w:rFonts w:hint="eastAsia" w:ascii="宋体" w:hAnsi="宋体" w:eastAsia="宋体" w:cs="宋体"/>
                <w:bCs/>
                <w:color w:val="auto"/>
                <w:sz w:val="24"/>
                <w:szCs w:val="24"/>
                <w:highlight w:val="none"/>
                <w:lang w:eastAsia="zh-CN"/>
              </w:rPr>
              <w:t>做好</w:t>
            </w:r>
            <w:r>
              <w:rPr>
                <w:rFonts w:hint="eastAsia" w:ascii="宋体" w:hAnsi="宋体" w:eastAsia="宋体" w:cs="宋体"/>
                <w:bCs/>
                <w:color w:val="auto"/>
                <w:sz w:val="24"/>
                <w:szCs w:val="24"/>
                <w:highlight w:val="none"/>
              </w:rPr>
              <w:t>专业检测</w:t>
            </w:r>
            <w:r>
              <w:rPr>
                <w:rFonts w:hint="eastAsia" w:ascii="宋体" w:hAnsi="宋体" w:eastAsia="宋体" w:cs="宋体"/>
                <w:bCs/>
                <w:color w:val="auto"/>
                <w:sz w:val="24"/>
                <w:szCs w:val="24"/>
                <w:highlight w:val="none"/>
                <w:lang w:eastAsia="zh-CN"/>
              </w:rPr>
              <w:t>，日常维护</w:t>
            </w:r>
            <w:r>
              <w:rPr>
                <w:rFonts w:hint="eastAsia" w:ascii="宋体" w:hAnsi="宋体" w:eastAsia="宋体" w:cs="宋体"/>
                <w:bCs/>
                <w:color w:val="auto"/>
                <w:sz w:val="24"/>
                <w:szCs w:val="24"/>
                <w:highlight w:val="none"/>
              </w:rPr>
              <w:t>等</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内容完善、合理可行的得3分；内容较为完善、较为合理可行的得2分；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4AA22689">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136A4527">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183C8FE">
            <w:pPr>
              <w:spacing w:line="360" w:lineRule="auto"/>
              <w:outlineLvl w:val="0"/>
              <w:rPr>
                <w:rFonts w:hint="eastAsia" w:ascii="宋体" w:hAnsi="宋体" w:cs="宋体"/>
                <w:color w:val="auto"/>
                <w:sz w:val="24"/>
                <w:szCs w:val="24"/>
                <w:highlight w:val="none"/>
                <w:lang w:val="en-US" w:eastAsia="zh-CN"/>
              </w:rPr>
            </w:pPr>
          </w:p>
        </w:tc>
      </w:tr>
      <w:tr w14:paraId="2F87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dxa"/>
            <w:vAlign w:val="center"/>
          </w:tcPr>
          <w:p w14:paraId="615F46A2">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735" w:type="dxa"/>
            <w:vAlign w:val="center"/>
          </w:tcPr>
          <w:p w14:paraId="19419B7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节能管控制度，落实到细节，</w:t>
            </w:r>
            <w:r>
              <w:rPr>
                <w:rFonts w:hint="eastAsia" w:ascii="宋体" w:hAnsi="宋体" w:eastAsia="宋体" w:cs="宋体"/>
                <w:bCs/>
                <w:color w:val="auto"/>
                <w:sz w:val="24"/>
                <w:szCs w:val="24"/>
                <w:highlight w:val="none"/>
                <w:lang w:eastAsia="zh-CN"/>
              </w:rPr>
              <w:t>有较强的节能意识及节能措施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有详细的能耗分析统计措施的</w:t>
            </w:r>
            <w:r>
              <w:rPr>
                <w:rFonts w:hint="eastAsia" w:ascii="宋体" w:hAnsi="宋体" w:cs="宋体"/>
                <w:bCs/>
                <w:color w:val="auto"/>
                <w:sz w:val="24"/>
                <w:szCs w:val="24"/>
                <w:highlight w:val="none"/>
                <w:lang w:val="en-US" w:eastAsia="zh-CN"/>
              </w:rPr>
              <w:t>得3分；</w:t>
            </w:r>
            <w:r>
              <w:rPr>
                <w:rFonts w:hint="eastAsia" w:ascii="宋体" w:hAnsi="宋体" w:eastAsia="宋体" w:cs="宋体"/>
                <w:bCs/>
                <w:color w:val="auto"/>
                <w:sz w:val="24"/>
                <w:szCs w:val="24"/>
                <w:highlight w:val="none"/>
              </w:rPr>
              <w:t>投标人</w:t>
            </w:r>
            <w:r>
              <w:rPr>
                <w:rFonts w:hint="eastAsia" w:ascii="宋体" w:hAnsi="宋体" w:cs="宋体"/>
                <w:bCs/>
                <w:color w:val="auto"/>
                <w:sz w:val="24"/>
                <w:szCs w:val="24"/>
                <w:highlight w:val="none"/>
                <w:lang w:val="en-US" w:eastAsia="zh-CN"/>
              </w:rPr>
              <w:t>针对本项目</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节能管控制度，</w:t>
            </w:r>
            <w:r>
              <w:rPr>
                <w:rFonts w:hint="eastAsia" w:ascii="宋体" w:hAnsi="宋体" w:cs="宋体"/>
                <w:bCs/>
                <w:color w:val="auto"/>
                <w:sz w:val="24"/>
                <w:szCs w:val="24"/>
                <w:highlight w:val="none"/>
                <w:lang w:val="en-US" w:eastAsia="zh-CN"/>
              </w:rPr>
              <w:t>较能</w:t>
            </w:r>
            <w:r>
              <w:rPr>
                <w:rFonts w:hint="eastAsia" w:ascii="宋体" w:hAnsi="宋体" w:eastAsia="宋体" w:cs="宋体"/>
                <w:bCs/>
                <w:color w:val="auto"/>
                <w:sz w:val="24"/>
                <w:szCs w:val="24"/>
                <w:highlight w:val="none"/>
              </w:rPr>
              <w:t>落实到细节，</w:t>
            </w:r>
            <w:r>
              <w:rPr>
                <w:rFonts w:hint="eastAsia" w:ascii="宋体" w:hAnsi="宋体" w:eastAsia="宋体" w:cs="宋体"/>
                <w:bCs/>
                <w:color w:val="auto"/>
                <w:sz w:val="24"/>
                <w:szCs w:val="24"/>
                <w:highlight w:val="none"/>
                <w:lang w:eastAsia="zh-CN"/>
              </w:rPr>
              <w:t>有</w:t>
            </w:r>
            <w:r>
              <w:rPr>
                <w:rFonts w:hint="eastAsia" w:ascii="宋体" w:hAnsi="宋体" w:cs="宋体"/>
                <w:bCs/>
                <w:color w:val="auto"/>
                <w:sz w:val="24"/>
                <w:szCs w:val="24"/>
                <w:highlight w:val="none"/>
                <w:lang w:val="en-US" w:eastAsia="zh-CN"/>
              </w:rPr>
              <w:t>基本</w:t>
            </w:r>
            <w:r>
              <w:rPr>
                <w:rFonts w:hint="eastAsia" w:ascii="宋体" w:hAnsi="宋体" w:eastAsia="宋体" w:cs="宋体"/>
                <w:bCs/>
                <w:color w:val="auto"/>
                <w:sz w:val="24"/>
                <w:szCs w:val="24"/>
                <w:highlight w:val="none"/>
                <w:lang w:eastAsia="zh-CN"/>
              </w:rPr>
              <w:t>的节能意识及节能措施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有</w:t>
            </w:r>
            <w:r>
              <w:rPr>
                <w:rFonts w:hint="eastAsia" w:ascii="宋体" w:hAnsi="宋体" w:cs="宋体"/>
                <w:bCs/>
                <w:color w:val="auto"/>
                <w:sz w:val="24"/>
                <w:szCs w:val="24"/>
                <w:highlight w:val="none"/>
                <w:lang w:val="en-US" w:eastAsia="zh-CN"/>
              </w:rPr>
              <w:t>较为</w:t>
            </w:r>
            <w:r>
              <w:rPr>
                <w:rFonts w:hint="eastAsia" w:ascii="宋体" w:hAnsi="宋体" w:eastAsia="宋体" w:cs="宋体"/>
                <w:bCs/>
                <w:color w:val="auto"/>
                <w:sz w:val="24"/>
                <w:szCs w:val="24"/>
                <w:highlight w:val="none"/>
              </w:rPr>
              <w:t>详细的能耗分析统计措施的</w:t>
            </w:r>
            <w:r>
              <w:rPr>
                <w:rFonts w:hint="eastAsia" w:ascii="宋体" w:hAnsi="宋体" w:cs="宋体"/>
                <w:bCs/>
                <w:color w:val="auto"/>
                <w:sz w:val="24"/>
                <w:szCs w:val="24"/>
                <w:highlight w:val="none"/>
                <w:lang w:val="en-US" w:eastAsia="zh-CN"/>
              </w:rPr>
              <w:t>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03A8D3A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449FD387">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2AF3C831">
            <w:pPr>
              <w:spacing w:line="360" w:lineRule="auto"/>
              <w:outlineLvl w:val="0"/>
              <w:rPr>
                <w:rFonts w:hint="eastAsia" w:ascii="宋体" w:hAnsi="宋体" w:eastAsia="宋体" w:cs="宋体"/>
                <w:color w:val="auto"/>
                <w:sz w:val="24"/>
                <w:szCs w:val="24"/>
                <w:highlight w:val="none"/>
              </w:rPr>
            </w:pPr>
          </w:p>
        </w:tc>
      </w:tr>
      <w:tr w14:paraId="53AC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7" w:type="dxa"/>
            <w:vAlign w:val="center"/>
          </w:tcPr>
          <w:p w14:paraId="02FE46E2">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735" w:type="dxa"/>
            <w:vAlign w:val="center"/>
          </w:tcPr>
          <w:p w14:paraId="02C57BF1">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投标人提供的</w:t>
            </w:r>
            <w:r>
              <w:rPr>
                <w:rFonts w:hint="eastAsia" w:ascii="宋体" w:hAnsi="宋体" w:eastAsia="宋体" w:cs="宋体"/>
                <w:bCs/>
                <w:color w:val="auto"/>
                <w:sz w:val="24"/>
                <w:szCs w:val="24"/>
                <w:highlight w:val="none"/>
                <w:lang w:eastAsia="zh-CN"/>
              </w:rPr>
              <w:t>保洁服务工作</w:t>
            </w:r>
            <w:r>
              <w:rPr>
                <w:rFonts w:hint="eastAsia" w:ascii="宋体" w:hAnsi="宋体" w:cs="宋体"/>
                <w:bCs/>
                <w:color w:val="auto"/>
                <w:sz w:val="24"/>
                <w:szCs w:val="24"/>
                <w:highlight w:val="none"/>
                <w:lang w:val="en-US" w:eastAsia="zh-CN"/>
              </w:rPr>
              <w:t>方案</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包括区域保洁、工具摆放、日常消杀</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垃圾分类工作方案（垃圾分类投放、标识等）及美丽厕所（标准、摆放等）实施方案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方案内容完善、合理可行的得3分；方案内容较为完善、较为合理可行的得2分；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638676C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7826AA30">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107AA040">
            <w:pPr>
              <w:spacing w:line="360" w:lineRule="auto"/>
              <w:outlineLvl w:val="0"/>
              <w:rPr>
                <w:rFonts w:hint="eastAsia" w:ascii="宋体" w:hAnsi="宋体" w:eastAsia="宋体" w:cs="宋体"/>
                <w:color w:val="auto"/>
                <w:sz w:val="24"/>
                <w:szCs w:val="24"/>
                <w:highlight w:val="none"/>
              </w:rPr>
            </w:pPr>
          </w:p>
        </w:tc>
      </w:tr>
      <w:tr w14:paraId="45E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dxa"/>
            <w:vAlign w:val="center"/>
          </w:tcPr>
          <w:p w14:paraId="71519A10">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735" w:type="dxa"/>
            <w:vAlign w:val="center"/>
          </w:tcPr>
          <w:p w14:paraId="6F8CB7A4">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针对突发公共卫生事件、灭火、治安、极端天气（包括发生台风、暴雨、冻雪等灾害性天气）、燃气泄漏、设施设备故障等制定预防与应对措施，</w:t>
            </w:r>
            <w:r>
              <w:rPr>
                <w:rFonts w:hint="eastAsia" w:ascii="宋体" w:hAnsi="宋体" w:cs="宋体"/>
                <w:b w:val="0"/>
                <w:bCs w:val="0"/>
                <w:color w:val="auto"/>
                <w:kern w:val="0"/>
                <w:sz w:val="24"/>
                <w:szCs w:val="24"/>
                <w:highlight w:val="none"/>
                <w:lang w:val="en-US" w:eastAsia="zh-CN"/>
              </w:rPr>
              <w:t>内容</w:t>
            </w:r>
            <w:r>
              <w:rPr>
                <w:rFonts w:hint="eastAsia" w:ascii="宋体" w:hAnsi="宋体" w:eastAsia="宋体" w:cs="宋体"/>
                <w:b w:val="0"/>
                <w:bCs w:val="0"/>
                <w:color w:val="auto"/>
                <w:kern w:val="0"/>
                <w:sz w:val="24"/>
                <w:szCs w:val="24"/>
                <w:highlight w:val="none"/>
                <w:lang w:val="en-US" w:eastAsia="zh-CN"/>
              </w:rPr>
              <w:t>科学合理、具有针对性及可操作性的得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Cs/>
                <w:color w:val="auto"/>
                <w:sz w:val="24"/>
                <w:szCs w:val="24"/>
                <w:highlight w:val="none"/>
                <w:lang w:val="en-US" w:eastAsia="zh-CN"/>
              </w:rPr>
              <w:t>方案内容较为科学合理、较具有针对性及操作性的得2分；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02EA63F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15BF3810">
            <w:pPr>
              <w:jc w:val="center"/>
              <w:rPr>
                <w:rFonts w:hint="default"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w:t>
            </w:r>
            <w:r>
              <w:rPr>
                <w:rFonts w:hint="eastAsia" w:ascii="宋体" w:hAnsi="宋体" w:cs="宋体"/>
                <w:color w:val="auto"/>
                <w:sz w:val="24"/>
                <w:szCs w:val="24"/>
                <w:highlight w:val="none"/>
                <w:lang w:val="en-US" w:eastAsia="zh-CN"/>
              </w:rPr>
              <w:t>观分</w:t>
            </w:r>
          </w:p>
        </w:tc>
        <w:tc>
          <w:tcPr>
            <w:tcW w:w="1566" w:type="dxa"/>
            <w:vAlign w:val="top"/>
          </w:tcPr>
          <w:p w14:paraId="6A0F58C3">
            <w:pPr>
              <w:spacing w:line="360" w:lineRule="auto"/>
              <w:outlineLvl w:val="0"/>
              <w:rPr>
                <w:rFonts w:hint="eastAsia" w:ascii="宋体" w:hAnsi="宋体" w:eastAsia="宋体" w:cs="宋体"/>
                <w:color w:val="auto"/>
                <w:sz w:val="24"/>
                <w:szCs w:val="24"/>
                <w:highlight w:val="none"/>
              </w:rPr>
            </w:pPr>
          </w:p>
        </w:tc>
      </w:tr>
      <w:tr w14:paraId="53EF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467" w:type="dxa"/>
            <w:vAlign w:val="center"/>
          </w:tcPr>
          <w:p w14:paraId="08DD7923">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735" w:type="dxa"/>
            <w:vAlign w:val="center"/>
          </w:tcPr>
          <w:p w14:paraId="10FE71BA">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投标人提出的</w:t>
            </w:r>
            <w:r>
              <w:rPr>
                <w:rFonts w:hint="eastAsia" w:ascii="宋体" w:hAnsi="宋体" w:eastAsia="宋体" w:cs="宋体"/>
                <w:bCs/>
                <w:color w:val="auto"/>
                <w:sz w:val="24"/>
                <w:szCs w:val="24"/>
                <w:highlight w:val="none"/>
              </w:rPr>
              <w:t>企业员工培训方案（包括培训思路、目标、形式</w:t>
            </w:r>
            <w:bookmarkStart w:id="520" w:name="_GoBack"/>
            <w:bookmarkEnd w:id="520"/>
            <w:r>
              <w:rPr>
                <w:rFonts w:hint="eastAsia" w:ascii="宋体" w:hAnsi="宋体" w:eastAsia="宋体" w:cs="宋体"/>
                <w:bCs/>
                <w:color w:val="auto"/>
                <w:sz w:val="24"/>
                <w:szCs w:val="24"/>
                <w:highlight w:val="none"/>
              </w:rPr>
              <w:t>、体系</w:t>
            </w:r>
            <w:r>
              <w:rPr>
                <w:rFonts w:hint="eastAsia" w:ascii="宋体" w:hAnsi="宋体" w:cs="宋体"/>
                <w:bCs/>
                <w:color w:val="auto"/>
                <w:sz w:val="24"/>
                <w:szCs w:val="24"/>
                <w:highlight w:val="none"/>
                <w:lang w:eastAsia="zh-CN"/>
              </w:rPr>
              <w:t>、培训内容、频次、案例及图片）</w:t>
            </w:r>
            <w:r>
              <w:rPr>
                <w:rFonts w:hint="eastAsia" w:ascii="宋体" w:hAnsi="宋体" w:eastAsia="宋体" w:cs="宋体"/>
                <w:bCs/>
                <w:color w:val="auto"/>
                <w:sz w:val="24"/>
                <w:szCs w:val="24"/>
                <w:highlight w:val="none"/>
              </w:rPr>
              <w:t>科学有效，可操性强</w:t>
            </w:r>
            <w:r>
              <w:rPr>
                <w:rFonts w:hint="eastAsia" w:ascii="宋体" w:hAnsi="宋体" w:cs="宋体"/>
                <w:bCs/>
                <w:color w:val="auto"/>
                <w:sz w:val="24"/>
                <w:szCs w:val="24"/>
                <w:highlight w:val="none"/>
                <w:lang w:val="en-US" w:eastAsia="zh-CN"/>
              </w:rPr>
              <w:t>的得3分；企业员工培训方案（包括培训思路、目标、形式、体系）较为科学有效，可操性较强的得2分；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0C0E416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1706A0CD">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w:t>
            </w:r>
            <w:r>
              <w:rPr>
                <w:rFonts w:hint="eastAsia" w:ascii="宋体" w:hAnsi="宋体" w:cs="宋体"/>
                <w:color w:val="auto"/>
                <w:sz w:val="24"/>
                <w:szCs w:val="24"/>
                <w:highlight w:val="none"/>
                <w:lang w:val="en-US" w:eastAsia="zh-CN"/>
              </w:rPr>
              <w:t>观分</w:t>
            </w:r>
          </w:p>
        </w:tc>
        <w:tc>
          <w:tcPr>
            <w:tcW w:w="1566" w:type="dxa"/>
            <w:vAlign w:val="top"/>
          </w:tcPr>
          <w:p w14:paraId="49C8BD34">
            <w:pPr>
              <w:spacing w:line="360" w:lineRule="auto"/>
              <w:outlineLvl w:val="0"/>
              <w:rPr>
                <w:rFonts w:hint="eastAsia" w:ascii="宋体" w:hAnsi="宋体" w:eastAsia="宋体" w:cs="宋体"/>
                <w:color w:val="auto"/>
                <w:sz w:val="24"/>
                <w:szCs w:val="24"/>
                <w:highlight w:val="none"/>
              </w:rPr>
            </w:pPr>
          </w:p>
        </w:tc>
      </w:tr>
      <w:tr w14:paraId="162C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467" w:type="dxa"/>
            <w:vAlign w:val="center"/>
          </w:tcPr>
          <w:p w14:paraId="10BBF32E">
            <w:pPr>
              <w:numPr>
                <w:ilvl w:val="0"/>
                <w:numId w:val="0"/>
              </w:num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6735" w:type="dxa"/>
            <w:vAlign w:val="center"/>
          </w:tcPr>
          <w:p w14:paraId="62429832">
            <w:pPr>
              <w:spacing w:line="360" w:lineRule="auto"/>
              <w:outlineLvl w:val="0"/>
              <w:rPr>
                <w:rFonts w:hint="eastAsia" w:ascii="宋体" w:hAnsi="宋体" w:cs="宋体"/>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投标人对本项目提供的</w:t>
            </w:r>
            <w:r>
              <w:rPr>
                <w:rFonts w:hint="eastAsia" w:ascii="宋体" w:hAnsi="宋体" w:eastAsia="宋体" w:cs="宋体"/>
                <w:b w:val="0"/>
                <w:bCs w:val="0"/>
                <w:color w:val="auto"/>
                <w:sz w:val="24"/>
                <w:szCs w:val="24"/>
                <w:highlight w:val="none"/>
              </w:rPr>
              <w:t>耗材的品类、质量等，需提供拟投入的设备、耗材清单</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提供拟投入的设备、耗材清单符合招标需求、齐全、具有针对性的得3分；提供拟投入的设备、耗材清单较为符合招标需求、较为齐全、较具有针对性的得2分；</w:t>
            </w:r>
            <w:r>
              <w:rPr>
                <w:rFonts w:hint="eastAsia" w:ascii="宋体" w:hAnsi="宋体" w:cs="宋体"/>
                <w:color w:val="auto"/>
                <w:sz w:val="24"/>
                <w:szCs w:val="24"/>
                <w:highlight w:val="none"/>
                <w:lang w:val="en-US" w:eastAsia="zh-CN"/>
              </w:rPr>
              <w:t>内容有所缺陷需进一步完善的得1分；内容不合理或未提供的不得分。</w:t>
            </w:r>
          </w:p>
        </w:tc>
        <w:tc>
          <w:tcPr>
            <w:tcW w:w="559" w:type="dxa"/>
            <w:vAlign w:val="center"/>
          </w:tcPr>
          <w:p w14:paraId="28AECB4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541F4A26">
            <w:pPr>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w:t>
            </w:r>
            <w:r>
              <w:rPr>
                <w:rFonts w:hint="eastAsia" w:ascii="宋体" w:hAnsi="宋体" w:cs="宋体"/>
                <w:color w:val="auto"/>
                <w:sz w:val="24"/>
                <w:szCs w:val="24"/>
                <w:highlight w:val="none"/>
                <w:lang w:val="en-US" w:eastAsia="zh-CN"/>
              </w:rPr>
              <w:t>观分</w:t>
            </w:r>
          </w:p>
        </w:tc>
        <w:tc>
          <w:tcPr>
            <w:tcW w:w="1566" w:type="dxa"/>
            <w:vAlign w:val="top"/>
          </w:tcPr>
          <w:p w14:paraId="7D989E33">
            <w:pPr>
              <w:spacing w:line="360" w:lineRule="auto"/>
              <w:outlineLvl w:val="0"/>
              <w:rPr>
                <w:rFonts w:hint="eastAsia" w:ascii="宋体" w:hAnsi="宋体" w:eastAsia="宋体" w:cs="宋体"/>
                <w:color w:val="auto"/>
                <w:sz w:val="24"/>
                <w:szCs w:val="24"/>
                <w:highlight w:val="none"/>
              </w:rPr>
            </w:pPr>
          </w:p>
        </w:tc>
      </w:tr>
      <w:tr w14:paraId="663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467" w:type="dxa"/>
            <w:vAlign w:val="center"/>
          </w:tcPr>
          <w:p w14:paraId="7B7C1290">
            <w:pPr>
              <w:numPr>
                <w:ilvl w:val="0"/>
                <w:numId w:val="0"/>
              </w:num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p>
        </w:tc>
        <w:tc>
          <w:tcPr>
            <w:tcW w:w="6735" w:type="dxa"/>
            <w:vAlign w:val="center"/>
          </w:tcPr>
          <w:p w14:paraId="1D2094B7">
            <w:pPr>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拟投入的设备（车辆）：</w:t>
            </w:r>
          </w:p>
          <w:p w14:paraId="70732FD0">
            <w:pPr>
              <w:numPr>
                <w:ilvl w:val="-1"/>
                <w:numId w:val="0"/>
              </w:numPr>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1.投标人需提供2辆及以上货车（</w:t>
            </w:r>
            <w:r>
              <w:rPr>
                <w:rFonts w:hint="eastAsia" w:ascii="国标宋体" w:hAnsi="国标宋体" w:eastAsia="国标宋体" w:cs="国标宋体"/>
                <w:color w:val="auto"/>
                <w:sz w:val="24"/>
                <w:szCs w:val="24"/>
                <w:highlight w:val="none"/>
                <w:lang w:val="en-US" w:eastAsia="zh-CN"/>
              </w:rPr>
              <w:t>3.8米及以上，</w:t>
            </w:r>
            <w:r>
              <w:rPr>
                <w:rFonts w:hint="eastAsia" w:ascii="宋体" w:hAnsi="宋体" w:cs="宋体"/>
                <w:bCs/>
                <w:color w:val="auto"/>
                <w:sz w:val="24"/>
                <w:szCs w:val="24"/>
                <w:highlight w:val="none"/>
                <w:lang w:val="en-US" w:eastAsia="zh-CN"/>
              </w:rPr>
              <w:t>配备车载监控系统、GPS卫星定位跟踪系统）并具备相关营运资质，提供2辆得3分，提供1辆得1.5分，没有不得分。</w:t>
            </w:r>
          </w:p>
          <w:p w14:paraId="13A1BF1D">
            <w:pPr>
              <w:numPr>
                <w:ilvl w:val="-1"/>
                <w:numId w:val="0"/>
              </w:numPr>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2.车龄在3年（含）以下的，每辆得1分，本项最高得2分；5年（含）以下的每辆得0.5分；本项最高得1分，不符合不得分；</w:t>
            </w:r>
          </w:p>
          <w:p w14:paraId="22E0A204">
            <w:p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w:t>
            </w:r>
            <w:r>
              <w:rPr>
                <w:rFonts w:hint="eastAsia" w:ascii="宋体" w:hAnsi="宋体" w:eastAsia="宋体" w:cs="宋体"/>
                <w:b/>
                <w:bCs/>
                <w:color w:val="auto"/>
                <w:sz w:val="24"/>
                <w:szCs w:val="24"/>
                <w:highlight w:val="none"/>
                <w:lang w:val="en-US" w:eastAsia="zh-CN"/>
              </w:rPr>
              <w:t>营运资质、</w:t>
            </w:r>
            <w:r>
              <w:rPr>
                <w:rFonts w:hint="eastAsia" w:ascii="宋体" w:hAnsi="宋体" w:eastAsia="宋体" w:cs="宋体"/>
                <w:b/>
                <w:bCs/>
                <w:color w:val="auto"/>
                <w:sz w:val="24"/>
                <w:szCs w:val="24"/>
                <w:highlight w:val="none"/>
              </w:rPr>
              <w:t>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eastAsia="zh-CN"/>
              </w:rPr>
              <w:t>同时提供清晰带有车牌号的正面、</w:t>
            </w:r>
            <w:r>
              <w:rPr>
                <w:rFonts w:hint="eastAsia" w:ascii="宋体" w:hAnsi="宋体" w:cs="宋体"/>
                <w:b/>
                <w:bCs/>
                <w:color w:val="auto"/>
                <w:sz w:val="24"/>
                <w:szCs w:val="24"/>
                <w:highlight w:val="none"/>
                <w:lang w:val="en-US" w:eastAsia="zh-CN"/>
              </w:rPr>
              <w:t>45度斜侧面的照片；</w:t>
            </w:r>
            <w:r>
              <w:rPr>
                <w:rFonts w:hint="eastAsia" w:ascii="宋体" w:hAnsi="宋体" w:cs="仿宋"/>
                <w:b/>
                <w:bCs/>
                <w:color w:val="auto"/>
                <w:kern w:val="0"/>
                <w:sz w:val="24"/>
                <w:highlight w:val="none"/>
              </w:rPr>
              <w:t>如为租赁设备还须另外提供租赁合同，租赁期须</w:t>
            </w:r>
            <w:r>
              <w:rPr>
                <w:rFonts w:ascii="宋体" w:hAnsi="宋体" w:cs="仿宋"/>
                <w:b/>
                <w:bCs/>
                <w:color w:val="auto"/>
                <w:kern w:val="0"/>
                <w:sz w:val="24"/>
                <w:highlight w:val="none"/>
              </w:rPr>
              <w:t>≥</w:t>
            </w:r>
            <w:r>
              <w:rPr>
                <w:rFonts w:hint="eastAsia" w:ascii="宋体" w:hAnsi="宋体" w:cs="仿宋"/>
                <w:b/>
                <w:bCs/>
                <w:color w:val="auto"/>
                <w:kern w:val="0"/>
                <w:sz w:val="24"/>
                <w:highlight w:val="none"/>
              </w:rPr>
              <w:t>本项目服务期，</w:t>
            </w:r>
            <w:r>
              <w:rPr>
                <w:rFonts w:hint="eastAsia" w:ascii="宋体" w:hAnsi="宋体" w:cs="仿宋"/>
                <w:b/>
                <w:bCs/>
                <w:color w:val="auto"/>
                <w:kern w:val="0"/>
                <w:sz w:val="24"/>
                <w:highlight w:val="none"/>
                <w:lang w:val="en-US" w:eastAsia="zh-CN"/>
              </w:rPr>
              <w:t>复印件或</w:t>
            </w:r>
            <w:r>
              <w:rPr>
                <w:rFonts w:hint="eastAsia" w:ascii="宋体" w:hAnsi="宋体" w:cs="仿宋"/>
                <w:b/>
                <w:bCs/>
                <w:color w:val="auto"/>
                <w:kern w:val="0"/>
                <w:sz w:val="24"/>
                <w:highlight w:val="none"/>
              </w:rPr>
              <w:t>扫描件证明</w:t>
            </w:r>
            <w:r>
              <w:rPr>
                <w:rFonts w:hint="eastAsia" w:ascii="宋体" w:hAnsi="宋体" w:cs="仿宋"/>
                <w:b/>
                <w:bCs/>
                <w:color w:val="auto"/>
                <w:kern w:val="0"/>
                <w:sz w:val="24"/>
                <w:highlight w:val="none"/>
                <w:lang w:eastAsia="zh-CN"/>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559" w:type="dxa"/>
            <w:vAlign w:val="center"/>
          </w:tcPr>
          <w:p w14:paraId="0A74EAA4">
            <w:pPr>
              <w:jc w:val="center"/>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5</w:t>
            </w:r>
          </w:p>
        </w:tc>
        <w:tc>
          <w:tcPr>
            <w:tcW w:w="1085" w:type="dxa"/>
            <w:vAlign w:val="center"/>
          </w:tcPr>
          <w:p w14:paraId="6F2CC271">
            <w:pPr>
              <w:jc w:val="center"/>
              <w:rPr>
                <w:rFonts w:hint="eastAsia" w:ascii="宋体" w:hAnsi="宋体" w:eastAsia="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客观分</w:t>
            </w:r>
          </w:p>
        </w:tc>
        <w:tc>
          <w:tcPr>
            <w:tcW w:w="1566" w:type="dxa"/>
            <w:vAlign w:val="top"/>
          </w:tcPr>
          <w:p w14:paraId="27B7DBC8">
            <w:pPr>
              <w:spacing w:line="360" w:lineRule="auto"/>
              <w:outlineLvl w:val="0"/>
              <w:rPr>
                <w:rFonts w:hint="eastAsia" w:ascii="宋体" w:hAnsi="宋体" w:eastAsia="宋体" w:cs="宋体"/>
                <w:b w:val="0"/>
                <w:bCs w:val="0"/>
                <w:color w:val="auto"/>
                <w:sz w:val="24"/>
                <w:szCs w:val="24"/>
                <w:highlight w:val="none"/>
              </w:rPr>
            </w:pPr>
          </w:p>
        </w:tc>
      </w:tr>
      <w:tr w14:paraId="595D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467" w:type="dxa"/>
            <w:vAlign w:val="center"/>
          </w:tcPr>
          <w:p w14:paraId="59866986">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6735" w:type="dxa"/>
            <w:vAlign w:val="center"/>
          </w:tcPr>
          <w:p w14:paraId="6BEFF62D">
            <w:pPr>
              <w:spacing w:line="360" w:lineRule="auto"/>
              <w:jc w:val="left"/>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项目成员配备情况</w:t>
            </w:r>
            <w:r>
              <w:rPr>
                <w:rFonts w:hint="eastAsia" w:ascii="宋体" w:hAnsi="宋体" w:cs="宋体"/>
                <w:bCs/>
                <w:color w:val="auto"/>
                <w:sz w:val="24"/>
                <w:szCs w:val="24"/>
                <w:highlight w:val="none"/>
                <w:lang w:eastAsia="zh-CN"/>
              </w:rPr>
              <w:t>：</w:t>
            </w:r>
          </w:p>
          <w:p w14:paraId="265FEC1D">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项目经理具有三级及以上的</w:t>
            </w:r>
            <w:r>
              <w:rPr>
                <w:rFonts w:hint="eastAsia" w:ascii="宋体" w:hAnsi="宋体" w:cs="宋体"/>
                <w:bCs/>
                <w:color w:val="auto"/>
                <w:sz w:val="24"/>
                <w:szCs w:val="24"/>
                <w:highlight w:val="none"/>
                <w:lang w:val="en-US" w:eastAsia="zh-CN"/>
              </w:rPr>
              <w:t>高级仓储管理员证书得2分</w:t>
            </w:r>
            <w:r>
              <w:rPr>
                <w:rFonts w:hint="eastAsia" w:ascii="宋体" w:hAnsi="宋体" w:cs="宋体"/>
                <w:bCs/>
                <w:color w:val="auto"/>
                <w:sz w:val="24"/>
                <w:szCs w:val="24"/>
                <w:highlight w:val="none"/>
                <w:lang w:eastAsia="zh-CN"/>
              </w:rPr>
              <w:t>；</w:t>
            </w:r>
          </w:p>
          <w:p w14:paraId="7329E335">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保安具有保安员证，每</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得0</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分，最高得</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分；</w:t>
            </w:r>
          </w:p>
          <w:p w14:paraId="65A19D50">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.消防监控人员具有建（构）筑物消防员证书或消防设施操作员证书，每</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分，最高</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分；</w:t>
            </w:r>
          </w:p>
          <w:p w14:paraId="2D0302DD">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.具有电工上岗证的得1分，具有电工进网作业许可证</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高压类）的得1分，</w:t>
            </w:r>
            <w:r>
              <w:rPr>
                <w:rFonts w:hint="eastAsia" w:ascii="宋体" w:hAnsi="宋体" w:cs="宋体"/>
                <w:bCs/>
                <w:color w:val="auto"/>
                <w:sz w:val="24"/>
                <w:szCs w:val="24"/>
                <w:highlight w:val="none"/>
                <w:lang w:val="en-US" w:eastAsia="zh-CN"/>
              </w:rPr>
              <w:t>最高得2分</w:t>
            </w:r>
            <w:r>
              <w:rPr>
                <w:rFonts w:hint="eastAsia" w:ascii="宋体" w:hAnsi="宋体" w:cs="宋体"/>
                <w:bCs/>
                <w:color w:val="auto"/>
                <w:sz w:val="24"/>
                <w:szCs w:val="24"/>
                <w:highlight w:val="none"/>
                <w:lang w:eastAsia="zh-CN"/>
              </w:rPr>
              <w:t>；</w:t>
            </w:r>
          </w:p>
          <w:p w14:paraId="108CADF4">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.具有市场监督管理部门颁发的电梯安全管理证书的得1</w:t>
            </w:r>
            <w:r>
              <w:rPr>
                <w:rFonts w:hint="eastAsia" w:ascii="宋体" w:hAnsi="宋体" w:cs="宋体"/>
                <w:bCs/>
                <w:color w:val="auto"/>
                <w:sz w:val="24"/>
                <w:szCs w:val="24"/>
                <w:highlight w:val="none"/>
                <w:lang w:val="en-US" w:eastAsia="zh-CN"/>
              </w:rPr>
              <w:t>分</w:t>
            </w:r>
            <w:r>
              <w:rPr>
                <w:rFonts w:hint="eastAsia" w:ascii="宋体" w:hAnsi="宋体" w:cs="宋体"/>
                <w:bCs/>
                <w:color w:val="auto"/>
                <w:sz w:val="24"/>
                <w:szCs w:val="24"/>
                <w:highlight w:val="none"/>
                <w:lang w:eastAsia="zh-CN"/>
              </w:rPr>
              <w:t>；</w:t>
            </w:r>
          </w:p>
          <w:p w14:paraId="4CFC9CC6">
            <w:pPr>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.具有质量技术监督部门或市场监督管理部门颁发的叉车司机证书，每</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得</w:t>
            </w:r>
            <w:r>
              <w:rPr>
                <w:rFonts w:hint="eastAsia" w:ascii="宋体" w:hAnsi="宋体" w:cs="宋体"/>
                <w:bCs/>
                <w:color w:val="auto"/>
                <w:sz w:val="24"/>
                <w:szCs w:val="24"/>
                <w:highlight w:val="none"/>
                <w:lang w:val="en-US" w:eastAsia="zh-CN"/>
              </w:rPr>
              <w:t>0.5</w:t>
            </w:r>
            <w:r>
              <w:rPr>
                <w:rFonts w:hint="eastAsia" w:ascii="宋体" w:hAnsi="宋体" w:cs="宋体"/>
                <w:bCs/>
                <w:color w:val="auto"/>
                <w:sz w:val="24"/>
                <w:szCs w:val="24"/>
                <w:highlight w:val="none"/>
                <w:lang w:eastAsia="zh-CN"/>
              </w:rPr>
              <w:t>分，最高</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分；</w:t>
            </w:r>
          </w:p>
          <w:p w14:paraId="044CEA76">
            <w:pPr>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7.网络系统及硬件维护人员具有计算机技术与软件专业资格证书的得1分；</w:t>
            </w:r>
          </w:p>
          <w:p w14:paraId="6AD1D940">
            <w:pPr>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驾驶员具有（</w:t>
            </w:r>
            <w:r>
              <w:rPr>
                <w:rFonts w:hint="eastAsia" w:ascii="宋体" w:hAnsi="宋体" w:cs="宋体"/>
                <w:bCs/>
                <w:color w:val="auto"/>
                <w:sz w:val="24"/>
                <w:szCs w:val="24"/>
                <w:highlight w:val="none"/>
                <w:lang w:val="en-US" w:eastAsia="zh-CN"/>
              </w:rPr>
              <w:t>C1或以上</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驾驶证并提供</w:t>
            </w:r>
            <w:r>
              <w:rPr>
                <w:rFonts w:hint="eastAsia" w:ascii="宋体" w:hAnsi="宋体" w:cs="宋体"/>
                <w:bCs/>
                <w:color w:val="auto"/>
                <w:sz w:val="24"/>
                <w:szCs w:val="24"/>
                <w:highlight w:val="none"/>
                <w:lang w:eastAsia="zh-CN"/>
              </w:rPr>
              <w:t>交警部门出具的3年无重大事故证明</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lang w:eastAsia="zh-CN"/>
              </w:rPr>
              <w:t>每人得</w:t>
            </w:r>
            <w:r>
              <w:rPr>
                <w:rFonts w:hint="eastAsia" w:ascii="宋体" w:hAnsi="宋体" w:cs="宋体"/>
                <w:bCs/>
                <w:color w:val="auto"/>
                <w:sz w:val="24"/>
                <w:szCs w:val="24"/>
                <w:highlight w:val="none"/>
                <w:lang w:val="en-US" w:eastAsia="zh-CN"/>
              </w:rPr>
              <w:t>1分，最高得2分。</w:t>
            </w:r>
          </w:p>
          <w:p w14:paraId="6CE09937">
            <w:pPr>
              <w:spacing w:line="360" w:lineRule="auto"/>
              <w:jc w:val="left"/>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相关证明材料、身份证</w:t>
            </w:r>
            <w:r>
              <w:rPr>
                <w:rFonts w:hint="eastAsia" w:ascii="宋体" w:hAnsi="宋体" w:eastAsia="宋体" w:cs="宋体"/>
                <w:b/>
                <w:bCs/>
                <w:color w:val="auto"/>
                <w:sz w:val="24"/>
                <w:szCs w:val="24"/>
                <w:highlight w:val="none"/>
                <w:lang w:val="en-US" w:eastAsia="zh-CN"/>
              </w:rPr>
              <w:t>及</w:t>
            </w:r>
            <w:r>
              <w:rPr>
                <w:rFonts w:hint="eastAsia" w:ascii="宋体" w:hAnsi="宋体" w:cs="宋体"/>
                <w:b/>
                <w:bCs/>
                <w:color w:val="auto"/>
                <w:sz w:val="24"/>
                <w:szCs w:val="24"/>
                <w:highlight w:val="none"/>
                <w:lang w:val="en-US" w:eastAsia="zh-CN"/>
              </w:rPr>
              <w:t>本单位最近一个月</w:t>
            </w:r>
            <w:r>
              <w:rPr>
                <w:rFonts w:hint="eastAsia" w:ascii="宋体" w:hAnsi="宋体" w:eastAsia="宋体" w:cs="宋体"/>
                <w:b/>
                <w:bCs/>
                <w:color w:val="auto"/>
                <w:sz w:val="24"/>
                <w:szCs w:val="24"/>
                <w:highlight w:val="none"/>
                <w:lang w:val="en-US" w:eastAsia="zh-CN"/>
              </w:rPr>
              <w:t>社保证明复印件</w:t>
            </w:r>
            <w:r>
              <w:rPr>
                <w:rFonts w:hint="eastAsia" w:ascii="宋体" w:hAnsi="宋体" w:cs="宋体"/>
                <w:b/>
                <w:bCs/>
                <w:color w:val="auto"/>
                <w:sz w:val="24"/>
                <w:szCs w:val="24"/>
                <w:highlight w:val="none"/>
                <w:lang w:val="en-US" w:eastAsia="zh-CN"/>
              </w:rPr>
              <w:t>或扫描件</w:t>
            </w:r>
            <w:r>
              <w:rPr>
                <w:rFonts w:hint="eastAsia" w:ascii="宋体" w:hAnsi="宋体" w:eastAsia="宋体" w:cs="宋体"/>
                <w:b/>
                <w:bCs/>
                <w:color w:val="auto"/>
                <w:sz w:val="24"/>
                <w:szCs w:val="24"/>
                <w:highlight w:val="none"/>
                <w:lang w:val="en-US" w:eastAsia="zh-CN"/>
              </w:rPr>
              <w:t>加盖公章，缺一不可，否则不得分。</w:t>
            </w:r>
          </w:p>
        </w:tc>
        <w:tc>
          <w:tcPr>
            <w:tcW w:w="559" w:type="dxa"/>
            <w:vAlign w:val="center"/>
          </w:tcPr>
          <w:p w14:paraId="7ADA0FC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085" w:type="dxa"/>
            <w:vAlign w:val="center"/>
          </w:tcPr>
          <w:p w14:paraId="65B2F7A5">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7C62B58C">
            <w:pPr>
              <w:spacing w:line="360" w:lineRule="auto"/>
              <w:outlineLvl w:val="0"/>
              <w:rPr>
                <w:rFonts w:hint="eastAsia" w:ascii="宋体" w:hAnsi="宋体" w:eastAsia="宋体" w:cs="宋体"/>
                <w:color w:val="auto"/>
                <w:sz w:val="24"/>
                <w:szCs w:val="24"/>
                <w:highlight w:val="none"/>
              </w:rPr>
            </w:pPr>
          </w:p>
        </w:tc>
      </w:tr>
      <w:tr w14:paraId="3333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67" w:type="dxa"/>
            <w:vAlign w:val="center"/>
          </w:tcPr>
          <w:p w14:paraId="14625C19">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6735" w:type="dxa"/>
            <w:vAlign w:val="top"/>
          </w:tcPr>
          <w:p w14:paraId="20F4BF6B">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794BF06E">
            <w:pPr>
              <w:widowControl/>
              <w:shd w:val="clear" w:color="auto" w:fill="FFFFFF"/>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59" w:type="dxa"/>
            <w:vAlign w:val="center"/>
          </w:tcPr>
          <w:p w14:paraId="3312231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5" w:type="dxa"/>
            <w:vAlign w:val="center"/>
          </w:tcPr>
          <w:p w14:paraId="352213E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566" w:type="dxa"/>
            <w:vAlign w:val="center"/>
          </w:tcPr>
          <w:p w14:paraId="7C99F67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099B101">
      <w:pPr>
        <w:rPr>
          <w:color w:val="auto"/>
          <w:highlight w:val="none"/>
        </w:rPr>
      </w:pPr>
    </w:p>
    <w:p w14:paraId="290378DB">
      <w:pPr>
        <w:rPr>
          <w:color w:val="auto"/>
          <w:highlight w:val="none"/>
        </w:rPr>
      </w:pPr>
    </w:p>
    <w:p w14:paraId="06F5E70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252AE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359049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4D05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2D5AC3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14A095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C8373A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9174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7BE9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31226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4A9AE2">
      <w:pPr>
        <w:pStyle w:val="8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2EEB96">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8B0A3AB">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94F0EB0">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1A59541">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9B4DCCD">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A44E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3F50F1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10D5A89">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E6839B">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E6CC5F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7463D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BDE57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862DF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4AF5221">
      <w:pPr>
        <w:pStyle w:val="8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45EBB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9D0702">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95B529">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33AA74">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756FAEB">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C7EB19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3FE585">
      <w:pPr>
        <w:snapToGrid/>
        <w:spacing w:line="360"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169D9F31">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F2B316">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8《中小企业声明函》填写企业类型错误或者未填写企业类型的，投标无效。</w:t>
      </w:r>
    </w:p>
    <w:p w14:paraId="19A9D66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E04BF1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25A51A2">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59CAF928">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4.2.12 </w:t>
      </w:r>
      <w:r>
        <w:rPr>
          <w:rFonts w:hint="eastAsia" w:ascii="宋体" w:hAns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68E527A">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A6FE4C5">
      <w:pPr>
        <w:spacing w:line="360" w:lineRule="auto"/>
        <w:ind w:left="0" w:leftChars="0" w:firstLine="470" w:firstLineChars="196"/>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6A8D66A">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5B7A534">
      <w:pPr>
        <w:pStyle w:val="26"/>
        <w:snapToGrid w:val="0"/>
        <w:spacing w:line="360" w:lineRule="auto"/>
        <w:ind w:left="120"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149B74D">
      <w:pPr>
        <w:pStyle w:val="26"/>
        <w:snapToGrid w:val="0"/>
        <w:spacing w:line="360" w:lineRule="auto"/>
        <w:ind w:left="120"/>
        <w:rPr>
          <w:rFonts w:hint="eastAsia" w:cs="宋体"/>
          <w:color w:val="auto"/>
          <w:highlight w:val="none"/>
        </w:rPr>
      </w:pPr>
      <w:r>
        <w:rPr>
          <w:rFonts w:hint="eastAsia" w:cs="宋体"/>
          <w:color w:val="auto"/>
          <w:highlight w:val="none"/>
        </w:rPr>
        <w:t>5.1符合专业条件的供应商或者对采购文件作实质响应的供应商不足3家的；</w:t>
      </w:r>
    </w:p>
    <w:p w14:paraId="2409BEBF">
      <w:pPr>
        <w:pStyle w:val="26"/>
        <w:snapToGrid w:val="0"/>
        <w:spacing w:line="360" w:lineRule="auto"/>
        <w:ind w:left="120"/>
        <w:rPr>
          <w:rFonts w:hint="eastAsia" w:cs="宋体"/>
          <w:color w:val="auto"/>
          <w:highlight w:val="none"/>
        </w:rPr>
      </w:pPr>
      <w:r>
        <w:rPr>
          <w:rFonts w:hint="eastAsia" w:cs="宋体"/>
          <w:color w:val="auto"/>
          <w:highlight w:val="none"/>
        </w:rPr>
        <w:t>5.2出现影响采购公正的违法、违规行为的；</w:t>
      </w:r>
    </w:p>
    <w:p w14:paraId="24E75A96">
      <w:pPr>
        <w:pStyle w:val="26"/>
        <w:snapToGrid w:val="0"/>
        <w:spacing w:line="360" w:lineRule="auto"/>
        <w:ind w:left="120"/>
        <w:rPr>
          <w:rFonts w:hint="eastAsia" w:cs="宋体"/>
          <w:color w:val="auto"/>
          <w:highlight w:val="none"/>
        </w:rPr>
      </w:pPr>
      <w:r>
        <w:rPr>
          <w:rFonts w:hint="eastAsia" w:cs="宋体"/>
          <w:color w:val="auto"/>
          <w:highlight w:val="none"/>
        </w:rPr>
        <w:t>5.3投标人的报价均超过了采购预算，采购人不能支付的；</w:t>
      </w:r>
    </w:p>
    <w:p w14:paraId="5A8B04FB">
      <w:pPr>
        <w:pStyle w:val="26"/>
        <w:snapToGrid w:val="0"/>
        <w:spacing w:line="360" w:lineRule="auto"/>
        <w:ind w:left="120"/>
        <w:rPr>
          <w:rFonts w:hint="eastAsia" w:cs="宋体"/>
          <w:color w:val="auto"/>
          <w:highlight w:val="none"/>
        </w:rPr>
      </w:pPr>
      <w:r>
        <w:rPr>
          <w:rFonts w:hint="eastAsia" w:cs="宋体"/>
          <w:color w:val="auto"/>
          <w:highlight w:val="none"/>
        </w:rPr>
        <w:t>5.4因重大变故，采购任务取消的。</w:t>
      </w:r>
    </w:p>
    <w:p w14:paraId="224AFEE1">
      <w:pPr>
        <w:pStyle w:val="26"/>
        <w:snapToGrid w:val="0"/>
        <w:spacing w:line="360" w:lineRule="auto"/>
        <w:ind w:left="120"/>
        <w:rPr>
          <w:rFonts w:hint="eastAsia" w:cs="宋体"/>
          <w:color w:val="auto"/>
          <w:highlight w:val="none"/>
        </w:rPr>
      </w:pPr>
      <w:r>
        <w:rPr>
          <w:rFonts w:hint="eastAsia" w:cs="宋体"/>
          <w:color w:val="auto"/>
          <w:highlight w:val="none"/>
        </w:rPr>
        <w:t>废标后，采购代理机构应当将废标理由通知所有投标人。</w:t>
      </w:r>
    </w:p>
    <w:p w14:paraId="3220D495">
      <w:pPr>
        <w:pStyle w:val="26"/>
        <w:snapToGrid w:val="0"/>
        <w:spacing w:line="360" w:lineRule="auto"/>
        <w:ind w:left="120" w:firstLine="590" w:firstLineChars="245"/>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30881F9D">
      <w:pPr>
        <w:pStyle w:val="26"/>
        <w:snapToGrid w:val="0"/>
        <w:spacing w:line="360" w:lineRule="auto"/>
        <w:ind w:left="120"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318873">
      <w:pPr>
        <w:pStyle w:val="26"/>
        <w:snapToGrid w:val="0"/>
        <w:spacing w:line="360" w:lineRule="auto"/>
        <w:ind w:left="120"/>
        <w:rPr>
          <w:rFonts w:hint="eastAsia" w:cs="宋体"/>
          <w:color w:val="auto"/>
          <w:highlight w:val="none"/>
        </w:rPr>
      </w:pPr>
      <w:r>
        <w:rPr>
          <w:rFonts w:hint="eastAsia" w:cs="宋体"/>
          <w:color w:val="auto"/>
          <w:highlight w:val="none"/>
        </w:rPr>
        <w:t>7.1未确定中标供应商的，终止本次政府采购活动，重新开展政府采购活动。</w:t>
      </w:r>
    </w:p>
    <w:p w14:paraId="144C8962">
      <w:pPr>
        <w:pStyle w:val="26"/>
        <w:snapToGrid w:val="0"/>
        <w:spacing w:line="360" w:lineRule="auto"/>
        <w:ind w:left="12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73F33C4">
      <w:pPr>
        <w:pStyle w:val="26"/>
        <w:snapToGrid w:val="0"/>
        <w:spacing w:line="360" w:lineRule="auto"/>
        <w:ind w:left="12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EB1C4C4">
      <w:pPr>
        <w:pStyle w:val="26"/>
        <w:snapToGrid w:val="0"/>
        <w:spacing w:line="360" w:lineRule="auto"/>
        <w:ind w:left="12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08662CF">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F66EFD">
      <w:pPr>
        <w:pStyle w:val="26"/>
        <w:snapToGrid w:val="0"/>
        <w:spacing w:line="360" w:lineRule="auto"/>
        <w:rPr>
          <w:rFonts w:cs="宋体"/>
          <w:color w:val="auto"/>
          <w:highlight w:val="none"/>
        </w:rPr>
      </w:pPr>
    </w:p>
    <w:p w14:paraId="7F4D3462">
      <w:pPr>
        <w:pStyle w:val="26"/>
        <w:snapToGrid w:val="0"/>
        <w:spacing w:line="360" w:lineRule="auto"/>
        <w:ind w:firstLine="0" w:firstLineChars="0"/>
        <w:rPr>
          <w:rFonts w:cs="宋体"/>
          <w:color w:val="auto"/>
          <w:highlight w:val="none"/>
        </w:rPr>
      </w:pPr>
    </w:p>
    <w:bookmarkEnd w:id="27"/>
    <w:p w14:paraId="157732E4">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75B07A1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61F56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22C7D5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7874B5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B7F2847">
      <w:pPr>
        <w:spacing w:line="480" w:lineRule="auto"/>
        <w:jc w:val="center"/>
        <w:rPr>
          <w:rFonts w:ascii="宋体" w:hAnsi="宋体" w:cs="宋体"/>
          <w:b/>
          <w:color w:val="auto"/>
          <w:sz w:val="28"/>
          <w:szCs w:val="28"/>
          <w:highlight w:val="none"/>
        </w:rPr>
      </w:pPr>
    </w:p>
    <w:p w14:paraId="0261F76B">
      <w:pPr>
        <w:spacing w:line="480" w:lineRule="auto"/>
        <w:jc w:val="center"/>
        <w:rPr>
          <w:rFonts w:ascii="宋体" w:hAnsi="宋体" w:cs="宋体"/>
          <w:b/>
          <w:color w:val="auto"/>
          <w:sz w:val="24"/>
          <w:highlight w:val="none"/>
        </w:rPr>
      </w:pPr>
    </w:p>
    <w:p w14:paraId="048AE878">
      <w:pPr>
        <w:spacing w:line="480" w:lineRule="auto"/>
        <w:jc w:val="center"/>
        <w:rPr>
          <w:rFonts w:ascii="宋体" w:hAnsi="宋体" w:cs="宋体"/>
          <w:b/>
          <w:color w:val="auto"/>
          <w:sz w:val="24"/>
          <w:highlight w:val="none"/>
        </w:rPr>
      </w:pPr>
    </w:p>
    <w:p w14:paraId="3C4E05C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3F3DBD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FA4CFC0">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BAE2FF">
      <w:pPr>
        <w:spacing w:before="120" w:line="22" w:lineRule="atLeast"/>
        <w:rPr>
          <w:rFonts w:ascii="宋体" w:hAnsi="宋体" w:cs="宋体"/>
          <w:color w:val="auto"/>
          <w:sz w:val="24"/>
          <w:highlight w:val="none"/>
        </w:rPr>
      </w:pPr>
    </w:p>
    <w:p w14:paraId="56AC2D06">
      <w:pPr>
        <w:pStyle w:val="4"/>
        <w:rPr>
          <w:color w:val="auto"/>
          <w:highlight w:val="none"/>
        </w:rPr>
      </w:pPr>
    </w:p>
    <w:p w14:paraId="6A26C6E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F994E3">
      <w:pPr>
        <w:pStyle w:val="285"/>
        <w:spacing w:before="120" w:line="22" w:lineRule="atLeast"/>
        <w:rPr>
          <w:rFonts w:ascii="宋体" w:hAnsi="宋体" w:eastAsia="宋体" w:cs="宋体"/>
          <w:color w:val="auto"/>
          <w:szCs w:val="24"/>
          <w:highlight w:val="none"/>
        </w:rPr>
      </w:pPr>
    </w:p>
    <w:p w14:paraId="1C12BF55">
      <w:pPr>
        <w:pStyle w:val="285"/>
        <w:spacing w:before="120" w:line="22" w:lineRule="atLeast"/>
        <w:rPr>
          <w:rFonts w:ascii="宋体" w:hAnsi="宋体" w:eastAsia="宋体" w:cs="宋体"/>
          <w:color w:val="auto"/>
          <w:szCs w:val="24"/>
          <w:highlight w:val="none"/>
        </w:rPr>
      </w:pPr>
    </w:p>
    <w:p w14:paraId="54812254">
      <w:pPr>
        <w:rPr>
          <w:rFonts w:ascii="宋体" w:hAnsi="宋体" w:cs="宋体"/>
          <w:color w:val="auto"/>
          <w:sz w:val="24"/>
          <w:highlight w:val="none"/>
        </w:rPr>
      </w:pPr>
    </w:p>
    <w:p w14:paraId="0BCF9EF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8901D7">
      <w:pPr>
        <w:spacing w:before="120" w:line="22" w:lineRule="atLeast"/>
        <w:rPr>
          <w:rFonts w:ascii="宋体" w:hAnsi="宋体" w:cs="宋体"/>
          <w:color w:val="auto"/>
          <w:sz w:val="24"/>
          <w:highlight w:val="none"/>
        </w:rPr>
      </w:pPr>
    </w:p>
    <w:p w14:paraId="32AF827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0793850">
      <w:pPr>
        <w:spacing w:before="120" w:line="22" w:lineRule="atLeast"/>
        <w:rPr>
          <w:rFonts w:ascii="宋体" w:hAnsi="宋体" w:cs="宋体"/>
          <w:color w:val="auto"/>
          <w:sz w:val="24"/>
          <w:highlight w:val="none"/>
        </w:rPr>
      </w:pPr>
    </w:p>
    <w:p w14:paraId="3412C61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8B9A48C">
      <w:pPr>
        <w:spacing w:before="120" w:line="22" w:lineRule="atLeast"/>
        <w:rPr>
          <w:rFonts w:ascii="宋体" w:hAnsi="宋体" w:cs="宋体"/>
          <w:color w:val="auto"/>
          <w:sz w:val="24"/>
          <w:highlight w:val="none"/>
        </w:rPr>
      </w:pPr>
    </w:p>
    <w:p w14:paraId="1DF3B64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F33D30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2747902">
      <w:pPr>
        <w:rPr>
          <w:rFonts w:ascii="宋体" w:hAnsi="宋体" w:cs="宋体"/>
          <w:b/>
          <w:color w:val="auto"/>
          <w:sz w:val="24"/>
          <w:highlight w:val="none"/>
        </w:rPr>
      </w:pPr>
    </w:p>
    <w:p w14:paraId="04AC4E79">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余杭区公物仓外包运营管理服务采购项目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BFE10A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30DF25B">
      <w:pPr>
        <w:spacing w:line="560" w:lineRule="exact"/>
        <w:ind w:firstLine="482" w:firstLineChars="200"/>
        <w:outlineLvl w:val="0"/>
        <w:rPr>
          <w:rFonts w:ascii="宋体" w:hAnsi="宋体"/>
          <w:color w:val="auto"/>
          <w:sz w:val="24"/>
          <w:highlight w:val="none"/>
        </w:rPr>
      </w:pPr>
      <w:bookmarkStart w:id="396" w:name="_Toc28855"/>
      <w:bookmarkStart w:id="397" w:name="_Toc20421"/>
      <w:bookmarkStart w:id="398" w:name="_Toc15367"/>
      <w:bookmarkStart w:id="399" w:name="_Toc19273"/>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411A32A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93A7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B3B0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2072B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88DDF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FC584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45026A4">
      <w:pPr>
        <w:spacing w:line="560" w:lineRule="exact"/>
        <w:ind w:firstLine="482" w:firstLineChars="200"/>
        <w:outlineLvl w:val="0"/>
        <w:rPr>
          <w:rFonts w:ascii="宋体" w:hAnsi="宋体"/>
          <w:b/>
          <w:color w:val="auto"/>
          <w:sz w:val="24"/>
          <w:highlight w:val="none"/>
        </w:rPr>
      </w:pPr>
      <w:bookmarkStart w:id="401" w:name="_Toc22185"/>
      <w:bookmarkStart w:id="402" w:name="_Toc18585"/>
      <w:bookmarkStart w:id="403" w:name="_Toc6311"/>
      <w:bookmarkStart w:id="404" w:name="_Toc6773"/>
      <w:bookmarkStart w:id="40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3AEF21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FAACB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3719A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652210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E291DC9">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721AE2C">
      <w:pPr>
        <w:spacing w:line="560" w:lineRule="exact"/>
        <w:ind w:firstLine="480" w:firstLineChars="200"/>
        <w:rPr>
          <w:rFonts w:ascii="宋体" w:hAnsi="宋体" w:cs="宋体"/>
          <w:color w:val="auto"/>
          <w:sz w:val="24"/>
          <w:highlight w:val="none"/>
          <w:u w:val="single"/>
        </w:rPr>
      </w:pPr>
      <w:bookmarkStart w:id="406" w:name="_Toc4929"/>
      <w:bookmarkStart w:id="407" w:name="_Toc21124"/>
      <w:bookmarkStart w:id="408" w:name="_Toc5635"/>
      <w:bookmarkStart w:id="409" w:name="_Toc1386"/>
      <w:bookmarkStart w:id="410"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757B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4E90F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65465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C3CA1E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0F7B6B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588FBC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81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68299F">
            <w:pPr>
              <w:pStyle w:val="10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B4C96F2">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D6E2A2E">
            <w:pPr>
              <w:pStyle w:val="10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7A8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A7664B">
            <w:pPr>
              <w:pStyle w:val="108"/>
              <w:spacing w:line="560" w:lineRule="exact"/>
              <w:ind w:firstLine="200"/>
              <w:jc w:val="center"/>
              <w:rPr>
                <w:rFonts w:hAnsi="宋体"/>
                <w:color w:val="auto"/>
                <w:sz w:val="24"/>
                <w:szCs w:val="24"/>
                <w:highlight w:val="none"/>
              </w:rPr>
            </w:pPr>
          </w:p>
        </w:tc>
        <w:tc>
          <w:tcPr>
            <w:tcW w:w="3402" w:type="dxa"/>
            <w:vAlign w:val="center"/>
          </w:tcPr>
          <w:p w14:paraId="44DFE794">
            <w:pPr>
              <w:pStyle w:val="108"/>
              <w:spacing w:line="560" w:lineRule="exact"/>
              <w:ind w:firstLine="200"/>
              <w:jc w:val="center"/>
              <w:rPr>
                <w:rFonts w:hAnsi="宋体"/>
                <w:color w:val="auto"/>
                <w:sz w:val="24"/>
                <w:szCs w:val="24"/>
                <w:highlight w:val="none"/>
              </w:rPr>
            </w:pPr>
          </w:p>
        </w:tc>
        <w:tc>
          <w:tcPr>
            <w:tcW w:w="2552" w:type="dxa"/>
            <w:vAlign w:val="center"/>
          </w:tcPr>
          <w:p w14:paraId="18728C98">
            <w:pPr>
              <w:pStyle w:val="108"/>
              <w:spacing w:line="560" w:lineRule="exact"/>
              <w:ind w:firstLine="200"/>
              <w:jc w:val="center"/>
              <w:rPr>
                <w:rFonts w:hAnsi="宋体"/>
                <w:color w:val="auto"/>
                <w:sz w:val="24"/>
                <w:szCs w:val="24"/>
                <w:highlight w:val="none"/>
              </w:rPr>
            </w:pPr>
          </w:p>
        </w:tc>
      </w:tr>
      <w:tr w14:paraId="239C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38982D">
            <w:pPr>
              <w:pStyle w:val="108"/>
              <w:spacing w:line="560" w:lineRule="exact"/>
              <w:ind w:firstLine="200"/>
              <w:jc w:val="center"/>
              <w:rPr>
                <w:rFonts w:hAnsi="宋体"/>
                <w:color w:val="auto"/>
                <w:sz w:val="24"/>
                <w:szCs w:val="24"/>
                <w:highlight w:val="none"/>
              </w:rPr>
            </w:pPr>
          </w:p>
        </w:tc>
        <w:tc>
          <w:tcPr>
            <w:tcW w:w="3402" w:type="dxa"/>
            <w:vAlign w:val="center"/>
          </w:tcPr>
          <w:p w14:paraId="770A4350">
            <w:pPr>
              <w:pStyle w:val="108"/>
              <w:spacing w:line="560" w:lineRule="exact"/>
              <w:ind w:firstLine="200"/>
              <w:jc w:val="center"/>
              <w:rPr>
                <w:rFonts w:hAnsi="宋体"/>
                <w:color w:val="auto"/>
                <w:sz w:val="24"/>
                <w:szCs w:val="24"/>
                <w:highlight w:val="none"/>
              </w:rPr>
            </w:pPr>
          </w:p>
        </w:tc>
        <w:tc>
          <w:tcPr>
            <w:tcW w:w="2552" w:type="dxa"/>
            <w:vAlign w:val="center"/>
          </w:tcPr>
          <w:p w14:paraId="3E2A30B1">
            <w:pPr>
              <w:pStyle w:val="108"/>
              <w:spacing w:line="560" w:lineRule="exact"/>
              <w:ind w:firstLine="200"/>
              <w:jc w:val="center"/>
              <w:rPr>
                <w:rFonts w:hAnsi="宋体"/>
                <w:color w:val="auto"/>
                <w:sz w:val="24"/>
                <w:szCs w:val="24"/>
                <w:highlight w:val="none"/>
              </w:rPr>
            </w:pPr>
          </w:p>
        </w:tc>
      </w:tr>
      <w:tr w14:paraId="6763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04ACAB">
            <w:pPr>
              <w:pStyle w:val="108"/>
              <w:spacing w:line="560" w:lineRule="exact"/>
              <w:ind w:firstLine="200"/>
              <w:jc w:val="center"/>
              <w:rPr>
                <w:rFonts w:hAnsi="宋体"/>
                <w:color w:val="auto"/>
                <w:sz w:val="24"/>
                <w:szCs w:val="24"/>
                <w:highlight w:val="none"/>
              </w:rPr>
            </w:pPr>
          </w:p>
        </w:tc>
        <w:tc>
          <w:tcPr>
            <w:tcW w:w="3402" w:type="dxa"/>
            <w:vAlign w:val="center"/>
          </w:tcPr>
          <w:p w14:paraId="3D734DBF">
            <w:pPr>
              <w:pStyle w:val="108"/>
              <w:spacing w:line="560" w:lineRule="exact"/>
              <w:ind w:firstLine="200"/>
              <w:jc w:val="center"/>
              <w:rPr>
                <w:rFonts w:hAnsi="宋体"/>
                <w:color w:val="auto"/>
                <w:sz w:val="24"/>
                <w:szCs w:val="24"/>
                <w:highlight w:val="none"/>
              </w:rPr>
            </w:pPr>
          </w:p>
        </w:tc>
        <w:tc>
          <w:tcPr>
            <w:tcW w:w="2552" w:type="dxa"/>
            <w:vAlign w:val="center"/>
          </w:tcPr>
          <w:p w14:paraId="59336D52">
            <w:pPr>
              <w:pStyle w:val="108"/>
              <w:spacing w:line="560" w:lineRule="exact"/>
              <w:ind w:firstLine="200"/>
              <w:jc w:val="center"/>
              <w:rPr>
                <w:rFonts w:hAnsi="宋体"/>
                <w:color w:val="auto"/>
                <w:sz w:val="24"/>
                <w:szCs w:val="24"/>
                <w:highlight w:val="none"/>
              </w:rPr>
            </w:pPr>
          </w:p>
        </w:tc>
      </w:tr>
      <w:tr w14:paraId="1AA8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7E5EF3">
            <w:pPr>
              <w:pStyle w:val="108"/>
              <w:spacing w:line="560" w:lineRule="exact"/>
              <w:ind w:firstLine="200"/>
              <w:jc w:val="center"/>
              <w:rPr>
                <w:rFonts w:hAnsi="宋体"/>
                <w:color w:val="auto"/>
                <w:sz w:val="24"/>
                <w:szCs w:val="24"/>
                <w:highlight w:val="none"/>
              </w:rPr>
            </w:pPr>
          </w:p>
        </w:tc>
        <w:tc>
          <w:tcPr>
            <w:tcW w:w="3402" w:type="dxa"/>
            <w:vAlign w:val="center"/>
          </w:tcPr>
          <w:p w14:paraId="1F82774C">
            <w:pPr>
              <w:pStyle w:val="108"/>
              <w:spacing w:line="560" w:lineRule="exact"/>
              <w:ind w:firstLine="200"/>
              <w:jc w:val="center"/>
              <w:rPr>
                <w:rFonts w:hAnsi="宋体"/>
                <w:color w:val="auto"/>
                <w:sz w:val="24"/>
                <w:szCs w:val="24"/>
                <w:highlight w:val="none"/>
              </w:rPr>
            </w:pPr>
          </w:p>
        </w:tc>
        <w:tc>
          <w:tcPr>
            <w:tcW w:w="2552" w:type="dxa"/>
            <w:vAlign w:val="center"/>
          </w:tcPr>
          <w:p w14:paraId="6944DBDC">
            <w:pPr>
              <w:pStyle w:val="108"/>
              <w:spacing w:line="560" w:lineRule="exact"/>
              <w:ind w:firstLine="200"/>
              <w:jc w:val="center"/>
              <w:rPr>
                <w:rFonts w:hAnsi="宋体"/>
                <w:color w:val="auto"/>
                <w:sz w:val="24"/>
                <w:szCs w:val="24"/>
                <w:highlight w:val="none"/>
              </w:rPr>
            </w:pPr>
          </w:p>
        </w:tc>
      </w:tr>
      <w:tr w14:paraId="7DE4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8D80D9">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30FC782">
            <w:pPr>
              <w:pStyle w:val="108"/>
              <w:spacing w:line="560" w:lineRule="exact"/>
              <w:ind w:firstLine="200"/>
              <w:jc w:val="center"/>
              <w:rPr>
                <w:rFonts w:hAnsi="宋体"/>
                <w:color w:val="auto"/>
                <w:sz w:val="24"/>
                <w:szCs w:val="24"/>
                <w:highlight w:val="none"/>
              </w:rPr>
            </w:pPr>
          </w:p>
        </w:tc>
      </w:tr>
    </w:tbl>
    <w:p w14:paraId="004A20DE">
      <w:pPr>
        <w:spacing w:line="560" w:lineRule="exact"/>
        <w:ind w:firstLine="480" w:firstLineChars="200"/>
        <w:rPr>
          <w:rFonts w:ascii="宋体" w:hAnsi="宋体"/>
          <w:color w:val="auto"/>
          <w:sz w:val="24"/>
          <w:highlight w:val="none"/>
        </w:rPr>
      </w:pPr>
      <w:bookmarkStart w:id="411" w:name="_Toc30158"/>
      <w:bookmarkStart w:id="412" w:name="_Toc26916"/>
      <w:bookmarkStart w:id="413" w:name="_Toc3654"/>
      <w:bookmarkStart w:id="414" w:name="_Toc14993"/>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E7A10E6">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72A0CD7A">
      <w:pPr>
        <w:pStyle w:val="620"/>
        <w:spacing w:before="0" w:beforeAutospacing="0" w:after="0" w:afterAutospacing="0" w:line="360" w:lineRule="auto"/>
        <w:ind w:firstLine="480"/>
        <w:rPr>
          <w:b/>
          <w:color w:val="auto"/>
          <w:highlight w:val="none"/>
        </w:rPr>
      </w:pPr>
      <w:bookmarkStart w:id="416" w:name="_Toc22618"/>
      <w:bookmarkStart w:id="417" w:name="_Toc10340"/>
      <w:bookmarkStart w:id="418" w:name="_Toc1814"/>
      <w:bookmarkStart w:id="419" w:name="_Toc3625"/>
      <w:bookmarkStart w:id="420" w:name="_Toc8772"/>
      <w:bookmarkStart w:id="421" w:name="_Toc4760"/>
      <w:bookmarkStart w:id="422" w:name="_Toc31421"/>
      <w:bookmarkStart w:id="423" w:name="_Toc11108"/>
      <w:r>
        <w:rPr>
          <w:rFonts w:hint="eastAsia"/>
          <w:b/>
          <w:color w:val="auto"/>
          <w:highlight w:val="none"/>
        </w:rPr>
        <w:t>1.4履约保证金</w:t>
      </w:r>
    </w:p>
    <w:p w14:paraId="6D77A4C0">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3DB7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5F0D5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3F6BCB">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E5113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03DE67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5A6AD1B5">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A368C7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C8AC3A">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45E5C97">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A7C3557">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1EE6696">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565D7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0910B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2F98F13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3250A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11525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2E2EC1">
      <w:pPr>
        <w:spacing w:line="560" w:lineRule="exact"/>
        <w:ind w:firstLine="480" w:firstLineChars="200"/>
        <w:outlineLvl w:val="0"/>
        <w:rPr>
          <w:rFonts w:ascii="宋体" w:hAnsi="宋体"/>
          <w:bCs/>
          <w:color w:val="auto"/>
          <w:sz w:val="24"/>
          <w:highlight w:val="none"/>
        </w:rPr>
      </w:pPr>
      <w:bookmarkStart w:id="424" w:name="_Toc5698"/>
      <w:bookmarkStart w:id="425" w:name="_Toc8586"/>
      <w:bookmarkStart w:id="426" w:name="_Toc3079"/>
      <w:bookmarkStart w:id="427" w:name="_Toc24662"/>
      <w:bookmarkStart w:id="428"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DE7D1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B25D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BA2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A36E08">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055FC60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952B71A">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509A3F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0DBE459">
      <w:pPr>
        <w:spacing w:line="560" w:lineRule="exact"/>
        <w:ind w:firstLine="480" w:firstLineChars="200"/>
        <w:rPr>
          <w:rFonts w:ascii="宋体" w:hAnsi="宋体" w:cs="宋体"/>
          <w:color w:val="auto"/>
          <w:sz w:val="24"/>
          <w:highlight w:val="none"/>
        </w:rPr>
      </w:pPr>
      <w:bookmarkStart w:id="429" w:name="_Toc26807"/>
      <w:bookmarkStart w:id="430" w:name="_Toc18683"/>
      <w:bookmarkStart w:id="431" w:name="_Toc30329"/>
      <w:bookmarkStart w:id="432" w:name="_Toc32454"/>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FF2D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70B4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3BC44C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5DCC659D">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14:paraId="57BF48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523E8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3CFFAE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ADD8D5A">
      <w:pPr>
        <w:spacing w:line="560" w:lineRule="exact"/>
        <w:ind w:firstLine="482" w:firstLineChars="200"/>
        <w:outlineLvl w:val="0"/>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14:paraId="791E733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6A7B5AB">
      <w:pPr>
        <w:autoSpaceDE w:val="0"/>
        <w:autoSpaceDN w:val="0"/>
        <w:spacing w:line="560" w:lineRule="exact"/>
        <w:rPr>
          <w:rFonts w:ascii="宋体" w:hAnsi="宋体"/>
          <w:color w:val="auto"/>
          <w:sz w:val="24"/>
          <w:highlight w:val="none"/>
          <w:lang w:val="zh-CN"/>
        </w:rPr>
      </w:pPr>
    </w:p>
    <w:p w14:paraId="4EB533A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2A7FA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13F3276">
      <w:pPr>
        <w:autoSpaceDE w:val="0"/>
        <w:autoSpaceDN w:val="0"/>
        <w:spacing w:line="560" w:lineRule="exact"/>
        <w:rPr>
          <w:rFonts w:ascii="宋体" w:hAnsi="宋体"/>
          <w:color w:val="auto"/>
          <w:sz w:val="24"/>
          <w:highlight w:val="none"/>
          <w:lang w:val="zh-CN"/>
        </w:rPr>
      </w:pPr>
    </w:p>
    <w:p w14:paraId="2EE11A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7B0E23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5999B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789AEE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2AFC9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7EE2E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A6F33A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ADCBC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8E8E2D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60E6BB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D41645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EC2CCD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207E3C5">
      <w:pPr>
        <w:widowControl/>
        <w:spacing w:line="560" w:lineRule="exact"/>
        <w:jc w:val="left"/>
        <w:rPr>
          <w:rFonts w:ascii="宋体" w:hAnsi="宋体"/>
          <w:b/>
          <w:color w:val="auto"/>
          <w:sz w:val="24"/>
          <w:highlight w:val="none"/>
        </w:rPr>
      </w:pPr>
    </w:p>
    <w:p w14:paraId="5819EE61">
      <w:pPr>
        <w:widowControl/>
        <w:adjustRightInd/>
        <w:jc w:val="left"/>
        <w:rPr>
          <w:rFonts w:ascii="宋体" w:hAnsi="宋体"/>
          <w:b/>
          <w:color w:val="auto"/>
          <w:sz w:val="24"/>
          <w:highlight w:val="none"/>
        </w:rPr>
      </w:pPr>
      <w:r>
        <w:rPr>
          <w:rFonts w:ascii="宋体" w:hAnsi="宋体"/>
          <w:b/>
          <w:color w:val="auto"/>
          <w:highlight w:val="none"/>
        </w:rPr>
        <w:br w:type="page"/>
      </w:r>
    </w:p>
    <w:p w14:paraId="1AA6F80A">
      <w:pPr>
        <w:pStyle w:val="38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FE96928">
      <w:pPr>
        <w:spacing w:line="560" w:lineRule="exact"/>
        <w:ind w:firstLine="482" w:firstLineChars="200"/>
        <w:outlineLvl w:val="0"/>
        <w:rPr>
          <w:rFonts w:ascii="宋体" w:hAnsi="宋体"/>
          <w:b/>
          <w:color w:val="auto"/>
          <w:sz w:val="24"/>
          <w:highlight w:val="none"/>
        </w:rPr>
      </w:pPr>
      <w:bookmarkStart w:id="440" w:name="_Toc19680"/>
      <w:bookmarkStart w:id="441" w:name="_Toc31297"/>
      <w:bookmarkStart w:id="442" w:name="_Toc14021"/>
      <w:bookmarkStart w:id="443" w:name="_Toc5228"/>
      <w:bookmarkStart w:id="444" w:name="_Toc25079"/>
      <w:r>
        <w:rPr>
          <w:rFonts w:ascii="宋体" w:hAnsi="宋体"/>
          <w:b/>
          <w:color w:val="auto"/>
          <w:sz w:val="24"/>
          <w:highlight w:val="none"/>
        </w:rPr>
        <w:t>2.1 定义</w:t>
      </w:r>
      <w:bookmarkEnd w:id="440"/>
      <w:bookmarkEnd w:id="441"/>
      <w:bookmarkEnd w:id="442"/>
      <w:bookmarkEnd w:id="443"/>
      <w:bookmarkEnd w:id="444"/>
    </w:p>
    <w:p w14:paraId="4236463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A8485D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FF69B0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AEAD7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375348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3643AD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73F7F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E5584E5">
      <w:pPr>
        <w:spacing w:line="560" w:lineRule="exact"/>
        <w:ind w:firstLine="482" w:firstLineChars="200"/>
        <w:outlineLvl w:val="0"/>
        <w:rPr>
          <w:rFonts w:ascii="宋体" w:hAnsi="宋体"/>
          <w:b/>
          <w:color w:val="auto"/>
          <w:sz w:val="24"/>
          <w:highlight w:val="none"/>
        </w:rPr>
      </w:pPr>
      <w:bookmarkStart w:id="445" w:name="_Toc31402"/>
      <w:bookmarkStart w:id="446" w:name="_Toc23289"/>
      <w:bookmarkStart w:id="447" w:name="_Toc16752"/>
      <w:bookmarkStart w:id="448" w:name="_Toc3769"/>
      <w:bookmarkStart w:id="449" w:name="_Toc19539"/>
      <w:r>
        <w:rPr>
          <w:rFonts w:ascii="宋体" w:hAnsi="宋体"/>
          <w:b/>
          <w:color w:val="auto"/>
          <w:sz w:val="24"/>
          <w:highlight w:val="none"/>
        </w:rPr>
        <w:t>2.2 技术规范</w:t>
      </w:r>
      <w:bookmarkEnd w:id="445"/>
      <w:bookmarkEnd w:id="446"/>
      <w:bookmarkEnd w:id="447"/>
      <w:bookmarkEnd w:id="448"/>
      <w:bookmarkEnd w:id="449"/>
    </w:p>
    <w:p w14:paraId="500C677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362BE46">
      <w:pPr>
        <w:spacing w:line="560" w:lineRule="exact"/>
        <w:ind w:firstLine="482" w:firstLineChars="200"/>
        <w:outlineLvl w:val="0"/>
        <w:rPr>
          <w:rFonts w:ascii="宋体" w:hAnsi="宋体"/>
          <w:b/>
          <w:color w:val="auto"/>
          <w:sz w:val="24"/>
          <w:highlight w:val="none"/>
        </w:rPr>
      </w:pPr>
      <w:bookmarkStart w:id="450" w:name="_Toc4133"/>
      <w:bookmarkStart w:id="451" w:name="_Toc27945"/>
      <w:bookmarkStart w:id="452" w:name="_Toc12412"/>
      <w:bookmarkStart w:id="453" w:name="_Toc13673"/>
      <w:bookmarkStart w:id="454" w:name="_Toc9161"/>
      <w:r>
        <w:rPr>
          <w:rFonts w:ascii="宋体" w:hAnsi="宋体"/>
          <w:b/>
          <w:color w:val="auto"/>
          <w:sz w:val="24"/>
          <w:highlight w:val="none"/>
        </w:rPr>
        <w:t>2.3 知识产权</w:t>
      </w:r>
      <w:bookmarkEnd w:id="450"/>
      <w:bookmarkEnd w:id="451"/>
      <w:bookmarkEnd w:id="452"/>
      <w:bookmarkEnd w:id="453"/>
      <w:bookmarkEnd w:id="454"/>
    </w:p>
    <w:p w14:paraId="2413236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8E568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1C46D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1F4FB5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2566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CB34F90">
      <w:pPr>
        <w:spacing w:line="560" w:lineRule="exact"/>
        <w:ind w:firstLine="482" w:firstLineChars="200"/>
        <w:outlineLvl w:val="0"/>
        <w:rPr>
          <w:rFonts w:ascii="宋体" w:hAnsi="宋体"/>
          <w:b/>
          <w:color w:val="auto"/>
          <w:sz w:val="24"/>
          <w:highlight w:val="none"/>
        </w:rPr>
      </w:pPr>
      <w:bookmarkStart w:id="455" w:name="_Toc26555"/>
      <w:bookmarkStart w:id="456" w:name="_Toc31233"/>
      <w:bookmarkStart w:id="457" w:name="_Toc22011"/>
      <w:bookmarkStart w:id="458" w:name="_Toc15447"/>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71E1265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A642020">
      <w:pPr>
        <w:spacing w:line="560" w:lineRule="exact"/>
        <w:ind w:firstLine="482" w:firstLineChars="200"/>
        <w:outlineLvl w:val="0"/>
        <w:rPr>
          <w:rFonts w:ascii="宋体" w:hAnsi="宋体"/>
          <w:b/>
          <w:color w:val="auto"/>
          <w:sz w:val="24"/>
          <w:highlight w:val="none"/>
        </w:rPr>
      </w:pPr>
      <w:bookmarkStart w:id="460" w:name="_Toc16163"/>
      <w:bookmarkStart w:id="461" w:name="_Toc13467"/>
      <w:bookmarkStart w:id="462" w:name="_Toc13154"/>
      <w:bookmarkStart w:id="463" w:name="_Toc18990"/>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14:paraId="36FD68F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92339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3AC89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A337250">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B90C2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7BFCA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EE6CC39">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4827859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760DB68">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78001AD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E5EA37">
      <w:pPr>
        <w:spacing w:line="560" w:lineRule="exact"/>
        <w:ind w:firstLine="482" w:firstLineChars="200"/>
        <w:outlineLvl w:val="0"/>
        <w:rPr>
          <w:rFonts w:ascii="宋体" w:hAnsi="宋体"/>
          <w:b/>
          <w:color w:val="auto"/>
          <w:sz w:val="24"/>
          <w:highlight w:val="none"/>
        </w:rPr>
      </w:pPr>
      <w:bookmarkStart w:id="468" w:name="_Toc42"/>
      <w:bookmarkStart w:id="469" w:name="_Toc26689"/>
      <w:bookmarkStart w:id="470" w:name="_Toc23368"/>
      <w:bookmarkStart w:id="471" w:name="_Toc21830"/>
      <w:bookmarkStart w:id="472" w:name="_Toc10663"/>
      <w:r>
        <w:rPr>
          <w:rFonts w:ascii="宋体" w:hAnsi="宋体"/>
          <w:b/>
          <w:color w:val="auto"/>
          <w:sz w:val="24"/>
          <w:highlight w:val="none"/>
        </w:rPr>
        <w:t>2.10 合同转让和分包</w:t>
      </w:r>
      <w:bookmarkEnd w:id="468"/>
      <w:bookmarkEnd w:id="469"/>
      <w:bookmarkEnd w:id="470"/>
      <w:bookmarkEnd w:id="471"/>
      <w:bookmarkEnd w:id="472"/>
    </w:p>
    <w:p w14:paraId="34D5796D">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8FB6BCE">
      <w:pPr>
        <w:spacing w:line="560" w:lineRule="exact"/>
        <w:ind w:firstLine="482" w:firstLineChars="200"/>
        <w:outlineLvl w:val="0"/>
        <w:rPr>
          <w:rFonts w:ascii="宋体" w:hAnsi="宋体"/>
          <w:b/>
          <w:color w:val="auto"/>
          <w:sz w:val="24"/>
          <w:highlight w:val="none"/>
        </w:rPr>
      </w:pPr>
      <w:bookmarkStart w:id="473" w:name="_Toc4720"/>
      <w:bookmarkStart w:id="474" w:name="_Toc26633"/>
      <w:bookmarkStart w:id="475" w:name="_Toc25571"/>
      <w:bookmarkStart w:id="476" w:name="_Toc14371"/>
      <w:bookmarkStart w:id="477" w:name="_Toc32494"/>
      <w:r>
        <w:rPr>
          <w:rFonts w:ascii="宋体" w:hAnsi="宋体"/>
          <w:b/>
          <w:color w:val="auto"/>
          <w:sz w:val="24"/>
          <w:highlight w:val="none"/>
        </w:rPr>
        <w:t>2.11 不可抗力</w:t>
      </w:r>
      <w:bookmarkEnd w:id="473"/>
      <w:bookmarkEnd w:id="474"/>
      <w:bookmarkEnd w:id="475"/>
      <w:bookmarkEnd w:id="476"/>
      <w:bookmarkEnd w:id="477"/>
    </w:p>
    <w:p w14:paraId="59C5BAD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BB44A6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0EB1E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075A02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6C35457">
      <w:pPr>
        <w:spacing w:line="560" w:lineRule="exact"/>
        <w:ind w:firstLine="482" w:firstLineChars="200"/>
        <w:outlineLvl w:val="0"/>
        <w:rPr>
          <w:rFonts w:ascii="宋体" w:hAnsi="宋体"/>
          <w:b/>
          <w:color w:val="auto"/>
          <w:sz w:val="24"/>
          <w:highlight w:val="none"/>
        </w:rPr>
      </w:pPr>
      <w:bookmarkStart w:id="478" w:name="_Toc24465"/>
      <w:bookmarkStart w:id="479" w:name="_Toc25783"/>
      <w:bookmarkStart w:id="480" w:name="_Toc23854"/>
      <w:bookmarkStart w:id="481" w:name="_Toc3638"/>
      <w:bookmarkStart w:id="482" w:name="_Toc14115"/>
      <w:r>
        <w:rPr>
          <w:rFonts w:ascii="宋体" w:hAnsi="宋体"/>
          <w:b/>
          <w:color w:val="auto"/>
          <w:sz w:val="24"/>
          <w:highlight w:val="none"/>
        </w:rPr>
        <w:t>2.12 税费</w:t>
      </w:r>
      <w:bookmarkEnd w:id="478"/>
      <w:bookmarkEnd w:id="479"/>
      <w:bookmarkEnd w:id="480"/>
      <w:bookmarkEnd w:id="481"/>
      <w:bookmarkEnd w:id="482"/>
    </w:p>
    <w:p w14:paraId="0A7DB86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639FDA8">
      <w:pPr>
        <w:spacing w:line="560" w:lineRule="exact"/>
        <w:ind w:firstLine="482" w:firstLineChars="200"/>
        <w:outlineLvl w:val="0"/>
        <w:rPr>
          <w:rFonts w:ascii="宋体" w:hAnsi="宋体"/>
          <w:b/>
          <w:color w:val="auto"/>
          <w:sz w:val="24"/>
          <w:highlight w:val="none"/>
        </w:rPr>
      </w:pPr>
      <w:bookmarkStart w:id="483" w:name="_Toc26883"/>
      <w:bookmarkStart w:id="484" w:name="_Toc7315"/>
      <w:bookmarkStart w:id="485" w:name="_Toc25525"/>
      <w:bookmarkStart w:id="486" w:name="_Toc30105"/>
      <w:bookmarkStart w:id="487" w:name="_Toc14814"/>
      <w:r>
        <w:rPr>
          <w:rFonts w:ascii="宋体" w:hAnsi="宋体"/>
          <w:b/>
          <w:color w:val="auto"/>
          <w:sz w:val="24"/>
          <w:highlight w:val="none"/>
        </w:rPr>
        <w:t>2.13 乙方破产</w:t>
      </w:r>
      <w:bookmarkEnd w:id="483"/>
      <w:bookmarkEnd w:id="484"/>
      <w:bookmarkEnd w:id="485"/>
      <w:bookmarkEnd w:id="486"/>
      <w:bookmarkEnd w:id="487"/>
    </w:p>
    <w:p w14:paraId="37625A5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380B004">
      <w:pPr>
        <w:spacing w:line="560" w:lineRule="exact"/>
        <w:ind w:firstLine="482" w:firstLineChars="200"/>
        <w:outlineLvl w:val="0"/>
        <w:rPr>
          <w:rFonts w:ascii="宋体" w:hAnsi="宋体"/>
          <w:b/>
          <w:color w:val="auto"/>
          <w:sz w:val="24"/>
          <w:highlight w:val="none"/>
        </w:rPr>
      </w:pPr>
      <w:bookmarkStart w:id="488" w:name="_Toc1123"/>
      <w:bookmarkStart w:id="489" w:name="_Toc23323"/>
      <w:bookmarkStart w:id="490" w:name="_Toc2016"/>
      <w:r>
        <w:rPr>
          <w:rFonts w:ascii="宋体" w:hAnsi="宋体"/>
          <w:b/>
          <w:color w:val="auto"/>
          <w:sz w:val="24"/>
          <w:highlight w:val="none"/>
        </w:rPr>
        <w:t>2.14 合同中止、终止</w:t>
      </w:r>
      <w:bookmarkEnd w:id="488"/>
      <w:bookmarkEnd w:id="489"/>
      <w:bookmarkEnd w:id="490"/>
    </w:p>
    <w:p w14:paraId="35D442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22EDF8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B4B38F7">
      <w:pPr>
        <w:spacing w:line="560" w:lineRule="exact"/>
        <w:ind w:firstLine="482" w:firstLineChars="200"/>
        <w:outlineLvl w:val="0"/>
        <w:rPr>
          <w:rFonts w:ascii="宋体" w:hAnsi="宋体"/>
          <w:b/>
          <w:color w:val="auto"/>
          <w:sz w:val="24"/>
          <w:highlight w:val="none"/>
        </w:rPr>
      </w:pPr>
      <w:bookmarkStart w:id="491" w:name="_Toc17363"/>
      <w:bookmarkStart w:id="492" w:name="_Toc1969"/>
      <w:bookmarkStart w:id="493" w:name="_Toc14525"/>
      <w:r>
        <w:rPr>
          <w:rFonts w:ascii="宋体" w:hAnsi="宋体"/>
          <w:b/>
          <w:color w:val="auto"/>
          <w:sz w:val="24"/>
          <w:highlight w:val="none"/>
        </w:rPr>
        <w:t>2.15 检验和验收</w:t>
      </w:r>
      <w:bookmarkEnd w:id="491"/>
      <w:bookmarkEnd w:id="492"/>
      <w:bookmarkEnd w:id="493"/>
    </w:p>
    <w:p w14:paraId="71FB82D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B1167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71444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B773346">
      <w:pPr>
        <w:spacing w:line="560" w:lineRule="exact"/>
        <w:ind w:firstLine="482" w:firstLineChars="200"/>
        <w:outlineLvl w:val="0"/>
        <w:rPr>
          <w:rFonts w:ascii="宋体" w:hAnsi="宋体"/>
          <w:b/>
          <w:color w:val="auto"/>
          <w:sz w:val="24"/>
          <w:highlight w:val="none"/>
        </w:rPr>
      </w:pPr>
      <w:bookmarkStart w:id="494" w:name="_Toc2308"/>
      <w:bookmarkStart w:id="495" w:name="_Toc12666"/>
      <w:bookmarkStart w:id="496" w:name="_Toc9808"/>
      <w:bookmarkStart w:id="497" w:name="_Toc25198"/>
      <w:bookmarkStart w:id="498" w:name="_Toc31892"/>
      <w:r>
        <w:rPr>
          <w:rFonts w:ascii="宋体" w:hAnsi="宋体"/>
          <w:b/>
          <w:color w:val="auto"/>
          <w:sz w:val="24"/>
          <w:highlight w:val="none"/>
        </w:rPr>
        <w:t>2.16 通知和送达</w:t>
      </w:r>
      <w:bookmarkEnd w:id="494"/>
      <w:bookmarkEnd w:id="495"/>
      <w:bookmarkEnd w:id="496"/>
      <w:bookmarkEnd w:id="497"/>
      <w:bookmarkEnd w:id="498"/>
    </w:p>
    <w:p w14:paraId="5F9C7FE3">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09CB35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39886C43">
      <w:pPr>
        <w:spacing w:line="560" w:lineRule="exact"/>
        <w:ind w:firstLine="482" w:firstLineChars="200"/>
        <w:outlineLvl w:val="0"/>
        <w:rPr>
          <w:rFonts w:ascii="宋体" w:hAnsi="宋体"/>
          <w:b/>
          <w:color w:val="auto"/>
          <w:sz w:val="24"/>
          <w:highlight w:val="none"/>
        </w:rPr>
      </w:pPr>
      <w:bookmarkStart w:id="501" w:name="_Toc5063"/>
      <w:bookmarkStart w:id="502" w:name="_Toc12254"/>
      <w:bookmarkStart w:id="503" w:name="_Toc27644"/>
      <w:bookmarkStart w:id="504" w:name="_Toc28906"/>
      <w:bookmarkStart w:id="50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3E89374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090F9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FEB783D">
      <w:pPr>
        <w:spacing w:line="560" w:lineRule="exact"/>
        <w:ind w:firstLine="482" w:firstLineChars="200"/>
        <w:outlineLvl w:val="0"/>
        <w:rPr>
          <w:rFonts w:ascii="宋体" w:hAnsi="宋体" w:cs="宋体"/>
          <w:b/>
          <w:color w:val="auto"/>
          <w:sz w:val="24"/>
          <w:highlight w:val="none"/>
        </w:rPr>
      </w:pPr>
      <w:bookmarkStart w:id="506" w:name="_Toc4355"/>
      <w:bookmarkStart w:id="507" w:name="_Toc18540"/>
      <w:bookmarkStart w:id="508" w:name="_Toc30599"/>
      <w:r>
        <w:rPr>
          <w:rFonts w:hint="eastAsia" w:ascii="宋体" w:hAnsi="宋体" w:cs="宋体"/>
          <w:b/>
          <w:color w:val="auto"/>
          <w:sz w:val="24"/>
          <w:highlight w:val="none"/>
        </w:rPr>
        <w:t>2.18 计量单位</w:t>
      </w:r>
      <w:bookmarkEnd w:id="506"/>
      <w:bookmarkEnd w:id="507"/>
      <w:bookmarkEnd w:id="508"/>
    </w:p>
    <w:p w14:paraId="4A3B30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706F3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E74B8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F046C5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81A8C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EF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E6284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1FBAE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421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C1A58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59B17BB">
            <w:pPr>
              <w:spacing w:line="360" w:lineRule="auto"/>
              <w:rPr>
                <w:rFonts w:ascii="宋体" w:hAnsi="宋体" w:cs="宋体"/>
                <w:color w:val="auto"/>
                <w:sz w:val="24"/>
                <w:highlight w:val="none"/>
              </w:rPr>
            </w:pPr>
          </w:p>
        </w:tc>
      </w:tr>
      <w:tr w14:paraId="4C87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5AAD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6D13138">
            <w:pPr>
              <w:spacing w:line="360" w:lineRule="auto"/>
              <w:rPr>
                <w:rFonts w:ascii="宋体" w:hAnsi="宋体" w:cs="宋体"/>
                <w:color w:val="auto"/>
                <w:sz w:val="24"/>
                <w:highlight w:val="none"/>
              </w:rPr>
            </w:pPr>
          </w:p>
        </w:tc>
      </w:tr>
      <w:tr w14:paraId="0D7E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7ADF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BDEC89E">
            <w:pPr>
              <w:spacing w:line="360" w:lineRule="auto"/>
              <w:rPr>
                <w:rFonts w:ascii="宋体" w:hAnsi="宋体" w:cs="宋体"/>
                <w:color w:val="auto"/>
                <w:sz w:val="24"/>
                <w:highlight w:val="none"/>
              </w:rPr>
            </w:pPr>
          </w:p>
        </w:tc>
      </w:tr>
      <w:tr w14:paraId="76E2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A98DE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4A6A89C8">
            <w:pPr>
              <w:spacing w:line="360" w:lineRule="auto"/>
              <w:rPr>
                <w:rFonts w:ascii="宋体" w:hAnsi="宋体" w:cs="宋体"/>
                <w:color w:val="auto"/>
                <w:sz w:val="24"/>
                <w:highlight w:val="none"/>
              </w:rPr>
            </w:pPr>
          </w:p>
        </w:tc>
      </w:tr>
      <w:tr w14:paraId="1F69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CE9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7B213761">
            <w:pPr>
              <w:spacing w:line="360" w:lineRule="auto"/>
              <w:rPr>
                <w:rFonts w:ascii="宋体" w:hAnsi="宋体" w:cs="宋体"/>
                <w:color w:val="auto"/>
                <w:sz w:val="24"/>
                <w:highlight w:val="none"/>
              </w:rPr>
            </w:pPr>
          </w:p>
        </w:tc>
      </w:tr>
      <w:tr w14:paraId="0FC1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77F1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66F2A098">
            <w:pPr>
              <w:spacing w:line="360" w:lineRule="auto"/>
              <w:rPr>
                <w:rFonts w:ascii="宋体" w:hAnsi="宋体" w:cs="宋体"/>
                <w:color w:val="auto"/>
                <w:sz w:val="24"/>
                <w:highlight w:val="none"/>
              </w:rPr>
            </w:pPr>
          </w:p>
        </w:tc>
      </w:tr>
      <w:tr w14:paraId="0012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13F6D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54D9064">
            <w:pPr>
              <w:spacing w:line="360" w:lineRule="auto"/>
              <w:rPr>
                <w:rFonts w:ascii="宋体" w:hAnsi="宋体" w:cs="宋体"/>
                <w:color w:val="auto"/>
                <w:sz w:val="24"/>
                <w:highlight w:val="none"/>
              </w:rPr>
            </w:pPr>
          </w:p>
        </w:tc>
      </w:tr>
      <w:tr w14:paraId="118F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046B3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DE9FB7F">
            <w:pPr>
              <w:spacing w:line="360" w:lineRule="auto"/>
              <w:rPr>
                <w:rFonts w:ascii="宋体" w:hAnsi="宋体" w:cs="宋体"/>
                <w:color w:val="auto"/>
                <w:sz w:val="24"/>
                <w:highlight w:val="none"/>
              </w:rPr>
            </w:pPr>
          </w:p>
        </w:tc>
      </w:tr>
      <w:tr w14:paraId="47F3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7E9F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23409C25">
            <w:pPr>
              <w:spacing w:line="360" w:lineRule="auto"/>
              <w:rPr>
                <w:rFonts w:ascii="宋体" w:hAnsi="宋体" w:cs="宋体"/>
                <w:color w:val="auto"/>
                <w:sz w:val="24"/>
                <w:highlight w:val="none"/>
              </w:rPr>
            </w:pPr>
          </w:p>
        </w:tc>
      </w:tr>
      <w:tr w14:paraId="1312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DFB13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364BC95">
            <w:pPr>
              <w:spacing w:line="360" w:lineRule="auto"/>
              <w:rPr>
                <w:rFonts w:ascii="宋体" w:hAnsi="宋体" w:cs="宋体"/>
                <w:color w:val="auto"/>
                <w:sz w:val="24"/>
                <w:highlight w:val="none"/>
              </w:rPr>
            </w:pPr>
          </w:p>
        </w:tc>
      </w:tr>
      <w:tr w14:paraId="5E19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60CE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48BBC1D">
            <w:pPr>
              <w:spacing w:line="360" w:lineRule="auto"/>
              <w:rPr>
                <w:rFonts w:ascii="宋体" w:hAnsi="宋体" w:cs="宋体"/>
                <w:color w:val="auto"/>
                <w:sz w:val="24"/>
                <w:highlight w:val="none"/>
              </w:rPr>
            </w:pPr>
          </w:p>
        </w:tc>
      </w:tr>
      <w:tr w14:paraId="47A9A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DA572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606EFC5">
            <w:pPr>
              <w:spacing w:line="360" w:lineRule="auto"/>
              <w:rPr>
                <w:rFonts w:ascii="宋体" w:hAnsi="宋体" w:cs="宋体"/>
                <w:color w:val="auto"/>
                <w:sz w:val="24"/>
                <w:highlight w:val="none"/>
              </w:rPr>
            </w:pPr>
          </w:p>
        </w:tc>
      </w:tr>
      <w:tr w14:paraId="2D9B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470B1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2A04330E">
            <w:pPr>
              <w:spacing w:line="360" w:lineRule="auto"/>
              <w:rPr>
                <w:rFonts w:ascii="宋体" w:hAnsi="宋体" w:cs="宋体"/>
                <w:color w:val="auto"/>
                <w:sz w:val="24"/>
                <w:highlight w:val="none"/>
              </w:rPr>
            </w:pPr>
          </w:p>
        </w:tc>
      </w:tr>
      <w:tr w14:paraId="1FD6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FE32D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1F9A093">
            <w:pPr>
              <w:spacing w:line="360" w:lineRule="auto"/>
              <w:rPr>
                <w:rFonts w:ascii="宋体" w:hAnsi="宋体" w:cs="宋体"/>
                <w:color w:val="auto"/>
                <w:sz w:val="24"/>
                <w:highlight w:val="none"/>
              </w:rPr>
            </w:pPr>
          </w:p>
        </w:tc>
      </w:tr>
      <w:tr w14:paraId="4225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8E92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9920BCD">
            <w:pPr>
              <w:spacing w:line="360" w:lineRule="auto"/>
              <w:rPr>
                <w:rFonts w:ascii="宋体" w:hAnsi="宋体" w:cs="宋体"/>
                <w:color w:val="auto"/>
                <w:sz w:val="24"/>
                <w:highlight w:val="none"/>
              </w:rPr>
            </w:pPr>
          </w:p>
        </w:tc>
      </w:tr>
      <w:tr w14:paraId="0768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965E8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23D41BF">
            <w:pPr>
              <w:spacing w:line="360" w:lineRule="auto"/>
              <w:ind w:left="-420" w:leftChars="-200" w:right="-420" w:rightChars="-200" w:firstLine="480" w:firstLineChars="200"/>
              <w:rPr>
                <w:rFonts w:ascii="宋体" w:hAnsi="宋体" w:cs="宋体"/>
                <w:color w:val="auto"/>
                <w:sz w:val="24"/>
                <w:highlight w:val="none"/>
              </w:rPr>
            </w:pPr>
          </w:p>
        </w:tc>
      </w:tr>
      <w:tr w14:paraId="307B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3DCF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84A3D85">
            <w:pPr>
              <w:spacing w:line="360" w:lineRule="auto"/>
              <w:ind w:left="-420" w:leftChars="-200" w:right="-420" w:rightChars="-200" w:firstLine="480" w:firstLineChars="200"/>
              <w:rPr>
                <w:rFonts w:ascii="宋体" w:hAnsi="宋体" w:cs="宋体"/>
                <w:color w:val="auto"/>
                <w:sz w:val="24"/>
                <w:highlight w:val="none"/>
              </w:rPr>
            </w:pPr>
          </w:p>
        </w:tc>
      </w:tr>
      <w:tr w14:paraId="60AC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E807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DC778F7">
            <w:pPr>
              <w:spacing w:line="360" w:lineRule="auto"/>
              <w:rPr>
                <w:rFonts w:ascii="宋体" w:hAnsi="宋体" w:cs="宋体"/>
                <w:color w:val="auto"/>
                <w:sz w:val="24"/>
                <w:highlight w:val="none"/>
              </w:rPr>
            </w:pPr>
          </w:p>
        </w:tc>
      </w:tr>
      <w:tr w14:paraId="7191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1175092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E9A175E">
            <w:pPr>
              <w:spacing w:line="360" w:lineRule="auto"/>
              <w:rPr>
                <w:rFonts w:ascii="宋体" w:hAnsi="宋体" w:cs="宋体"/>
                <w:color w:val="auto"/>
                <w:sz w:val="24"/>
                <w:highlight w:val="none"/>
              </w:rPr>
            </w:pPr>
          </w:p>
        </w:tc>
      </w:tr>
      <w:tr w14:paraId="44C7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24D30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EC17A9A">
            <w:pPr>
              <w:spacing w:line="360" w:lineRule="auto"/>
              <w:rPr>
                <w:rFonts w:ascii="宋体" w:hAnsi="宋体" w:cs="宋体"/>
                <w:color w:val="auto"/>
                <w:sz w:val="24"/>
                <w:highlight w:val="none"/>
              </w:rPr>
            </w:pPr>
          </w:p>
        </w:tc>
      </w:tr>
      <w:tr w14:paraId="1F66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0464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C658F26">
            <w:pPr>
              <w:spacing w:line="360" w:lineRule="auto"/>
              <w:rPr>
                <w:rFonts w:ascii="宋体" w:hAnsi="宋体" w:cs="宋体"/>
                <w:color w:val="auto"/>
                <w:sz w:val="24"/>
                <w:highlight w:val="none"/>
              </w:rPr>
            </w:pPr>
          </w:p>
        </w:tc>
      </w:tr>
      <w:tr w14:paraId="5921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252E9A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AA28289">
            <w:pPr>
              <w:spacing w:line="360" w:lineRule="auto"/>
              <w:rPr>
                <w:rFonts w:ascii="宋体" w:hAnsi="宋体" w:cs="宋体"/>
                <w:color w:val="auto"/>
                <w:sz w:val="24"/>
                <w:highlight w:val="none"/>
              </w:rPr>
            </w:pPr>
          </w:p>
        </w:tc>
      </w:tr>
    </w:tbl>
    <w:p w14:paraId="6F2195B9">
      <w:pPr>
        <w:spacing w:line="360" w:lineRule="auto"/>
        <w:ind w:left="-420" w:leftChars="-200" w:right="-420" w:rightChars="-200" w:firstLine="480" w:firstLineChars="200"/>
        <w:rPr>
          <w:rFonts w:ascii="宋体" w:hAnsi="宋体" w:cs="宋体"/>
          <w:color w:val="auto"/>
          <w:sz w:val="24"/>
          <w:highlight w:val="none"/>
        </w:rPr>
      </w:pPr>
    </w:p>
    <w:p w14:paraId="75CE851E">
      <w:pPr>
        <w:spacing w:line="360" w:lineRule="auto"/>
        <w:ind w:left="-420" w:leftChars="-200" w:right="-420" w:rightChars="-200" w:firstLine="480" w:firstLineChars="200"/>
        <w:jc w:val="center"/>
        <w:outlineLvl w:val="0"/>
        <w:rPr>
          <w:rFonts w:ascii="宋体" w:hAnsi="宋体" w:cs="宋体"/>
          <w:color w:val="auto"/>
          <w:sz w:val="24"/>
          <w:highlight w:val="none"/>
        </w:rPr>
      </w:pPr>
    </w:p>
    <w:p w14:paraId="23EBB35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3D1D0A7A">
      <w:pPr>
        <w:spacing w:line="360" w:lineRule="auto"/>
        <w:jc w:val="center"/>
        <w:outlineLvl w:val="0"/>
        <w:rPr>
          <w:rFonts w:ascii="宋体" w:hAnsi="宋体" w:cs="宋体"/>
          <w:b/>
          <w:color w:val="auto"/>
          <w:kern w:val="0"/>
          <w:sz w:val="36"/>
          <w:szCs w:val="36"/>
          <w:highlight w:val="none"/>
        </w:rPr>
      </w:pPr>
    </w:p>
    <w:p w14:paraId="235DCE0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29C37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C54CE3">
      <w:pPr>
        <w:spacing w:line="360" w:lineRule="auto"/>
        <w:jc w:val="center"/>
        <w:outlineLvl w:val="0"/>
        <w:rPr>
          <w:rFonts w:ascii="宋体" w:hAnsi="宋体" w:cs="宋体"/>
          <w:b/>
          <w:color w:val="auto"/>
          <w:kern w:val="0"/>
          <w:sz w:val="36"/>
          <w:szCs w:val="36"/>
          <w:highlight w:val="none"/>
        </w:rPr>
      </w:pPr>
    </w:p>
    <w:p w14:paraId="141B4F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9ABB8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EAD1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49027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3BF548">
      <w:pPr>
        <w:snapToGrid w:val="0"/>
        <w:spacing w:line="360" w:lineRule="auto"/>
        <w:ind w:firstLine="480" w:firstLineChars="200"/>
        <w:rPr>
          <w:rFonts w:ascii="宋体" w:hAnsi="宋体" w:cs="宋体"/>
          <w:color w:val="auto"/>
          <w:sz w:val="24"/>
          <w:highlight w:val="none"/>
        </w:rPr>
      </w:pPr>
    </w:p>
    <w:p w14:paraId="7F7B4823">
      <w:pPr>
        <w:spacing w:line="360" w:lineRule="auto"/>
        <w:ind w:firstLine="480" w:firstLineChars="200"/>
        <w:rPr>
          <w:rFonts w:ascii="宋体" w:hAnsi="宋体" w:cs="宋体"/>
          <w:color w:val="auto"/>
          <w:sz w:val="24"/>
          <w:highlight w:val="none"/>
        </w:rPr>
      </w:pPr>
    </w:p>
    <w:p w14:paraId="26514E2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B5AD6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67B7C3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】政府采购活动，郑重承诺：</w:t>
      </w:r>
    </w:p>
    <w:p w14:paraId="358F78A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ADABB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2965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DA21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258B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E0D8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E73B1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4C12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E3515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BEFAE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5D07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5E78E9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1F25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A5D650">
      <w:pPr>
        <w:snapToGrid w:val="0"/>
        <w:spacing w:line="360" w:lineRule="auto"/>
        <w:ind w:right="480"/>
        <w:jc w:val="center"/>
        <w:rPr>
          <w:rFonts w:ascii="宋体" w:hAnsi="宋体" w:cs="宋体"/>
          <w:b/>
          <w:color w:val="auto"/>
          <w:kern w:val="0"/>
          <w:sz w:val="32"/>
          <w:szCs w:val="32"/>
          <w:highlight w:val="none"/>
        </w:rPr>
      </w:pPr>
    </w:p>
    <w:p w14:paraId="01E38BB0">
      <w:pPr>
        <w:snapToGrid w:val="0"/>
        <w:spacing w:line="360" w:lineRule="auto"/>
        <w:ind w:right="480"/>
        <w:jc w:val="center"/>
        <w:rPr>
          <w:rFonts w:ascii="宋体" w:hAnsi="宋体" w:cs="宋体"/>
          <w:b/>
          <w:color w:val="auto"/>
          <w:kern w:val="0"/>
          <w:sz w:val="32"/>
          <w:szCs w:val="32"/>
          <w:highlight w:val="none"/>
        </w:rPr>
      </w:pPr>
    </w:p>
    <w:p w14:paraId="298F1460">
      <w:pPr>
        <w:snapToGrid w:val="0"/>
        <w:spacing w:line="360" w:lineRule="auto"/>
        <w:ind w:right="480"/>
        <w:jc w:val="center"/>
        <w:rPr>
          <w:rFonts w:ascii="宋体" w:hAnsi="宋体" w:cs="宋体"/>
          <w:b/>
          <w:color w:val="auto"/>
          <w:kern w:val="0"/>
          <w:sz w:val="32"/>
          <w:szCs w:val="32"/>
          <w:highlight w:val="none"/>
        </w:rPr>
      </w:pPr>
    </w:p>
    <w:p w14:paraId="7D8956C3">
      <w:pPr>
        <w:rPr>
          <w:rFonts w:ascii="宋体" w:hAnsi="宋体" w:cs="宋体"/>
          <w:color w:val="auto"/>
          <w:highlight w:val="none"/>
        </w:rPr>
      </w:pPr>
    </w:p>
    <w:p w14:paraId="07712565">
      <w:pPr>
        <w:snapToGrid w:val="0"/>
        <w:spacing w:line="360" w:lineRule="auto"/>
        <w:ind w:right="480"/>
        <w:jc w:val="center"/>
        <w:rPr>
          <w:rFonts w:ascii="宋体" w:hAnsi="宋体" w:cs="宋体"/>
          <w:b/>
          <w:color w:val="auto"/>
          <w:kern w:val="0"/>
          <w:sz w:val="32"/>
          <w:szCs w:val="32"/>
          <w:highlight w:val="none"/>
        </w:rPr>
      </w:pPr>
    </w:p>
    <w:p w14:paraId="51CDE3AD">
      <w:pPr>
        <w:snapToGrid w:val="0"/>
        <w:spacing w:line="360" w:lineRule="auto"/>
        <w:ind w:right="480"/>
        <w:jc w:val="center"/>
        <w:rPr>
          <w:rFonts w:ascii="宋体" w:hAnsi="宋体" w:cs="宋体"/>
          <w:b/>
          <w:color w:val="auto"/>
          <w:kern w:val="0"/>
          <w:sz w:val="32"/>
          <w:szCs w:val="32"/>
          <w:highlight w:val="none"/>
        </w:rPr>
      </w:pPr>
    </w:p>
    <w:p w14:paraId="6A077AD1">
      <w:pPr>
        <w:snapToGrid w:val="0"/>
        <w:spacing w:line="360" w:lineRule="auto"/>
        <w:ind w:right="480"/>
        <w:jc w:val="center"/>
        <w:rPr>
          <w:rFonts w:ascii="宋体" w:hAnsi="宋体" w:cs="宋体"/>
          <w:b/>
          <w:color w:val="auto"/>
          <w:kern w:val="0"/>
          <w:sz w:val="32"/>
          <w:szCs w:val="32"/>
          <w:highlight w:val="none"/>
        </w:rPr>
      </w:pPr>
    </w:p>
    <w:p w14:paraId="4E99D73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B97A7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DAA2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1074BD3">
      <w:pPr>
        <w:snapToGrid w:val="0"/>
        <w:spacing w:line="360" w:lineRule="auto"/>
        <w:ind w:right="480"/>
        <w:jc w:val="center"/>
        <w:rPr>
          <w:rFonts w:ascii="宋体" w:hAnsi="宋体" w:cs="宋体"/>
          <w:b/>
          <w:color w:val="auto"/>
          <w:kern w:val="0"/>
          <w:sz w:val="32"/>
          <w:szCs w:val="32"/>
          <w:highlight w:val="none"/>
        </w:rPr>
      </w:pPr>
    </w:p>
    <w:p w14:paraId="02CBE31A">
      <w:pPr>
        <w:snapToGrid w:val="0"/>
        <w:spacing w:line="360" w:lineRule="auto"/>
        <w:ind w:right="480"/>
        <w:jc w:val="center"/>
        <w:rPr>
          <w:rFonts w:ascii="宋体" w:hAnsi="宋体" w:cs="宋体"/>
          <w:b/>
          <w:color w:val="auto"/>
          <w:kern w:val="0"/>
          <w:sz w:val="32"/>
          <w:szCs w:val="32"/>
          <w:highlight w:val="none"/>
        </w:rPr>
      </w:pPr>
    </w:p>
    <w:p w14:paraId="44B5C2D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56B7C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75CD5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C58C329">
      <w:pPr>
        <w:widowControl/>
        <w:spacing w:line="360" w:lineRule="auto"/>
        <w:ind w:firstLine="480"/>
        <w:jc w:val="left"/>
        <w:rPr>
          <w:rFonts w:ascii="宋体" w:hAnsi="宋体" w:cs="宋体"/>
          <w:color w:val="auto"/>
          <w:sz w:val="24"/>
          <w:highlight w:val="none"/>
        </w:rPr>
      </w:pPr>
    </w:p>
    <w:p w14:paraId="6C467AA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8EBA88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DFB7C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D515378">
      <w:pPr>
        <w:widowControl/>
        <w:spacing w:line="360" w:lineRule="auto"/>
        <w:ind w:left="150"/>
        <w:jc w:val="center"/>
        <w:rPr>
          <w:rFonts w:ascii="宋体" w:hAnsi="宋体" w:cs="宋体"/>
          <w:b/>
          <w:color w:val="auto"/>
          <w:kern w:val="0"/>
          <w:sz w:val="32"/>
          <w:szCs w:val="32"/>
          <w:highlight w:val="none"/>
        </w:rPr>
      </w:pPr>
    </w:p>
    <w:p w14:paraId="1EB99CF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4698C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4416E32">
      <w:pPr>
        <w:rPr>
          <w:rFonts w:ascii="宋体" w:hAnsi="宋体" w:cs="宋体"/>
          <w:color w:val="auto"/>
          <w:highlight w:val="none"/>
        </w:rPr>
      </w:pPr>
    </w:p>
    <w:p w14:paraId="69B26A37">
      <w:pPr>
        <w:snapToGrid w:val="0"/>
        <w:spacing w:line="360" w:lineRule="auto"/>
        <w:ind w:right="480"/>
        <w:jc w:val="center"/>
        <w:rPr>
          <w:rFonts w:ascii="宋体" w:hAnsi="宋体" w:cs="宋体"/>
          <w:b/>
          <w:color w:val="auto"/>
          <w:kern w:val="0"/>
          <w:sz w:val="32"/>
          <w:szCs w:val="32"/>
          <w:highlight w:val="none"/>
        </w:rPr>
      </w:pPr>
    </w:p>
    <w:p w14:paraId="27F6A21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E1008D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ED1DC1">
      <w:pPr>
        <w:spacing w:line="360" w:lineRule="auto"/>
        <w:jc w:val="center"/>
        <w:outlineLvl w:val="0"/>
        <w:rPr>
          <w:rFonts w:ascii="宋体" w:hAnsi="宋体" w:cs="宋体"/>
          <w:b/>
          <w:color w:val="auto"/>
          <w:kern w:val="0"/>
          <w:sz w:val="24"/>
          <w:highlight w:val="none"/>
        </w:rPr>
      </w:pPr>
    </w:p>
    <w:p w14:paraId="67C4530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60A9A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8D481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D1290C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0A28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431899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FD3D49">
      <w:pPr>
        <w:snapToGrid w:val="0"/>
        <w:spacing w:line="360" w:lineRule="auto"/>
        <w:jc w:val="center"/>
        <w:rPr>
          <w:rFonts w:ascii="宋体" w:hAnsi="宋体" w:cs="宋体"/>
          <w:b/>
          <w:color w:val="auto"/>
          <w:kern w:val="0"/>
          <w:sz w:val="32"/>
          <w:szCs w:val="32"/>
          <w:highlight w:val="none"/>
          <w:lang w:val="zh-CN"/>
        </w:rPr>
      </w:pPr>
    </w:p>
    <w:p w14:paraId="4D2A31DF">
      <w:pPr>
        <w:snapToGrid w:val="0"/>
        <w:spacing w:line="360" w:lineRule="auto"/>
        <w:jc w:val="center"/>
        <w:rPr>
          <w:rFonts w:ascii="宋体" w:hAnsi="宋体" w:cs="宋体"/>
          <w:b/>
          <w:color w:val="auto"/>
          <w:kern w:val="0"/>
          <w:sz w:val="32"/>
          <w:szCs w:val="32"/>
          <w:highlight w:val="none"/>
          <w:lang w:val="zh-CN"/>
        </w:rPr>
      </w:pPr>
    </w:p>
    <w:p w14:paraId="3BBF379E">
      <w:pPr>
        <w:snapToGrid w:val="0"/>
        <w:spacing w:line="360" w:lineRule="auto"/>
        <w:jc w:val="center"/>
        <w:rPr>
          <w:rFonts w:ascii="宋体" w:hAnsi="宋体" w:cs="宋体"/>
          <w:b/>
          <w:color w:val="auto"/>
          <w:kern w:val="0"/>
          <w:sz w:val="32"/>
          <w:szCs w:val="32"/>
          <w:highlight w:val="none"/>
          <w:lang w:val="zh-CN"/>
        </w:rPr>
      </w:pPr>
    </w:p>
    <w:p w14:paraId="5C3A113F">
      <w:pPr>
        <w:snapToGrid w:val="0"/>
        <w:spacing w:line="360" w:lineRule="auto"/>
        <w:jc w:val="center"/>
        <w:rPr>
          <w:rFonts w:ascii="宋体" w:hAnsi="宋体" w:cs="宋体"/>
          <w:b/>
          <w:color w:val="auto"/>
          <w:kern w:val="0"/>
          <w:sz w:val="32"/>
          <w:szCs w:val="32"/>
          <w:highlight w:val="none"/>
          <w:lang w:val="zh-CN"/>
        </w:rPr>
      </w:pPr>
    </w:p>
    <w:p w14:paraId="761F131A">
      <w:pPr>
        <w:snapToGrid w:val="0"/>
        <w:spacing w:line="360" w:lineRule="auto"/>
        <w:jc w:val="center"/>
        <w:rPr>
          <w:rFonts w:ascii="宋体" w:hAnsi="宋体" w:cs="宋体"/>
          <w:b/>
          <w:color w:val="auto"/>
          <w:kern w:val="0"/>
          <w:sz w:val="32"/>
          <w:szCs w:val="32"/>
          <w:highlight w:val="none"/>
          <w:lang w:val="zh-CN"/>
        </w:rPr>
      </w:pPr>
    </w:p>
    <w:p w14:paraId="01D89FE6">
      <w:pPr>
        <w:snapToGrid w:val="0"/>
        <w:spacing w:line="360" w:lineRule="auto"/>
        <w:jc w:val="center"/>
        <w:rPr>
          <w:rFonts w:ascii="宋体" w:hAnsi="宋体" w:cs="宋体"/>
          <w:b/>
          <w:color w:val="auto"/>
          <w:kern w:val="0"/>
          <w:sz w:val="32"/>
          <w:szCs w:val="32"/>
          <w:highlight w:val="none"/>
          <w:lang w:val="zh-CN"/>
        </w:rPr>
      </w:pPr>
    </w:p>
    <w:p w14:paraId="48E717AD">
      <w:pPr>
        <w:snapToGrid w:val="0"/>
        <w:spacing w:line="360" w:lineRule="auto"/>
        <w:jc w:val="center"/>
        <w:rPr>
          <w:rFonts w:ascii="宋体" w:hAnsi="宋体" w:cs="宋体"/>
          <w:b/>
          <w:color w:val="auto"/>
          <w:kern w:val="0"/>
          <w:sz w:val="32"/>
          <w:szCs w:val="32"/>
          <w:highlight w:val="none"/>
          <w:lang w:val="zh-CN"/>
        </w:rPr>
      </w:pPr>
    </w:p>
    <w:p w14:paraId="7B1CFBB5">
      <w:pPr>
        <w:snapToGrid w:val="0"/>
        <w:spacing w:line="360" w:lineRule="auto"/>
        <w:jc w:val="center"/>
        <w:rPr>
          <w:rFonts w:ascii="宋体" w:hAnsi="宋体" w:cs="宋体"/>
          <w:b/>
          <w:color w:val="auto"/>
          <w:kern w:val="0"/>
          <w:sz w:val="32"/>
          <w:szCs w:val="32"/>
          <w:highlight w:val="none"/>
          <w:lang w:val="zh-CN"/>
        </w:rPr>
      </w:pPr>
    </w:p>
    <w:p w14:paraId="6287598F">
      <w:pPr>
        <w:snapToGrid w:val="0"/>
        <w:spacing w:line="360" w:lineRule="auto"/>
        <w:jc w:val="center"/>
        <w:rPr>
          <w:rFonts w:ascii="宋体" w:hAnsi="宋体" w:cs="宋体"/>
          <w:b/>
          <w:color w:val="auto"/>
          <w:kern w:val="0"/>
          <w:sz w:val="32"/>
          <w:szCs w:val="32"/>
          <w:highlight w:val="none"/>
          <w:lang w:val="zh-CN"/>
        </w:rPr>
      </w:pPr>
    </w:p>
    <w:p w14:paraId="7BF5EBEB">
      <w:pPr>
        <w:snapToGrid w:val="0"/>
        <w:spacing w:line="360" w:lineRule="auto"/>
        <w:jc w:val="center"/>
        <w:rPr>
          <w:rFonts w:ascii="宋体" w:hAnsi="宋体" w:cs="宋体"/>
          <w:b/>
          <w:color w:val="auto"/>
          <w:kern w:val="0"/>
          <w:sz w:val="32"/>
          <w:szCs w:val="32"/>
          <w:highlight w:val="none"/>
          <w:lang w:val="zh-CN"/>
        </w:rPr>
      </w:pPr>
    </w:p>
    <w:p w14:paraId="7D9E5A08">
      <w:pPr>
        <w:snapToGrid w:val="0"/>
        <w:spacing w:line="360" w:lineRule="auto"/>
        <w:jc w:val="center"/>
        <w:rPr>
          <w:rFonts w:ascii="宋体" w:hAnsi="宋体" w:cs="宋体"/>
          <w:b/>
          <w:color w:val="auto"/>
          <w:kern w:val="0"/>
          <w:sz w:val="32"/>
          <w:szCs w:val="32"/>
          <w:highlight w:val="none"/>
          <w:lang w:val="zh-CN"/>
        </w:rPr>
      </w:pPr>
    </w:p>
    <w:p w14:paraId="57912F74">
      <w:pPr>
        <w:snapToGrid w:val="0"/>
        <w:spacing w:line="360" w:lineRule="auto"/>
        <w:jc w:val="center"/>
        <w:rPr>
          <w:rFonts w:ascii="宋体" w:hAnsi="宋体" w:cs="宋体"/>
          <w:b/>
          <w:color w:val="auto"/>
          <w:kern w:val="0"/>
          <w:sz w:val="32"/>
          <w:szCs w:val="32"/>
          <w:highlight w:val="none"/>
          <w:lang w:val="zh-CN"/>
        </w:rPr>
      </w:pPr>
    </w:p>
    <w:p w14:paraId="62FC9EB7">
      <w:pPr>
        <w:rPr>
          <w:rFonts w:ascii="宋体" w:hAnsi="宋体" w:cs="宋体"/>
          <w:b/>
          <w:color w:val="auto"/>
          <w:kern w:val="0"/>
          <w:sz w:val="32"/>
          <w:szCs w:val="32"/>
          <w:highlight w:val="none"/>
          <w:lang w:val="zh-CN"/>
        </w:rPr>
      </w:pPr>
    </w:p>
    <w:p w14:paraId="763D55D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A01B2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112A95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8C4C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】招标的有关活动，并对此项目进行投标。为此：</w:t>
      </w:r>
    </w:p>
    <w:p w14:paraId="3FA492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A92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55CE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D921C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9D38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433310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B2CF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187483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E8F2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D1BA8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6CD4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9D47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28EA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F427D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2009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C1B44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209F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B0F186A">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20938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676B10F2">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50927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2963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A0A9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6512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E6D5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C3332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82089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0D9B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CD94BE2">
      <w:pPr>
        <w:snapToGrid w:val="0"/>
        <w:spacing w:line="360" w:lineRule="auto"/>
        <w:ind w:left="420" w:leftChars="200" w:firstLine="4200" w:firstLineChars="1750"/>
        <w:rPr>
          <w:rFonts w:ascii="宋体" w:hAnsi="宋体" w:cs="宋体"/>
          <w:color w:val="auto"/>
          <w:kern w:val="0"/>
          <w:sz w:val="24"/>
          <w:highlight w:val="none"/>
          <w:u w:val="single"/>
        </w:rPr>
      </w:pPr>
    </w:p>
    <w:p w14:paraId="25A513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954F41">
      <w:pPr>
        <w:snapToGrid w:val="0"/>
        <w:spacing w:line="360" w:lineRule="auto"/>
        <w:jc w:val="center"/>
        <w:rPr>
          <w:rFonts w:ascii="宋体" w:hAnsi="宋体" w:cs="宋体"/>
          <w:b/>
          <w:color w:val="auto"/>
          <w:kern w:val="0"/>
          <w:sz w:val="32"/>
          <w:szCs w:val="32"/>
          <w:highlight w:val="none"/>
        </w:rPr>
      </w:pPr>
    </w:p>
    <w:p w14:paraId="6110C515">
      <w:pPr>
        <w:snapToGrid w:val="0"/>
        <w:spacing w:line="360" w:lineRule="auto"/>
        <w:rPr>
          <w:rFonts w:ascii="宋体" w:hAnsi="宋体" w:cs="宋体"/>
          <w:color w:val="auto"/>
          <w:sz w:val="24"/>
          <w:highlight w:val="none"/>
        </w:rPr>
      </w:pPr>
    </w:p>
    <w:p w14:paraId="34945099">
      <w:pPr>
        <w:jc w:val="center"/>
        <w:rPr>
          <w:rFonts w:ascii="宋体" w:hAnsi="宋体" w:cs="宋体"/>
          <w:b/>
          <w:color w:val="auto"/>
          <w:kern w:val="0"/>
          <w:sz w:val="32"/>
          <w:szCs w:val="32"/>
          <w:highlight w:val="none"/>
        </w:rPr>
      </w:pPr>
    </w:p>
    <w:p w14:paraId="000CD949">
      <w:pPr>
        <w:jc w:val="center"/>
        <w:rPr>
          <w:rFonts w:ascii="宋体" w:hAnsi="宋体" w:cs="宋体"/>
          <w:b/>
          <w:color w:val="auto"/>
          <w:kern w:val="0"/>
          <w:sz w:val="32"/>
          <w:szCs w:val="32"/>
          <w:highlight w:val="none"/>
        </w:rPr>
      </w:pPr>
    </w:p>
    <w:p w14:paraId="6CF82731">
      <w:pPr>
        <w:jc w:val="center"/>
        <w:rPr>
          <w:rFonts w:ascii="宋体" w:hAnsi="宋体" w:cs="宋体"/>
          <w:b/>
          <w:color w:val="auto"/>
          <w:kern w:val="0"/>
          <w:sz w:val="32"/>
          <w:szCs w:val="32"/>
          <w:highlight w:val="none"/>
        </w:rPr>
      </w:pPr>
    </w:p>
    <w:p w14:paraId="7A98098C">
      <w:pPr>
        <w:jc w:val="center"/>
        <w:rPr>
          <w:rFonts w:ascii="宋体" w:hAnsi="宋体" w:cs="宋体"/>
          <w:b/>
          <w:color w:val="auto"/>
          <w:kern w:val="0"/>
          <w:sz w:val="32"/>
          <w:szCs w:val="32"/>
          <w:highlight w:val="none"/>
        </w:rPr>
      </w:pPr>
    </w:p>
    <w:p w14:paraId="718272C9">
      <w:pPr>
        <w:jc w:val="center"/>
        <w:rPr>
          <w:rFonts w:ascii="宋体" w:hAnsi="宋体" w:cs="宋体"/>
          <w:b/>
          <w:color w:val="auto"/>
          <w:kern w:val="0"/>
          <w:sz w:val="32"/>
          <w:szCs w:val="32"/>
          <w:highlight w:val="none"/>
        </w:rPr>
      </w:pPr>
    </w:p>
    <w:p w14:paraId="57909CF5">
      <w:pPr>
        <w:jc w:val="center"/>
        <w:rPr>
          <w:rFonts w:ascii="宋体" w:hAnsi="宋体" w:cs="宋体"/>
          <w:b/>
          <w:color w:val="auto"/>
          <w:kern w:val="0"/>
          <w:sz w:val="32"/>
          <w:szCs w:val="32"/>
          <w:highlight w:val="none"/>
        </w:rPr>
      </w:pPr>
    </w:p>
    <w:p w14:paraId="00436F14">
      <w:pPr>
        <w:jc w:val="center"/>
        <w:rPr>
          <w:rFonts w:ascii="宋体" w:hAnsi="宋体" w:cs="宋体"/>
          <w:b/>
          <w:color w:val="auto"/>
          <w:kern w:val="0"/>
          <w:sz w:val="32"/>
          <w:szCs w:val="32"/>
          <w:highlight w:val="none"/>
        </w:rPr>
      </w:pPr>
    </w:p>
    <w:p w14:paraId="0E8F0E5D">
      <w:pPr>
        <w:jc w:val="center"/>
        <w:rPr>
          <w:rFonts w:ascii="宋体" w:hAnsi="宋体" w:cs="宋体"/>
          <w:b/>
          <w:color w:val="auto"/>
          <w:kern w:val="0"/>
          <w:sz w:val="32"/>
          <w:szCs w:val="32"/>
          <w:highlight w:val="none"/>
        </w:rPr>
      </w:pPr>
    </w:p>
    <w:p w14:paraId="4D1E168B">
      <w:pPr>
        <w:jc w:val="center"/>
        <w:rPr>
          <w:rFonts w:ascii="宋体" w:hAnsi="宋体" w:cs="宋体"/>
          <w:b/>
          <w:color w:val="auto"/>
          <w:kern w:val="0"/>
          <w:sz w:val="32"/>
          <w:szCs w:val="32"/>
          <w:highlight w:val="none"/>
        </w:rPr>
      </w:pPr>
    </w:p>
    <w:p w14:paraId="36239995">
      <w:pPr>
        <w:jc w:val="center"/>
        <w:rPr>
          <w:rFonts w:ascii="宋体" w:hAnsi="宋体" w:cs="宋体"/>
          <w:b/>
          <w:color w:val="auto"/>
          <w:kern w:val="0"/>
          <w:sz w:val="32"/>
          <w:szCs w:val="32"/>
          <w:highlight w:val="none"/>
        </w:rPr>
      </w:pPr>
    </w:p>
    <w:p w14:paraId="226CAA5A">
      <w:pPr>
        <w:jc w:val="center"/>
        <w:rPr>
          <w:rFonts w:ascii="宋体" w:hAnsi="宋体" w:cs="宋体"/>
          <w:b/>
          <w:color w:val="auto"/>
          <w:kern w:val="0"/>
          <w:sz w:val="32"/>
          <w:szCs w:val="32"/>
          <w:highlight w:val="none"/>
        </w:rPr>
      </w:pPr>
    </w:p>
    <w:p w14:paraId="3E7F0F53">
      <w:pPr>
        <w:jc w:val="center"/>
        <w:rPr>
          <w:rFonts w:ascii="宋体" w:hAnsi="宋体" w:cs="宋体"/>
          <w:b/>
          <w:color w:val="auto"/>
          <w:kern w:val="0"/>
          <w:sz w:val="32"/>
          <w:szCs w:val="32"/>
          <w:highlight w:val="none"/>
        </w:rPr>
      </w:pPr>
    </w:p>
    <w:p w14:paraId="7F3336BB">
      <w:pPr>
        <w:jc w:val="center"/>
        <w:rPr>
          <w:rFonts w:ascii="宋体" w:hAnsi="宋体" w:cs="宋体"/>
          <w:b/>
          <w:color w:val="auto"/>
          <w:kern w:val="0"/>
          <w:sz w:val="32"/>
          <w:szCs w:val="32"/>
          <w:highlight w:val="none"/>
        </w:rPr>
      </w:pPr>
    </w:p>
    <w:p w14:paraId="14D4DD23">
      <w:pPr>
        <w:jc w:val="center"/>
        <w:rPr>
          <w:rFonts w:ascii="宋体" w:hAnsi="宋体" w:cs="宋体"/>
          <w:b/>
          <w:color w:val="auto"/>
          <w:kern w:val="0"/>
          <w:sz w:val="32"/>
          <w:szCs w:val="32"/>
          <w:highlight w:val="none"/>
        </w:rPr>
      </w:pPr>
    </w:p>
    <w:p w14:paraId="669D471A">
      <w:pPr>
        <w:jc w:val="center"/>
        <w:rPr>
          <w:rFonts w:ascii="宋体" w:hAnsi="宋体" w:cs="宋体"/>
          <w:b/>
          <w:color w:val="auto"/>
          <w:kern w:val="0"/>
          <w:sz w:val="32"/>
          <w:szCs w:val="32"/>
          <w:highlight w:val="none"/>
        </w:rPr>
      </w:pPr>
    </w:p>
    <w:p w14:paraId="6F952611">
      <w:pPr>
        <w:jc w:val="center"/>
        <w:rPr>
          <w:rFonts w:ascii="宋体" w:hAnsi="宋体" w:cs="宋体"/>
          <w:b/>
          <w:color w:val="auto"/>
          <w:kern w:val="0"/>
          <w:sz w:val="32"/>
          <w:szCs w:val="32"/>
          <w:highlight w:val="none"/>
        </w:rPr>
      </w:pPr>
    </w:p>
    <w:p w14:paraId="20E464A2">
      <w:pPr>
        <w:jc w:val="center"/>
        <w:rPr>
          <w:rFonts w:ascii="宋体" w:hAnsi="宋体" w:cs="宋体"/>
          <w:b/>
          <w:color w:val="auto"/>
          <w:kern w:val="0"/>
          <w:sz w:val="32"/>
          <w:szCs w:val="32"/>
          <w:highlight w:val="none"/>
        </w:rPr>
      </w:pPr>
    </w:p>
    <w:p w14:paraId="73403DCB">
      <w:pPr>
        <w:jc w:val="center"/>
        <w:rPr>
          <w:rFonts w:ascii="宋体" w:hAnsi="宋体" w:cs="宋体"/>
          <w:b/>
          <w:color w:val="auto"/>
          <w:kern w:val="0"/>
          <w:sz w:val="32"/>
          <w:szCs w:val="32"/>
          <w:highlight w:val="none"/>
        </w:rPr>
      </w:pPr>
    </w:p>
    <w:p w14:paraId="4D1C832B">
      <w:pPr>
        <w:jc w:val="center"/>
        <w:rPr>
          <w:rFonts w:ascii="宋体" w:hAnsi="宋体" w:cs="宋体"/>
          <w:b/>
          <w:color w:val="auto"/>
          <w:kern w:val="0"/>
          <w:sz w:val="32"/>
          <w:szCs w:val="32"/>
          <w:highlight w:val="none"/>
        </w:rPr>
      </w:pPr>
    </w:p>
    <w:p w14:paraId="35330C12">
      <w:pPr>
        <w:jc w:val="center"/>
        <w:rPr>
          <w:rFonts w:ascii="宋体" w:hAnsi="宋体" w:cs="宋体"/>
          <w:b/>
          <w:color w:val="auto"/>
          <w:kern w:val="0"/>
          <w:sz w:val="32"/>
          <w:szCs w:val="32"/>
          <w:highlight w:val="none"/>
        </w:rPr>
      </w:pPr>
    </w:p>
    <w:p w14:paraId="61C56095">
      <w:pPr>
        <w:pStyle w:val="4"/>
        <w:rPr>
          <w:color w:val="auto"/>
          <w:highlight w:val="none"/>
          <w:lang w:val="en-US"/>
        </w:rPr>
      </w:pPr>
    </w:p>
    <w:p w14:paraId="10631FE3">
      <w:pPr>
        <w:jc w:val="center"/>
        <w:rPr>
          <w:rFonts w:ascii="宋体" w:hAnsi="宋体" w:cs="宋体"/>
          <w:b/>
          <w:color w:val="auto"/>
          <w:kern w:val="0"/>
          <w:sz w:val="32"/>
          <w:szCs w:val="32"/>
          <w:highlight w:val="none"/>
        </w:rPr>
      </w:pPr>
    </w:p>
    <w:p w14:paraId="05766815">
      <w:pPr>
        <w:jc w:val="center"/>
        <w:rPr>
          <w:rFonts w:ascii="宋体" w:hAnsi="宋体" w:cs="宋体"/>
          <w:b/>
          <w:color w:val="auto"/>
          <w:kern w:val="0"/>
          <w:sz w:val="32"/>
          <w:szCs w:val="32"/>
          <w:highlight w:val="none"/>
        </w:rPr>
      </w:pPr>
    </w:p>
    <w:p w14:paraId="3D1855E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EB2BF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E54982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58971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C58ADF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BC0FE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60B5F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9E58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D3B98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93AB4D">
      <w:pPr>
        <w:snapToGrid w:val="0"/>
        <w:spacing w:line="360" w:lineRule="auto"/>
        <w:rPr>
          <w:rFonts w:ascii="宋体" w:hAnsi="宋体" w:cs="宋体"/>
          <w:color w:val="auto"/>
          <w:sz w:val="24"/>
          <w:highlight w:val="none"/>
        </w:rPr>
      </w:pPr>
    </w:p>
    <w:p w14:paraId="2125F4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F41A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5C28DB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D6F1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046D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F04DF4">
      <w:pPr>
        <w:jc w:val="center"/>
        <w:rPr>
          <w:rFonts w:ascii="宋体" w:hAnsi="宋体" w:cs="宋体"/>
          <w:b/>
          <w:color w:val="auto"/>
          <w:kern w:val="0"/>
          <w:sz w:val="32"/>
          <w:szCs w:val="32"/>
          <w:highlight w:val="none"/>
        </w:rPr>
      </w:pPr>
    </w:p>
    <w:p w14:paraId="46998F41">
      <w:pPr>
        <w:rPr>
          <w:rFonts w:ascii="宋体" w:hAnsi="宋体" w:cs="宋体"/>
          <w:color w:val="auto"/>
          <w:highlight w:val="none"/>
        </w:rPr>
      </w:pPr>
    </w:p>
    <w:p w14:paraId="40461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940B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46712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D0A85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B506D3">
      <w:pPr>
        <w:autoSpaceDE w:val="0"/>
        <w:autoSpaceDN w:val="0"/>
        <w:spacing w:line="360" w:lineRule="auto"/>
        <w:jc w:val="both"/>
        <w:rPr>
          <w:rFonts w:ascii="宋体" w:hAnsi="宋体" w:cs="宋体"/>
          <w:b/>
          <w:color w:val="auto"/>
          <w:kern w:val="0"/>
          <w:sz w:val="32"/>
          <w:szCs w:val="32"/>
          <w:highlight w:val="none"/>
          <w:lang w:val="zh-CN"/>
        </w:rPr>
      </w:pPr>
    </w:p>
    <w:p w14:paraId="76B36C7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353B3E">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81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D903BA7">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8C2551">
            <w:pPr>
              <w:pStyle w:val="90"/>
              <w:adjustRightInd w:val="0"/>
              <w:spacing w:line="360" w:lineRule="auto"/>
              <w:rPr>
                <w:rFonts w:hAnsi="宋体" w:cs="宋体"/>
                <w:bCs/>
                <w:color w:val="auto"/>
                <w:sz w:val="24"/>
                <w:highlight w:val="none"/>
              </w:rPr>
            </w:pPr>
          </w:p>
        </w:tc>
      </w:tr>
    </w:tbl>
    <w:p w14:paraId="6592B4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97951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AE55B8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8611D5">
      <w:pPr>
        <w:jc w:val="center"/>
        <w:rPr>
          <w:rFonts w:ascii="宋体" w:hAnsi="宋体" w:cs="宋体"/>
          <w:b/>
          <w:color w:val="auto"/>
          <w:kern w:val="0"/>
          <w:sz w:val="32"/>
          <w:szCs w:val="32"/>
          <w:highlight w:val="none"/>
        </w:rPr>
      </w:pPr>
    </w:p>
    <w:p w14:paraId="6A97D3DD">
      <w:pPr>
        <w:jc w:val="center"/>
        <w:rPr>
          <w:rFonts w:ascii="宋体" w:hAnsi="宋体" w:cs="宋体"/>
          <w:b/>
          <w:color w:val="auto"/>
          <w:kern w:val="0"/>
          <w:sz w:val="32"/>
          <w:szCs w:val="32"/>
          <w:highlight w:val="none"/>
        </w:rPr>
      </w:pPr>
    </w:p>
    <w:p w14:paraId="6829DA0E">
      <w:pPr>
        <w:jc w:val="center"/>
        <w:rPr>
          <w:rFonts w:ascii="宋体" w:hAnsi="宋体" w:cs="宋体"/>
          <w:b/>
          <w:color w:val="auto"/>
          <w:kern w:val="0"/>
          <w:sz w:val="32"/>
          <w:szCs w:val="32"/>
          <w:highlight w:val="none"/>
        </w:rPr>
      </w:pPr>
    </w:p>
    <w:p w14:paraId="7143A842">
      <w:pPr>
        <w:jc w:val="center"/>
        <w:rPr>
          <w:rFonts w:ascii="宋体" w:hAnsi="宋体" w:cs="宋体"/>
          <w:b/>
          <w:color w:val="auto"/>
          <w:kern w:val="0"/>
          <w:sz w:val="32"/>
          <w:szCs w:val="32"/>
          <w:highlight w:val="none"/>
        </w:rPr>
      </w:pPr>
    </w:p>
    <w:p w14:paraId="4E72BC5C">
      <w:pPr>
        <w:jc w:val="center"/>
        <w:rPr>
          <w:rFonts w:ascii="宋体" w:hAnsi="宋体" w:cs="宋体"/>
          <w:b/>
          <w:color w:val="auto"/>
          <w:kern w:val="0"/>
          <w:sz w:val="32"/>
          <w:szCs w:val="32"/>
          <w:highlight w:val="none"/>
        </w:rPr>
      </w:pPr>
    </w:p>
    <w:p w14:paraId="7CE5E333">
      <w:pPr>
        <w:jc w:val="center"/>
        <w:rPr>
          <w:rFonts w:ascii="宋体" w:hAnsi="宋体" w:cs="宋体"/>
          <w:b/>
          <w:color w:val="auto"/>
          <w:kern w:val="0"/>
          <w:sz w:val="32"/>
          <w:szCs w:val="32"/>
          <w:highlight w:val="none"/>
        </w:rPr>
      </w:pPr>
    </w:p>
    <w:p w14:paraId="62C8A7A1">
      <w:pPr>
        <w:jc w:val="center"/>
        <w:rPr>
          <w:rFonts w:ascii="宋体" w:hAnsi="宋体" w:cs="宋体"/>
          <w:b/>
          <w:color w:val="auto"/>
          <w:kern w:val="0"/>
          <w:sz w:val="32"/>
          <w:szCs w:val="32"/>
          <w:highlight w:val="none"/>
        </w:rPr>
      </w:pPr>
    </w:p>
    <w:p w14:paraId="3570F834">
      <w:pPr>
        <w:jc w:val="center"/>
        <w:rPr>
          <w:rFonts w:ascii="宋体" w:hAnsi="宋体" w:cs="宋体"/>
          <w:b/>
          <w:color w:val="auto"/>
          <w:kern w:val="0"/>
          <w:sz w:val="32"/>
          <w:szCs w:val="32"/>
          <w:highlight w:val="none"/>
        </w:rPr>
      </w:pPr>
    </w:p>
    <w:p w14:paraId="281A1687">
      <w:pPr>
        <w:jc w:val="center"/>
        <w:rPr>
          <w:rFonts w:ascii="宋体" w:hAnsi="宋体" w:cs="宋体"/>
          <w:b/>
          <w:color w:val="auto"/>
          <w:kern w:val="0"/>
          <w:sz w:val="32"/>
          <w:szCs w:val="32"/>
          <w:highlight w:val="none"/>
        </w:rPr>
      </w:pPr>
    </w:p>
    <w:p w14:paraId="4555A16C">
      <w:pPr>
        <w:jc w:val="center"/>
        <w:rPr>
          <w:rFonts w:ascii="宋体" w:hAnsi="宋体" w:cs="宋体"/>
          <w:b/>
          <w:color w:val="auto"/>
          <w:kern w:val="0"/>
          <w:sz w:val="32"/>
          <w:szCs w:val="32"/>
          <w:highlight w:val="none"/>
        </w:rPr>
      </w:pPr>
    </w:p>
    <w:p w14:paraId="4F942F2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6169C01">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E22BC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47699A3">
      <w:pPr>
        <w:snapToGrid w:val="0"/>
        <w:spacing w:line="360" w:lineRule="auto"/>
        <w:rPr>
          <w:rFonts w:ascii="宋体" w:hAnsi="宋体" w:cs="宋体"/>
          <w:color w:val="auto"/>
          <w:kern w:val="0"/>
          <w:sz w:val="24"/>
          <w:highlight w:val="none"/>
        </w:rPr>
      </w:pPr>
    </w:p>
    <w:p w14:paraId="777DFD5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CC95BE4">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F0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3E53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97DA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A4DCB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1D042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65D4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293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114F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370738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AED013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267DA33A">
            <w:pPr>
              <w:rPr>
                <w:rFonts w:ascii="宋体" w:hAnsi="宋体" w:cs="宋体"/>
                <w:color w:val="auto"/>
                <w:sz w:val="24"/>
                <w:highlight w:val="none"/>
              </w:rPr>
            </w:pPr>
          </w:p>
          <w:p w14:paraId="754471A1">
            <w:pPr>
              <w:rPr>
                <w:rFonts w:ascii="宋体" w:hAnsi="宋体" w:cs="宋体"/>
                <w:color w:val="auto"/>
                <w:sz w:val="24"/>
                <w:highlight w:val="none"/>
              </w:rPr>
            </w:pPr>
            <w:r>
              <w:rPr>
                <w:rFonts w:hint="eastAsia" w:ascii="宋体" w:hAnsi="宋体" w:cs="宋体"/>
                <w:color w:val="auto"/>
                <w:sz w:val="24"/>
                <w:highlight w:val="none"/>
              </w:rPr>
              <w:t>见投标文件</w:t>
            </w:r>
          </w:p>
          <w:p w14:paraId="47C79BA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C7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7CD06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2FB5EF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C71DA9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B95F07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F5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1723A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5132DA9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450285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AB07A9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9909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F0F438">
      <w:pPr>
        <w:jc w:val="center"/>
        <w:rPr>
          <w:rFonts w:ascii="宋体" w:hAnsi="宋体" w:cs="宋体"/>
          <w:b/>
          <w:color w:val="auto"/>
          <w:kern w:val="0"/>
          <w:sz w:val="32"/>
          <w:szCs w:val="32"/>
          <w:highlight w:val="none"/>
        </w:rPr>
      </w:pPr>
    </w:p>
    <w:p w14:paraId="1DDCD15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4C9124D">
      <w:pPr>
        <w:jc w:val="center"/>
        <w:rPr>
          <w:rFonts w:ascii="宋体" w:hAnsi="宋体" w:cs="宋体"/>
          <w:b/>
          <w:color w:val="auto"/>
          <w:kern w:val="0"/>
          <w:sz w:val="32"/>
          <w:szCs w:val="32"/>
          <w:highlight w:val="none"/>
        </w:rPr>
      </w:pPr>
    </w:p>
    <w:p w14:paraId="1E309F92">
      <w:pPr>
        <w:jc w:val="center"/>
        <w:rPr>
          <w:rFonts w:ascii="宋体" w:hAnsi="宋体" w:cs="宋体"/>
          <w:b/>
          <w:color w:val="auto"/>
          <w:kern w:val="0"/>
          <w:sz w:val="32"/>
          <w:szCs w:val="32"/>
          <w:highlight w:val="none"/>
        </w:rPr>
      </w:pPr>
    </w:p>
    <w:p w14:paraId="2E29F150">
      <w:pPr>
        <w:jc w:val="center"/>
        <w:rPr>
          <w:rFonts w:ascii="宋体" w:hAnsi="宋体" w:cs="宋体"/>
          <w:b/>
          <w:color w:val="auto"/>
          <w:kern w:val="0"/>
          <w:sz w:val="32"/>
          <w:szCs w:val="32"/>
          <w:highlight w:val="none"/>
        </w:rPr>
      </w:pPr>
    </w:p>
    <w:p w14:paraId="0F7F6EBA">
      <w:pPr>
        <w:jc w:val="center"/>
        <w:rPr>
          <w:rFonts w:ascii="宋体" w:hAnsi="宋体" w:cs="宋体"/>
          <w:b/>
          <w:color w:val="auto"/>
          <w:kern w:val="0"/>
          <w:sz w:val="32"/>
          <w:szCs w:val="32"/>
          <w:highlight w:val="none"/>
        </w:rPr>
      </w:pPr>
    </w:p>
    <w:p w14:paraId="1C535329">
      <w:pPr>
        <w:jc w:val="center"/>
        <w:rPr>
          <w:rFonts w:ascii="宋体" w:hAnsi="宋体" w:cs="宋体"/>
          <w:b/>
          <w:color w:val="auto"/>
          <w:kern w:val="0"/>
          <w:sz w:val="32"/>
          <w:szCs w:val="32"/>
          <w:highlight w:val="none"/>
        </w:rPr>
      </w:pPr>
    </w:p>
    <w:p w14:paraId="49D70AA4">
      <w:pPr>
        <w:jc w:val="center"/>
        <w:rPr>
          <w:rFonts w:ascii="宋体" w:hAnsi="宋体" w:cs="宋体"/>
          <w:b/>
          <w:color w:val="auto"/>
          <w:kern w:val="0"/>
          <w:sz w:val="32"/>
          <w:szCs w:val="32"/>
          <w:highlight w:val="none"/>
        </w:rPr>
      </w:pPr>
    </w:p>
    <w:p w14:paraId="2F48B2EE">
      <w:pPr>
        <w:jc w:val="center"/>
        <w:rPr>
          <w:rFonts w:ascii="宋体" w:hAnsi="宋体" w:cs="宋体"/>
          <w:b/>
          <w:color w:val="auto"/>
          <w:kern w:val="0"/>
          <w:sz w:val="32"/>
          <w:szCs w:val="32"/>
          <w:highlight w:val="none"/>
        </w:rPr>
      </w:pPr>
    </w:p>
    <w:p w14:paraId="0B8BD914">
      <w:pPr>
        <w:jc w:val="center"/>
        <w:rPr>
          <w:rFonts w:ascii="宋体" w:hAnsi="宋体" w:cs="宋体"/>
          <w:b/>
          <w:color w:val="auto"/>
          <w:kern w:val="0"/>
          <w:sz w:val="32"/>
          <w:szCs w:val="32"/>
          <w:highlight w:val="none"/>
        </w:rPr>
      </w:pPr>
    </w:p>
    <w:p w14:paraId="731DE423">
      <w:pPr>
        <w:jc w:val="center"/>
        <w:rPr>
          <w:rFonts w:ascii="宋体" w:hAnsi="宋体" w:cs="宋体"/>
          <w:b/>
          <w:color w:val="auto"/>
          <w:kern w:val="0"/>
          <w:sz w:val="32"/>
          <w:szCs w:val="32"/>
          <w:highlight w:val="none"/>
        </w:rPr>
      </w:pPr>
    </w:p>
    <w:p w14:paraId="2E094420">
      <w:pPr>
        <w:jc w:val="center"/>
        <w:rPr>
          <w:rFonts w:ascii="宋体" w:hAnsi="宋体" w:cs="宋体"/>
          <w:b/>
          <w:color w:val="auto"/>
          <w:kern w:val="0"/>
          <w:sz w:val="32"/>
          <w:szCs w:val="32"/>
          <w:highlight w:val="none"/>
        </w:rPr>
      </w:pPr>
    </w:p>
    <w:p w14:paraId="0778345A">
      <w:pPr>
        <w:jc w:val="center"/>
        <w:rPr>
          <w:rFonts w:ascii="宋体" w:hAnsi="宋体" w:cs="宋体"/>
          <w:b/>
          <w:color w:val="auto"/>
          <w:kern w:val="0"/>
          <w:sz w:val="32"/>
          <w:szCs w:val="32"/>
          <w:highlight w:val="none"/>
        </w:rPr>
      </w:pPr>
    </w:p>
    <w:p w14:paraId="2991A616">
      <w:pPr>
        <w:jc w:val="center"/>
        <w:rPr>
          <w:rFonts w:ascii="宋体" w:hAnsi="宋体" w:cs="宋体"/>
          <w:b/>
          <w:color w:val="auto"/>
          <w:kern w:val="0"/>
          <w:sz w:val="32"/>
          <w:szCs w:val="32"/>
          <w:highlight w:val="none"/>
        </w:rPr>
      </w:pPr>
    </w:p>
    <w:p w14:paraId="557B458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BA7340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14D766F">
      <w:pPr>
        <w:jc w:val="center"/>
        <w:rPr>
          <w:rFonts w:ascii="宋体" w:hAnsi="宋体" w:cs="宋体"/>
          <w:b/>
          <w:color w:val="auto"/>
          <w:kern w:val="0"/>
          <w:sz w:val="32"/>
          <w:szCs w:val="32"/>
          <w:highlight w:val="none"/>
        </w:rPr>
      </w:pPr>
    </w:p>
    <w:p w14:paraId="7CA1602D">
      <w:pPr>
        <w:jc w:val="center"/>
        <w:rPr>
          <w:rFonts w:ascii="宋体" w:hAnsi="宋体" w:cs="宋体"/>
          <w:b/>
          <w:color w:val="auto"/>
          <w:kern w:val="0"/>
          <w:sz w:val="32"/>
          <w:szCs w:val="32"/>
          <w:highlight w:val="none"/>
        </w:rPr>
      </w:pPr>
    </w:p>
    <w:p w14:paraId="5D2996BA">
      <w:pPr>
        <w:jc w:val="center"/>
        <w:rPr>
          <w:rFonts w:ascii="宋体" w:hAnsi="宋体" w:cs="宋体"/>
          <w:b/>
          <w:color w:val="auto"/>
          <w:kern w:val="0"/>
          <w:sz w:val="32"/>
          <w:szCs w:val="32"/>
          <w:highlight w:val="none"/>
        </w:rPr>
      </w:pPr>
    </w:p>
    <w:p w14:paraId="50E1781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249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E636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2E13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22241DC">
            <w:pPr>
              <w:spacing w:line="360" w:lineRule="auto"/>
              <w:jc w:val="center"/>
              <w:rPr>
                <w:rFonts w:ascii="宋体" w:hAnsi="宋体" w:cs="宋体"/>
                <w:b/>
                <w:color w:val="auto"/>
                <w:sz w:val="24"/>
                <w:highlight w:val="none"/>
              </w:rPr>
            </w:pPr>
          </w:p>
          <w:p w14:paraId="30601E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4AD88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DC88A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84735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10DA337">
            <w:pPr>
              <w:spacing w:line="360" w:lineRule="auto"/>
              <w:jc w:val="center"/>
              <w:rPr>
                <w:rFonts w:ascii="宋体" w:hAnsi="宋体" w:cs="宋体"/>
                <w:b/>
                <w:color w:val="auto"/>
                <w:sz w:val="24"/>
                <w:highlight w:val="none"/>
              </w:rPr>
            </w:pPr>
          </w:p>
          <w:p w14:paraId="622BEE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AA552A9">
            <w:pPr>
              <w:spacing w:line="360" w:lineRule="auto"/>
              <w:jc w:val="center"/>
              <w:rPr>
                <w:rFonts w:ascii="宋体" w:hAnsi="宋体" w:cs="宋体"/>
                <w:b/>
                <w:color w:val="auto"/>
                <w:sz w:val="24"/>
                <w:highlight w:val="none"/>
              </w:rPr>
            </w:pPr>
          </w:p>
        </w:tc>
      </w:tr>
      <w:tr w14:paraId="7D5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F0F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470FA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50E8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D6F6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CE8D3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8852D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A2E614">
            <w:pPr>
              <w:spacing w:line="360" w:lineRule="auto"/>
              <w:jc w:val="center"/>
              <w:rPr>
                <w:rFonts w:ascii="宋体" w:hAnsi="宋体" w:cs="宋体"/>
                <w:color w:val="auto"/>
                <w:sz w:val="24"/>
                <w:highlight w:val="none"/>
              </w:rPr>
            </w:pPr>
          </w:p>
        </w:tc>
      </w:tr>
      <w:tr w14:paraId="2F86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3F2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D140E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EA6E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D3D0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75E83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189DE9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4E0E05">
            <w:pPr>
              <w:spacing w:line="360" w:lineRule="auto"/>
              <w:jc w:val="center"/>
              <w:rPr>
                <w:rFonts w:ascii="宋体" w:hAnsi="宋体" w:cs="宋体"/>
                <w:color w:val="auto"/>
                <w:sz w:val="24"/>
                <w:highlight w:val="none"/>
              </w:rPr>
            </w:pPr>
          </w:p>
        </w:tc>
      </w:tr>
      <w:tr w14:paraId="5DC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48F6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FB0C30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3BE30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3017D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39D8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B3538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271185">
            <w:pPr>
              <w:spacing w:line="360" w:lineRule="auto"/>
              <w:jc w:val="center"/>
              <w:rPr>
                <w:rFonts w:ascii="宋体" w:hAnsi="宋体" w:cs="宋体"/>
                <w:color w:val="auto"/>
                <w:sz w:val="24"/>
                <w:highlight w:val="none"/>
              </w:rPr>
            </w:pPr>
          </w:p>
        </w:tc>
      </w:tr>
    </w:tbl>
    <w:p w14:paraId="1D191F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6ADF15">
      <w:pPr>
        <w:jc w:val="center"/>
        <w:rPr>
          <w:rFonts w:ascii="宋体" w:hAnsi="宋体" w:cs="宋体"/>
          <w:b/>
          <w:color w:val="auto"/>
          <w:kern w:val="0"/>
          <w:sz w:val="32"/>
          <w:szCs w:val="32"/>
          <w:highlight w:val="none"/>
        </w:rPr>
      </w:pPr>
    </w:p>
    <w:p w14:paraId="6D737A3D">
      <w:pPr>
        <w:jc w:val="center"/>
        <w:rPr>
          <w:rFonts w:ascii="宋体" w:hAnsi="宋体" w:cs="宋体"/>
          <w:b/>
          <w:color w:val="auto"/>
          <w:kern w:val="0"/>
          <w:sz w:val="32"/>
          <w:szCs w:val="32"/>
          <w:highlight w:val="none"/>
        </w:rPr>
      </w:pPr>
    </w:p>
    <w:p w14:paraId="1883FC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4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DDC839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6F3B602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8991AF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21A95E2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E60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1EAAF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7F1EF43">
            <w:pPr>
              <w:jc w:val="center"/>
              <w:rPr>
                <w:rFonts w:ascii="宋体" w:hAnsi="宋体" w:cs="宋体"/>
                <w:b/>
                <w:color w:val="auto"/>
                <w:kern w:val="0"/>
                <w:sz w:val="32"/>
                <w:szCs w:val="32"/>
                <w:highlight w:val="none"/>
              </w:rPr>
            </w:pPr>
          </w:p>
        </w:tc>
        <w:tc>
          <w:tcPr>
            <w:tcW w:w="3546" w:type="dxa"/>
            <w:vAlign w:val="top"/>
          </w:tcPr>
          <w:p w14:paraId="5F6F3A0C">
            <w:pPr>
              <w:jc w:val="center"/>
              <w:rPr>
                <w:rFonts w:ascii="宋体" w:hAnsi="宋体" w:cs="宋体"/>
                <w:b/>
                <w:color w:val="auto"/>
                <w:kern w:val="0"/>
                <w:sz w:val="32"/>
                <w:szCs w:val="32"/>
                <w:highlight w:val="none"/>
              </w:rPr>
            </w:pPr>
          </w:p>
        </w:tc>
        <w:tc>
          <w:tcPr>
            <w:tcW w:w="1276" w:type="dxa"/>
            <w:vAlign w:val="top"/>
          </w:tcPr>
          <w:p w14:paraId="6B9B7C0C">
            <w:pPr>
              <w:jc w:val="center"/>
              <w:rPr>
                <w:rFonts w:ascii="宋体" w:hAnsi="宋体" w:cs="宋体"/>
                <w:b/>
                <w:color w:val="auto"/>
                <w:kern w:val="0"/>
                <w:sz w:val="32"/>
                <w:szCs w:val="32"/>
                <w:highlight w:val="none"/>
              </w:rPr>
            </w:pPr>
          </w:p>
        </w:tc>
      </w:tr>
      <w:tr w14:paraId="2F55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5F082E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DCCF34E">
            <w:pPr>
              <w:jc w:val="center"/>
              <w:rPr>
                <w:rFonts w:ascii="宋体" w:hAnsi="宋体" w:cs="宋体"/>
                <w:b/>
                <w:color w:val="auto"/>
                <w:kern w:val="0"/>
                <w:sz w:val="32"/>
                <w:szCs w:val="32"/>
                <w:highlight w:val="none"/>
              </w:rPr>
            </w:pPr>
          </w:p>
        </w:tc>
        <w:tc>
          <w:tcPr>
            <w:tcW w:w="3546" w:type="dxa"/>
            <w:vAlign w:val="top"/>
          </w:tcPr>
          <w:p w14:paraId="21B228A7">
            <w:pPr>
              <w:jc w:val="center"/>
              <w:rPr>
                <w:rFonts w:ascii="宋体" w:hAnsi="宋体" w:cs="宋体"/>
                <w:b/>
                <w:color w:val="auto"/>
                <w:kern w:val="0"/>
                <w:sz w:val="32"/>
                <w:szCs w:val="32"/>
                <w:highlight w:val="none"/>
              </w:rPr>
            </w:pPr>
          </w:p>
        </w:tc>
        <w:tc>
          <w:tcPr>
            <w:tcW w:w="1276" w:type="dxa"/>
            <w:vAlign w:val="top"/>
          </w:tcPr>
          <w:p w14:paraId="0F34D19B">
            <w:pPr>
              <w:jc w:val="center"/>
              <w:rPr>
                <w:rFonts w:ascii="宋体" w:hAnsi="宋体" w:cs="宋体"/>
                <w:b/>
                <w:color w:val="auto"/>
                <w:kern w:val="0"/>
                <w:sz w:val="32"/>
                <w:szCs w:val="32"/>
                <w:highlight w:val="none"/>
              </w:rPr>
            </w:pPr>
          </w:p>
        </w:tc>
      </w:tr>
      <w:tr w14:paraId="04EF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7B0C5A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22E73351">
            <w:pPr>
              <w:jc w:val="center"/>
              <w:rPr>
                <w:rFonts w:ascii="宋体" w:hAnsi="宋体" w:cs="宋体"/>
                <w:b/>
                <w:color w:val="auto"/>
                <w:kern w:val="0"/>
                <w:sz w:val="32"/>
                <w:szCs w:val="32"/>
                <w:highlight w:val="none"/>
              </w:rPr>
            </w:pPr>
          </w:p>
        </w:tc>
        <w:tc>
          <w:tcPr>
            <w:tcW w:w="3546" w:type="dxa"/>
            <w:vAlign w:val="top"/>
          </w:tcPr>
          <w:p w14:paraId="501DB672">
            <w:pPr>
              <w:jc w:val="center"/>
              <w:rPr>
                <w:rFonts w:ascii="宋体" w:hAnsi="宋体" w:cs="宋体"/>
                <w:b/>
                <w:color w:val="auto"/>
                <w:kern w:val="0"/>
                <w:sz w:val="32"/>
                <w:szCs w:val="32"/>
                <w:highlight w:val="none"/>
              </w:rPr>
            </w:pPr>
          </w:p>
        </w:tc>
        <w:tc>
          <w:tcPr>
            <w:tcW w:w="1276" w:type="dxa"/>
            <w:vAlign w:val="top"/>
          </w:tcPr>
          <w:p w14:paraId="167B0CF3">
            <w:pPr>
              <w:jc w:val="center"/>
              <w:rPr>
                <w:rFonts w:ascii="宋体" w:hAnsi="宋体" w:cs="宋体"/>
                <w:b/>
                <w:color w:val="auto"/>
                <w:kern w:val="0"/>
                <w:sz w:val="32"/>
                <w:szCs w:val="32"/>
                <w:highlight w:val="none"/>
              </w:rPr>
            </w:pPr>
          </w:p>
        </w:tc>
      </w:tr>
    </w:tbl>
    <w:p w14:paraId="00B423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FB437B0">
      <w:pPr>
        <w:jc w:val="center"/>
        <w:rPr>
          <w:rFonts w:ascii="宋体" w:hAnsi="宋体" w:cs="宋体"/>
          <w:b/>
          <w:color w:val="auto"/>
          <w:kern w:val="0"/>
          <w:sz w:val="32"/>
          <w:szCs w:val="32"/>
          <w:highlight w:val="none"/>
        </w:rPr>
      </w:pPr>
    </w:p>
    <w:p w14:paraId="00C212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6D9811">
      <w:pPr>
        <w:ind w:firstLine="1911" w:firstLineChars="595"/>
        <w:rPr>
          <w:rFonts w:ascii="宋体" w:hAnsi="宋体" w:cs="宋体"/>
          <w:b/>
          <w:bCs/>
          <w:color w:val="auto"/>
          <w:sz w:val="32"/>
          <w:szCs w:val="32"/>
          <w:highlight w:val="none"/>
        </w:rPr>
      </w:pPr>
    </w:p>
    <w:p w14:paraId="1A8646AB">
      <w:pPr>
        <w:ind w:firstLine="1911" w:firstLineChars="595"/>
        <w:rPr>
          <w:rFonts w:ascii="宋体" w:hAnsi="宋体" w:cs="宋体"/>
          <w:b/>
          <w:bCs/>
          <w:color w:val="auto"/>
          <w:sz w:val="32"/>
          <w:szCs w:val="32"/>
          <w:highlight w:val="none"/>
        </w:rPr>
      </w:pPr>
    </w:p>
    <w:p w14:paraId="4681DEB5">
      <w:pPr>
        <w:ind w:firstLine="1911" w:firstLineChars="595"/>
        <w:rPr>
          <w:rFonts w:ascii="宋体" w:hAnsi="宋体" w:cs="宋体"/>
          <w:b/>
          <w:bCs/>
          <w:color w:val="auto"/>
          <w:sz w:val="32"/>
          <w:szCs w:val="32"/>
          <w:highlight w:val="none"/>
        </w:rPr>
      </w:pPr>
    </w:p>
    <w:p w14:paraId="2951847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A8AC1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CD76C7">
      <w:pPr>
        <w:snapToGrid w:val="0"/>
        <w:spacing w:line="360" w:lineRule="auto"/>
        <w:rPr>
          <w:rFonts w:ascii="宋体" w:hAnsi="宋体" w:cs="宋体"/>
          <w:color w:val="auto"/>
          <w:sz w:val="24"/>
          <w:highlight w:val="none"/>
        </w:rPr>
      </w:pPr>
    </w:p>
    <w:p w14:paraId="7C87D6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97617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70A5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9402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4C547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CC9F8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7758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AC759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1EE40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7024A5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ECD008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DDA2A00">
      <w:pPr>
        <w:autoSpaceDE w:val="0"/>
        <w:autoSpaceDN w:val="0"/>
        <w:spacing w:line="360" w:lineRule="auto"/>
        <w:ind w:left="2"/>
        <w:jc w:val="left"/>
        <w:rPr>
          <w:rFonts w:ascii="宋体" w:hAnsi="宋体" w:cs="宋体"/>
          <w:color w:val="auto"/>
          <w:kern w:val="0"/>
          <w:sz w:val="24"/>
          <w:highlight w:val="none"/>
          <w:lang w:val="zh-CN"/>
        </w:rPr>
      </w:pPr>
    </w:p>
    <w:p w14:paraId="34CA10D4">
      <w:pPr>
        <w:autoSpaceDE w:val="0"/>
        <w:autoSpaceDN w:val="0"/>
        <w:spacing w:line="360" w:lineRule="auto"/>
        <w:ind w:left="2"/>
        <w:jc w:val="left"/>
        <w:rPr>
          <w:rFonts w:ascii="宋体" w:hAnsi="宋体" w:cs="宋体"/>
          <w:color w:val="auto"/>
          <w:kern w:val="0"/>
          <w:sz w:val="24"/>
          <w:highlight w:val="none"/>
          <w:lang w:val="zh-CN"/>
        </w:rPr>
      </w:pPr>
    </w:p>
    <w:p w14:paraId="6083DFDF">
      <w:pPr>
        <w:autoSpaceDE w:val="0"/>
        <w:autoSpaceDN w:val="0"/>
        <w:spacing w:line="360" w:lineRule="auto"/>
        <w:ind w:left="2"/>
        <w:jc w:val="left"/>
        <w:rPr>
          <w:rFonts w:ascii="宋体" w:hAnsi="宋体" w:cs="宋体"/>
          <w:color w:val="auto"/>
          <w:kern w:val="0"/>
          <w:sz w:val="24"/>
          <w:highlight w:val="none"/>
          <w:lang w:val="zh-CN"/>
        </w:rPr>
      </w:pPr>
    </w:p>
    <w:p w14:paraId="2FC04D2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9A251C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C851F7D">
      <w:pPr>
        <w:spacing w:line="360" w:lineRule="auto"/>
        <w:jc w:val="center"/>
        <w:rPr>
          <w:rFonts w:ascii="宋体" w:hAnsi="宋体" w:cs="宋体"/>
          <w:b/>
          <w:bCs/>
          <w:color w:val="auto"/>
          <w:sz w:val="24"/>
          <w:highlight w:val="none"/>
        </w:rPr>
      </w:pPr>
    </w:p>
    <w:p w14:paraId="3B75CC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552C0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82AE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C657F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304706">
      <w:pPr>
        <w:spacing w:line="360" w:lineRule="auto"/>
        <w:jc w:val="center"/>
        <w:outlineLvl w:val="0"/>
        <w:rPr>
          <w:rFonts w:ascii="宋体" w:hAnsi="宋体" w:cs="宋体"/>
          <w:b/>
          <w:color w:val="auto"/>
          <w:kern w:val="0"/>
          <w:sz w:val="36"/>
          <w:szCs w:val="36"/>
          <w:highlight w:val="none"/>
        </w:rPr>
      </w:pPr>
    </w:p>
    <w:p w14:paraId="65FF780D">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5CFA343">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9C7B35B">
      <w:pPr>
        <w:pStyle w:val="81"/>
        <w:rPr>
          <w:color w:val="auto"/>
          <w:highlight w:val="none"/>
        </w:rPr>
      </w:pPr>
    </w:p>
    <w:p w14:paraId="4E3038B6">
      <w:pPr>
        <w:snapToGrid w:val="0"/>
        <w:spacing w:line="360" w:lineRule="auto"/>
        <w:ind w:right="480"/>
        <w:jc w:val="center"/>
        <w:rPr>
          <w:rFonts w:ascii="宋体" w:hAnsi="宋体" w:cs="宋体"/>
          <w:b/>
          <w:color w:val="auto"/>
          <w:kern w:val="0"/>
          <w:sz w:val="32"/>
          <w:szCs w:val="32"/>
          <w:highlight w:val="none"/>
        </w:rPr>
      </w:pPr>
    </w:p>
    <w:p w14:paraId="18E9FEDC">
      <w:pPr>
        <w:snapToGrid w:val="0"/>
        <w:spacing w:line="360" w:lineRule="auto"/>
        <w:ind w:right="480"/>
        <w:jc w:val="center"/>
        <w:rPr>
          <w:rFonts w:ascii="宋体" w:hAnsi="宋体" w:cs="宋体"/>
          <w:b/>
          <w:color w:val="auto"/>
          <w:kern w:val="0"/>
          <w:sz w:val="32"/>
          <w:szCs w:val="32"/>
          <w:highlight w:val="none"/>
        </w:rPr>
      </w:pPr>
    </w:p>
    <w:p w14:paraId="6E69520E">
      <w:pPr>
        <w:snapToGrid w:val="0"/>
        <w:spacing w:line="360" w:lineRule="auto"/>
        <w:ind w:right="480"/>
        <w:jc w:val="center"/>
        <w:rPr>
          <w:rFonts w:ascii="宋体" w:hAnsi="宋体" w:cs="宋体"/>
          <w:b/>
          <w:color w:val="auto"/>
          <w:kern w:val="0"/>
          <w:sz w:val="32"/>
          <w:szCs w:val="32"/>
          <w:highlight w:val="none"/>
        </w:rPr>
      </w:pPr>
    </w:p>
    <w:p w14:paraId="0A306DC6">
      <w:pPr>
        <w:snapToGrid w:val="0"/>
        <w:spacing w:line="360" w:lineRule="auto"/>
        <w:ind w:right="480"/>
        <w:jc w:val="center"/>
        <w:rPr>
          <w:rFonts w:ascii="宋体" w:hAnsi="宋体" w:cs="宋体"/>
          <w:b/>
          <w:color w:val="auto"/>
          <w:kern w:val="0"/>
          <w:sz w:val="32"/>
          <w:szCs w:val="32"/>
          <w:highlight w:val="none"/>
        </w:rPr>
      </w:pPr>
    </w:p>
    <w:p w14:paraId="4B4FDEC2">
      <w:pPr>
        <w:snapToGrid w:val="0"/>
        <w:spacing w:line="360" w:lineRule="auto"/>
        <w:ind w:right="480"/>
        <w:jc w:val="center"/>
        <w:rPr>
          <w:rFonts w:ascii="宋体" w:hAnsi="宋体" w:cs="宋体"/>
          <w:b/>
          <w:color w:val="auto"/>
          <w:kern w:val="0"/>
          <w:sz w:val="32"/>
          <w:szCs w:val="32"/>
          <w:highlight w:val="none"/>
        </w:rPr>
      </w:pPr>
    </w:p>
    <w:p w14:paraId="3CCF07A9">
      <w:pPr>
        <w:snapToGrid w:val="0"/>
        <w:spacing w:line="360" w:lineRule="auto"/>
        <w:ind w:right="480"/>
        <w:jc w:val="center"/>
        <w:rPr>
          <w:rFonts w:ascii="宋体" w:hAnsi="宋体" w:cs="宋体"/>
          <w:b/>
          <w:color w:val="auto"/>
          <w:kern w:val="0"/>
          <w:sz w:val="32"/>
          <w:szCs w:val="32"/>
          <w:highlight w:val="none"/>
        </w:rPr>
      </w:pPr>
    </w:p>
    <w:p w14:paraId="31DCDB5A">
      <w:pPr>
        <w:snapToGrid w:val="0"/>
        <w:spacing w:line="360" w:lineRule="auto"/>
        <w:ind w:right="480"/>
        <w:jc w:val="center"/>
        <w:rPr>
          <w:rFonts w:ascii="宋体" w:hAnsi="宋体" w:cs="宋体"/>
          <w:b/>
          <w:color w:val="auto"/>
          <w:kern w:val="0"/>
          <w:sz w:val="32"/>
          <w:szCs w:val="32"/>
          <w:highlight w:val="none"/>
        </w:rPr>
      </w:pPr>
    </w:p>
    <w:p w14:paraId="21FC342D">
      <w:pPr>
        <w:snapToGrid w:val="0"/>
        <w:spacing w:line="360" w:lineRule="auto"/>
        <w:ind w:right="480"/>
        <w:jc w:val="center"/>
        <w:rPr>
          <w:rFonts w:ascii="宋体" w:hAnsi="宋体" w:cs="宋体"/>
          <w:b/>
          <w:color w:val="auto"/>
          <w:kern w:val="0"/>
          <w:sz w:val="32"/>
          <w:szCs w:val="32"/>
          <w:highlight w:val="none"/>
        </w:rPr>
      </w:pPr>
    </w:p>
    <w:p w14:paraId="5294EA22">
      <w:pPr>
        <w:snapToGrid w:val="0"/>
        <w:spacing w:line="360" w:lineRule="auto"/>
        <w:ind w:right="480"/>
        <w:jc w:val="center"/>
        <w:rPr>
          <w:rFonts w:ascii="宋体" w:hAnsi="宋体" w:cs="宋体"/>
          <w:b/>
          <w:color w:val="auto"/>
          <w:kern w:val="0"/>
          <w:sz w:val="32"/>
          <w:szCs w:val="32"/>
          <w:highlight w:val="none"/>
        </w:rPr>
      </w:pPr>
    </w:p>
    <w:p w14:paraId="1D81DC9B">
      <w:pPr>
        <w:snapToGrid w:val="0"/>
        <w:spacing w:line="360" w:lineRule="auto"/>
        <w:ind w:right="480"/>
        <w:jc w:val="center"/>
        <w:rPr>
          <w:rFonts w:ascii="宋体" w:hAnsi="宋体" w:cs="宋体"/>
          <w:b/>
          <w:color w:val="auto"/>
          <w:kern w:val="0"/>
          <w:sz w:val="32"/>
          <w:szCs w:val="32"/>
          <w:highlight w:val="none"/>
        </w:rPr>
      </w:pPr>
    </w:p>
    <w:p w14:paraId="40A081FA">
      <w:pPr>
        <w:snapToGrid w:val="0"/>
        <w:spacing w:line="360" w:lineRule="auto"/>
        <w:ind w:right="480"/>
        <w:jc w:val="center"/>
        <w:rPr>
          <w:rFonts w:ascii="宋体" w:hAnsi="宋体" w:cs="宋体"/>
          <w:b/>
          <w:color w:val="auto"/>
          <w:kern w:val="0"/>
          <w:sz w:val="32"/>
          <w:szCs w:val="32"/>
          <w:highlight w:val="none"/>
        </w:rPr>
      </w:pPr>
    </w:p>
    <w:p w14:paraId="2F4F81B8">
      <w:pPr>
        <w:snapToGrid w:val="0"/>
        <w:spacing w:line="360" w:lineRule="auto"/>
        <w:ind w:right="480"/>
        <w:jc w:val="center"/>
        <w:rPr>
          <w:rFonts w:ascii="宋体" w:hAnsi="宋体" w:cs="宋体"/>
          <w:b/>
          <w:color w:val="auto"/>
          <w:kern w:val="0"/>
          <w:sz w:val="32"/>
          <w:szCs w:val="32"/>
          <w:highlight w:val="none"/>
        </w:rPr>
      </w:pPr>
    </w:p>
    <w:p w14:paraId="6BABE1F8">
      <w:pPr>
        <w:snapToGrid w:val="0"/>
        <w:spacing w:line="360" w:lineRule="auto"/>
        <w:ind w:right="480"/>
        <w:jc w:val="center"/>
        <w:rPr>
          <w:rFonts w:ascii="宋体" w:hAnsi="宋体" w:cs="宋体"/>
          <w:b/>
          <w:color w:val="auto"/>
          <w:kern w:val="0"/>
          <w:sz w:val="32"/>
          <w:szCs w:val="32"/>
          <w:highlight w:val="none"/>
        </w:rPr>
      </w:pPr>
    </w:p>
    <w:p w14:paraId="18EFA31C">
      <w:pPr>
        <w:snapToGrid w:val="0"/>
        <w:spacing w:line="360" w:lineRule="auto"/>
        <w:ind w:right="480"/>
        <w:jc w:val="center"/>
        <w:rPr>
          <w:rFonts w:ascii="宋体" w:hAnsi="宋体" w:cs="宋体"/>
          <w:b/>
          <w:color w:val="auto"/>
          <w:kern w:val="0"/>
          <w:sz w:val="32"/>
          <w:szCs w:val="32"/>
          <w:highlight w:val="none"/>
        </w:rPr>
      </w:pPr>
    </w:p>
    <w:p w14:paraId="24C20096">
      <w:pPr>
        <w:snapToGrid w:val="0"/>
        <w:spacing w:line="360" w:lineRule="auto"/>
        <w:ind w:right="480"/>
        <w:jc w:val="center"/>
        <w:rPr>
          <w:rFonts w:ascii="宋体" w:hAnsi="宋体" w:cs="宋体"/>
          <w:b/>
          <w:color w:val="auto"/>
          <w:kern w:val="0"/>
          <w:sz w:val="32"/>
          <w:szCs w:val="32"/>
          <w:highlight w:val="none"/>
        </w:rPr>
      </w:pPr>
    </w:p>
    <w:p w14:paraId="40F7721D">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0EF709">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D83A4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80A852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844FEB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E7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C8CA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516F9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E3E7CA7">
            <w:pPr>
              <w:spacing w:line="360" w:lineRule="auto"/>
              <w:jc w:val="center"/>
              <w:rPr>
                <w:rFonts w:ascii="宋体" w:hAnsi="宋体" w:cs="宋体"/>
                <w:b/>
                <w:color w:val="auto"/>
                <w:sz w:val="24"/>
                <w:highlight w:val="none"/>
              </w:rPr>
            </w:pPr>
          </w:p>
          <w:p w14:paraId="719B95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B9370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70642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EA2F0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50C83C34">
            <w:pPr>
              <w:spacing w:line="360" w:lineRule="auto"/>
              <w:jc w:val="center"/>
              <w:rPr>
                <w:rFonts w:ascii="宋体" w:hAnsi="宋体" w:cs="宋体"/>
                <w:b/>
                <w:color w:val="auto"/>
                <w:sz w:val="24"/>
                <w:highlight w:val="none"/>
              </w:rPr>
            </w:pPr>
          </w:p>
          <w:p w14:paraId="41367D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DFF4617">
            <w:pPr>
              <w:spacing w:line="360" w:lineRule="auto"/>
              <w:jc w:val="center"/>
              <w:rPr>
                <w:rFonts w:ascii="宋体" w:hAnsi="宋体" w:cs="宋体"/>
                <w:b/>
                <w:color w:val="auto"/>
                <w:sz w:val="24"/>
                <w:highlight w:val="none"/>
              </w:rPr>
            </w:pPr>
          </w:p>
          <w:p w14:paraId="28E6FB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C2B8AC6">
            <w:pPr>
              <w:spacing w:line="360" w:lineRule="auto"/>
              <w:jc w:val="center"/>
              <w:rPr>
                <w:rFonts w:ascii="宋体" w:hAnsi="宋体" w:cs="宋体"/>
                <w:b/>
                <w:color w:val="auto"/>
                <w:sz w:val="24"/>
                <w:highlight w:val="none"/>
              </w:rPr>
            </w:pPr>
          </w:p>
        </w:tc>
      </w:tr>
      <w:tr w14:paraId="3AD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853A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DC90423">
            <w:pPr>
              <w:snapToGrid w:val="0"/>
              <w:spacing w:line="360" w:lineRule="auto"/>
              <w:jc w:val="center"/>
              <w:rPr>
                <w:rFonts w:ascii="宋体" w:hAnsi="宋体" w:cs="宋体"/>
                <w:color w:val="auto"/>
                <w:sz w:val="24"/>
                <w:highlight w:val="none"/>
              </w:rPr>
            </w:pPr>
          </w:p>
        </w:tc>
        <w:tc>
          <w:tcPr>
            <w:tcW w:w="2268" w:type="dxa"/>
            <w:vAlign w:val="center"/>
          </w:tcPr>
          <w:p w14:paraId="15911231">
            <w:pPr>
              <w:snapToGrid w:val="0"/>
              <w:spacing w:line="360" w:lineRule="auto"/>
              <w:jc w:val="center"/>
              <w:rPr>
                <w:rFonts w:ascii="宋体" w:hAnsi="宋体" w:cs="宋体"/>
                <w:color w:val="auto"/>
                <w:sz w:val="24"/>
                <w:highlight w:val="none"/>
              </w:rPr>
            </w:pPr>
          </w:p>
        </w:tc>
        <w:tc>
          <w:tcPr>
            <w:tcW w:w="2410" w:type="dxa"/>
            <w:vAlign w:val="center"/>
          </w:tcPr>
          <w:p w14:paraId="4841C16E">
            <w:pPr>
              <w:snapToGrid w:val="0"/>
              <w:spacing w:line="360" w:lineRule="auto"/>
              <w:jc w:val="center"/>
              <w:rPr>
                <w:rFonts w:ascii="宋体" w:hAnsi="宋体" w:cs="宋体"/>
                <w:color w:val="auto"/>
                <w:sz w:val="24"/>
                <w:highlight w:val="none"/>
              </w:rPr>
            </w:pPr>
          </w:p>
        </w:tc>
        <w:tc>
          <w:tcPr>
            <w:tcW w:w="2268" w:type="dxa"/>
            <w:vAlign w:val="center"/>
          </w:tcPr>
          <w:p w14:paraId="6AE4553D">
            <w:pPr>
              <w:snapToGrid w:val="0"/>
              <w:spacing w:line="360" w:lineRule="auto"/>
              <w:jc w:val="center"/>
              <w:rPr>
                <w:rFonts w:ascii="宋体" w:hAnsi="宋体" w:cs="宋体"/>
                <w:color w:val="auto"/>
                <w:sz w:val="24"/>
                <w:highlight w:val="none"/>
              </w:rPr>
            </w:pPr>
          </w:p>
        </w:tc>
        <w:tc>
          <w:tcPr>
            <w:tcW w:w="2126" w:type="dxa"/>
            <w:vAlign w:val="center"/>
          </w:tcPr>
          <w:p w14:paraId="32CA15F4">
            <w:pPr>
              <w:spacing w:line="360" w:lineRule="auto"/>
              <w:jc w:val="center"/>
              <w:rPr>
                <w:rFonts w:ascii="宋体" w:hAnsi="宋体" w:cs="宋体"/>
                <w:color w:val="auto"/>
                <w:sz w:val="24"/>
                <w:highlight w:val="none"/>
              </w:rPr>
            </w:pPr>
          </w:p>
        </w:tc>
        <w:tc>
          <w:tcPr>
            <w:tcW w:w="2127" w:type="dxa"/>
            <w:vAlign w:val="top"/>
          </w:tcPr>
          <w:p w14:paraId="1A07939F">
            <w:pPr>
              <w:spacing w:line="360" w:lineRule="auto"/>
              <w:jc w:val="center"/>
              <w:rPr>
                <w:rFonts w:ascii="宋体" w:hAnsi="宋体" w:cs="宋体"/>
                <w:color w:val="auto"/>
                <w:sz w:val="24"/>
                <w:highlight w:val="none"/>
              </w:rPr>
            </w:pPr>
          </w:p>
        </w:tc>
        <w:tc>
          <w:tcPr>
            <w:tcW w:w="2126" w:type="dxa"/>
            <w:vAlign w:val="center"/>
          </w:tcPr>
          <w:p w14:paraId="1964D003">
            <w:pPr>
              <w:spacing w:line="360" w:lineRule="auto"/>
              <w:jc w:val="center"/>
              <w:rPr>
                <w:rFonts w:ascii="宋体" w:hAnsi="宋体" w:cs="宋体"/>
                <w:color w:val="auto"/>
                <w:sz w:val="24"/>
                <w:highlight w:val="none"/>
              </w:rPr>
            </w:pPr>
          </w:p>
        </w:tc>
      </w:tr>
      <w:tr w14:paraId="5E75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6C60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5CAEFCF">
            <w:pPr>
              <w:snapToGrid w:val="0"/>
              <w:spacing w:line="360" w:lineRule="auto"/>
              <w:jc w:val="center"/>
              <w:rPr>
                <w:rFonts w:ascii="宋体" w:hAnsi="宋体" w:cs="宋体"/>
                <w:color w:val="auto"/>
                <w:sz w:val="24"/>
                <w:highlight w:val="none"/>
              </w:rPr>
            </w:pPr>
          </w:p>
        </w:tc>
        <w:tc>
          <w:tcPr>
            <w:tcW w:w="2268" w:type="dxa"/>
            <w:vAlign w:val="center"/>
          </w:tcPr>
          <w:p w14:paraId="2A9F73C4">
            <w:pPr>
              <w:snapToGrid w:val="0"/>
              <w:spacing w:line="360" w:lineRule="auto"/>
              <w:jc w:val="center"/>
              <w:rPr>
                <w:rFonts w:ascii="宋体" w:hAnsi="宋体" w:cs="宋体"/>
                <w:color w:val="auto"/>
                <w:sz w:val="24"/>
                <w:highlight w:val="none"/>
              </w:rPr>
            </w:pPr>
          </w:p>
        </w:tc>
        <w:tc>
          <w:tcPr>
            <w:tcW w:w="2410" w:type="dxa"/>
            <w:vAlign w:val="center"/>
          </w:tcPr>
          <w:p w14:paraId="7FC07107">
            <w:pPr>
              <w:snapToGrid w:val="0"/>
              <w:spacing w:line="360" w:lineRule="auto"/>
              <w:jc w:val="center"/>
              <w:rPr>
                <w:rFonts w:ascii="宋体" w:hAnsi="宋体" w:cs="宋体"/>
                <w:color w:val="auto"/>
                <w:sz w:val="24"/>
                <w:highlight w:val="none"/>
              </w:rPr>
            </w:pPr>
          </w:p>
        </w:tc>
        <w:tc>
          <w:tcPr>
            <w:tcW w:w="2268" w:type="dxa"/>
            <w:vAlign w:val="center"/>
          </w:tcPr>
          <w:p w14:paraId="6BBBAD89">
            <w:pPr>
              <w:snapToGrid w:val="0"/>
              <w:spacing w:line="360" w:lineRule="auto"/>
              <w:jc w:val="center"/>
              <w:rPr>
                <w:rFonts w:ascii="宋体" w:hAnsi="宋体" w:cs="宋体"/>
                <w:color w:val="auto"/>
                <w:sz w:val="24"/>
                <w:highlight w:val="none"/>
              </w:rPr>
            </w:pPr>
          </w:p>
        </w:tc>
        <w:tc>
          <w:tcPr>
            <w:tcW w:w="2126" w:type="dxa"/>
            <w:vAlign w:val="center"/>
          </w:tcPr>
          <w:p w14:paraId="3136F33A">
            <w:pPr>
              <w:spacing w:line="360" w:lineRule="auto"/>
              <w:jc w:val="center"/>
              <w:rPr>
                <w:rFonts w:ascii="宋体" w:hAnsi="宋体" w:cs="宋体"/>
                <w:color w:val="auto"/>
                <w:sz w:val="24"/>
                <w:highlight w:val="none"/>
              </w:rPr>
            </w:pPr>
          </w:p>
        </w:tc>
        <w:tc>
          <w:tcPr>
            <w:tcW w:w="2127" w:type="dxa"/>
            <w:vAlign w:val="top"/>
          </w:tcPr>
          <w:p w14:paraId="564DDF46">
            <w:pPr>
              <w:spacing w:line="360" w:lineRule="auto"/>
              <w:jc w:val="center"/>
              <w:rPr>
                <w:rFonts w:ascii="宋体" w:hAnsi="宋体" w:cs="宋体"/>
                <w:color w:val="auto"/>
                <w:sz w:val="24"/>
                <w:highlight w:val="none"/>
              </w:rPr>
            </w:pPr>
          </w:p>
        </w:tc>
        <w:tc>
          <w:tcPr>
            <w:tcW w:w="2126" w:type="dxa"/>
            <w:vAlign w:val="center"/>
          </w:tcPr>
          <w:p w14:paraId="304E27B3">
            <w:pPr>
              <w:spacing w:line="360" w:lineRule="auto"/>
              <w:jc w:val="center"/>
              <w:rPr>
                <w:rFonts w:ascii="宋体" w:hAnsi="宋体" w:cs="宋体"/>
                <w:color w:val="auto"/>
                <w:sz w:val="24"/>
                <w:highlight w:val="none"/>
              </w:rPr>
            </w:pPr>
          </w:p>
        </w:tc>
      </w:tr>
      <w:tr w14:paraId="63C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5270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98814D7">
            <w:pPr>
              <w:snapToGrid w:val="0"/>
              <w:spacing w:line="360" w:lineRule="auto"/>
              <w:jc w:val="center"/>
              <w:rPr>
                <w:rFonts w:ascii="宋体" w:hAnsi="宋体" w:cs="宋体"/>
                <w:color w:val="auto"/>
                <w:sz w:val="24"/>
                <w:highlight w:val="none"/>
              </w:rPr>
            </w:pPr>
          </w:p>
        </w:tc>
        <w:tc>
          <w:tcPr>
            <w:tcW w:w="2268" w:type="dxa"/>
            <w:vAlign w:val="center"/>
          </w:tcPr>
          <w:p w14:paraId="440AFB00">
            <w:pPr>
              <w:snapToGrid w:val="0"/>
              <w:spacing w:line="360" w:lineRule="auto"/>
              <w:jc w:val="center"/>
              <w:rPr>
                <w:rFonts w:ascii="宋体" w:hAnsi="宋体" w:cs="宋体"/>
                <w:color w:val="auto"/>
                <w:sz w:val="24"/>
                <w:highlight w:val="none"/>
              </w:rPr>
            </w:pPr>
          </w:p>
        </w:tc>
        <w:tc>
          <w:tcPr>
            <w:tcW w:w="2410" w:type="dxa"/>
            <w:vAlign w:val="center"/>
          </w:tcPr>
          <w:p w14:paraId="0D5BFF22">
            <w:pPr>
              <w:snapToGrid w:val="0"/>
              <w:spacing w:line="360" w:lineRule="auto"/>
              <w:jc w:val="center"/>
              <w:rPr>
                <w:rFonts w:ascii="宋体" w:hAnsi="宋体" w:cs="宋体"/>
                <w:color w:val="auto"/>
                <w:sz w:val="24"/>
                <w:highlight w:val="none"/>
              </w:rPr>
            </w:pPr>
          </w:p>
        </w:tc>
        <w:tc>
          <w:tcPr>
            <w:tcW w:w="2268" w:type="dxa"/>
            <w:vAlign w:val="center"/>
          </w:tcPr>
          <w:p w14:paraId="2D84EAA0">
            <w:pPr>
              <w:snapToGrid w:val="0"/>
              <w:spacing w:line="360" w:lineRule="auto"/>
              <w:jc w:val="center"/>
              <w:rPr>
                <w:rFonts w:ascii="宋体" w:hAnsi="宋体" w:cs="宋体"/>
                <w:color w:val="auto"/>
                <w:sz w:val="24"/>
                <w:highlight w:val="none"/>
              </w:rPr>
            </w:pPr>
          </w:p>
        </w:tc>
        <w:tc>
          <w:tcPr>
            <w:tcW w:w="2126" w:type="dxa"/>
            <w:vAlign w:val="center"/>
          </w:tcPr>
          <w:p w14:paraId="09112447">
            <w:pPr>
              <w:spacing w:line="360" w:lineRule="auto"/>
              <w:jc w:val="center"/>
              <w:rPr>
                <w:rFonts w:ascii="宋体" w:hAnsi="宋体" w:cs="宋体"/>
                <w:color w:val="auto"/>
                <w:sz w:val="24"/>
                <w:highlight w:val="none"/>
              </w:rPr>
            </w:pPr>
          </w:p>
        </w:tc>
        <w:tc>
          <w:tcPr>
            <w:tcW w:w="2127" w:type="dxa"/>
            <w:vAlign w:val="top"/>
          </w:tcPr>
          <w:p w14:paraId="3D91B200">
            <w:pPr>
              <w:spacing w:line="360" w:lineRule="auto"/>
              <w:jc w:val="center"/>
              <w:rPr>
                <w:rFonts w:ascii="宋体" w:hAnsi="宋体" w:cs="宋体"/>
                <w:color w:val="auto"/>
                <w:sz w:val="24"/>
                <w:highlight w:val="none"/>
              </w:rPr>
            </w:pPr>
          </w:p>
        </w:tc>
        <w:tc>
          <w:tcPr>
            <w:tcW w:w="2126" w:type="dxa"/>
            <w:vAlign w:val="center"/>
          </w:tcPr>
          <w:p w14:paraId="2BCB2B18">
            <w:pPr>
              <w:spacing w:line="360" w:lineRule="auto"/>
              <w:jc w:val="center"/>
              <w:rPr>
                <w:rFonts w:ascii="宋体" w:hAnsi="宋体" w:cs="宋体"/>
                <w:color w:val="auto"/>
                <w:sz w:val="24"/>
                <w:highlight w:val="none"/>
              </w:rPr>
            </w:pPr>
          </w:p>
        </w:tc>
      </w:tr>
      <w:tr w14:paraId="6C9F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C67BB3">
            <w:pPr>
              <w:spacing w:line="360" w:lineRule="auto"/>
              <w:jc w:val="center"/>
              <w:rPr>
                <w:rFonts w:ascii="宋体" w:hAnsi="宋体" w:cs="宋体"/>
                <w:color w:val="auto"/>
                <w:sz w:val="24"/>
                <w:highlight w:val="none"/>
              </w:rPr>
            </w:pPr>
          </w:p>
        </w:tc>
        <w:tc>
          <w:tcPr>
            <w:tcW w:w="992" w:type="dxa"/>
            <w:vAlign w:val="center"/>
          </w:tcPr>
          <w:p w14:paraId="09C994B3">
            <w:pPr>
              <w:snapToGrid w:val="0"/>
              <w:spacing w:line="360" w:lineRule="auto"/>
              <w:jc w:val="center"/>
              <w:rPr>
                <w:rFonts w:ascii="宋体" w:hAnsi="宋体" w:cs="宋体"/>
                <w:color w:val="auto"/>
                <w:sz w:val="24"/>
                <w:highlight w:val="none"/>
              </w:rPr>
            </w:pPr>
          </w:p>
        </w:tc>
        <w:tc>
          <w:tcPr>
            <w:tcW w:w="2268" w:type="dxa"/>
            <w:vAlign w:val="center"/>
          </w:tcPr>
          <w:p w14:paraId="7EE2CECC">
            <w:pPr>
              <w:snapToGrid w:val="0"/>
              <w:spacing w:line="360" w:lineRule="auto"/>
              <w:jc w:val="center"/>
              <w:rPr>
                <w:rFonts w:ascii="宋体" w:hAnsi="宋体" w:cs="宋体"/>
                <w:color w:val="auto"/>
                <w:sz w:val="24"/>
                <w:highlight w:val="none"/>
              </w:rPr>
            </w:pPr>
          </w:p>
        </w:tc>
        <w:tc>
          <w:tcPr>
            <w:tcW w:w="2410" w:type="dxa"/>
            <w:vAlign w:val="center"/>
          </w:tcPr>
          <w:p w14:paraId="29353CD8">
            <w:pPr>
              <w:snapToGrid w:val="0"/>
              <w:spacing w:line="360" w:lineRule="auto"/>
              <w:jc w:val="center"/>
              <w:rPr>
                <w:rFonts w:ascii="宋体" w:hAnsi="宋体" w:cs="宋体"/>
                <w:color w:val="auto"/>
                <w:sz w:val="24"/>
                <w:highlight w:val="none"/>
              </w:rPr>
            </w:pPr>
          </w:p>
        </w:tc>
        <w:tc>
          <w:tcPr>
            <w:tcW w:w="2268" w:type="dxa"/>
            <w:vAlign w:val="center"/>
          </w:tcPr>
          <w:p w14:paraId="7B2AB933">
            <w:pPr>
              <w:snapToGrid w:val="0"/>
              <w:spacing w:line="360" w:lineRule="auto"/>
              <w:jc w:val="center"/>
              <w:rPr>
                <w:rFonts w:ascii="宋体" w:hAnsi="宋体" w:cs="宋体"/>
                <w:color w:val="auto"/>
                <w:sz w:val="24"/>
                <w:highlight w:val="none"/>
              </w:rPr>
            </w:pPr>
          </w:p>
        </w:tc>
        <w:tc>
          <w:tcPr>
            <w:tcW w:w="2126" w:type="dxa"/>
            <w:vAlign w:val="center"/>
          </w:tcPr>
          <w:p w14:paraId="7F6FC556">
            <w:pPr>
              <w:spacing w:line="360" w:lineRule="auto"/>
              <w:jc w:val="center"/>
              <w:rPr>
                <w:rFonts w:ascii="宋体" w:hAnsi="宋体" w:cs="宋体"/>
                <w:color w:val="auto"/>
                <w:sz w:val="24"/>
                <w:highlight w:val="none"/>
              </w:rPr>
            </w:pPr>
          </w:p>
        </w:tc>
        <w:tc>
          <w:tcPr>
            <w:tcW w:w="2127" w:type="dxa"/>
            <w:vAlign w:val="top"/>
          </w:tcPr>
          <w:p w14:paraId="5432CF95">
            <w:pPr>
              <w:spacing w:line="360" w:lineRule="auto"/>
              <w:jc w:val="center"/>
              <w:rPr>
                <w:rFonts w:ascii="宋体" w:hAnsi="宋体" w:cs="宋体"/>
                <w:color w:val="auto"/>
                <w:sz w:val="24"/>
                <w:highlight w:val="none"/>
              </w:rPr>
            </w:pPr>
          </w:p>
        </w:tc>
        <w:tc>
          <w:tcPr>
            <w:tcW w:w="2126" w:type="dxa"/>
            <w:vAlign w:val="center"/>
          </w:tcPr>
          <w:p w14:paraId="5F998FF4">
            <w:pPr>
              <w:spacing w:line="360" w:lineRule="auto"/>
              <w:jc w:val="center"/>
              <w:rPr>
                <w:rFonts w:ascii="宋体" w:hAnsi="宋体" w:cs="宋体"/>
                <w:color w:val="auto"/>
                <w:sz w:val="24"/>
                <w:highlight w:val="none"/>
              </w:rPr>
            </w:pPr>
          </w:p>
        </w:tc>
      </w:tr>
      <w:tr w14:paraId="0C0A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BAA7B0">
            <w:pPr>
              <w:spacing w:line="360" w:lineRule="auto"/>
              <w:jc w:val="center"/>
              <w:rPr>
                <w:rFonts w:ascii="宋体" w:hAnsi="宋体" w:cs="宋体"/>
                <w:color w:val="auto"/>
                <w:sz w:val="24"/>
                <w:highlight w:val="none"/>
              </w:rPr>
            </w:pPr>
          </w:p>
        </w:tc>
        <w:tc>
          <w:tcPr>
            <w:tcW w:w="992" w:type="dxa"/>
            <w:vAlign w:val="center"/>
          </w:tcPr>
          <w:p w14:paraId="3D0C2006">
            <w:pPr>
              <w:snapToGrid w:val="0"/>
              <w:spacing w:line="360" w:lineRule="auto"/>
              <w:jc w:val="center"/>
              <w:rPr>
                <w:rFonts w:ascii="宋体" w:hAnsi="宋体" w:cs="宋体"/>
                <w:color w:val="auto"/>
                <w:sz w:val="24"/>
                <w:highlight w:val="none"/>
              </w:rPr>
            </w:pPr>
          </w:p>
        </w:tc>
        <w:tc>
          <w:tcPr>
            <w:tcW w:w="2268" w:type="dxa"/>
            <w:vAlign w:val="center"/>
          </w:tcPr>
          <w:p w14:paraId="607E0135">
            <w:pPr>
              <w:snapToGrid w:val="0"/>
              <w:spacing w:line="360" w:lineRule="auto"/>
              <w:jc w:val="center"/>
              <w:rPr>
                <w:rFonts w:ascii="宋体" w:hAnsi="宋体" w:cs="宋体"/>
                <w:color w:val="auto"/>
                <w:sz w:val="24"/>
                <w:highlight w:val="none"/>
              </w:rPr>
            </w:pPr>
          </w:p>
        </w:tc>
        <w:tc>
          <w:tcPr>
            <w:tcW w:w="2410" w:type="dxa"/>
            <w:vAlign w:val="center"/>
          </w:tcPr>
          <w:p w14:paraId="6BB83541">
            <w:pPr>
              <w:snapToGrid w:val="0"/>
              <w:spacing w:line="360" w:lineRule="auto"/>
              <w:jc w:val="center"/>
              <w:rPr>
                <w:rFonts w:ascii="宋体" w:hAnsi="宋体" w:cs="宋体"/>
                <w:color w:val="auto"/>
                <w:sz w:val="24"/>
                <w:highlight w:val="none"/>
              </w:rPr>
            </w:pPr>
          </w:p>
        </w:tc>
        <w:tc>
          <w:tcPr>
            <w:tcW w:w="2268" w:type="dxa"/>
            <w:vAlign w:val="center"/>
          </w:tcPr>
          <w:p w14:paraId="7237F8A4">
            <w:pPr>
              <w:snapToGrid w:val="0"/>
              <w:spacing w:line="360" w:lineRule="auto"/>
              <w:jc w:val="center"/>
              <w:rPr>
                <w:rFonts w:ascii="宋体" w:hAnsi="宋体" w:cs="宋体"/>
                <w:color w:val="auto"/>
                <w:sz w:val="24"/>
                <w:highlight w:val="none"/>
              </w:rPr>
            </w:pPr>
          </w:p>
        </w:tc>
        <w:tc>
          <w:tcPr>
            <w:tcW w:w="2126" w:type="dxa"/>
            <w:vAlign w:val="center"/>
          </w:tcPr>
          <w:p w14:paraId="1F8A9B05">
            <w:pPr>
              <w:spacing w:line="360" w:lineRule="auto"/>
              <w:jc w:val="center"/>
              <w:rPr>
                <w:rFonts w:ascii="宋体" w:hAnsi="宋体" w:cs="宋体"/>
                <w:color w:val="auto"/>
                <w:sz w:val="24"/>
                <w:highlight w:val="none"/>
              </w:rPr>
            </w:pPr>
          </w:p>
        </w:tc>
        <w:tc>
          <w:tcPr>
            <w:tcW w:w="2127" w:type="dxa"/>
            <w:vAlign w:val="top"/>
          </w:tcPr>
          <w:p w14:paraId="6BD56723">
            <w:pPr>
              <w:spacing w:line="360" w:lineRule="auto"/>
              <w:jc w:val="center"/>
              <w:rPr>
                <w:rFonts w:ascii="宋体" w:hAnsi="宋体" w:cs="宋体"/>
                <w:color w:val="auto"/>
                <w:sz w:val="24"/>
                <w:highlight w:val="none"/>
              </w:rPr>
            </w:pPr>
          </w:p>
        </w:tc>
        <w:tc>
          <w:tcPr>
            <w:tcW w:w="2126" w:type="dxa"/>
            <w:vAlign w:val="center"/>
          </w:tcPr>
          <w:p w14:paraId="0E4A9035">
            <w:pPr>
              <w:spacing w:line="360" w:lineRule="auto"/>
              <w:jc w:val="center"/>
              <w:rPr>
                <w:rFonts w:ascii="宋体" w:hAnsi="宋体" w:cs="宋体"/>
                <w:color w:val="auto"/>
                <w:sz w:val="24"/>
                <w:highlight w:val="none"/>
              </w:rPr>
            </w:pPr>
          </w:p>
        </w:tc>
      </w:tr>
      <w:tr w14:paraId="6493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D0F8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7A41A54B">
            <w:pPr>
              <w:spacing w:line="360" w:lineRule="auto"/>
              <w:jc w:val="center"/>
              <w:rPr>
                <w:rFonts w:ascii="宋体" w:hAnsi="宋体" w:cs="宋体"/>
                <w:color w:val="auto"/>
                <w:sz w:val="24"/>
                <w:highlight w:val="none"/>
              </w:rPr>
            </w:pPr>
          </w:p>
        </w:tc>
      </w:tr>
      <w:tr w14:paraId="3FB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F333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3A3155F3">
            <w:pPr>
              <w:spacing w:line="360" w:lineRule="auto"/>
              <w:jc w:val="center"/>
              <w:rPr>
                <w:rFonts w:ascii="宋体" w:hAnsi="宋体" w:cs="宋体"/>
                <w:color w:val="auto"/>
                <w:sz w:val="24"/>
                <w:highlight w:val="none"/>
              </w:rPr>
            </w:pPr>
          </w:p>
        </w:tc>
      </w:tr>
    </w:tbl>
    <w:p w14:paraId="5C7B147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BB234">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F2F31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69035E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75C1C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3C276A">
      <w:pPr>
        <w:pStyle w:val="379"/>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9C6C8C6">
      <w:pPr>
        <w:pStyle w:val="379"/>
        <w:pageBreakBefore/>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D6A6228">
      <w:pPr>
        <w:pStyle w:val="4"/>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30089BE">
      <w:pPr>
        <w:spacing w:line="360" w:lineRule="auto"/>
        <w:ind w:right="420" w:firstLine="0" w:firstLineChars="0"/>
        <w:rPr>
          <w:rFonts w:ascii="宋体" w:hAnsi="宋体" w:cs="宋体"/>
          <w:b/>
          <w:color w:val="auto"/>
          <w:kern w:val="0"/>
          <w:sz w:val="36"/>
          <w:szCs w:val="36"/>
          <w:highlight w:val="none"/>
        </w:rPr>
      </w:pPr>
    </w:p>
    <w:p w14:paraId="11C11345">
      <w:pPr>
        <w:pStyle w:val="3"/>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3A7071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8F31BDC">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2DA934C6">
      <w:pPr>
        <w:spacing w:line="360" w:lineRule="auto"/>
        <w:rPr>
          <w:rFonts w:ascii="宋体" w:hAnsi="宋体" w:cs="宋体"/>
          <w:b/>
          <w:color w:val="auto"/>
          <w:spacing w:val="6"/>
          <w:sz w:val="30"/>
          <w:szCs w:val="30"/>
          <w:highlight w:val="none"/>
        </w:rPr>
      </w:pPr>
    </w:p>
    <w:p w14:paraId="603AEB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141号）的规定，本单位为符合条件的残疾人福利性单位，且本单位参加杭州市余杭区机关事务服务中心单位的_</w:t>
      </w:r>
      <w:r>
        <w:rPr>
          <w:rFonts w:hint="eastAsia" w:ascii="宋体" w:hAnsi="宋体" w:cs="宋体"/>
          <w:color w:val="auto"/>
          <w:sz w:val="24"/>
          <w:highlight w:val="none"/>
          <w:u w:val="single"/>
          <w:lang w:eastAsia="zh-CN"/>
        </w:rPr>
        <w:t>余杭区公物仓外包运营管理服务采购项目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2E13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D81E1AB">
      <w:pPr>
        <w:spacing w:line="360" w:lineRule="auto"/>
        <w:ind w:firstLine="480" w:firstLineChars="200"/>
        <w:rPr>
          <w:rFonts w:ascii="宋体" w:hAnsi="宋体" w:cs="宋体"/>
          <w:color w:val="auto"/>
          <w:sz w:val="24"/>
          <w:highlight w:val="none"/>
        </w:rPr>
      </w:pPr>
    </w:p>
    <w:p w14:paraId="562DC2A4">
      <w:pPr>
        <w:spacing w:line="360" w:lineRule="auto"/>
        <w:ind w:firstLine="480" w:firstLineChars="200"/>
        <w:rPr>
          <w:rFonts w:ascii="宋体" w:hAnsi="宋体" w:cs="宋体"/>
          <w:color w:val="auto"/>
          <w:sz w:val="24"/>
          <w:highlight w:val="none"/>
        </w:rPr>
      </w:pPr>
    </w:p>
    <w:p w14:paraId="5BC5B20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9CFD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F5E64DC">
      <w:pPr>
        <w:spacing w:line="360" w:lineRule="auto"/>
        <w:ind w:firstLine="480" w:firstLineChars="200"/>
        <w:rPr>
          <w:rFonts w:ascii="宋体" w:hAnsi="宋体" w:cs="宋体"/>
          <w:color w:val="auto"/>
          <w:sz w:val="24"/>
          <w:highlight w:val="none"/>
        </w:rPr>
      </w:pPr>
    </w:p>
    <w:p w14:paraId="0AB3F699">
      <w:pPr>
        <w:spacing w:line="360" w:lineRule="auto"/>
        <w:ind w:firstLine="420" w:firstLineChars="200"/>
        <w:rPr>
          <w:rFonts w:ascii="宋体" w:hAnsi="宋体" w:cs="宋体"/>
          <w:color w:val="auto"/>
          <w:highlight w:val="none"/>
        </w:rPr>
      </w:pPr>
    </w:p>
    <w:p w14:paraId="0E8887C9">
      <w:pPr>
        <w:spacing w:line="360" w:lineRule="auto"/>
        <w:ind w:firstLine="420" w:firstLineChars="200"/>
        <w:rPr>
          <w:rFonts w:ascii="宋体" w:hAnsi="宋体" w:cs="宋体"/>
          <w:color w:val="auto"/>
          <w:highlight w:val="none"/>
        </w:rPr>
      </w:pPr>
    </w:p>
    <w:p w14:paraId="3CFEE2A3">
      <w:pPr>
        <w:spacing w:line="360" w:lineRule="auto"/>
        <w:ind w:firstLine="420" w:firstLineChars="200"/>
        <w:rPr>
          <w:rFonts w:ascii="宋体" w:hAnsi="宋体" w:cs="宋体"/>
          <w:color w:val="auto"/>
          <w:highlight w:val="none"/>
        </w:rPr>
      </w:pPr>
    </w:p>
    <w:p w14:paraId="56351A10">
      <w:pPr>
        <w:spacing w:line="360" w:lineRule="auto"/>
        <w:ind w:firstLine="420" w:firstLineChars="200"/>
        <w:rPr>
          <w:rFonts w:ascii="宋体" w:hAnsi="宋体" w:cs="宋体"/>
          <w:color w:val="auto"/>
          <w:highlight w:val="none"/>
        </w:rPr>
      </w:pPr>
    </w:p>
    <w:p w14:paraId="432A1519">
      <w:pPr>
        <w:spacing w:line="360" w:lineRule="auto"/>
        <w:rPr>
          <w:rFonts w:ascii="宋体" w:hAnsi="宋体" w:cs="宋体"/>
          <w:b/>
          <w:color w:val="auto"/>
          <w:sz w:val="24"/>
          <w:highlight w:val="none"/>
        </w:rPr>
      </w:pPr>
    </w:p>
    <w:p w14:paraId="647B3441">
      <w:pPr>
        <w:spacing w:line="360" w:lineRule="auto"/>
        <w:rPr>
          <w:rFonts w:ascii="宋体" w:hAnsi="宋体" w:cs="宋体"/>
          <w:b/>
          <w:color w:val="auto"/>
          <w:sz w:val="24"/>
          <w:highlight w:val="none"/>
        </w:rPr>
      </w:pPr>
    </w:p>
    <w:p w14:paraId="3EA13C46">
      <w:pPr>
        <w:spacing w:line="360" w:lineRule="auto"/>
        <w:rPr>
          <w:rFonts w:ascii="宋体" w:hAnsi="宋体" w:cs="宋体"/>
          <w:b/>
          <w:color w:val="auto"/>
          <w:sz w:val="24"/>
          <w:highlight w:val="none"/>
        </w:rPr>
      </w:pPr>
    </w:p>
    <w:p w14:paraId="7E7100B6">
      <w:pPr>
        <w:spacing w:line="360" w:lineRule="auto"/>
        <w:rPr>
          <w:rFonts w:ascii="宋体" w:hAnsi="宋体" w:cs="宋体"/>
          <w:b/>
          <w:color w:val="auto"/>
          <w:sz w:val="24"/>
          <w:highlight w:val="none"/>
        </w:rPr>
      </w:pPr>
    </w:p>
    <w:p w14:paraId="16DE9F1B">
      <w:pPr>
        <w:spacing w:line="360" w:lineRule="auto"/>
        <w:rPr>
          <w:rFonts w:ascii="宋体" w:hAnsi="宋体" w:cs="宋体"/>
          <w:b/>
          <w:color w:val="auto"/>
          <w:sz w:val="24"/>
          <w:highlight w:val="none"/>
        </w:rPr>
      </w:pPr>
    </w:p>
    <w:p w14:paraId="4AEEEA62">
      <w:pPr>
        <w:spacing w:line="360" w:lineRule="auto"/>
        <w:rPr>
          <w:rFonts w:ascii="宋体" w:hAnsi="宋体" w:cs="宋体"/>
          <w:b/>
          <w:color w:val="auto"/>
          <w:sz w:val="24"/>
          <w:highlight w:val="none"/>
        </w:rPr>
      </w:pPr>
    </w:p>
    <w:p w14:paraId="0C52D73E">
      <w:pPr>
        <w:spacing w:line="360" w:lineRule="auto"/>
        <w:rPr>
          <w:rFonts w:ascii="宋体" w:hAnsi="宋体" w:cs="宋体"/>
          <w:b/>
          <w:color w:val="auto"/>
          <w:sz w:val="24"/>
          <w:highlight w:val="none"/>
        </w:rPr>
      </w:pPr>
    </w:p>
    <w:p w14:paraId="41EAAB66">
      <w:pPr>
        <w:spacing w:line="360" w:lineRule="auto"/>
        <w:rPr>
          <w:rFonts w:ascii="宋体" w:hAnsi="宋体" w:cs="宋体"/>
          <w:b/>
          <w:color w:val="auto"/>
          <w:sz w:val="24"/>
          <w:highlight w:val="none"/>
        </w:rPr>
      </w:pPr>
    </w:p>
    <w:p w14:paraId="3BD30D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D87DC7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007CC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23AB1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11A54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61C6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CE23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D04F7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9539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3A11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367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5C18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BC46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6C803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1588A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6272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8CCA6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9060F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A67E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23CCC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6556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5086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FCB935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7317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8ECA5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9373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E44D3A">
      <w:pPr>
        <w:spacing w:line="360" w:lineRule="auto"/>
        <w:jc w:val="center"/>
        <w:rPr>
          <w:rFonts w:ascii="宋体" w:hAnsi="宋体" w:cs="宋体"/>
          <w:b/>
          <w:bCs/>
          <w:color w:val="auto"/>
          <w:sz w:val="24"/>
          <w:highlight w:val="none"/>
        </w:rPr>
      </w:pPr>
    </w:p>
    <w:p w14:paraId="5ED8542E">
      <w:pPr>
        <w:spacing w:line="360" w:lineRule="auto"/>
        <w:rPr>
          <w:rFonts w:ascii="宋体" w:hAnsi="宋体" w:cs="宋体"/>
          <w:b/>
          <w:color w:val="auto"/>
          <w:sz w:val="24"/>
          <w:highlight w:val="none"/>
        </w:rPr>
      </w:pPr>
    </w:p>
    <w:p w14:paraId="5CC341C1">
      <w:pPr>
        <w:spacing w:line="360" w:lineRule="auto"/>
        <w:rPr>
          <w:rFonts w:ascii="宋体" w:hAnsi="宋体" w:cs="宋体"/>
          <w:b/>
          <w:color w:val="auto"/>
          <w:sz w:val="24"/>
          <w:highlight w:val="none"/>
        </w:rPr>
      </w:pPr>
    </w:p>
    <w:p w14:paraId="57870DC4">
      <w:pPr>
        <w:spacing w:line="360" w:lineRule="auto"/>
        <w:rPr>
          <w:rFonts w:ascii="宋体" w:hAnsi="宋体" w:cs="宋体"/>
          <w:b/>
          <w:color w:val="auto"/>
          <w:sz w:val="24"/>
          <w:highlight w:val="none"/>
        </w:rPr>
      </w:pPr>
    </w:p>
    <w:p w14:paraId="3516C2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97F15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B535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4B95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CD74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1890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76AD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B03A1">
      <w:pPr>
        <w:widowControl/>
        <w:spacing w:line="360" w:lineRule="auto"/>
        <w:ind w:firstLine="600" w:firstLineChars="200"/>
        <w:jc w:val="left"/>
        <w:rPr>
          <w:rFonts w:ascii="宋体" w:hAnsi="宋体" w:cs="宋体"/>
          <w:color w:val="auto"/>
          <w:sz w:val="30"/>
          <w:szCs w:val="30"/>
          <w:highlight w:val="none"/>
        </w:rPr>
      </w:pPr>
    </w:p>
    <w:p w14:paraId="59504B59">
      <w:pPr>
        <w:spacing w:line="360" w:lineRule="auto"/>
        <w:jc w:val="center"/>
        <w:rPr>
          <w:rFonts w:ascii="宋体" w:hAnsi="宋体" w:cs="宋体"/>
          <w:b/>
          <w:color w:val="auto"/>
          <w:spacing w:val="6"/>
          <w:sz w:val="32"/>
          <w:szCs w:val="32"/>
          <w:highlight w:val="none"/>
        </w:rPr>
      </w:pPr>
    </w:p>
    <w:p w14:paraId="6CEE5DEC">
      <w:pPr>
        <w:spacing w:line="360" w:lineRule="auto"/>
        <w:jc w:val="center"/>
        <w:rPr>
          <w:rFonts w:ascii="宋体" w:hAnsi="宋体" w:cs="宋体"/>
          <w:b/>
          <w:color w:val="auto"/>
          <w:spacing w:val="6"/>
          <w:sz w:val="32"/>
          <w:szCs w:val="32"/>
          <w:highlight w:val="none"/>
        </w:rPr>
      </w:pPr>
    </w:p>
    <w:p w14:paraId="3E2E8906">
      <w:pPr>
        <w:spacing w:line="360" w:lineRule="auto"/>
        <w:jc w:val="center"/>
        <w:rPr>
          <w:rFonts w:ascii="宋体" w:hAnsi="宋体" w:cs="宋体"/>
          <w:b/>
          <w:color w:val="auto"/>
          <w:spacing w:val="6"/>
          <w:sz w:val="32"/>
          <w:szCs w:val="32"/>
          <w:highlight w:val="none"/>
        </w:rPr>
      </w:pPr>
    </w:p>
    <w:p w14:paraId="1FDEA5C0">
      <w:pPr>
        <w:spacing w:line="360" w:lineRule="auto"/>
        <w:jc w:val="center"/>
        <w:rPr>
          <w:rFonts w:ascii="宋体" w:hAnsi="宋体" w:cs="宋体"/>
          <w:b/>
          <w:color w:val="auto"/>
          <w:spacing w:val="6"/>
          <w:sz w:val="32"/>
          <w:szCs w:val="32"/>
          <w:highlight w:val="none"/>
        </w:rPr>
      </w:pPr>
    </w:p>
    <w:p w14:paraId="3348E532">
      <w:pPr>
        <w:spacing w:line="360" w:lineRule="auto"/>
        <w:jc w:val="center"/>
        <w:rPr>
          <w:rFonts w:ascii="宋体" w:hAnsi="宋体" w:cs="宋体"/>
          <w:b/>
          <w:color w:val="auto"/>
          <w:spacing w:val="6"/>
          <w:sz w:val="32"/>
          <w:szCs w:val="32"/>
          <w:highlight w:val="none"/>
        </w:rPr>
      </w:pPr>
    </w:p>
    <w:p w14:paraId="3AC92ECD">
      <w:pPr>
        <w:spacing w:line="360" w:lineRule="auto"/>
        <w:jc w:val="center"/>
        <w:rPr>
          <w:rFonts w:ascii="宋体" w:hAnsi="宋体" w:cs="宋体"/>
          <w:b/>
          <w:color w:val="auto"/>
          <w:spacing w:val="6"/>
          <w:sz w:val="32"/>
          <w:szCs w:val="32"/>
          <w:highlight w:val="none"/>
        </w:rPr>
      </w:pPr>
    </w:p>
    <w:p w14:paraId="7850B7FD">
      <w:pPr>
        <w:spacing w:line="360" w:lineRule="auto"/>
        <w:jc w:val="center"/>
        <w:rPr>
          <w:rFonts w:ascii="宋体" w:hAnsi="宋体" w:cs="宋体"/>
          <w:b/>
          <w:color w:val="auto"/>
          <w:spacing w:val="6"/>
          <w:sz w:val="32"/>
          <w:szCs w:val="32"/>
          <w:highlight w:val="none"/>
        </w:rPr>
      </w:pPr>
    </w:p>
    <w:p w14:paraId="7F50D7B3">
      <w:pPr>
        <w:spacing w:line="360" w:lineRule="auto"/>
        <w:jc w:val="center"/>
        <w:rPr>
          <w:rFonts w:ascii="宋体" w:hAnsi="宋体" w:cs="宋体"/>
          <w:b/>
          <w:color w:val="auto"/>
          <w:spacing w:val="6"/>
          <w:sz w:val="32"/>
          <w:szCs w:val="32"/>
          <w:highlight w:val="none"/>
        </w:rPr>
      </w:pPr>
    </w:p>
    <w:p w14:paraId="79171E3E">
      <w:pPr>
        <w:spacing w:line="360" w:lineRule="auto"/>
        <w:jc w:val="center"/>
        <w:rPr>
          <w:rFonts w:ascii="宋体" w:hAnsi="宋体" w:cs="宋体"/>
          <w:b/>
          <w:color w:val="auto"/>
          <w:spacing w:val="6"/>
          <w:sz w:val="32"/>
          <w:szCs w:val="32"/>
          <w:highlight w:val="none"/>
        </w:rPr>
      </w:pPr>
    </w:p>
    <w:p w14:paraId="0B3475B0">
      <w:pPr>
        <w:spacing w:line="360" w:lineRule="auto"/>
        <w:jc w:val="center"/>
        <w:rPr>
          <w:rFonts w:ascii="宋体" w:hAnsi="宋体" w:cs="宋体"/>
          <w:b/>
          <w:color w:val="auto"/>
          <w:spacing w:val="6"/>
          <w:sz w:val="32"/>
          <w:szCs w:val="32"/>
          <w:highlight w:val="none"/>
        </w:rPr>
      </w:pPr>
    </w:p>
    <w:p w14:paraId="7AD5E523">
      <w:pPr>
        <w:spacing w:line="360" w:lineRule="auto"/>
        <w:jc w:val="center"/>
        <w:rPr>
          <w:rFonts w:ascii="宋体" w:hAnsi="宋体" w:cs="宋体"/>
          <w:b/>
          <w:color w:val="auto"/>
          <w:spacing w:val="6"/>
          <w:sz w:val="32"/>
          <w:szCs w:val="32"/>
          <w:highlight w:val="none"/>
        </w:rPr>
      </w:pPr>
    </w:p>
    <w:p w14:paraId="7788B6C9">
      <w:pPr>
        <w:spacing w:line="360" w:lineRule="auto"/>
        <w:jc w:val="center"/>
        <w:rPr>
          <w:rFonts w:ascii="宋体" w:hAnsi="宋体" w:cs="宋体"/>
          <w:b/>
          <w:color w:val="auto"/>
          <w:spacing w:val="6"/>
          <w:sz w:val="32"/>
          <w:szCs w:val="32"/>
          <w:highlight w:val="none"/>
        </w:rPr>
      </w:pPr>
    </w:p>
    <w:p w14:paraId="257E893E">
      <w:pPr>
        <w:spacing w:line="360" w:lineRule="auto"/>
        <w:jc w:val="left"/>
        <w:rPr>
          <w:rFonts w:ascii="宋体" w:hAnsi="宋体" w:cs="宋体"/>
          <w:b/>
          <w:color w:val="auto"/>
          <w:spacing w:val="6"/>
          <w:sz w:val="32"/>
          <w:szCs w:val="32"/>
          <w:highlight w:val="none"/>
        </w:rPr>
      </w:pPr>
    </w:p>
    <w:p w14:paraId="53D4388D">
      <w:pPr>
        <w:spacing w:line="360" w:lineRule="auto"/>
        <w:jc w:val="left"/>
        <w:rPr>
          <w:rFonts w:ascii="宋体" w:hAnsi="宋体" w:cs="宋体"/>
          <w:b/>
          <w:color w:val="auto"/>
          <w:spacing w:val="6"/>
          <w:sz w:val="32"/>
          <w:szCs w:val="32"/>
          <w:highlight w:val="none"/>
        </w:rPr>
      </w:pPr>
    </w:p>
    <w:p w14:paraId="5F83F08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58F0F9">
      <w:pPr>
        <w:spacing w:line="360" w:lineRule="auto"/>
        <w:jc w:val="center"/>
        <w:rPr>
          <w:rFonts w:ascii="宋体" w:hAnsi="宋体" w:cs="宋体"/>
          <w:b/>
          <w:color w:val="auto"/>
          <w:sz w:val="24"/>
          <w:highlight w:val="none"/>
        </w:rPr>
      </w:pPr>
    </w:p>
    <w:p w14:paraId="4892E49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7A8FD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E5E9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F12C2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F4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98970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BBD6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A0F2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20A33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D8E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414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3922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8942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0CF4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30DD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21F3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4C68D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794A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5AEB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02D05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71BE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550DE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864C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1386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F76457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C31D1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44798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E9CE6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79378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2888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3ABF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6A42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D377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E9CFB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F4ADA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79E39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FFBDA7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A496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0540F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245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E1E7E9">
      <w:pPr>
        <w:spacing w:line="360" w:lineRule="auto"/>
        <w:rPr>
          <w:rFonts w:ascii="宋体" w:hAnsi="宋体" w:cs="宋体"/>
          <w:b/>
          <w:color w:val="auto"/>
          <w:sz w:val="24"/>
          <w:highlight w:val="none"/>
        </w:rPr>
      </w:pPr>
    </w:p>
    <w:p w14:paraId="3E065911">
      <w:pPr>
        <w:spacing w:line="360" w:lineRule="auto"/>
        <w:rPr>
          <w:rFonts w:ascii="宋体" w:hAnsi="宋体" w:cs="宋体"/>
          <w:b/>
          <w:color w:val="auto"/>
          <w:sz w:val="24"/>
          <w:highlight w:val="none"/>
        </w:rPr>
      </w:pPr>
    </w:p>
    <w:p w14:paraId="1473ADC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B8F1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0062EE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DF05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1561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CE94F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D5564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FD92A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98E7C9">
      <w:pPr>
        <w:spacing w:line="360" w:lineRule="auto"/>
        <w:rPr>
          <w:rFonts w:ascii="宋体" w:hAnsi="宋体" w:cs="宋体"/>
          <w:b/>
          <w:color w:val="auto"/>
          <w:sz w:val="24"/>
          <w:highlight w:val="none"/>
        </w:rPr>
      </w:pPr>
    </w:p>
    <w:p w14:paraId="209F33A6">
      <w:pPr>
        <w:autoSpaceDE w:val="0"/>
        <w:autoSpaceDN w:val="0"/>
        <w:jc w:val="center"/>
        <w:rPr>
          <w:rFonts w:ascii="宋体" w:hAnsi="宋体" w:cs="宋体"/>
          <w:b/>
          <w:color w:val="auto"/>
          <w:spacing w:val="6"/>
          <w:sz w:val="32"/>
          <w:szCs w:val="32"/>
          <w:highlight w:val="none"/>
        </w:rPr>
      </w:pPr>
    </w:p>
    <w:p w14:paraId="1A5529CF">
      <w:pPr>
        <w:autoSpaceDE w:val="0"/>
        <w:autoSpaceDN w:val="0"/>
        <w:jc w:val="center"/>
        <w:rPr>
          <w:rFonts w:ascii="宋体" w:hAnsi="宋体" w:cs="宋体"/>
          <w:b/>
          <w:color w:val="auto"/>
          <w:spacing w:val="6"/>
          <w:sz w:val="32"/>
          <w:szCs w:val="32"/>
          <w:highlight w:val="none"/>
        </w:rPr>
      </w:pPr>
    </w:p>
    <w:p w14:paraId="091829C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3EEE0C">
      <w:pPr>
        <w:spacing w:line="360" w:lineRule="auto"/>
        <w:rPr>
          <w:rFonts w:ascii="宋体" w:hAnsi="宋体" w:cs="宋体"/>
          <w:color w:val="auto"/>
          <w:sz w:val="24"/>
          <w:highlight w:val="none"/>
          <w:u w:val="single"/>
        </w:rPr>
      </w:pPr>
    </w:p>
    <w:p w14:paraId="77E397F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35AF9FC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1082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06184FE">
      <w:pPr>
        <w:spacing w:line="360" w:lineRule="auto"/>
        <w:ind w:firstLine="494"/>
        <w:rPr>
          <w:rFonts w:ascii="宋体" w:hAnsi="宋体" w:cs="宋体"/>
          <w:color w:val="auto"/>
          <w:sz w:val="24"/>
          <w:highlight w:val="none"/>
        </w:rPr>
      </w:pPr>
    </w:p>
    <w:p w14:paraId="2A64A7CA">
      <w:pPr>
        <w:spacing w:line="360" w:lineRule="auto"/>
        <w:ind w:firstLine="494"/>
        <w:rPr>
          <w:rFonts w:ascii="宋体" w:hAnsi="宋体" w:cs="宋体"/>
          <w:color w:val="auto"/>
          <w:sz w:val="24"/>
          <w:highlight w:val="none"/>
        </w:rPr>
      </w:pPr>
    </w:p>
    <w:p w14:paraId="5F493139">
      <w:pPr>
        <w:spacing w:line="360" w:lineRule="auto"/>
        <w:ind w:firstLine="494"/>
        <w:rPr>
          <w:rFonts w:ascii="宋体" w:hAnsi="宋体" w:cs="宋体"/>
          <w:color w:val="auto"/>
          <w:sz w:val="24"/>
          <w:highlight w:val="none"/>
        </w:rPr>
      </w:pPr>
    </w:p>
    <w:p w14:paraId="1B228761">
      <w:pPr>
        <w:spacing w:line="360" w:lineRule="auto"/>
        <w:ind w:firstLine="494"/>
        <w:rPr>
          <w:rFonts w:ascii="宋体" w:hAnsi="宋体" w:cs="宋体"/>
          <w:color w:val="auto"/>
          <w:sz w:val="24"/>
          <w:highlight w:val="none"/>
        </w:rPr>
      </w:pPr>
    </w:p>
    <w:p w14:paraId="737BBD4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9B5A53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E8107A">
      <w:pPr>
        <w:rPr>
          <w:rFonts w:ascii="宋体" w:hAnsi="宋体" w:cs="宋体"/>
          <w:color w:val="auto"/>
          <w:sz w:val="24"/>
          <w:highlight w:val="none"/>
        </w:rPr>
      </w:pPr>
      <w:r>
        <w:rPr>
          <w:rFonts w:hint="eastAsia" w:ascii="宋体" w:hAnsi="宋体" w:cs="宋体"/>
          <w:b/>
          <w:bCs/>
          <w:color w:val="auto"/>
          <w:sz w:val="24"/>
          <w:highlight w:val="none"/>
        </w:rPr>
        <w:t>附：</w:t>
      </w:r>
    </w:p>
    <w:p w14:paraId="14B37983">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2267A17B">
      <w:pPr>
        <w:autoSpaceDE w:val="0"/>
        <w:autoSpaceDN w:val="0"/>
        <w:jc w:val="center"/>
        <w:rPr>
          <w:rFonts w:ascii="宋体" w:hAnsi="宋体" w:cs="宋体"/>
          <w:b/>
          <w:color w:val="auto"/>
          <w:spacing w:val="6"/>
          <w:sz w:val="32"/>
          <w:szCs w:val="32"/>
          <w:highlight w:val="none"/>
        </w:rPr>
      </w:pPr>
    </w:p>
    <w:p w14:paraId="15432D73">
      <w:pPr>
        <w:autoSpaceDE w:val="0"/>
        <w:autoSpaceDN w:val="0"/>
        <w:jc w:val="center"/>
        <w:rPr>
          <w:rFonts w:ascii="宋体" w:hAnsi="宋体" w:cs="宋体"/>
          <w:b/>
          <w:color w:val="auto"/>
          <w:spacing w:val="6"/>
          <w:sz w:val="32"/>
          <w:szCs w:val="32"/>
          <w:highlight w:val="none"/>
        </w:rPr>
      </w:pPr>
    </w:p>
    <w:p w14:paraId="55B8F279">
      <w:pPr>
        <w:autoSpaceDE w:val="0"/>
        <w:autoSpaceDN w:val="0"/>
        <w:jc w:val="center"/>
        <w:rPr>
          <w:rFonts w:ascii="宋体" w:hAnsi="宋体" w:cs="宋体"/>
          <w:b/>
          <w:color w:val="auto"/>
          <w:spacing w:val="6"/>
          <w:sz w:val="32"/>
          <w:szCs w:val="32"/>
          <w:highlight w:val="none"/>
        </w:rPr>
      </w:pPr>
    </w:p>
    <w:p w14:paraId="267A6325">
      <w:pPr>
        <w:autoSpaceDE w:val="0"/>
        <w:autoSpaceDN w:val="0"/>
        <w:jc w:val="center"/>
        <w:rPr>
          <w:rFonts w:ascii="宋体" w:hAnsi="宋体" w:cs="宋体"/>
          <w:b/>
          <w:color w:val="auto"/>
          <w:spacing w:val="6"/>
          <w:sz w:val="32"/>
          <w:szCs w:val="32"/>
          <w:highlight w:val="none"/>
        </w:rPr>
      </w:pPr>
    </w:p>
    <w:p w14:paraId="49B2C0EE">
      <w:pPr>
        <w:autoSpaceDE w:val="0"/>
        <w:autoSpaceDN w:val="0"/>
        <w:jc w:val="center"/>
        <w:rPr>
          <w:rFonts w:ascii="宋体" w:hAnsi="宋体" w:cs="宋体"/>
          <w:b/>
          <w:color w:val="auto"/>
          <w:spacing w:val="6"/>
          <w:sz w:val="32"/>
          <w:szCs w:val="32"/>
          <w:highlight w:val="none"/>
        </w:rPr>
      </w:pPr>
    </w:p>
    <w:p w14:paraId="3493FC9D">
      <w:pPr>
        <w:autoSpaceDE w:val="0"/>
        <w:autoSpaceDN w:val="0"/>
        <w:jc w:val="center"/>
        <w:rPr>
          <w:rFonts w:ascii="宋体" w:hAnsi="宋体" w:cs="宋体"/>
          <w:b/>
          <w:color w:val="auto"/>
          <w:spacing w:val="6"/>
          <w:sz w:val="32"/>
          <w:szCs w:val="32"/>
          <w:highlight w:val="none"/>
        </w:rPr>
      </w:pPr>
    </w:p>
    <w:p w14:paraId="13321F40">
      <w:pPr>
        <w:autoSpaceDE w:val="0"/>
        <w:autoSpaceDN w:val="0"/>
        <w:jc w:val="center"/>
        <w:rPr>
          <w:rFonts w:ascii="宋体" w:hAnsi="宋体" w:cs="宋体"/>
          <w:b/>
          <w:color w:val="auto"/>
          <w:spacing w:val="6"/>
          <w:sz w:val="32"/>
          <w:szCs w:val="32"/>
          <w:highlight w:val="none"/>
        </w:rPr>
      </w:pPr>
    </w:p>
    <w:p w14:paraId="17CDAE60">
      <w:pPr>
        <w:autoSpaceDE w:val="0"/>
        <w:autoSpaceDN w:val="0"/>
        <w:jc w:val="center"/>
        <w:rPr>
          <w:rFonts w:ascii="宋体" w:hAnsi="宋体" w:cs="宋体"/>
          <w:b/>
          <w:color w:val="auto"/>
          <w:spacing w:val="6"/>
          <w:sz w:val="32"/>
          <w:szCs w:val="32"/>
          <w:highlight w:val="none"/>
        </w:rPr>
      </w:pPr>
    </w:p>
    <w:p w14:paraId="0BD4F573">
      <w:pPr>
        <w:autoSpaceDE w:val="0"/>
        <w:autoSpaceDN w:val="0"/>
        <w:jc w:val="center"/>
        <w:rPr>
          <w:rFonts w:ascii="宋体" w:hAnsi="宋体" w:cs="宋体"/>
          <w:b/>
          <w:color w:val="auto"/>
          <w:spacing w:val="6"/>
          <w:sz w:val="32"/>
          <w:szCs w:val="32"/>
          <w:highlight w:val="none"/>
        </w:rPr>
      </w:pPr>
    </w:p>
    <w:p w14:paraId="1C2BC1B0">
      <w:pPr>
        <w:autoSpaceDE w:val="0"/>
        <w:autoSpaceDN w:val="0"/>
        <w:jc w:val="center"/>
        <w:rPr>
          <w:rFonts w:ascii="宋体" w:hAnsi="宋体" w:cs="宋体"/>
          <w:b/>
          <w:color w:val="auto"/>
          <w:spacing w:val="6"/>
          <w:sz w:val="32"/>
          <w:szCs w:val="32"/>
          <w:highlight w:val="none"/>
        </w:rPr>
      </w:pPr>
    </w:p>
    <w:p w14:paraId="52B1AD22">
      <w:pPr>
        <w:autoSpaceDE w:val="0"/>
        <w:autoSpaceDN w:val="0"/>
        <w:jc w:val="center"/>
        <w:rPr>
          <w:rFonts w:ascii="宋体" w:hAnsi="宋体" w:cs="宋体"/>
          <w:b/>
          <w:color w:val="auto"/>
          <w:spacing w:val="6"/>
          <w:sz w:val="32"/>
          <w:szCs w:val="32"/>
          <w:highlight w:val="none"/>
        </w:rPr>
      </w:pPr>
    </w:p>
    <w:p w14:paraId="618357BC">
      <w:pPr>
        <w:autoSpaceDE w:val="0"/>
        <w:autoSpaceDN w:val="0"/>
        <w:jc w:val="center"/>
        <w:rPr>
          <w:rFonts w:ascii="宋体" w:hAnsi="宋体" w:cs="宋体"/>
          <w:b/>
          <w:color w:val="auto"/>
          <w:spacing w:val="6"/>
          <w:sz w:val="32"/>
          <w:szCs w:val="32"/>
          <w:highlight w:val="none"/>
        </w:rPr>
      </w:pPr>
    </w:p>
    <w:p w14:paraId="39402474">
      <w:pPr>
        <w:autoSpaceDE w:val="0"/>
        <w:autoSpaceDN w:val="0"/>
        <w:jc w:val="center"/>
        <w:rPr>
          <w:rFonts w:ascii="宋体" w:hAnsi="宋体" w:cs="宋体"/>
          <w:b/>
          <w:color w:val="auto"/>
          <w:spacing w:val="6"/>
          <w:sz w:val="32"/>
          <w:szCs w:val="32"/>
          <w:highlight w:val="none"/>
        </w:rPr>
      </w:pPr>
    </w:p>
    <w:p w14:paraId="7745C419">
      <w:pPr>
        <w:autoSpaceDE w:val="0"/>
        <w:autoSpaceDN w:val="0"/>
        <w:jc w:val="center"/>
        <w:rPr>
          <w:rFonts w:ascii="宋体" w:hAnsi="宋体" w:cs="宋体"/>
          <w:b/>
          <w:color w:val="auto"/>
          <w:spacing w:val="6"/>
          <w:sz w:val="32"/>
          <w:szCs w:val="32"/>
          <w:highlight w:val="none"/>
        </w:rPr>
      </w:pPr>
    </w:p>
    <w:p w14:paraId="2F1A295F">
      <w:pPr>
        <w:autoSpaceDE w:val="0"/>
        <w:autoSpaceDN w:val="0"/>
        <w:jc w:val="center"/>
        <w:rPr>
          <w:rFonts w:ascii="宋体" w:hAnsi="宋体" w:cs="宋体"/>
          <w:b/>
          <w:color w:val="auto"/>
          <w:spacing w:val="6"/>
          <w:sz w:val="32"/>
          <w:szCs w:val="32"/>
          <w:highlight w:val="none"/>
        </w:rPr>
      </w:pPr>
    </w:p>
    <w:p w14:paraId="6F830C24">
      <w:pPr>
        <w:autoSpaceDE w:val="0"/>
        <w:autoSpaceDN w:val="0"/>
        <w:jc w:val="center"/>
        <w:rPr>
          <w:rFonts w:ascii="宋体" w:hAnsi="宋体" w:cs="宋体"/>
          <w:b/>
          <w:color w:val="auto"/>
          <w:spacing w:val="6"/>
          <w:sz w:val="32"/>
          <w:szCs w:val="32"/>
          <w:highlight w:val="none"/>
        </w:rPr>
      </w:pPr>
    </w:p>
    <w:p w14:paraId="75CC06DD">
      <w:pPr>
        <w:autoSpaceDE w:val="0"/>
        <w:autoSpaceDN w:val="0"/>
        <w:jc w:val="center"/>
        <w:rPr>
          <w:rFonts w:ascii="宋体" w:hAnsi="宋体" w:cs="宋体"/>
          <w:b/>
          <w:color w:val="auto"/>
          <w:spacing w:val="6"/>
          <w:sz w:val="32"/>
          <w:szCs w:val="32"/>
          <w:highlight w:val="none"/>
        </w:rPr>
      </w:pPr>
    </w:p>
    <w:p w14:paraId="1E022B8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D2E193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46BC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4FF2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931B7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C528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8075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9F52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B811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98F0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4404AE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3EAE50F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144FA5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D0FAA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A21BC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E1AF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6C5F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0EBD8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6B9E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3DB2F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7FF4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1431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A48D7">
      <w:pPr>
        <w:autoSpaceDE w:val="0"/>
        <w:autoSpaceDN w:val="0"/>
        <w:jc w:val="center"/>
        <w:rPr>
          <w:rFonts w:ascii="宋体" w:hAnsi="宋体" w:cs="宋体"/>
          <w:b/>
          <w:color w:val="auto"/>
          <w:spacing w:val="6"/>
          <w:sz w:val="32"/>
          <w:szCs w:val="32"/>
          <w:highlight w:val="none"/>
        </w:rPr>
      </w:pPr>
    </w:p>
    <w:p w14:paraId="1E8ACBDB">
      <w:pPr>
        <w:autoSpaceDE w:val="0"/>
        <w:autoSpaceDN w:val="0"/>
        <w:jc w:val="center"/>
        <w:rPr>
          <w:rFonts w:ascii="宋体" w:hAnsi="宋体" w:cs="宋体"/>
          <w:b/>
          <w:color w:val="auto"/>
          <w:spacing w:val="6"/>
          <w:sz w:val="32"/>
          <w:szCs w:val="32"/>
          <w:highlight w:val="none"/>
        </w:rPr>
      </w:pPr>
    </w:p>
    <w:p w14:paraId="78C22EFB">
      <w:pPr>
        <w:autoSpaceDE w:val="0"/>
        <w:autoSpaceDN w:val="0"/>
        <w:jc w:val="center"/>
        <w:rPr>
          <w:rFonts w:ascii="宋体" w:hAnsi="宋体" w:cs="宋体"/>
          <w:b/>
          <w:color w:val="auto"/>
          <w:spacing w:val="6"/>
          <w:sz w:val="32"/>
          <w:szCs w:val="32"/>
          <w:highlight w:val="none"/>
        </w:rPr>
      </w:pPr>
    </w:p>
    <w:p w14:paraId="598FA95E">
      <w:pPr>
        <w:autoSpaceDE w:val="0"/>
        <w:autoSpaceDN w:val="0"/>
        <w:jc w:val="center"/>
        <w:rPr>
          <w:rFonts w:ascii="宋体" w:hAnsi="宋体" w:cs="宋体"/>
          <w:b/>
          <w:color w:val="auto"/>
          <w:spacing w:val="6"/>
          <w:sz w:val="32"/>
          <w:szCs w:val="32"/>
          <w:highlight w:val="none"/>
        </w:rPr>
      </w:pPr>
    </w:p>
    <w:p w14:paraId="40257AFA">
      <w:pPr>
        <w:autoSpaceDE w:val="0"/>
        <w:autoSpaceDN w:val="0"/>
        <w:jc w:val="center"/>
        <w:rPr>
          <w:rFonts w:ascii="宋体" w:hAnsi="宋体" w:cs="宋体"/>
          <w:b/>
          <w:color w:val="auto"/>
          <w:spacing w:val="6"/>
          <w:sz w:val="32"/>
          <w:szCs w:val="32"/>
          <w:highlight w:val="none"/>
        </w:rPr>
      </w:pPr>
    </w:p>
    <w:p w14:paraId="12313CDE">
      <w:pPr>
        <w:autoSpaceDE w:val="0"/>
        <w:autoSpaceDN w:val="0"/>
        <w:jc w:val="center"/>
        <w:rPr>
          <w:rFonts w:ascii="宋体" w:hAnsi="宋体" w:cs="宋体"/>
          <w:b/>
          <w:color w:val="auto"/>
          <w:spacing w:val="6"/>
          <w:sz w:val="32"/>
          <w:szCs w:val="32"/>
          <w:highlight w:val="none"/>
        </w:rPr>
      </w:pPr>
    </w:p>
    <w:p w14:paraId="785C5D63">
      <w:pPr>
        <w:autoSpaceDE w:val="0"/>
        <w:autoSpaceDN w:val="0"/>
        <w:jc w:val="center"/>
        <w:rPr>
          <w:rFonts w:ascii="宋体" w:hAnsi="宋体" w:cs="宋体"/>
          <w:b/>
          <w:color w:val="auto"/>
          <w:spacing w:val="6"/>
          <w:sz w:val="32"/>
          <w:szCs w:val="32"/>
          <w:highlight w:val="none"/>
        </w:rPr>
      </w:pPr>
    </w:p>
    <w:p w14:paraId="464AE3A3">
      <w:pPr>
        <w:autoSpaceDE w:val="0"/>
        <w:autoSpaceDN w:val="0"/>
        <w:jc w:val="center"/>
        <w:rPr>
          <w:rFonts w:ascii="宋体" w:hAnsi="宋体" w:cs="宋体"/>
          <w:b/>
          <w:color w:val="auto"/>
          <w:spacing w:val="6"/>
          <w:sz w:val="32"/>
          <w:szCs w:val="32"/>
          <w:highlight w:val="none"/>
        </w:rPr>
      </w:pPr>
    </w:p>
    <w:p w14:paraId="2809B7A7">
      <w:pPr>
        <w:autoSpaceDE w:val="0"/>
        <w:autoSpaceDN w:val="0"/>
        <w:jc w:val="center"/>
        <w:rPr>
          <w:rFonts w:ascii="宋体" w:hAnsi="宋体" w:cs="宋体"/>
          <w:b/>
          <w:color w:val="auto"/>
          <w:spacing w:val="6"/>
          <w:sz w:val="32"/>
          <w:szCs w:val="32"/>
          <w:highlight w:val="none"/>
        </w:rPr>
      </w:pPr>
    </w:p>
    <w:p w14:paraId="31AAE090">
      <w:pPr>
        <w:autoSpaceDE w:val="0"/>
        <w:autoSpaceDN w:val="0"/>
        <w:jc w:val="center"/>
        <w:rPr>
          <w:rFonts w:ascii="宋体" w:hAnsi="宋体" w:cs="宋体"/>
          <w:b/>
          <w:color w:val="auto"/>
          <w:spacing w:val="6"/>
          <w:sz w:val="32"/>
          <w:szCs w:val="32"/>
          <w:highlight w:val="none"/>
        </w:rPr>
      </w:pPr>
    </w:p>
    <w:p w14:paraId="0C4C57AA">
      <w:pPr>
        <w:autoSpaceDE w:val="0"/>
        <w:autoSpaceDN w:val="0"/>
        <w:jc w:val="center"/>
        <w:rPr>
          <w:rFonts w:ascii="宋体" w:hAnsi="宋体" w:cs="宋体"/>
          <w:b/>
          <w:color w:val="auto"/>
          <w:spacing w:val="6"/>
          <w:sz w:val="32"/>
          <w:szCs w:val="32"/>
          <w:highlight w:val="none"/>
        </w:rPr>
      </w:pPr>
    </w:p>
    <w:p w14:paraId="2FB34BC8">
      <w:pPr>
        <w:autoSpaceDE w:val="0"/>
        <w:autoSpaceDN w:val="0"/>
        <w:jc w:val="center"/>
        <w:rPr>
          <w:rFonts w:ascii="宋体" w:hAnsi="宋体" w:cs="宋体"/>
          <w:b/>
          <w:color w:val="auto"/>
          <w:spacing w:val="6"/>
          <w:sz w:val="32"/>
          <w:szCs w:val="32"/>
          <w:highlight w:val="none"/>
        </w:rPr>
      </w:pPr>
    </w:p>
    <w:p w14:paraId="28D37D63">
      <w:pPr>
        <w:autoSpaceDE w:val="0"/>
        <w:autoSpaceDN w:val="0"/>
        <w:jc w:val="center"/>
        <w:rPr>
          <w:rFonts w:ascii="宋体" w:hAnsi="宋体" w:cs="宋体"/>
          <w:b/>
          <w:color w:val="auto"/>
          <w:spacing w:val="6"/>
          <w:sz w:val="32"/>
          <w:szCs w:val="32"/>
          <w:highlight w:val="none"/>
        </w:rPr>
      </w:pPr>
    </w:p>
    <w:p w14:paraId="669E23BC">
      <w:pPr>
        <w:autoSpaceDE w:val="0"/>
        <w:autoSpaceDN w:val="0"/>
        <w:jc w:val="center"/>
        <w:rPr>
          <w:rFonts w:ascii="宋体" w:hAnsi="宋体" w:cs="宋体"/>
          <w:b/>
          <w:color w:val="auto"/>
          <w:spacing w:val="6"/>
          <w:sz w:val="32"/>
          <w:szCs w:val="32"/>
          <w:highlight w:val="none"/>
        </w:rPr>
      </w:pPr>
    </w:p>
    <w:p w14:paraId="5106EB64">
      <w:pPr>
        <w:autoSpaceDE w:val="0"/>
        <w:autoSpaceDN w:val="0"/>
        <w:jc w:val="center"/>
        <w:rPr>
          <w:rFonts w:ascii="宋体" w:hAnsi="宋体" w:cs="宋体"/>
          <w:b/>
          <w:color w:val="auto"/>
          <w:spacing w:val="6"/>
          <w:sz w:val="32"/>
          <w:szCs w:val="32"/>
          <w:highlight w:val="none"/>
        </w:rPr>
      </w:pPr>
    </w:p>
    <w:p w14:paraId="448A0A0B">
      <w:pPr>
        <w:autoSpaceDE w:val="0"/>
        <w:autoSpaceDN w:val="0"/>
        <w:jc w:val="center"/>
        <w:rPr>
          <w:rFonts w:ascii="宋体" w:hAnsi="宋体" w:cs="宋体"/>
          <w:b/>
          <w:color w:val="auto"/>
          <w:spacing w:val="6"/>
          <w:sz w:val="32"/>
          <w:szCs w:val="32"/>
          <w:highlight w:val="none"/>
        </w:rPr>
      </w:pPr>
    </w:p>
    <w:p w14:paraId="025B17CF">
      <w:pPr>
        <w:autoSpaceDE w:val="0"/>
        <w:autoSpaceDN w:val="0"/>
        <w:jc w:val="center"/>
        <w:rPr>
          <w:rFonts w:ascii="宋体" w:hAnsi="宋体" w:cs="宋体"/>
          <w:b/>
          <w:color w:val="auto"/>
          <w:spacing w:val="6"/>
          <w:sz w:val="32"/>
          <w:szCs w:val="32"/>
          <w:highlight w:val="none"/>
        </w:rPr>
      </w:pPr>
    </w:p>
    <w:p w14:paraId="3E5EBD5C">
      <w:pPr>
        <w:autoSpaceDE w:val="0"/>
        <w:autoSpaceDN w:val="0"/>
        <w:jc w:val="center"/>
        <w:rPr>
          <w:rFonts w:ascii="宋体" w:hAnsi="宋体" w:cs="宋体"/>
          <w:b/>
          <w:color w:val="auto"/>
          <w:spacing w:val="6"/>
          <w:sz w:val="32"/>
          <w:szCs w:val="32"/>
          <w:highlight w:val="none"/>
        </w:rPr>
      </w:pPr>
    </w:p>
    <w:p w14:paraId="0B228D16">
      <w:pPr>
        <w:autoSpaceDE w:val="0"/>
        <w:autoSpaceDN w:val="0"/>
        <w:jc w:val="center"/>
        <w:rPr>
          <w:rFonts w:ascii="宋体" w:hAnsi="宋体" w:cs="宋体"/>
          <w:b/>
          <w:color w:val="auto"/>
          <w:spacing w:val="6"/>
          <w:sz w:val="32"/>
          <w:szCs w:val="32"/>
          <w:highlight w:val="none"/>
        </w:rPr>
      </w:pPr>
    </w:p>
    <w:p w14:paraId="727A475F">
      <w:pPr>
        <w:autoSpaceDE w:val="0"/>
        <w:autoSpaceDN w:val="0"/>
        <w:jc w:val="center"/>
        <w:rPr>
          <w:rFonts w:ascii="宋体" w:hAnsi="宋体" w:cs="宋体"/>
          <w:b/>
          <w:color w:val="auto"/>
          <w:spacing w:val="6"/>
          <w:sz w:val="32"/>
          <w:szCs w:val="32"/>
          <w:highlight w:val="none"/>
        </w:rPr>
      </w:pPr>
    </w:p>
    <w:p w14:paraId="0FB39E2E">
      <w:pPr>
        <w:autoSpaceDE w:val="0"/>
        <w:autoSpaceDN w:val="0"/>
        <w:jc w:val="center"/>
        <w:rPr>
          <w:rFonts w:ascii="宋体" w:hAnsi="宋体" w:cs="宋体"/>
          <w:b/>
          <w:color w:val="auto"/>
          <w:spacing w:val="6"/>
          <w:sz w:val="32"/>
          <w:szCs w:val="32"/>
          <w:highlight w:val="none"/>
        </w:rPr>
      </w:pPr>
    </w:p>
    <w:p w14:paraId="5259051B">
      <w:pPr>
        <w:autoSpaceDE w:val="0"/>
        <w:autoSpaceDN w:val="0"/>
        <w:jc w:val="center"/>
        <w:rPr>
          <w:rFonts w:ascii="宋体" w:hAnsi="宋体" w:cs="宋体"/>
          <w:b/>
          <w:color w:val="auto"/>
          <w:spacing w:val="6"/>
          <w:sz w:val="32"/>
          <w:szCs w:val="32"/>
          <w:highlight w:val="none"/>
        </w:rPr>
      </w:pPr>
    </w:p>
    <w:p w14:paraId="3E829A18">
      <w:pPr>
        <w:autoSpaceDE w:val="0"/>
        <w:autoSpaceDN w:val="0"/>
        <w:jc w:val="center"/>
        <w:rPr>
          <w:rFonts w:ascii="宋体" w:hAnsi="宋体" w:cs="宋体"/>
          <w:b/>
          <w:color w:val="auto"/>
          <w:spacing w:val="6"/>
          <w:sz w:val="32"/>
          <w:szCs w:val="32"/>
          <w:highlight w:val="none"/>
        </w:rPr>
      </w:pPr>
    </w:p>
    <w:p w14:paraId="40B79E03">
      <w:pPr>
        <w:snapToGrid w:val="0"/>
        <w:spacing w:line="360" w:lineRule="auto"/>
        <w:ind w:firstLine="3666" w:firstLineChars="1100"/>
        <w:rPr>
          <w:rFonts w:ascii="宋体" w:hAnsi="宋体" w:cs="宋体"/>
          <w:b/>
          <w:color w:val="auto"/>
          <w:spacing w:val="6"/>
          <w:sz w:val="32"/>
          <w:szCs w:val="32"/>
          <w:highlight w:val="none"/>
        </w:rPr>
      </w:pPr>
    </w:p>
    <w:p w14:paraId="178A801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A8B71B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31E73A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A059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HZZR-F241111N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8F6E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B1D4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6A2C7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9B1B0C2">
      <w:pPr>
        <w:rPr>
          <w:color w:val="auto"/>
          <w:highlight w:val="none"/>
        </w:rPr>
      </w:pPr>
      <w:r>
        <w:rPr>
          <w:rFonts w:hint="eastAsia"/>
          <w:color w:val="auto"/>
          <w:highlight w:val="none"/>
          <w:lang w:val="zh-CN"/>
        </w:rPr>
        <w:t xml:space="preserve"> </w:t>
      </w:r>
    </w:p>
    <w:p w14:paraId="42FFC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A70CA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D6A27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3E0F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DF804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0CC4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6B6E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EB5E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6F802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03A27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0172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FC7F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9B6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9CFA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90E30D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C1021E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04D48B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2975A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7892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8168EA">
      <w:pPr>
        <w:autoSpaceDE w:val="0"/>
        <w:autoSpaceDN w:val="0"/>
        <w:jc w:val="center"/>
        <w:rPr>
          <w:rFonts w:ascii="宋体" w:hAnsi="宋体" w:cs="宋体"/>
          <w:b/>
          <w:color w:val="auto"/>
          <w:spacing w:val="6"/>
          <w:sz w:val="32"/>
          <w:szCs w:val="32"/>
          <w:highlight w:val="none"/>
        </w:rPr>
      </w:pPr>
    </w:p>
    <w:p w14:paraId="543F3F52">
      <w:pPr>
        <w:autoSpaceDE w:val="0"/>
        <w:autoSpaceDN w:val="0"/>
        <w:jc w:val="center"/>
        <w:rPr>
          <w:rFonts w:ascii="宋体" w:hAnsi="宋体" w:cs="宋体"/>
          <w:b/>
          <w:color w:val="auto"/>
          <w:spacing w:val="6"/>
          <w:sz w:val="32"/>
          <w:szCs w:val="32"/>
          <w:highlight w:val="none"/>
        </w:rPr>
      </w:pPr>
    </w:p>
    <w:p w14:paraId="424D7829">
      <w:pPr>
        <w:autoSpaceDE w:val="0"/>
        <w:autoSpaceDN w:val="0"/>
        <w:jc w:val="center"/>
        <w:rPr>
          <w:rFonts w:ascii="宋体" w:hAnsi="宋体" w:cs="宋体"/>
          <w:b/>
          <w:color w:val="auto"/>
          <w:spacing w:val="6"/>
          <w:sz w:val="32"/>
          <w:szCs w:val="32"/>
          <w:highlight w:val="none"/>
        </w:rPr>
      </w:pPr>
    </w:p>
    <w:p w14:paraId="4F18D360">
      <w:pPr>
        <w:autoSpaceDE w:val="0"/>
        <w:autoSpaceDN w:val="0"/>
        <w:jc w:val="center"/>
        <w:rPr>
          <w:rFonts w:ascii="宋体" w:hAnsi="宋体" w:cs="宋体"/>
          <w:b/>
          <w:color w:val="auto"/>
          <w:spacing w:val="6"/>
          <w:sz w:val="32"/>
          <w:szCs w:val="32"/>
          <w:highlight w:val="none"/>
        </w:rPr>
      </w:pPr>
    </w:p>
    <w:p w14:paraId="1792DC46">
      <w:pPr>
        <w:autoSpaceDE w:val="0"/>
        <w:autoSpaceDN w:val="0"/>
        <w:jc w:val="center"/>
        <w:rPr>
          <w:rFonts w:ascii="宋体" w:hAnsi="宋体" w:cs="宋体"/>
          <w:b/>
          <w:color w:val="auto"/>
          <w:spacing w:val="6"/>
          <w:sz w:val="32"/>
          <w:szCs w:val="32"/>
          <w:highlight w:val="none"/>
        </w:rPr>
      </w:pPr>
    </w:p>
    <w:p w14:paraId="0C59412A">
      <w:pPr>
        <w:autoSpaceDE w:val="0"/>
        <w:autoSpaceDN w:val="0"/>
        <w:jc w:val="center"/>
        <w:rPr>
          <w:rFonts w:ascii="宋体" w:hAnsi="宋体" w:cs="宋体"/>
          <w:b/>
          <w:color w:val="auto"/>
          <w:spacing w:val="6"/>
          <w:sz w:val="32"/>
          <w:szCs w:val="32"/>
          <w:highlight w:val="none"/>
        </w:rPr>
      </w:pPr>
    </w:p>
    <w:p w14:paraId="07A116D0">
      <w:pPr>
        <w:autoSpaceDE w:val="0"/>
        <w:autoSpaceDN w:val="0"/>
        <w:jc w:val="center"/>
        <w:rPr>
          <w:rFonts w:ascii="宋体" w:hAnsi="宋体" w:cs="宋体"/>
          <w:b/>
          <w:color w:val="auto"/>
          <w:spacing w:val="6"/>
          <w:sz w:val="32"/>
          <w:szCs w:val="32"/>
          <w:highlight w:val="none"/>
        </w:rPr>
      </w:pPr>
    </w:p>
    <w:p w14:paraId="604C81D4">
      <w:pPr>
        <w:autoSpaceDE w:val="0"/>
        <w:autoSpaceDN w:val="0"/>
        <w:jc w:val="center"/>
        <w:rPr>
          <w:rFonts w:ascii="宋体" w:hAnsi="宋体" w:cs="宋体"/>
          <w:b/>
          <w:color w:val="auto"/>
          <w:spacing w:val="6"/>
          <w:sz w:val="32"/>
          <w:szCs w:val="32"/>
          <w:highlight w:val="none"/>
        </w:rPr>
      </w:pPr>
    </w:p>
    <w:p w14:paraId="1D087691">
      <w:pPr>
        <w:autoSpaceDE w:val="0"/>
        <w:autoSpaceDN w:val="0"/>
        <w:jc w:val="center"/>
        <w:rPr>
          <w:rFonts w:ascii="宋体" w:hAnsi="宋体" w:cs="宋体"/>
          <w:b/>
          <w:color w:val="auto"/>
          <w:spacing w:val="6"/>
          <w:sz w:val="32"/>
          <w:szCs w:val="32"/>
          <w:highlight w:val="none"/>
        </w:rPr>
      </w:pPr>
    </w:p>
    <w:p w14:paraId="6ABD1972">
      <w:pPr>
        <w:autoSpaceDE w:val="0"/>
        <w:autoSpaceDN w:val="0"/>
        <w:jc w:val="center"/>
        <w:rPr>
          <w:rFonts w:ascii="宋体" w:hAnsi="宋体" w:cs="宋体"/>
          <w:b/>
          <w:color w:val="auto"/>
          <w:spacing w:val="6"/>
          <w:sz w:val="32"/>
          <w:szCs w:val="32"/>
          <w:highlight w:val="none"/>
        </w:rPr>
      </w:pPr>
    </w:p>
    <w:p w14:paraId="748847E7">
      <w:pPr>
        <w:autoSpaceDE w:val="0"/>
        <w:autoSpaceDN w:val="0"/>
        <w:jc w:val="center"/>
        <w:rPr>
          <w:rFonts w:ascii="宋体" w:hAnsi="宋体" w:cs="宋体"/>
          <w:b/>
          <w:color w:val="auto"/>
          <w:spacing w:val="6"/>
          <w:sz w:val="32"/>
          <w:szCs w:val="32"/>
          <w:highlight w:val="none"/>
        </w:rPr>
      </w:pPr>
    </w:p>
    <w:p w14:paraId="1211DDF5">
      <w:pPr>
        <w:autoSpaceDE w:val="0"/>
        <w:autoSpaceDN w:val="0"/>
        <w:jc w:val="center"/>
        <w:rPr>
          <w:rFonts w:ascii="宋体" w:hAnsi="宋体" w:cs="宋体"/>
          <w:b/>
          <w:color w:val="auto"/>
          <w:spacing w:val="6"/>
          <w:sz w:val="32"/>
          <w:szCs w:val="32"/>
          <w:highlight w:val="none"/>
        </w:rPr>
      </w:pPr>
    </w:p>
    <w:p w14:paraId="5140B7E2">
      <w:pPr>
        <w:autoSpaceDE w:val="0"/>
        <w:autoSpaceDN w:val="0"/>
        <w:jc w:val="center"/>
        <w:rPr>
          <w:rFonts w:ascii="宋体" w:hAnsi="宋体" w:cs="宋体"/>
          <w:b/>
          <w:color w:val="auto"/>
          <w:spacing w:val="6"/>
          <w:sz w:val="32"/>
          <w:szCs w:val="32"/>
          <w:highlight w:val="none"/>
        </w:rPr>
      </w:pPr>
    </w:p>
    <w:p w14:paraId="180742DB">
      <w:pPr>
        <w:autoSpaceDE w:val="0"/>
        <w:autoSpaceDN w:val="0"/>
        <w:jc w:val="center"/>
        <w:rPr>
          <w:rFonts w:ascii="宋体" w:hAnsi="宋体" w:cs="宋体"/>
          <w:b/>
          <w:color w:val="auto"/>
          <w:spacing w:val="6"/>
          <w:sz w:val="32"/>
          <w:szCs w:val="32"/>
          <w:highlight w:val="none"/>
        </w:rPr>
      </w:pPr>
    </w:p>
    <w:p w14:paraId="35FCDEB1">
      <w:pPr>
        <w:autoSpaceDE w:val="0"/>
        <w:autoSpaceDN w:val="0"/>
        <w:jc w:val="center"/>
        <w:rPr>
          <w:rFonts w:ascii="宋体" w:hAnsi="宋体" w:cs="宋体"/>
          <w:b/>
          <w:color w:val="auto"/>
          <w:spacing w:val="6"/>
          <w:sz w:val="32"/>
          <w:szCs w:val="32"/>
          <w:highlight w:val="none"/>
        </w:rPr>
      </w:pPr>
    </w:p>
    <w:p w14:paraId="3E601A05">
      <w:pPr>
        <w:autoSpaceDE w:val="0"/>
        <w:autoSpaceDN w:val="0"/>
        <w:jc w:val="center"/>
        <w:rPr>
          <w:rFonts w:ascii="宋体" w:hAnsi="宋体" w:cs="宋体"/>
          <w:b/>
          <w:color w:val="auto"/>
          <w:spacing w:val="6"/>
          <w:sz w:val="32"/>
          <w:szCs w:val="32"/>
          <w:highlight w:val="none"/>
        </w:rPr>
      </w:pPr>
    </w:p>
    <w:p w14:paraId="75F94FFD">
      <w:pPr>
        <w:autoSpaceDE w:val="0"/>
        <w:autoSpaceDN w:val="0"/>
        <w:jc w:val="center"/>
        <w:rPr>
          <w:rFonts w:ascii="宋体" w:hAnsi="宋体" w:cs="宋体"/>
          <w:b/>
          <w:color w:val="auto"/>
          <w:spacing w:val="6"/>
          <w:sz w:val="32"/>
          <w:szCs w:val="32"/>
          <w:highlight w:val="none"/>
        </w:rPr>
      </w:pPr>
    </w:p>
    <w:p w14:paraId="29DAF81A">
      <w:pPr>
        <w:autoSpaceDE w:val="0"/>
        <w:autoSpaceDN w:val="0"/>
        <w:jc w:val="center"/>
        <w:rPr>
          <w:rFonts w:ascii="宋体" w:hAnsi="宋体" w:cs="宋体"/>
          <w:b/>
          <w:color w:val="auto"/>
          <w:spacing w:val="6"/>
          <w:sz w:val="32"/>
          <w:szCs w:val="32"/>
          <w:highlight w:val="none"/>
        </w:rPr>
      </w:pPr>
    </w:p>
    <w:p w14:paraId="55220AB0">
      <w:pPr>
        <w:autoSpaceDE w:val="0"/>
        <w:autoSpaceDN w:val="0"/>
        <w:jc w:val="center"/>
        <w:rPr>
          <w:rFonts w:ascii="宋体" w:hAnsi="宋体" w:cs="宋体"/>
          <w:b/>
          <w:color w:val="auto"/>
          <w:spacing w:val="6"/>
          <w:sz w:val="32"/>
          <w:szCs w:val="32"/>
          <w:highlight w:val="none"/>
        </w:rPr>
      </w:pPr>
    </w:p>
    <w:p w14:paraId="488860D6">
      <w:pPr>
        <w:autoSpaceDE w:val="0"/>
        <w:autoSpaceDN w:val="0"/>
        <w:jc w:val="center"/>
        <w:rPr>
          <w:rFonts w:ascii="宋体" w:hAnsi="宋体" w:cs="宋体"/>
          <w:b/>
          <w:color w:val="auto"/>
          <w:spacing w:val="6"/>
          <w:sz w:val="32"/>
          <w:szCs w:val="32"/>
          <w:highlight w:val="none"/>
        </w:rPr>
      </w:pPr>
    </w:p>
    <w:p w14:paraId="1FE2DB1A">
      <w:pPr>
        <w:autoSpaceDE w:val="0"/>
        <w:autoSpaceDN w:val="0"/>
        <w:jc w:val="center"/>
        <w:rPr>
          <w:rFonts w:ascii="宋体" w:hAnsi="宋体" w:cs="宋体"/>
          <w:b/>
          <w:color w:val="auto"/>
          <w:spacing w:val="6"/>
          <w:sz w:val="32"/>
          <w:szCs w:val="32"/>
          <w:highlight w:val="none"/>
        </w:rPr>
      </w:pPr>
    </w:p>
    <w:p w14:paraId="73F39CB7">
      <w:pPr>
        <w:autoSpaceDE w:val="0"/>
        <w:autoSpaceDN w:val="0"/>
        <w:jc w:val="center"/>
        <w:rPr>
          <w:rFonts w:ascii="宋体" w:hAnsi="宋体" w:cs="宋体"/>
          <w:b/>
          <w:color w:val="auto"/>
          <w:spacing w:val="6"/>
          <w:sz w:val="32"/>
          <w:szCs w:val="32"/>
          <w:highlight w:val="none"/>
        </w:rPr>
      </w:pPr>
    </w:p>
    <w:p w14:paraId="77243FC0">
      <w:pPr>
        <w:autoSpaceDE w:val="0"/>
        <w:autoSpaceDN w:val="0"/>
        <w:jc w:val="center"/>
        <w:rPr>
          <w:rFonts w:ascii="宋体" w:hAnsi="宋体" w:cs="宋体"/>
          <w:b/>
          <w:color w:val="auto"/>
          <w:spacing w:val="6"/>
          <w:sz w:val="32"/>
          <w:szCs w:val="32"/>
          <w:highlight w:val="none"/>
        </w:rPr>
      </w:pPr>
    </w:p>
    <w:p w14:paraId="4E1E9C18">
      <w:pPr>
        <w:autoSpaceDE w:val="0"/>
        <w:autoSpaceDN w:val="0"/>
        <w:jc w:val="center"/>
        <w:rPr>
          <w:rFonts w:ascii="宋体" w:hAnsi="宋体" w:cs="宋体"/>
          <w:b/>
          <w:color w:val="auto"/>
          <w:spacing w:val="6"/>
          <w:sz w:val="32"/>
          <w:szCs w:val="32"/>
          <w:highlight w:val="none"/>
        </w:rPr>
      </w:pPr>
    </w:p>
    <w:p w14:paraId="4F3316D6">
      <w:pPr>
        <w:autoSpaceDE w:val="0"/>
        <w:autoSpaceDN w:val="0"/>
        <w:jc w:val="center"/>
        <w:rPr>
          <w:rFonts w:ascii="宋体" w:hAnsi="宋体" w:cs="宋体"/>
          <w:b/>
          <w:color w:val="auto"/>
          <w:spacing w:val="6"/>
          <w:sz w:val="32"/>
          <w:szCs w:val="32"/>
          <w:highlight w:val="none"/>
        </w:rPr>
      </w:pPr>
    </w:p>
    <w:p w14:paraId="1DE0986D">
      <w:pPr>
        <w:autoSpaceDE w:val="0"/>
        <w:autoSpaceDN w:val="0"/>
        <w:jc w:val="center"/>
        <w:rPr>
          <w:rFonts w:ascii="宋体" w:hAnsi="宋体" w:cs="宋体"/>
          <w:b/>
          <w:color w:val="auto"/>
          <w:spacing w:val="6"/>
          <w:sz w:val="32"/>
          <w:szCs w:val="32"/>
          <w:highlight w:val="none"/>
        </w:rPr>
      </w:pPr>
    </w:p>
    <w:p w14:paraId="1618D72B">
      <w:pPr>
        <w:autoSpaceDE w:val="0"/>
        <w:autoSpaceDN w:val="0"/>
        <w:jc w:val="center"/>
        <w:rPr>
          <w:rFonts w:ascii="宋体" w:hAnsi="宋体" w:cs="宋体"/>
          <w:b/>
          <w:color w:val="auto"/>
          <w:spacing w:val="6"/>
          <w:sz w:val="32"/>
          <w:szCs w:val="32"/>
          <w:highlight w:val="none"/>
        </w:rPr>
      </w:pPr>
    </w:p>
    <w:p w14:paraId="09E6104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E2992EB">
      <w:pPr>
        <w:spacing w:line="360" w:lineRule="auto"/>
        <w:jc w:val="center"/>
        <w:rPr>
          <w:rFonts w:ascii="宋体" w:hAnsi="宋体" w:cs="宋体"/>
          <w:color w:val="auto"/>
          <w:sz w:val="24"/>
          <w:highlight w:val="none"/>
          <w:u w:val="single"/>
        </w:rPr>
      </w:pPr>
    </w:p>
    <w:p w14:paraId="31372FB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351021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余杭区公物仓外包运营管理服务采购项目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616D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ED914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余杭区公物仓外包运营管理服务采购项目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563C2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B476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E67E2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9E6762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66808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474F0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EF27FFB">
      <w:pPr>
        <w:spacing w:line="360" w:lineRule="auto"/>
        <w:ind w:right="420"/>
        <w:rPr>
          <w:rFonts w:ascii="宋体" w:hAnsi="宋体" w:cs="宋体"/>
          <w:color w:val="auto"/>
          <w:sz w:val="24"/>
          <w:highlight w:val="none"/>
        </w:rPr>
      </w:pPr>
    </w:p>
    <w:p w14:paraId="74E0C2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375D7D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cs="宋体"/>
          <w:color w:val="auto"/>
          <w:sz w:val="24"/>
          <w:highlight w:val="none"/>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lang w:eastAsia="zh-CN"/>
        </w:rPr>
        <w:t>②</w:t>
      </w:r>
      <w:r>
        <w:rPr>
          <w:rFonts w:hint="eastAsia" w:ascii="宋体" w:hAnsi="宋体" w:eastAsia="宋体" w:cs="宋体"/>
          <w:i w:val="0"/>
          <w:caps w:val="0"/>
          <w:color w:val="auto"/>
          <w:spacing w:val="0"/>
          <w:sz w:val="24"/>
          <w:szCs w:val="24"/>
          <w:highlight w:val="none"/>
          <w:shd w:val="clear"/>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p>
    <w:p w14:paraId="726BD1A5">
      <w:pPr>
        <w:pStyle w:val="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5E285C">
      <w:pPr>
        <w:spacing w:line="360" w:lineRule="auto"/>
        <w:ind w:right="420"/>
        <w:rPr>
          <w:rFonts w:ascii="宋体" w:hAnsi="宋体" w:cs="宋体"/>
          <w:color w:val="auto"/>
          <w:highlight w:val="none"/>
        </w:rPr>
      </w:pPr>
    </w:p>
    <w:p w14:paraId="5DB8B73F">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国标宋体">
    <w:altName w:val="宋体"/>
    <w:panose1 w:val="02000500000000000000"/>
    <w:charset w:val="86"/>
    <w:family w:val="auto"/>
    <w:pitch w:val="default"/>
    <w:sig w:usb0="00000000" w:usb1="00000000" w:usb2="00000000" w:usb3="00000000" w:csb0="00060007"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B8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EEC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D40F">
    <w:pPr>
      <w:pStyle w:val="41"/>
      <w:framePr w:wrap="around" w:vAnchor="text" w:hAnchor="margin" w:xAlign="right" w:y="1"/>
      <w:rPr>
        <w:rStyle w:val="74"/>
      </w:rPr>
    </w:pPr>
    <w:r>
      <w:fldChar w:fldCharType="begin"/>
    </w:r>
    <w:r>
      <w:rPr>
        <w:rStyle w:val="74"/>
      </w:rPr>
      <w:instrText xml:space="preserve">PAGE  </w:instrText>
    </w:r>
    <w:r>
      <w:fldChar w:fldCharType="end"/>
    </w:r>
  </w:p>
  <w:p w14:paraId="71EE740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5ED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131845147"/>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D6A2">
    <w:pPr>
      <w:pStyle w:val="41"/>
      <w:framePr w:wrap="around" w:vAnchor="text" w:hAnchor="margin" w:xAlign="right" w:y="1"/>
      <w:rPr>
        <w:rStyle w:val="74"/>
      </w:rPr>
    </w:pPr>
    <w:r>
      <w:fldChar w:fldCharType="begin"/>
    </w:r>
    <w:r>
      <w:rPr>
        <w:rStyle w:val="74"/>
      </w:rPr>
      <w:instrText xml:space="preserve">PAGE  </w:instrText>
    </w:r>
    <w:r>
      <w:fldChar w:fldCharType="end"/>
    </w:r>
  </w:p>
  <w:p w14:paraId="23E5770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2E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30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A29C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FF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6405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7F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565A1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2C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AF42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7A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1C11A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D2CDC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408F">
    <w:pPr>
      <w:pStyle w:val="42"/>
      <w:pBdr>
        <w:bottom w:val="single" w:color="auto" w:sz="6" w:space="4"/>
      </w:pBdr>
      <w:jc w:val="right"/>
    </w:pPr>
    <w:r>
      <w:t></w:t>
    </w:r>
    <w:r>
      <w:rPr>
        <w:rFonts w:hint="eastAsia"/>
      </w:rPr>
      <w:t xml:space="preserve">             </w:t>
    </w:r>
    <w:r>
      <w:t>杭州市政府采购公开招标文件</w:t>
    </w:r>
  </w:p>
  <w:p w14:paraId="5F0B5E0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77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FD3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5224">
    <w:pPr>
      <w:pStyle w:val="42"/>
      <w:rPr>
        <w:rFonts w:ascii="仿宋_GB2312" w:eastAsia="仿宋_GB2312"/>
        <w:b/>
        <w:i/>
        <w:u w:val="single"/>
      </w:rPr>
    </w:pPr>
    <w:r>
      <w:t></w:t>
    </w:r>
    <w:r>
      <w:rPr>
        <w:rFonts w:hint="eastAsia"/>
      </w:rPr>
      <w:t xml:space="preserve">                                                  </w:t>
    </w:r>
    <w:r>
      <w:t xml:space="preserve">             杭州市政府采购公开招标文件</w:t>
    </w:r>
  </w:p>
  <w:p w14:paraId="7FF778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D7CC">
    <w:pPr>
      <w:pStyle w:val="42"/>
    </w:pPr>
    <w:r>
      <w:t></w:t>
    </w:r>
    <w:r>
      <w:rPr>
        <w:rFonts w:hint="eastAsia"/>
      </w:rPr>
      <w:t xml:space="preserve">         </w:t>
    </w:r>
  </w:p>
  <w:p w14:paraId="73C43AC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C404">
    <w:pPr>
      <w:pStyle w:val="42"/>
      <w:rPr>
        <w:rFonts w:ascii="仿宋_GB2312" w:eastAsia="仿宋_GB2312"/>
        <w:b/>
        <w:i/>
        <w:u w:val="single"/>
      </w:rPr>
    </w:pPr>
    <w:r>
      <w:t></w:t>
    </w:r>
    <w:r>
      <w:rPr>
        <w:rFonts w:hint="eastAsia"/>
      </w:rPr>
      <w:t xml:space="preserve">                                                  </w:t>
    </w:r>
    <w:r>
      <w:t>杭州市政府采购公开招标文件</w:t>
    </w:r>
  </w:p>
  <w:p w14:paraId="4F95D54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A6A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870A">
    <w:pPr>
      <w:pStyle w:val="42"/>
      <w:jc w:val="right"/>
      <w:rPr>
        <w:rFonts w:ascii="仿宋_GB2312" w:eastAsia="仿宋_GB2312"/>
        <w:b/>
        <w:i/>
        <w:u w:val="single"/>
      </w:rPr>
    </w:pPr>
    <w:r>
      <w:rPr>
        <w:rFonts w:hint="eastAsia"/>
      </w:rPr>
      <w:t xml:space="preserve">                                  </w:t>
    </w:r>
    <w:r>
      <w:t>杭州市政府采购公开招标文件</w:t>
    </w:r>
  </w:p>
  <w:p w14:paraId="23B7ED1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16A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556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EBB3C"/>
    <w:multiLevelType w:val="singleLevel"/>
    <w:tmpl w:val="B36EBB3C"/>
    <w:lvl w:ilvl="0" w:tentative="0">
      <w:start w:val="1"/>
      <w:numFmt w:val="decimal"/>
      <w:suff w:val="nothing"/>
      <w:lvlText w:val="（%1）"/>
      <w:lvlJc w:val="left"/>
    </w:lvl>
  </w:abstractNum>
  <w:abstractNum w:abstractNumId="1">
    <w:nsid w:val="E4425442"/>
    <w:multiLevelType w:val="singleLevel"/>
    <w:tmpl w:val="E4425442"/>
    <w:lvl w:ilvl="0" w:tentative="0">
      <w:start w:val="5"/>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7189DB7"/>
    <w:multiLevelType w:val="singleLevel"/>
    <w:tmpl w:val="67189DB7"/>
    <w:lvl w:ilvl="0" w:tentative="0">
      <w:start w:val="1"/>
      <w:numFmt w:val="decimal"/>
      <w:suff w:val="nothing"/>
      <w:lvlText w:val="%1."/>
      <w:lvlJc w:val="left"/>
    </w:lvl>
  </w:abstractNum>
  <w:abstractNum w:abstractNumId="5">
    <w:nsid w:val="672989DB"/>
    <w:multiLevelType w:val="singleLevel"/>
    <w:tmpl w:val="672989DB"/>
    <w:lvl w:ilvl="0" w:tentative="0">
      <w:start w:val="8"/>
      <w:numFmt w:val="decimal"/>
      <w:suff w:val="nothing"/>
      <w:lvlText w:val="%1、"/>
      <w:lvlJc w:val="left"/>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B43EC"/>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31A10"/>
    <w:rsid w:val="1F5771FF"/>
    <w:rsid w:val="1FD52DD5"/>
    <w:rsid w:val="1FE868A9"/>
    <w:rsid w:val="20034907"/>
    <w:rsid w:val="20173E4B"/>
    <w:rsid w:val="204E48BC"/>
    <w:rsid w:val="208921B3"/>
    <w:rsid w:val="20973DEB"/>
    <w:rsid w:val="20B26522"/>
    <w:rsid w:val="20B44310"/>
    <w:rsid w:val="20F71223"/>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5519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C1D2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25C2"/>
    <w:rsid w:val="49F6167F"/>
    <w:rsid w:val="4A064FA0"/>
    <w:rsid w:val="4A16615C"/>
    <w:rsid w:val="4A4424D7"/>
    <w:rsid w:val="4AB82D0F"/>
    <w:rsid w:val="4AEB7664"/>
    <w:rsid w:val="4AFD7C19"/>
    <w:rsid w:val="4B0567D1"/>
    <w:rsid w:val="4B236AAE"/>
    <w:rsid w:val="4B65492A"/>
    <w:rsid w:val="4B707271"/>
    <w:rsid w:val="4B9739F7"/>
    <w:rsid w:val="4BCC2A1A"/>
    <w:rsid w:val="4BEE2503"/>
    <w:rsid w:val="4C245A30"/>
    <w:rsid w:val="4CB6685F"/>
    <w:rsid w:val="4CC367FE"/>
    <w:rsid w:val="4D077F3C"/>
    <w:rsid w:val="4D123355"/>
    <w:rsid w:val="4D2A3B31"/>
    <w:rsid w:val="4D312C52"/>
    <w:rsid w:val="4D905305"/>
    <w:rsid w:val="4D964A72"/>
    <w:rsid w:val="4D9C1254"/>
    <w:rsid w:val="4DD276C3"/>
    <w:rsid w:val="4E793892"/>
    <w:rsid w:val="4E800872"/>
    <w:rsid w:val="4EC569ED"/>
    <w:rsid w:val="4ED50EA1"/>
    <w:rsid w:val="4EEC050C"/>
    <w:rsid w:val="4F104EC3"/>
    <w:rsid w:val="4F167C24"/>
    <w:rsid w:val="4F47354A"/>
    <w:rsid w:val="4F6D4A83"/>
    <w:rsid w:val="4F911C54"/>
    <w:rsid w:val="4FC77571"/>
    <w:rsid w:val="4FE625E0"/>
    <w:rsid w:val="5021480F"/>
    <w:rsid w:val="50962ECB"/>
    <w:rsid w:val="50A42E38"/>
    <w:rsid w:val="50A4577F"/>
    <w:rsid w:val="50B52C6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33EF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466A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84D75"/>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1141FD"/>
    <w:rsid w:val="71360107"/>
    <w:rsid w:val="713B688E"/>
    <w:rsid w:val="714E786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9075D"/>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F5232"/>
    <w:rsid w:val="78775729"/>
    <w:rsid w:val="78A42DB0"/>
    <w:rsid w:val="78A656AB"/>
    <w:rsid w:val="78B2245C"/>
    <w:rsid w:val="78E172CC"/>
    <w:rsid w:val="78EA1D1F"/>
    <w:rsid w:val="7904172F"/>
    <w:rsid w:val="790F7E27"/>
    <w:rsid w:val="792A231A"/>
    <w:rsid w:val="79316829"/>
    <w:rsid w:val="797D410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362C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A34EA5"/>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unhideWhenUsed/>
    <w:qFormat/>
    <w:uiPriority w:val="99"/>
    <w:pPr>
      <w:spacing w:line="360" w:lineRule="auto"/>
      <w:ind w:left="1400" w:leftChars="1400"/>
    </w:pPr>
    <w:rPr>
      <w:rFonts w:eastAsia="楷体_GB2312"/>
      <w:sz w:val="24"/>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78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4"/>
    <w:qFormat/>
    <w:uiPriority w:val="0"/>
    <w:rPr>
      <w:b/>
      <w:bCs/>
    </w:rPr>
  </w:style>
  <w:style w:type="paragraph" w:styleId="62">
    <w:name w:val="Body Text First Indent"/>
    <w:basedOn w:val="25"/>
    <w:link w:val="836"/>
    <w:qFormat/>
    <w:uiPriority w:val="0"/>
    <w:pPr>
      <w:ind w:firstLine="420"/>
    </w:pPr>
    <w:rPr>
      <w:rFonts w:hAnsi="Calibri" w:cs="Times New Roman"/>
      <w:szCs w:val="20"/>
    </w:rPr>
  </w:style>
  <w:style w:type="paragraph" w:styleId="63">
    <w:name w:val="Body Text First Indent 2"/>
    <w:basedOn w:val="26"/>
    <w:link w:val="65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next w:val="16"/>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3"/>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_Style 50"/>
    <w:basedOn w:val="1"/>
    <w:next w:val="103"/>
    <w:qFormat/>
    <w:uiPriority w:val="0"/>
    <w:pPr>
      <w:spacing w:line="240" w:lineRule="auto"/>
      <w:ind w:firstLine="200" w:firstLineChars="200"/>
    </w:pPr>
    <w:rPr>
      <w:rFonts w:ascii="宋体" w:hAnsi="Times New Roman" w:eastAsia="宋体"/>
      <w:sz w:val="24"/>
      <w:lang w:val="zh-CN"/>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1"/>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1"/>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Char"/>
    <w:link w:val="6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1"/>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5">
    <w:name w:val="gray6"/>
    <w:basedOn w:val="71"/>
    <w:qFormat/>
    <w:uiPriority w:val="0"/>
    <w:rPr>
      <w:rFonts w:ascii="Arial" w:hAnsi="Arial" w:eastAsia="黑体" w:cs="Arial"/>
      <w:snapToGrid w:val="0"/>
      <w:kern w:val="0"/>
      <w:szCs w:val="21"/>
    </w:rPr>
  </w:style>
  <w:style w:type="character" w:customStyle="1" w:styleId="936">
    <w:name w:val="hui"/>
    <w:basedOn w:val="71"/>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9"/>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25737</Words>
  <Characters>27137</Characters>
  <Lines>281</Lines>
  <Paragraphs>79</Paragraphs>
  <TotalTime>44</TotalTime>
  <ScaleCrop>false</ScaleCrop>
  <LinksUpToDate>false</LinksUpToDate>
  <CharactersWithSpaces>27686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MR.BEAR</cp:lastModifiedBy>
  <cp:lastPrinted>2021-12-27T11:06:00Z</cp:lastPrinted>
  <dcterms:modified xsi:type="dcterms:W3CDTF">2024-11-25T07:48:46Z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