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pPr>
        <w:adjustRightInd/>
        <w:spacing w:line="360" w:lineRule="auto"/>
        <w:jc w:val="center"/>
        <w:rPr>
          <w:rFonts w:hint="eastAsia" w:ascii="仿宋" w:hAnsi="仿宋" w:eastAsia="仿宋" w:cs="仿宋"/>
          <w:b/>
          <w:color w:val="000000" w:themeColor="text1"/>
          <w:sz w:val="44"/>
          <w:szCs w:val="44"/>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z w:val="44"/>
          <w:szCs w:val="44"/>
          <w:highlight w:val="none"/>
          <w14:textFill>
            <w14:solidFill>
              <w14:schemeClr w14:val="tx1"/>
            </w14:solidFill>
          </w14:textFill>
        </w:rPr>
      </w:pPr>
    </w:p>
    <w:p>
      <w:pPr>
        <w:adjustRightInd/>
        <w:spacing w:line="360" w:lineRule="auto"/>
        <w:jc w:val="center"/>
        <w:rPr>
          <w:rFonts w:hint="eastAsia" w:ascii="仿宋" w:hAnsi="仿宋" w:eastAsia="仿宋" w:cs="仿宋"/>
          <w:b/>
          <w:color w:val="000000" w:themeColor="text1"/>
          <w:sz w:val="48"/>
          <w:szCs w:val="48"/>
          <w:highlight w:val="none"/>
          <w14:textFill>
            <w14:solidFill>
              <w14:schemeClr w14:val="tx1"/>
            </w14:solidFill>
          </w14:textFill>
        </w:rPr>
      </w:pPr>
    </w:p>
    <w:p>
      <w:pPr>
        <w:adjustRightInd/>
        <w:spacing w:line="360" w:lineRule="auto"/>
        <w:jc w:val="center"/>
        <w:rPr>
          <w:rFonts w:hint="eastAsia" w:ascii="仿宋" w:hAnsi="仿宋" w:eastAsia="仿宋" w:cs="仿宋"/>
          <w:color w:val="000000" w:themeColor="text1"/>
          <w:sz w:val="48"/>
          <w:szCs w:val="48"/>
          <w:highlight w:val="none"/>
          <w14:textFill>
            <w14:solidFill>
              <w14:schemeClr w14:val="tx1"/>
            </w14:solidFill>
          </w14:textFill>
        </w:rPr>
      </w:pPr>
      <w:r>
        <w:rPr>
          <w:rFonts w:hint="eastAsia" w:ascii="仿宋" w:hAnsi="仿宋" w:eastAsia="仿宋" w:cs="仿宋"/>
          <w:color w:val="000000" w:themeColor="text1"/>
          <w:sz w:val="48"/>
          <w:szCs w:val="48"/>
          <w:highlight w:val="none"/>
          <w14:textFill>
            <w14:solidFill>
              <w14:schemeClr w14:val="tx1"/>
            </w14:solidFill>
          </w14:textFill>
        </w:rPr>
        <w:t>五常街道机关、社区及平安巡防大队</w:t>
      </w:r>
    </w:p>
    <w:p>
      <w:pPr>
        <w:adjustRightInd/>
        <w:spacing w:line="360" w:lineRule="auto"/>
        <w:jc w:val="center"/>
        <w:rPr>
          <w:rFonts w:hint="eastAsia" w:ascii="仿宋" w:hAnsi="仿宋" w:eastAsia="仿宋" w:cs="仿宋"/>
          <w:color w:val="000000" w:themeColor="text1"/>
          <w:sz w:val="48"/>
          <w:szCs w:val="48"/>
          <w:highlight w:val="none"/>
          <w14:textFill>
            <w14:solidFill>
              <w14:schemeClr w14:val="tx1"/>
            </w14:solidFill>
          </w14:textFill>
        </w:rPr>
      </w:pPr>
      <w:r>
        <w:rPr>
          <w:rFonts w:hint="eastAsia" w:ascii="仿宋" w:hAnsi="仿宋" w:eastAsia="仿宋" w:cs="仿宋"/>
          <w:color w:val="000000" w:themeColor="text1"/>
          <w:sz w:val="48"/>
          <w:szCs w:val="48"/>
          <w:highlight w:val="none"/>
          <w14:textFill>
            <w14:solidFill>
              <w14:schemeClr w14:val="tx1"/>
            </w14:solidFill>
          </w14:textFill>
        </w:rPr>
        <w:t>工会会员疗休养项目</w:t>
      </w:r>
    </w:p>
    <w:p>
      <w:pPr>
        <w:adjustRightInd/>
        <w:spacing w:line="360" w:lineRule="auto"/>
        <w:jc w:val="center"/>
        <w:rPr>
          <w:rFonts w:hint="eastAsia" w:ascii="仿宋" w:hAnsi="仿宋" w:eastAsia="仿宋" w:cs="仿宋"/>
          <w:color w:val="000000" w:themeColor="text1"/>
          <w:sz w:val="48"/>
          <w:szCs w:val="48"/>
          <w:highlight w:val="none"/>
          <w14:textFill>
            <w14:solidFill>
              <w14:schemeClr w14:val="tx1"/>
            </w14:solidFill>
          </w14:textFill>
        </w:rPr>
      </w:pPr>
      <w:r>
        <w:rPr>
          <w:rFonts w:hint="eastAsia" w:ascii="仿宋" w:hAnsi="仿宋" w:eastAsia="仿宋" w:cs="仿宋"/>
          <w:color w:val="000000" w:themeColor="text1"/>
          <w:sz w:val="48"/>
          <w:szCs w:val="48"/>
          <w:highlight w:val="none"/>
          <w14:textFill>
            <w14:solidFill>
              <w14:schemeClr w14:val="tx1"/>
            </w14:solidFill>
          </w14:textFill>
        </w:rPr>
        <w:t xml:space="preserve">招标文件             </w:t>
      </w:r>
    </w:p>
    <w:p>
      <w:pPr>
        <w:adjustRightInd/>
        <w:spacing w:line="360" w:lineRule="auto"/>
        <w:jc w:val="center"/>
        <w:rPr>
          <w:rFonts w:hint="eastAsia" w:ascii="仿宋" w:hAnsi="仿宋" w:eastAsia="仿宋" w:cs="仿宋"/>
          <w:b/>
          <w:color w:val="000000" w:themeColor="text1"/>
          <w:sz w:val="44"/>
          <w:szCs w:val="44"/>
          <w:highlight w:val="none"/>
          <w14:textFill>
            <w14:solidFill>
              <w14:schemeClr w14:val="tx1"/>
            </w14:solidFill>
          </w14:textFill>
        </w:rPr>
      </w:pPr>
      <w:r>
        <w:rPr>
          <w:rFonts w:hint="eastAsia" w:ascii="仿宋" w:hAnsi="仿宋" w:eastAsia="仿宋" w:cs="仿宋"/>
          <w:b/>
          <w:color w:val="000000" w:themeColor="text1"/>
          <w:sz w:val="44"/>
          <w:szCs w:val="44"/>
          <w:highlight w:val="none"/>
          <w14:textFill>
            <w14:solidFill>
              <w14:schemeClr w14:val="tx1"/>
            </w14:solidFill>
          </w14:textFill>
        </w:rPr>
        <w:t xml:space="preserve"> （电子招投标）</w:t>
      </w:r>
    </w:p>
    <w:p>
      <w:pPr>
        <w:snapToGrid w:val="0"/>
        <w:spacing w:line="360" w:lineRule="auto"/>
        <w:jc w:val="center"/>
        <w:rPr>
          <w:rFonts w:hint="default" w:ascii="仿宋" w:hAnsi="仿宋" w:eastAsia="仿宋" w:cs="仿宋"/>
          <w:color w:val="000000" w:themeColor="text1"/>
          <w:sz w:val="30"/>
          <w:szCs w:val="30"/>
          <w:highlight w:val="none"/>
          <w:lang w:val="en-US" w:eastAsia="zh-CN"/>
          <w14:textFill>
            <w14:solidFill>
              <w14:schemeClr w14:val="tx1"/>
            </w14:solidFill>
          </w14:textFill>
        </w:rPr>
      </w:pPr>
      <w:r>
        <w:rPr>
          <w:rFonts w:hint="eastAsia" w:ascii="仿宋" w:hAnsi="仿宋" w:eastAsia="仿宋" w:cs="仿宋"/>
          <w:color w:val="000000" w:themeColor="text1"/>
          <w:sz w:val="30"/>
          <w:szCs w:val="30"/>
          <w:highlight w:val="none"/>
          <w14:textFill>
            <w14:solidFill>
              <w14:schemeClr w14:val="tx1"/>
            </w14:solidFill>
          </w14:textFill>
        </w:rPr>
        <w:t>编号:HRXZZFCG-2025-</w:t>
      </w:r>
      <w:r>
        <w:rPr>
          <w:rFonts w:hint="eastAsia" w:ascii="仿宋" w:hAnsi="仿宋" w:eastAsia="仿宋" w:cs="仿宋"/>
          <w:color w:val="000000" w:themeColor="text1"/>
          <w:sz w:val="30"/>
          <w:szCs w:val="30"/>
          <w:highlight w:val="none"/>
          <w:lang w:val="en-US" w:eastAsia="zh-CN"/>
          <w14:textFill>
            <w14:solidFill>
              <w14:schemeClr w14:val="tx1"/>
            </w14:solidFill>
          </w14:textFill>
        </w:rPr>
        <w:t>015</w:t>
      </w:r>
    </w:p>
    <w:p>
      <w:pPr>
        <w:adjustRightInd/>
        <w:spacing w:line="360" w:lineRule="auto"/>
        <w:rPr>
          <w:rFonts w:hint="eastAsia" w:ascii="仿宋" w:hAnsi="仿宋" w:eastAsia="仿宋" w:cs="仿宋"/>
          <w:color w:val="000000" w:themeColor="text1"/>
          <w:sz w:val="28"/>
          <w:szCs w:val="20"/>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z w:val="44"/>
          <w:szCs w:val="44"/>
          <w:highlight w:val="none"/>
          <w14:textFill>
            <w14:solidFill>
              <w14:schemeClr w14:val="tx1"/>
            </w14:solidFill>
          </w14:textFill>
        </w:rPr>
      </w:pPr>
      <w:r>
        <w:rPr>
          <w:rFonts w:hint="eastAsia" w:ascii="仿宋" w:hAnsi="仿宋" w:eastAsia="仿宋" w:cs="仿宋"/>
          <w:b/>
          <w:color w:val="000000" w:themeColor="text1"/>
          <w:sz w:val="44"/>
          <w:szCs w:val="44"/>
          <w:highlight w:val="none"/>
          <w14:textFill>
            <w14:solidFill>
              <w14:schemeClr w14:val="tx1"/>
            </w14:solidFill>
          </w14:textFill>
        </w:rPr>
        <w:t xml:space="preserve"> </w:t>
      </w:r>
    </w:p>
    <w:p>
      <w:pPr>
        <w:spacing w:line="360" w:lineRule="auto"/>
        <w:jc w:val="center"/>
        <w:rPr>
          <w:rFonts w:hint="eastAsia" w:ascii="仿宋" w:hAnsi="仿宋" w:eastAsia="仿宋" w:cs="仿宋"/>
          <w:b/>
          <w:color w:val="000000" w:themeColor="text1"/>
          <w:sz w:val="44"/>
          <w:szCs w:val="44"/>
          <w:highlight w:val="none"/>
          <w14:textFill>
            <w14:solidFill>
              <w14:schemeClr w14:val="tx1"/>
            </w14:solidFill>
          </w14:textFill>
        </w:rPr>
      </w:pPr>
    </w:p>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pacing w:line="360" w:lineRule="auto"/>
        <w:rPr>
          <w:rFonts w:hint="eastAsia" w:ascii="仿宋" w:hAnsi="仿宋" w:eastAsia="仿宋" w:cs="仿宋"/>
          <w:color w:val="000000" w:themeColor="text1"/>
          <w:sz w:val="32"/>
          <w:szCs w:val="32"/>
          <w:highlight w:val="none"/>
          <w14:textFill>
            <w14:solidFill>
              <w14:schemeClr w14:val="tx1"/>
            </w14:solidFill>
          </w14:textFill>
        </w:rPr>
      </w:pPr>
    </w:p>
    <w:p>
      <w:pPr>
        <w:spacing w:line="360" w:lineRule="auto"/>
        <w:jc w:val="center"/>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采购人：杭州市余杭区人民政府五常街道办事处</w:t>
      </w:r>
    </w:p>
    <w:p>
      <w:pPr>
        <w:spacing w:line="360" w:lineRule="auto"/>
        <w:jc w:val="center"/>
        <w:rPr>
          <w:rFonts w:hint="eastAsia" w:ascii="仿宋" w:hAnsi="仿宋" w:eastAsia="仿宋" w:cs="仿宋"/>
          <w:bCs/>
          <w:color w:val="000000" w:themeColor="text1"/>
          <w:sz w:val="32"/>
          <w:szCs w:val="32"/>
          <w:highlight w:val="none"/>
          <w14:textFill>
            <w14:solidFill>
              <w14:schemeClr w14:val="tx1"/>
            </w14:solidFill>
          </w14:textFill>
        </w:rPr>
      </w:pPr>
      <w:r>
        <w:rPr>
          <w:rFonts w:hint="eastAsia" w:ascii="仿宋" w:hAnsi="仿宋" w:eastAsia="仿宋" w:cs="仿宋"/>
          <w:bCs/>
          <w:color w:val="000000" w:themeColor="text1"/>
          <w:sz w:val="32"/>
          <w:szCs w:val="32"/>
          <w:highlight w:val="none"/>
          <w14:textFill>
            <w14:solidFill>
              <w14:schemeClr w14:val="tx1"/>
            </w14:solidFill>
          </w14:textFill>
        </w:rPr>
        <w:t>采购代理机构：杭州华瑞新洲工程造价咨询有限公司</w:t>
      </w:r>
    </w:p>
    <w:p>
      <w:pPr>
        <w:snapToGrid w:val="0"/>
        <w:spacing w:line="360" w:lineRule="auto"/>
        <w:jc w:val="center"/>
        <w:rPr>
          <w:rFonts w:hint="eastAsia" w:ascii="仿宋" w:hAnsi="仿宋" w:eastAsia="仿宋" w:cs="仿宋"/>
          <w:bCs/>
          <w:color w:val="000000" w:themeColor="text1"/>
          <w:sz w:val="32"/>
          <w:szCs w:val="32"/>
          <w:highlight w:val="none"/>
          <w14:textFill>
            <w14:solidFill>
              <w14:schemeClr w14:val="tx1"/>
            </w14:solidFill>
          </w14:textFill>
        </w:rPr>
      </w:pPr>
      <w:r>
        <w:rPr>
          <w:rFonts w:hint="eastAsia" w:ascii="仿宋" w:hAnsi="仿宋" w:eastAsia="仿宋" w:cs="仿宋"/>
          <w:bCs/>
          <w:color w:val="000000" w:themeColor="text1"/>
          <w:sz w:val="32"/>
          <w:szCs w:val="32"/>
          <w:highlight w:val="none"/>
          <w14:textFill>
            <w14:solidFill>
              <w14:schemeClr w14:val="tx1"/>
            </w14:solidFill>
          </w14:textFill>
        </w:rPr>
        <w:t>二〇二五年</w:t>
      </w:r>
      <w:r>
        <w:rPr>
          <w:rFonts w:hint="eastAsia" w:ascii="仿宋" w:hAnsi="仿宋" w:eastAsia="仿宋" w:cs="仿宋"/>
          <w:bCs/>
          <w:color w:val="000000" w:themeColor="text1"/>
          <w:sz w:val="32"/>
          <w:szCs w:val="32"/>
          <w:highlight w:val="none"/>
          <w:lang w:val="en-US" w:eastAsia="zh-CN"/>
          <w14:textFill>
            <w14:solidFill>
              <w14:schemeClr w14:val="tx1"/>
            </w14:solidFill>
          </w14:textFill>
        </w:rPr>
        <w:t>四</w:t>
      </w:r>
      <w:r>
        <w:rPr>
          <w:rFonts w:hint="eastAsia" w:ascii="仿宋" w:hAnsi="仿宋" w:eastAsia="仿宋" w:cs="仿宋"/>
          <w:bCs/>
          <w:color w:val="000000" w:themeColor="text1"/>
          <w:sz w:val="32"/>
          <w:szCs w:val="32"/>
          <w:highlight w:val="none"/>
          <w14:textFill>
            <w14:solidFill>
              <w14:schemeClr w14:val="tx1"/>
            </w14:solidFill>
          </w14:textFill>
        </w:rPr>
        <w:t>月</w:t>
      </w:r>
      <w:r>
        <w:rPr>
          <w:rFonts w:hint="eastAsia" w:ascii="仿宋" w:hAnsi="仿宋" w:eastAsia="仿宋" w:cs="仿宋"/>
          <w:bCs/>
          <w:color w:val="000000" w:themeColor="text1"/>
          <w:sz w:val="32"/>
          <w:szCs w:val="32"/>
          <w:highlight w:val="none"/>
          <w:lang w:val="en-US" w:eastAsia="zh-CN"/>
          <w14:textFill>
            <w14:solidFill>
              <w14:schemeClr w14:val="tx1"/>
            </w14:solidFill>
          </w14:textFill>
        </w:rPr>
        <w:t>十</w:t>
      </w:r>
      <w:r>
        <w:rPr>
          <w:rFonts w:hint="eastAsia" w:ascii="仿宋" w:hAnsi="仿宋" w:eastAsia="仿宋" w:cs="仿宋"/>
          <w:bCs/>
          <w:color w:val="000000" w:themeColor="text1"/>
          <w:sz w:val="32"/>
          <w:szCs w:val="32"/>
          <w:highlight w:val="none"/>
          <w14:textFill>
            <w14:solidFill>
              <w14:schemeClr w14:val="tx1"/>
            </w14:solidFill>
          </w14:textFill>
        </w:rPr>
        <w:t>日</w:t>
      </w:r>
    </w:p>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br w:type="page"/>
      </w:r>
      <w:bookmarkStart w:id="0" w:name="_Hlt67893495"/>
      <w:bookmarkEnd w:id="0"/>
    </w:p>
    <w:p>
      <w:pPr>
        <w:pStyle w:val="638"/>
        <w:rPr>
          <w:rFonts w:hint="eastAsia" w:ascii="仿宋" w:hAnsi="仿宋" w:eastAsia="仿宋" w:cs="仿宋"/>
          <w:color w:val="000000" w:themeColor="text1"/>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z w:val="48"/>
          <w:szCs w:val="48"/>
          <w:highlight w:val="none"/>
          <w14:textFill>
            <w14:solidFill>
              <w14:schemeClr w14:val="tx1"/>
            </w14:solidFill>
          </w14:textFill>
        </w:rPr>
      </w:pPr>
      <w:r>
        <w:rPr>
          <w:rFonts w:hint="eastAsia" w:ascii="仿宋" w:hAnsi="仿宋" w:eastAsia="仿宋" w:cs="仿宋"/>
          <w:b/>
          <w:color w:val="000000" w:themeColor="text1"/>
          <w:sz w:val="48"/>
          <w:szCs w:val="48"/>
          <w:highlight w:val="none"/>
          <w14:textFill>
            <w14:solidFill>
              <w14:schemeClr w14:val="tx1"/>
            </w14:solidFill>
          </w14:textFill>
        </w:rPr>
        <w:t>目  录</w:t>
      </w:r>
    </w:p>
    <w:p>
      <w:pPr>
        <w:spacing w:line="360" w:lineRule="auto"/>
        <w:rPr>
          <w:rFonts w:hint="eastAsia" w:ascii="仿宋" w:hAnsi="仿宋" w:eastAsia="仿宋" w:cs="仿宋"/>
          <w:color w:val="000000" w:themeColor="text1"/>
          <w:sz w:val="32"/>
          <w:szCs w:val="32"/>
          <w:highlight w:val="none"/>
          <w14:textFill>
            <w14:solidFill>
              <w14:schemeClr w14:val="tx1"/>
            </w14:solidFill>
          </w14:textFill>
        </w:rPr>
      </w:pPr>
    </w:p>
    <w:p>
      <w:pPr>
        <w:spacing w:line="360" w:lineRule="auto"/>
        <w:rPr>
          <w:rFonts w:hint="eastAsia" w:ascii="仿宋" w:hAnsi="仿宋" w:eastAsia="仿宋" w:cs="仿宋"/>
          <w:color w:val="000000" w:themeColor="text1"/>
          <w:sz w:val="32"/>
          <w:szCs w:val="32"/>
          <w:highlight w:val="none"/>
          <w14:textFill>
            <w14:solidFill>
              <w14:schemeClr w14:val="tx1"/>
            </w14:solidFill>
          </w14:textFill>
        </w:rPr>
      </w:pPr>
    </w:p>
    <w:p>
      <w:pPr>
        <w:spacing w:line="360" w:lineRule="auto"/>
        <w:ind w:firstLine="1280" w:firstLineChars="4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第一部分      招标公告</w:t>
      </w:r>
    </w:p>
    <w:p>
      <w:pPr>
        <w:spacing w:line="360" w:lineRule="auto"/>
        <w:ind w:firstLine="1280" w:firstLineChars="4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第二部分      投标人须知</w:t>
      </w:r>
    </w:p>
    <w:p>
      <w:pPr>
        <w:spacing w:line="360" w:lineRule="auto"/>
        <w:ind w:firstLine="1280" w:firstLineChars="4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第三部分      采购需求</w:t>
      </w:r>
    </w:p>
    <w:p>
      <w:pPr>
        <w:spacing w:line="360" w:lineRule="auto"/>
        <w:ind w:firstLine="1280" w:firstLineChars="4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第四部分      评标办法</w:t>
      </w:r>
    </w:p>
    <w:p>
      <w:pPr>
        <w:spacing w:line="360" w:lineRule="auto"/>
        <w:ind w:firstLine="1280" w:firstLineChars="4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第五部分      拟签订的合同文本</w:t>
      </w:r>
    </w:p>
    <w:p>
      <w:pPr>
        <w:spacing w:line="360" w:lineRule="auto"/>
        <w:ind w:firstLine="1280" w:firstLineChars="4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第六部分      应提交的有关格式范例</w:t>
      </w:r>
    </w:p>
    <w:p>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bookmarkStart w:id="1" w:name="_Hlt91233176"/>
      <w:bookmarkEnd w:id="1"/>
      <w:bookmarkStart w:id="2" w:name="_Toc91899869"/>
    </w:p>
    <w:p>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pPr>
        <w:spacing w:line="360" w:lineRule="auto"/>
        <w:rPr>
          <w:rFonts w:hint="eastAsia" w:ascii="仿宋" w:hAnsi="仿宋" w:eastAsia="仿宋" w:cs="仿宋"/>
          <w:color w:val="000000" w:themeColor="text1"/>
          <w:sz w:val="24"/>
          <w:highlight w:val="none"/>
          <w14:textFill>
            <w14:solidFill>
              <w14:schemeClr w14:val="tx1"/>
            </w14:solidFill>
          </w14:textFill>
        </w:rPr>
      </w:pPr>
    </w:p>
    <w:p>
      <w:pPr>
        <w:adjustRightInd/>
        <w:spacing w:line="360" w:lineRule="auto"/>
        <w:jc w:val="center"/>
        <w:outlineLvl w:val="0"/>
        <w:rPr>
          <w:rFonts w:hint="eastAsia" w:ascii="仿宋" w:hAnsi="仿宋" w:eastAsia="仿宋" w:cs="仿宋"/>
          <w:b/>
          <w:color w:val="000000" w:themeColor="text1"/>
          <w:sz w:val="36"/>
          <w:szCs w:val="20"/>
          <w:highlight w:val="none"/>
          <w14:textFill>
            <w14:solidFill>
              <w14:schemeClr w14:val="tx1"/>
            </w14:solidFill>
          </w14:textFill>
        </w:rPr>
      </w:pPr>
      <w:bookmarkStart w:id="3" w:name="第一部分"/>
      <w:r>
        <w:rPr>
          <w:rFonts w:hint="eastAsia" w:ascii="仿宋" w:hAnsi="仿宋" w:eastAsia="仿宋" w:cs="仿宋"/>
          <w:b/>
          <w:color w:val="000000" w:themeColor="text1"/>
          <w:sz w:val="36"/>
          <w:szCs w:val="36"/>
          <w:highlight w:val="none"/>
          <w14:textFill>
            <w14:solidFill>
              <w14:schemeClr w14:val="tx1"/>
            </w14:solidFill>
          </w14:textFill>
        </w:rPr>
        <w:br w:type="page"/>
      </w:r>
      <w:bookmarkEnd w:id="2"/>
      <w:bookmarkEnd w:id="3"/>
      <w:bookmarkStart w:id="4" w:name="_Hlt74729822"/>
      <w:bookmarkEnd w:id="4"/>
      <w:bookmarkStart w:id="5" w:name="_Hlt74728647"/>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仿宋" w:hAnsi="仿宋" w:eastAsia="仿宋" w:cs="仿宋"/>
          <w:b/>
          <w:color w:val="000000" w:themeColor="text1"/>
          <w:sz w:val="36"/>
          <w:szCs w:val="20"/>
          <w:highlight w:val="none"/>
          <w14:textFill>
            <w14:solidFill>
              <w14:schemeClr w14:val="tx1"/>
            </w14:solidFill>
          </w14:textFill>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auto"/>
          <w:sz w:val="24"/>
          <w:highlight w:val="none"/>
          <w:u w:val="single"/>
          <w:lang w:eastAsia="zh-CN"/>
        </w:rPr>
        <w:t>五常街道机关、社区及平安巡防大队工会会员疗休养项目</w:t>
      </w:r>
      <w:r>
        <w:rPr>
          <w:rFonts w:hint="eastAsia" w:ascii="仿宋" w:hAnsi="仿宋" w:eastAsia="仿宋" w:cs="仿宋"/>
          <w:color w:val="000000" w:themeColor="text1"/>
          <w:sz w:val="24"/>
          <w:highlight w:val="none"/>
          <w14:textFill>
            <w14:solidFill>
              <w14:schemeClr w14:val="tx1"/>
            </w14:solidFill>
          </w14:textFill>
        </w:rPr>
        <w:t>招标项目的潜在投标人应在政采云平台（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"https://www.zcygov.cn/）获取（下载）招标文件，并于202%20年%20月%20日%20点%20分00秒" </w:instrText>
      </w:r>
      <w:r>
        <w:rPr>
          <w:color w:val="000000" w:themeColor="text1"/>
          <w:highlight w:val="none"/>
          <w14:textFill>
            <w14:solidFill>
              <w14:schemeClr w14:val="tx1"/>
            </w14:solidFill>
          </w14:textFill>
        </w:rPr>
        <w:fldChar w:fldCharType="separate"/>
      </w:r>
      <w:r>
        <w:rPr>
          <w:rStyle w:val="77"/>
          <w:rFonts w:hint="eastAsia" w:ascii="仿宋" w:hAnsi="仿宋" w:eastAsia="仿宋" w:cs="仿宋"/>
          <w:snapToGrid/>
          <w:color w:val="000000" w:themeColor="text1"/>
          <w:kern w:val="2"/>
          <w:sz w:val="24"/>
          <w:szCs w:val="24"/>
          <w:highlight w:val="none"/>
          <w14:textFill>
            <w14:solidFill>
              <w14:schemeClr w14:val="tx1"/>
            </w14:solidFill>
          </w14:textFill>
        </w:rPr>
        <w:t>https://www.zcygov.cn/）获取（下载）招标文件，并于2025年</w:t>
      </w:r>
      <w:r>
        <w:rPr>
          <w:rStyle w:val="77"/>
          <w:rFonts w:hint="eastAsia" w:ascii="仿宋" w:hAnsi="仿宋" w:eastAsia="仿宋" w:cs="仿宋"/>
          <w:snapToGrid/>
          <w:color w:val="000000" w:themeColor="text1"/>
          <w:kern w:val="2"/>
          <w:sz w:val="24"/>
          <w:szCs w:val="24"/>
          <w:highlight w:val="none"/>
          <w:lang w:val="en-US" w:eastAsia="zh-CN"/>
          <w14:textFill>
            <w14:solidFill>
              <w14:schemeClr w14:val="tx1"/>
            </w14:solidFill>
          </w14:textFill>
        </w:rPr>
        <w:t>5</w:t>
      </w:r>
      <w:r>
        <w:rPr>
          <w:rStyle w:val="77"/>
          <w:rFonts w:hint="eastAsia" w:ascii="仿宋" w:hAnsi="仿宋" w:eastAsia="仿宋" w:cs="仿宋"/>
          <w:snapToGrid/>
          <w:color w:val="000000" w:themeColor="text1"/>
          <w:kern w:val="2"/>
          <w:sz w:val="24"/>
          <w:szCs w:val="24"/>
          <w:highlight w:val="none"/>
          <w14:textFill>
            <w14:solidFill>
              <w14:schemeClr w14:val="tx1"/>
            </w14:solidFill>
          </w14:textFill>
        </w:rPr>
        <w:t xml:space="preserve"> 月</w:t>
      </w:r>
      <w:r>
        <w:rPr>
          <w:rStyle w:val="77"/>
          <w:rFonts w:hint="eastAsia" w:ascii="仿宋" w:hAnsi="仿宋" w:eastAsia="仿宋" w:cs="仿宋"/>
          <w:snapToGrid/>
          <w:color w:val="000000" w:themeColor="text1"/>
          <w:kern w:val="2"/>
          <w:sz w:val="24"/>
          <w:szCs w:val="24"/>
          <w:highlight w:val="none"/>
          <w:lang w:val="en-US" w:eastAsia="zh-CN"/>
          <w14:textFill>
            <w14:solidFill>
              <w14:schemeClr w14:val="tx1"/>
            </w14:solidFill>
          </w14:textFill>
        </w:rPr>
        <w:t>7</w:t>
      </w:r>
      <w:r>
        <w:rPr>
          <w:rStyle w:val="77"/>
          <w:rFonts w:hint="eastAsia" w:ascii="仿宋" w:hAnsi="仿宋" w:eastAsia="仿宋" w:cs="仿宋"/>
          <w:snapToGrid/>
          <w:color w:val="000000" w:themeColor="text1"/>
          <w:kern w:val="2"/>
          <w:sz w:val="24"/>
          <w:szCs w:val="24"/>
          <w:highlight w:val="none"/>
          <w14:textFill>
            <w14:solidFill>
              <w14:schemeClr w14:val="tx1"/>
            </w14:solidFill>
          </w14:textFill>
        </w:rPr>
        <w:t xml:space="preserve"> 日</w:t>
      </w:r>
      <w:r>
        <w:rPr>
          <w:rStyle w:val="77"/>
          <w:rFonts w:hint="eastAsia" w:ascii="仿宋" w:hAnsi="仿宋" w:eastAsia="仿宋" w:cs="仿宋"/>
          <w:snapToGrid/>
          <w:color w:val="000000" w:themeColor="text1"/>
          <w:kern w:val="2"/>
          <w:sz w:val="24"/>
          <w:szCs w:val="24"/>
          <w:highlight w:val="none"/>
          <w:lang w:val="en-US" w:eastAsia="zh-CN"/>
          <w14:textFill>
            <w14:solidFill>
              <w14:schemeClr w14:val="tx1"/>
            </w14:solidFill>
          </w14:textFill>
        </w:rPr>
        <w:t>10</w:t>
      </w:r>
      <w:r>
        <w:rPr>
          <w:rStyle w:val="77"/>
          <w:rFonts w:hint="eastAsia" w:ascii="仿宋" w:hAnsi="仿宋" w:eastAsia="仿宋" w:cs="仿宋"/>
          <w:snapToGrid/>
          <w:color w:val="000000" w:themeColor="text1"/>
          <w:kern w:val="2"/>
          <w:sz w:val="24"/>
          <w:szCs w:val="24"/>
          <w:highlight w:val="none"/>
          <w14:textFill>
            <w14:solidFill>
              <w14:schemeClr w14:val="tx1"/>
            </w14:solidFill>
          </w14:textFill>
        </w:rPr>
        <w:t xml:space="preserve"> 点00分</w:t>
      </w:r>
      <w:r>
        <w:rPr>
          <w:rStyle w:val="77"/>
          <w:rFonts w:hint="eastAsia" w:ascii="仿宋" w:hAnsi="仿宋" w:eastAsia="仿宋" w:cs="仿宋"/>
          <w:bCs/>
          <w:snapToGrid/>
          <w:color w:val="000000" w:themeColor="text1"/>
          <w:kern w:val="2"/>
          <w:sz w:val="24"/>
          <w:szCs w:val="24"/>
          <w:highlight w:val="none"/>
          <w14:textFill>
            <w14:solidFill>
              <w14:schemeClr w14:val="tx1"/>
            </w14:solidFill>
          </w14:textFill>
        </w:rPr>
        <w:t>00秒</w:t>
      </w:r>
      <w:r>
        <w:rPr>
          <w:rStyle w:val="77"/>
          <w:rFonts w:hint="eastAsia" w:ascii="仿宋" w:hAnsi="仿宋" w:eastAsia="仿宋" w:cs="仿宋"/>
          <w:bCs/>
          <w:snapToGrid/>
          <w:color w:val="000000" w:themeColor="text1"/>
          <w:kern w:val="2"/>
          <w:sz w:val="24"/>
          <w:szCs w:val="24"/>
          <w:highlight w:val="none"/>
          <w14:textFill>
            <w14:solidFill>
              <w14:schemeClr w14:val="tx1"/>
            </w14:solidFill>
          </w14:textFill>
        </w:rPr>
        <w:fldChar w:fldCharType="end"/>
      </w:r>
      <w:r>
        <w:rPr>
          <w:rFonts w:hint="eastAsia" w:ascii="仿宋" w:hAnsi="仿宋" w:eastAsia="仿宋" w:cs="仿宋"/>
          <w:bCs/>
          <w:color w:val="000000" w:themeColor="text1"/>
          <w:sz w:val="24"/>
          <w:highlight w:val="none"/>
          <w14:textFill>
            <w14:solidFill>
              <w14:schemeClr w14:val="tx1"/>
            </w14:solidFill>
          </w14:textFill>
        </w:rPr>
        <w:t>（北京时间）前</w:t>
      </w:r>
      <w:r>
        <w:rPr>
          <w:rFonts w:hint="eastAsia" w:ascii="仿宋" w:hAnsi="仿宋" w:eastAsia="仿宋" w:cs="仿宋"/>
          <w:color w:val="000000" w:themeColor="text1"/>
          <w:sz w:val="24"/>
          <w:highlight w:val="none"/>
          <w14:textFill>
            <w14:solidFill>
              <w14:schemeClr w14:val="tx1"/>
            </w14:solidFill>
          </w14:textFill>
        </w:rPr>
        <w:t>递交（上传）投标文件。</w:t>
      </w:r>
    </w:p>
    <w:p>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一、项目基本情况                                            </w:t>
      </w:r>
    </w:p>
    <w:p>
      <w:pPr>
        <w:spacing w:line="360" w:lineRule="auto"/>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项目编号：</w:t>
      </w:r>
      <w:r>
        <w:rPr>
          <w:rFonts w:hint="eastAsia" w:ascii="仿宋" w:hAnsi="仿宋" w:eastAsia="仿宋" w:cs="仿宋"/>
          <w:color w:val="000000" w:themeColor="text1"/>
          <w:sz w:val="24"/>
          <w:highlight w:val="none"/>
          <w14:textFill>
            <w14:solidFill>
              <w14:schemeClr w14:val="tx1"/>
            </w14:solidFill>
          </w14:textFill>
        </w:rPr>
        <w:t>HRXZZFCG-2025-0</w:t>
      </w:r>
      <w:r>
        <w:rPr>
          <w:rFonts w:hint="eastAsia" w:ascii="仿宋" w:hAnsi="仿宋" w:eastAsia="仿宋" w:cs="仿宋"/>
          <w:color w:val="000000" w:themeColor="text1"/>
          <w:sz w:val="24"/>
          <w:highlight w:val="none"/>
          <w:lang w:val="en-US" w:eastAsia="zh-CN"/>
          <w14:textFill>
            <w14:solidFill>
              <w14:schemeClr w14:val="tx1"/>
            </w14:solidFill>
          </w14:textFill>
        </w:rPr>
        <w:t>15</w:t>
      </w:r>
    </w:p>
    <w:p>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 xml:space="preserve"> 项目名称：</w:t>
      </w:r>
      <w:r>
        <w:rPr>
          <w:rFonts w:hint="eastAsia" w:ascii="仿宋" w:hAnsi="仿宋" w:eastAsia="仿宋" w:cs="仿宋"/>
          <w:color w:val="auto"/>
          <w:sz w:val="24"/>
          <w:highlight w:val="none"/>
          <w:lang w:eastAsia="zh-CN"/>
        </w:rPr>
        <w:t>五常街道机关、社区及平安巡防大队工会会员疗休养项目</w:t>
      </w:r>
    </w:p>
    <w:p>
      <w:pPr>
        <w:spacing w:line="360" w:lineRule="auto"/>
        <w:ind w:firstLine="480"/>
        <w:rPr>
          <w:rFonts w:hint="eastAsia" w:ascii="仿宋" w:hAnsi="仿宋" w:eastAsia="仿宋" w:cs="仿宋"/>
          <w:b/>
          <w:color w:val="auto"/>
          <w:sz w:val="24"/>
          <w:highlight w:val="none"/>
          <w:lang w:val="en-US" w:eastAsia="zh-CN"/>
        </w:rPr>
      </w:pPr>
      <w:r>
        <w:rPr>
          <w:rFonts w:hint="eastAsia" w:ascii="仿宋" w:hAnsi="仿宋" w:eastAsia="仿宋" w:cs="仿宋"/>
          <w:b/>
          <w:color w:val="000000" w:themeColor="text1"/>
          <w:sz w:val="24"/>
          <w:highlight w:val="none"/>
          <w14:textFill>
            <w14:solidFill>
              <w14:schemeClr w14:val="tx1"/>
            </w14:solidFill>
          </w14:textFill>
        </w:rPr>
        <w:t>预算金额（元）：</w:t>
      </w:r>
      <w:r>
        <w:rPr>
          <w:rFonts w:hint="eastAsia" w:ascii="仿宋" w:hAnsi="仿宋" w:eastAsia="仿宋" w:cs="仿宋"/>
          <w:b/>
          <w:color w:val="auto"/>
          <w:sz w:val="24"/>
          <w:highlight w:val="none"/>
          <w:lang w:val="en-US" w:eastAsia="zh-CN"/>
        </w:rPr>
        <w:t xml:space="preserve">2788000 </w:t>
      </w:r>
    </w:p>
    <w:p>
      <w:pPr>
        <w:spacing w:line="360" w:lineRule="auto"/>
        <w:ind w:firstLine="480"/>
        <w:rPr>
          <w:rFonts w:hint="eastAsia" w:ascii="仿宋" w:hAnsi="仿宋" w:eastAsia="仿宋" w:cs="仿宋"/>
          <w:b/>
          <w:color w:val="auto"/>
          <w:sz w:val="24"/>
          <w:highlight w:val="none"/>
          <w:lang w:val="en-US" w:eastAsia="zh-CN"/>
        </w:rPr>
      </w:pPr>
      <w:r>
        <w:rPr>
          <w:rFonts w:hint="eastAsia" w:ascii="仿宋" w:hAnsi="仿宋" w:eastAsia="仿宋" w:cs="仿宋"/>
          <w:b/>
          <w:color w:val="000000" w:themeColor="text1"/>
          <w:sz w:val="24"/>
          <w:highlight w:val="none"/>
          <w14:textFill>
            <w14:solidFill>
              <w14:schemeClr w14:val="tx1"/>
            </w14:solidFill>
          </w14:textFill>
        </w:rPr>
        <w:t>最高限价（元）：</w:t>
      </w:r>
      <w:r>
        <w:rPr>
          <w:rFonts w:hint="eastAsia" w:ascii="仿宋" w:hAnsi="仿宋" w:eastAsia="仿宋" w:cs="仿宋"/>
          <w:b/>
          <w:color w:val="auto"/>
          <w:sz w:val="24"/>
          <w:highlight w:val="none"/>
          <w:lang w:val="en-US" w:eastAsia="zh-CN"/>
        </w:rPr>
        <w:t xml:space="preserve">2788000 </w:t>
      </w:r>
    </w:p>
    <w:p>
      <w:pPr>
        <w:pStyle w:val="8"/>
        <w:spacing w:line="360" w:lineRule="auto"/>
        <w:ind w:firstLine="480"/>
        <w:rPr>
          <w:rFonts w:hint="eastAsia" w:ascii="仿宋" w:hAnsi="仿宋" w:eastAsia="仿宋" w:cs="仿宋"/>
          <w:snapToGrid/>
          <w:color w:val="auto"/>
          <w:kern w:val="2"/>
          <w:sz w:val="24"/>
          <w:szCs w:val="24"/>
          <w:highlight w:val="none"/>
        </w:rPr>
      </w:pPr>
      <w:r>
        <w:rPr>
          <w:rFonts w:hint="eastAsia" w:ascii="仿宋" w:hAnsi="仿宋" w:eastAsia="仿宋" w:cs="仿宋"/>
          <w:b/>
          <w:color w:val="000000" w:themeColor="text1"/>
          <w:sz w:val="24"/>
          <w:highlight w:val="none"/>
          <w14:textFill>
            <w14:solidFill>
              <w14:schemeClr w14:val="tx1"/>
            </w14:solidFill>
          </w14:textFill>
        </w:rPr>
        <w:t>采购需求：</w:t>
      </w:r>
      <w:r>
        <w:rPr>
          <w:rFonts w:hint="eastAsia" w:ascii="仿宋" w:hAnsi="仿宋" w:eastAsia="仿宋" w:cs="宋体"/>
          <w:color w:val="auto"/>
          <w:sz w:val="24"/>
          <w:highlight w:val="none"/>
          <w:lang w:eastAsia="zh-CN"/>
        </w:rPr>
        <w:t>五常街道机关、社区及平安巡防大队工会会员疗休养项目</w:t>
      </w:r>
      <w:r>
        <w:rPr>
          <w:rFonts w:hint="eastAsia" w:ascii="仿宋" w:hAnsi="仿宋" w:eastAsia="仿宋" w:cs="仿宋"/>
          <w:bCs/>
          <w:snapToGrid/>
          <w:color w:val="auto"/>
          <w:kern w:val="2"/>
          <w:sz w:val="24"/>
          <w:szCs w:val="24"/>
          <w:highlight w:val="none"/>
          <w:lang w:eastAsia="zh-CN"/>
        </w:rPr>
        <w:t>，</w:t>
      </w:r>
      <w:r>
        <w:rPr>
          <w:rFonts w:hint="eastAsia" w:ascii="仿宋" w:hAnsi="仿宋" w:eastAsia="仿宋" w:cs="仿宋"/>
          <w:bCs/>
          <w:snapToGrid/>
          <w:color w:val="auto"/>
          <w:kern w:val="2"/>
          <w:sz w:val="24"/>
          <w:szCs w:val="24"/>
          <w:highlight w:val="none"/>
        </w:rPr>
        <w:t>主要内容：</w:t>
      </w:r>
      <w:r>
        <w:rPr>
          <w:rFonts w:hint="eastAsia" w:ascii="仿宋" w:hAnsi="仿宋" w:eastAsia="仿宋" w:cs="仿宋"/>
          <w:snapToGrid/>
          <w:color w:val="auto"/>
          <w:kern w:val="2"/>
          <w:sz w:val="24"/>
          <w:szCs w:val="24"/>
          <w:highlight w:val="none"/>
        </w:rPr>
        <w:t>具体以招标文件第三部分采购需求为准，供应商可点击本公告下方“浏览采购文件”查看采购需求。</w:t>
      </w:r>
    </w:p>
    <w:p>
      <w:pPr>
        <w:ind w:firstLine="480" w:firstLineChars="200"/>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本项目分为五个标项，供应商可自行选择其中一个或者多个标项响应投标。</w:t>
      </w:r>
    </w:p>
    <w:p>
      <w:pPr>
        <w:ind w:firstLine="480" w:firstLineChars="200"/>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标项一</w:t>
      </w:r>
    </w:p>
    <w:p>
      <w:pPr>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标项名称:五常街道机关、社区及平安巡防大队工会会员疗休养项目(标项一)</w:t>
      </w:r>
    </w:p>
    <w:p>
      <w:pPr>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预算金额（元）:52.7 万元</w:t>
      </w:r>
    </w:p>
    <w:p>
      <w:pPr>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简要规格描述或项目基本概况介绍、用途：具体内容和相关要求详见磋商文件“第三部分 采购需求”。</w:t>
      </w:r>
    </w:p>
    <w:p>
      <w:pPr>
        <w:ind w:firstLine="480" w:firstLineChars="200"/>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标项二</w:t>
      </w:r>
    </w:p>
    <w:p>
      <w:pPr>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标项名称:五常街道机关、社区及平安巡防大队工会会员疗休养项目(标项二)</w:t>
      </w:r>
    </w:p>
    <w:p>
      <w:pPr>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预算金额（元）:53.7 万元</w:t>
      </w:r>
    </w:p>
    <w:p>
      <w:pPr>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简要规格描述或项目基本概况介绍、用途：具体内容和相关要求详见磋商文件“第三部分 采购需求”。</w:t>
      </w:r>
    </w:p>
    <w:p>
      <w:pPr>
        <w:ind w:firstLine="480" w:firstLineChars="200"/>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标项三</w:t>
      </w:r>
    </w:p>
    <w:p>
      <w:pPr>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标项名称:五常街道机关、社区及平安巡防大队工会会员疗休养项目(标项三)</w:t>
      </w:r>
    </w:p>
    <w:p>
      <w:pPr>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预算金额（元）:35.4 万元</w:t>
      </w:r>
    </w:p>
    <w:p>
      <w:pPr>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简要规格描述或项目基本概况介绍、用途：具体内容和相关要求详见磋商文件“第三部分 采购需求”。</w:t>
      </w:r>
    </w:p>
    <w:p>
      <w:pPr>
        <w:ind w:firstLine="480" w:firstLineChars="200"/>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标项四</w:t>
      </w:r>
    </w:p>
    <w:p>
      <w:pPr>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标项名称:五常街道机关、社区及平安巡防大队工会会员疗休养项目(标项四)</w:t>
      </w:r>
    </w:p>
    <w:p>
      <w:pPr>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预算金额（元）:63万元</w:t>
      </w:r>
    </w:p>
    <w:p>
      <w:pPr>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简要规格描述或项目基本概况介绍、用途：具体内容和相关要求详见磋商文件“第三部分 采购需求”</w:t>
      </w:r>
    </w:p>
    <w:p>
      <w:pPr>
        <w:ind w:firstLine="480" w:firstLineChars="200"/>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标项五</w:t>
      </w:r>
    </w:p>
    <w:p>
      <w:pPr>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标项名称:五常街道机关、社区及平安巡防大队工会会员疗休养项目(标项五)</w:t>
      </w:r>
    </w:p>
    <w:p>
      <w:pPr>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预算金额（元）: 74万元</w:t>
      </w:r>
    </w:p>
    <w:p>
      <w:pPr>
        <w:jc w:val="left"/>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简要规格描述或项目基本概况介绍、用途：具体内容和相关要求详见磋商文件“第三部分 采购需求”</w:t>
      </w:r>
    </w:p>
    <w:p>
      <w:pPr>
        <w:pStyle w:val="8"/>
        <w:spacing w:afterAutospacing="0" w:line="360" w:lineRule="auto"/>
        <w:ind w:left="0" w:leftChars="0" w:firstLine="480" w:firstLineChars="200"/>
        <w:rPr>
          <w:rFonts w:hint="eastAsia" w:ascii="仿宋" w:hAnsi="仿宋" w:eastAsia="仿宋" w:cs="仿宋"/>
          <w:bCs/>
          <w:snapToGrid/>
          <w:color w:val="000000" w:themeColor="text1"/>
          <w:kern w:val="2"/>
          <w:sz w:val="24"/>
          <w:szCs w:val="24"/>
          <w:highlight w:val="none"/>
          <w14:textFill>
            <w14:solidFill>
              <w14:schemeClr w14:val="tx1"/>
            </w14:solidFill>
          </w14:textFill>
        </w:rPr>
      </w:pPr>
    </w:p>
    <w:p>
      <w:pPr>
        <w:pStyle w:val="132"/>
        <w:ind w:firstLine="482"/>
        <w:outlineLvl w:val="2"/>
        <w:rPr>
          <w:rFonts w:hint="eastAsia" w:ascii="仿宋" w:hAnsi="仿宋" w:eastAsia="仿宋" w:cs="仿宋"/>
          <w:b/>
          <w:color w:val="auto"/>
          <w:highlight w:val="none"/>
          <w:lang w:eastAsia="zh-CN"/>
        </w:rPr>
      </w:pPr>
      <w:r>
        <w:rPr>
          <w:rFonts w:hint="eastAsia" w:ascii="仿宋" w:hAnsi="仿宋" w:eastAsia="仿宋" w:cs="仿宋"/>
          <w:b/>
          <w:color w:val="000000" w:themeColor="text1"/>
          <w:highlight w:val="none"/>
          <w14:textFill>
            <w14:solidFill>
              <w14:schemeClr w14:val="tx1"/>
            </w14:solidFill>
          </w14:textFill>
        </w:rPr>
        <w:t>合同履约期限：</w:t>
      </w:r>
      <w:r>
        <w:rPr>
          <w:rFonts w:hint="eastAsia" w:ascii="仿宋" w:hAnsi="仿宋" w:eastAsia="仿宋" w:cs="仿宋"/>
          <w:b/>
          <w:color w:val="auto"/>
          <w:highlight w:val="none"/>
          <w:lang w:eastAsia="zh-CN"/>
        </w:rPr>
        <w:t>详见招标文件第三部分采购需求</w:t>
      </w:r>
    </w:p>
    <w:p>
      <w:pPr>
        <w:pStyle w:val="8"/>
        <w:spacing w:line="360" w:lineRule="auto"/>
        <w:ind w:left="0" w:leftChars="0" w:firstLine="482" w:firstLineChars="20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本项目接受联合体投标：</w:t>
      </w:r>
      <w:r>
        <w:rPr>
          <w:rFonts w:hint="eastAsia" w:ascii="仿宋" w:hAnsi="仿宋" w:eastAsia="仿宋" w:cs="仿宋"/>
          <w:color w:val="000000" w:themeColor="text1"/>
          <w:kern w:val="0"/>
          <w:sz w:val="24"/>
          <w:highlight w:val="none"/>
          <w14:textFill>
            <w14:solidFill>
              <w14:schemeClr w14:val="tx1"/>
            </w14:solidFill>
          </w14:textFill>
        </w:rPr>
        <w:t xml:space="preserve"> </w:t>
      </w:r>
      <w:sdt>
        <w:sdtPr>
          <w:rPr>
            <w:rFonts w:hint="eastAsia" w:ascii="仿宋" w:hAnsi="仿宋" w:eastAsia="仿宋" w:cs="仿宋"/>
            <w:color w:val="000000" w:themeColor="text1"/>
            <w:kern w:val="0"/>
            <w:sz w:val="24"/>
            <w:highlight w:val="none"/>
            <w14:textFill>
              <w14:solidFill>
                <w14:schemeClr w14:val="tx1"/>
              </w14:solidFill>
            </w14:textFill>
          </w:rPr>
          <w:id w:val="1"/>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sym w:font="Wingdings" w:char="F0FE"/>
          </w:r>
        </w:sdtContent>
      </w:sdt>
      <w:r>
        <w:rPr>
          <w:rFonts w:hint="eastAsia" w:ascii="仿宋" w:hAnsi="仿宋" w:eastAsia="仿宋" w:cs="仿宋"/>
          <w:b/>
          <w:color w:val="000000" w:themeColor="text1"/>
          <w:sz w:val="24"/>
          <w:highlight w:val="none"/>
          <w14:textFill>
            <w14:solidFill>
              <w14:schemeClr w14:val="tx1"/>
            </w14:solidFill>
          </w14:textFill>
        </w:rPr>
        <w:t>是；</w:t>
      </w:r>
      <w:sdt>
        <w:sdtPr>
          <w:rPr>
            <w:rFonts w:hint="eastAsia" w:ascii="仿宋" w:hAnsi="仿宋" w:eastAsia="仿宋" w:cs="仿宋"/>
            <w:color w:val="000000" w:themeColor="text1"/>
            <w:kern w:val="0"/>
            <w:sz w:val="24"/>
            <w:highlight w:val="none"/>
            <w14:textFill>
              <w14:solidFill>
                <w14:schemeClr w14:val="tx1"/>
              </w14:solidFill>
            </w14:textFill>
          </w:rPr>
          <w:id w:val="918288152"/>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b/>
          <w:color w:val="000000" w:themeColor="text1"/>
          <w:sz w:val="24"/>
          <w:highlight w:val="none"/>
          <w14:textFill>
            <w14:solidFill>
              <w14:schemeClr w14:val="tx1"/>
            </w14:solidFill>
          </w14:textFill>
        </w:rPr>
        <w:t>否</w:t>
      </w:r>
      <w:r>
        <w:rPr>
          <w:rFonts w:hint="eastAsia" w:ascii="仿宋" w:hAnsi="仿宋" w:eastAsia="仿宋" w:cs="仿宋"/>
          <w:color w:val="000000" w:themeColor="text1"/>
          <w:kern w:val="0"/>
          <w:sz w:val="24"/>
          <w:highlight w:val="none"/>
          <w14:textFill>
            <w14:solidFill>
              <w14:schemeClr w14:val="tx1"/>
            </w14:solidFill>
          </w14:textFill>
        </w:rPr>
        <w:t>。</w:t>
      </w:r>
    </w:p>
    <w:p>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二、申请人的资格要求：</w:t>
      </w:r>
    </w:p>
    <w:p>
      <w:pPr>
        <w:spacing w:line="360" w:lineRule="auto"/>
        <w:ind w:firstLine="480"/>
        <w:rPr>
          <w:rFonts w:hint="eastAsia"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hint="eastAsia"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 xml:space="preserve">    2.</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snapToGrid w:val="0"/>
          <w:color w:val="000000" w:themeColor="text1"/>
          <w:kern w:val="28"/>
          <w:sz w:val="24"/>
          <w:szCs w:val="20"/>
          <w:highlight w:val="none"/>
          <w14:textFill>
            <w14:solidFill>
              <w14:schemeClr w14:val="tx1"/>
            </w14:solidFill>
          </w14:textFill>
        </w:rPr>
        <w:t>以联合体形式投标的，提供联合协议(本项目不接受联合体投标或者投标人不以联合体形式投标的，则不需要提供) ；</w:t>
      </w:r>
    </w:p>
    <w:p>
      <w:pPr>
        <w:spacing w:line="360" w:lineRule="auto"/>
        <w:ind w:firstLine="480" w:firstLineChars="200"/>
        <w:rPr>
          <w:rFonts w:hint="eastAsia"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3.落实政府采购政策需满足的资格要求：</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928616923"/>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sz w:val="24"/>
          <w:highlight w:val="none"/>
          <w14:textFill>
            <w14:solidFill>
              <w14:schemeClr w14:val="tx1"/>
            </w14:solidFill>
          </w14:textFill>
        </w:rPr>
        <w:t>无</w:t>
      </w:r>
      <w:r>
        <w:rPr>
          <w:rFonts w:hint="eastAsia" w:ascii="仿宋" w:hAnsi="仿宋" w:eastAsia="仿宋" w:cs="仿宋"/>
          <w:snapToGrid w:val="0"/>
          <w:color w:val="000000" w:themeColor="text1"/>
          <w:kern w:val="28"/>
          <w:sz w:val="24"/>
          <w:szCs w:val="20"/>
          <w:highlight w:val="none"/>
          <w14:textFill>
            <w14:solidFill>
              <w14:schemeClr w14:val="tx1"/>
            </w14:solidFill>
          </w14:textFill>
        </w:rPr>
        <w:t>（注：不得限制大中型企业与小微企业组成联合体参与投标）；</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4"/>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highlight w:val="none"/>
              <w14:textFill>
                <w14:solidFill>
                  <w14:schemeClr w14:val="tx1"/>
                </w14:solidFill>
              </w14:textFill>
            </w:rPr>
            <w:t>þ</w:t>
          </w:r>
        </w:sdtContent>
      </w:sdt>
      <w:r>
        <w:rPr>
          <w:rFonts w:hint="eastAsia" w:ascii="仿宋" w:hAnsi="仿宋" w:eastAsia="仿宋" w:cs="仿宋"/>
          <w:color w:val="000000" w:themeColor="text1"/>
          <w:kern w:val="0"/>
          <w:sz w:val="24"/>
          <w:highlight w:val="none"/>
          <w14:textFill>
            <w14:solidFill>
              <w14:schemeClr w14:val="tx1"/>
            </w14:solidFill>
          </w14:textFill>
        </w:rPr>
        <w:t>专</w:t>
      </w:r>
      <w:r>
        <w:rPr>
          <w:rFonts w:hint="eastAsia" w:ascii="仿宋" w:hAnsi="仿宋" w:eastAsia="仿宋" w:cs="仿宋"/>
          <w:color w:val="000000" w:themeColor="text1"/>
          <w:sz w:val="24"/>
          <w:highlight w:val="none"/>
          <w14:textFill>
            <w14:solidFill>
              <w14:schemeClr w14:val="tx1"/>
            </w14:solidFill>
          </w14:textFill>
        </w:rPr>
        <w:t>门面向中小企业</w:t>
      </w:r>
    </w:p>
    <w:p>
      <w:pPr>
        <w:spacing w:line="360" w:lineRule="auto"/>
        <w:ind w:firstLine="897" w:firstLineChars="374"/>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356704437"/>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highlight w:val="none"/>
              <w14:textFill>
                <w14:solidFill>
                  <w14:schemeClr w14:val="tx1"/>
                </w14:solidFill>
              </w14:textFill>
            </w:rPr>
            <w:t>þ</w:t>
          </w:r>
        </w:sdtContent>
      </w:sdt>
      <w:r>
        <w:rPr>
          <w:rFonts w:hint="eastAsia" w:ascii="仿宋" w:hAnsi="仿宋" w:eastAsia="仿宋" w:cs="仿宋"/>
          <w:color w:val="000000" w:themeColor="text1"/>
          <w:sz w:val="24"/>
          <w:highlight w:val="none"/>
          <w14:textFill>
            <w14:solidFill>
              <w14:schemeClr w14:val="tx1"/>
            </w14:solidFill>
          </w14:textFill>
        </w:rPr>
        <w:t>服务全部由符合政策要求的中小企业承接，提供中小企业声明函；</w:t>
      </w:r>
    </w:p>
    <w:p>
      <w:pPr>
        <w:spacing w:line="360" w:lineRule="auto"/>
        <w:ind w:firstLine="897" w:firstLineChars="374"/>
        <w:rPr>
          <w:rFonts w:hint="eastAsia" w:ascii="仿宋" w:hAnsi="仿宋" w:eastAsia="仿宋" w:cs="仿宋"/>
          <w:color w:val="000000" w:themeColor="text1"/>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6"/>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sz w:val="24"/>
          <w:highlight w:val="none"/>
          <w14:textFill>
            <w14:solidFill>
              <w14:schemeClr w14:val="tx1"/>
            </w14:solidFill>
          </w14:textFill>
        </w:rPr>
        <w:t>服务全部由符合政策要求的小微企业承接，提供中小企业声明函；</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2006936051"/>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sz w:val="24"/>
          <w:highlight w:val="none"/>
          <w14:textFill>
            <w14:solidFill>
              <w14:schemeClr w14:val="tx1"/>
            </w14:solidFill>
          </w14:textFill>
        </w:rPr>
        <w:t>要求以联合体形式参加，提供联合协议和中小企业声明函，联合协议中中小企业合同金额应当达到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000000" w:themeColor="text1"/>
          <w:sz w:val="24"/>
          <w:highlight w:val="none"/>
          <w14:textFill>
            <w14:solidFill>
              <w14:schemeClr w14:val="tx1"/>
            </w14:solidFill>
          </w14:textFill>
        </w:rPr>
        <w:t>；</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34630645"/>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sz w:val="24"/>
          <w:highlight w:val="none"/>
          <w14:textFill>
            <w14:solidFill>
              <w14:schemeClr w14:val="tx1"/>
            </w14:solidFill>
          </w14:textFill>
        </w:rPr>
        <w:t>要求合同分包，提供分包意向协议和中小企业声明函，分包意向协议中中小企业合同金额应当达到达到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，其中小微企业合同金额应当达到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w:t>
      </w:r>
      <w:r>
        <w:rPr>
          <w:rFonts w:hint="eastAsia" w:ascii="仿宋" w:hAnsi="仿宋" w:eastAsia="仿宋" w:cs="仿宋"/>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000000" w:themeColor="text1"/>
          <w:sz w:val="24"/>
          <w:highlight w:val="none"/>
          <w14:textFill>
            <w14:solidFill>
              <w14:schemeClr w14:val="tx1"/>
            </w14:solidFill>
          </w14:textFill>
        </w:rPr>
        <w:t>；</w:t>
      </w:r>
    </w:p>
    <w:p>
      <w:pPr>
        <w:numPr>
          <w:ilvl w:val="0"/>
          <w:numId w:val="1"/>
        </w:num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本项目的特定资格要求：</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9"/>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highlight w:val="none"/>
              <w14:textFill>
                <w14:solidFill>
                  <w14:schemeClr w14:val="tx1"/>
                </w14:solidFill>
              </w14:textFill>
            </w:rPr>
            <w:t>þ</w:t>
          </w:r>
        </w:sdtContent>
      </w:sdt>
      <w:r>
        <w:rPr>
          <w:rFonts w:hint="eastAsia" w:ascii="仿宋" w:hAnsi="仿宋" w:eastAsia="仿宋" w:cs="仿宋"/>
          <w:color w:val="000000" w:themeColor="text1"/>
          <w:sz w:val="24"/>
          <w:highlight w:val="none"/>
          <w14:textFill>
            <w14:solidFill>
              <w14:schemeClr w14:val="tx1"/>
            </w14:solidFill>
          </w14:textFill>
        </w:rPr>
        <w:t>无。</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☐有特定资格要求：</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，该特定条件的法律法规依据：</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三、获取招标文件 </w:t>
      </w:r>
    </w:p>
    <w:p>
      <w:pPr>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14:textFill>
            <w14:solidFill>
              <w14:schemeClr w14:val="tx1"/>
            </w14:solidFill>
          </w14:textFill>
        </w:rPr>
        <w:t>/至</w:t>
      </w:r>
      <w:r>
        <w:rPr>
          <w:rFonts w:hint="eastAsia" w:ascii="仿宋" w:hAnsi="仿宋" w:eastAsia="仿宋" w:cs="仿宋"/>
          <w:color w:val="000000" w:themeColor="text1"/>
          <w:sz w:val="24"/>
          <w:highlight w:val="none"/>
          <w:u w:val="single"/>
          <w14:textFill>
            <w14:solidFill>
              <w14:schemeClr w14:val="tx1"/>
            </w14:solidFill>
          </w14:textFill>
        </w:rPr>
        <w:t>2025年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Fonts w:hint="eastAsia" w:ascii="仿宋" w:hAnsi="仿宋" w:eastAsia="仿宋" w:cs="仿宋"/>
          <w:color w:val="000000" w:themeColor="text1"/>
          <w:sz w:val="24"/>
          <w:highlight w:val="none"/>
          <w:u w:val="single"/>
          <w14:textFill>
            <w14:solidFill>
              <w14:schemeClr w14:val="tx1"/>
            </w14:solidFill>
          </w14:textFill>
        </w:rPr>
        <w:t xml:space="preserve">  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7</w:t>
      </w:r>
      <w:bookmarkStart w:id="522" w:name="_GoBack"/>
      <w:bookmarkEnd w:id="522"/>
      <w:r>
        <w:rPr>
          <w:rFonts w:hint="eastAsia" w:ascii="仿宋" w:hAnsi="仿宋" w:eastAsia="仿宋" w:cs="仿宋"/>
          <w:color w:val="000000" w:themeColor="text1"/>
          <w:sz w:val="24"/>
          <w:highlight w:val="none"/>
          <w:u w:val="single"/>
          <w14:textFill>
            <w14:solidFill>
              <w14:schemeClr w14:val="tx1"/>
            </w14:solidFill>
          </w14:textFill>
        </w:rPr>
        <w:t xml:space="preserve"> 日</w:t>
      </w:r>
      <w:r>
        <w:rPr>
          <w:rFonts w:hint="eastAsia" w:ascii="仿宋" w:hAnsi="仿宋" w:eastAsia="仿宋" w:cs="仿宋"/>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pPr>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地点（网址）：</w:t>
      </w:r>
      <w:r>
        <w:rPr>
          <w:rFonts w:hint="eastAsia" w:ascii="仿宋" w:hAnsi="仿宋" w:eastAsia="仿宋" w:cs="仿宋"/>
          <w:color w:val="000000" w:themeColor="text1"/>
          <w:sz w:val="24"/>
          <w:highlight w:val="none"/>
          <w14:textFill>
            <w14:solidFill>
              <w14:schemeClr w14:val="tx1"/>
            </w14:solidFill>
          </w14:textFill>
        </w:rPr>
        <w:t xml:space="preserve">政采云平台（https://www.zcygov.cn/） </w:t>
      </w:r>
    </w:p>
    <w:p>
      <w:pPr>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方式：</w:t>
      </w:r>
      <w:r>
        <w:rPr>
          <w:rFonts w:hint="eastAsia" w:ascii="仿宋" w:hAnsi="仿宋" w:eastAsia="仿宋" w:cs="仿宋"/>
          <w:color w:val="000000" w:themeColor="text1"/>
          <w:sz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售价（元）：</w:t>
      </w:r>
      <w:r>
        <w:rPr>
          <w:rFonts w:hint="eastAsia" w:ascii="仿宋" w:hAnsi="仿宋" w:eastAsia="仿宋" w:cs="仿宋"/>
          <w:color w:val="000000" w:themeColor="text1"/>
          <w:sz w:val="24"/>
          <w:highlight w:val="none"/>
          <w14:textFill>
            <w14:solidFill>
              <w14:schemeClr w14:val="tx1"/>
            </w14:solidFill>
          </w14:textFill>
        </w:rPr>
        <w:t xml:space="preserve">0 </w:t>
      </w:r>
      <w:r>
        <w:rPr>
          <w:rFonts w:hint="eastAsia" w:ascii="仿宋" w:hAnsi="仿宋" w:eastAsia="仿宋" w:cs="仿宋"/>
          <w:color w:val="000000" w:themeColor="text1"/>
          <w:sz w:val="24"/>
          <w:highlight w:val="none"/>
          <w14:textFill>
            <w14:solidFill>
              <w14:schemeClr w14:val="tx1"/>
            </w14:solidFill>
          </w14:textFill>
        </w:rPr>
        <w:tab/>
      </w:r>
    </w:p>
    <w:p>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四、提交投标文件截止时间、开标时间和地点</w:t>
      </w:r>
    </w:p>
    <w:p>
      <w:pPr>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提交投标文件截止时间：</w:t>
      </w:r>
      <w:r>
        <w:rPr>
          <w:rFonts w:hint="eastAsia" w:ascii="仿宋" w:hAnsi="仿宋" w:eastAsia="仿宋" w:cs="仿宋"/>
          <w:color w:val="000000" w:themeColor="text1"/>
          <w:sz w:val="24"/>
          <w:highlight w:val="none"/>
          <w:u w:val="single"/>
          <w14:textFill>
            <w14:solidFill>
              <w14:schemeClr w14:val="tx1"/>
            </w14:solidFill>
          </w14:textFill>
        </w:rPr>
        <w:t xml:space="preserve"> 2025年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Fonts w:hint="eastAsia" w:ascii="仿宋" w:hAnsi="仿宋" w:eastAsia="仿宋" w:cs="仿宋"/>
          <w:color w:val="000000" w:themeColor="text1"/>
          <w:sz w:val="24"/>
          <w:highlight w:val="none"/>
          <w:u w:val="single"/>
          <w14:textFill>
            <w14:solidFill>
              <w14:schemeClr w14:val="tx1"/>
            </w14:solidFill>
          </w14:textFill>
        </w:rPr>
        <w:t xml:space="preserve"> 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7</w:t>
      </w:r>
      <w:r>
        <w:rPr>
          <w:rFonts w:hint="eastAsia" w:ascii="仿宋" w:hAnsi="仿宋" w:eastAsia="仿宋" w:cs="仿宋"/>
          <w:color w:val="000000" w:themeColor="text1"/>
          <w:sz w:val="24"/>
          <w:highlight w:val="none"/>
          <w:u w:val="single"/>
          <w14:textFill>
            <w14:solidFill>
              <w14:schemeClr w14:val="tx1"/>
            </w14:solidFill>
          </w14:textFill>
        </w:rPr>
        <w:t xml:space="preserve"> 日 </w:t>
      </w:r>
      <w:r>
        <w:rPr>
          <w:rFonts w:hint="eastAsia" w:ascii="仿宋" w:hAnsi="仿宋" w:eastAsia="仿宋" w:cs="仿宋"/>
          <w:color w:val="000000" w:themeColor="text1"/>
          <w:sz w:val="24"/>
          <w:highlight w:val="none"/>
          <w:u w:val="single"/>
          <w:lang w:val="en-US" w:eastAsia="zh-CN"/>
          <w14:textFill>
            <w14:solidFill>
              <w14:schemeClr w14:val="tx1"/>
            </w14:solidFill>
          </w14:textFill>
        </w:rPr>
        <w:t>10</w:t>
      </w:r>
      <w:r>
        <w:rPr>
          <w:rFonts w:hint="eastAsia" w:ascii="仿宋" w:hAnsi="仿宋" w:eastAsia="仿宋" w:cs="仿宋"/>
          <w:color w:val="000000" w:themeColor="text1"/>
          <w:sz w:val="24"/>
          <w:highlight w:val="none"/>
          <w:u w:val="single"/>
          <w14:textFill>
            <w14:solidFill>
              <w14:schemeClr w14:val="tx1"/>
            </w14:solidFill>
          </w14:textFill>
        </w:rPr>
        <w:t>点00分00秒</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（北京时间）</w:t>
      </w:r>
    </w:p>
    <w:p>
      <w:pPr>
        <w:spacing w:line="360" w:lineRule="auto"/>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投标地点（网址）：</w:t>
      </w:r>
      <w:r>
        <w:rPr>
          <w:rFonts w:hint="eastAsia" w:ascii="仿宋" w:hAnsi="仿宋" w:eastAsia="仿宋" w:cs="仿宋"/>
          <w:color w:val="000000" w:themeColor="text1"/>
          <w:sz w:val="24"/>
          <w:highlight w:val="none"/>
          <w14:textFill>
            <w14:solidFill>
              <w14:schemeClr w14:val="tx1"/>
            </w14:solidFill>
          </w14:textFill>
        </w:rPr>
        <w:t xml:space="preserve">政采云平台（https://www.zcygov.cn/） </w:t>
      </w:r>
    </w:p>
    <w:p>
      <w:pPr>
        <w:spacing w:line="360" w:lineRule="auto"/>
        <w:ind w:firstLine="482" w:firstLineChars="200"/>
        <w:rPr>
          <w:rFonts w:hint="eastAsia"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开标时间：</w:t>
      </w:r>
      <w:r>
        <w:rPr>
          <w:rFonts w:hint="eastAsia" w:ascii="仿宋" w:hAnsi="仿宋" w:eastAsia="仿宋" w:cs="仿宋"/>
          <w:color w:val="000000" w:themeColor="text1"/>
          <w:sz w:val="24"/>
          <w:highlight w:val="none"/>
          <w:u w:val="single"/>
          <w14:textFill>
            <w14:solidFill>
              <w14:schemeClr w14:val="tx1"/>
            </w14:solidFill>
          </w14:textFill>
        </w:rPr>
        <w:t xml:space="preserve">2025年 </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Fonts w:hint="eastAsia" w:ascii="仿宋" w:hAnsi="仿宋" w:eastAsia="仿宋" w:cs="仿宋"/>
          <w:color w:val="000000" w:themeColor="text1"/>
          <w:sz w:val="24"/>
          <w:highlight w:val="none"/>
          <w:u w:val="single"/>
          <w14:textFill>
            <w14:solidFill>
              <w14:schemeClr w14:val="tx1"/>
            </w14:solidFill>
          </w14:textFill>
        </w:rPr>
        <w:t xml:space="preserve">月 </w:t>
      </w:r>
      <w:r>
        <w:rPr>
          <w:rFonts w:hint="eastAsia" w:ascii="仿宋" w:hAnsi="仿宋" w:eastAsia="仿宋" w:cs="仿宋"/>
          <w:color w:val="000000" w:themeColor="text1"/>
          <w:sz w:val="24"/>
          <w:highlight w:val="none"/>
          <w:u w:val="single"/>
          <w:lang w:val="en-US" w:eastAsia="zh-CN"/>
          <w14:textFill>
            <w14:solidFill>
              <w14:schemeClr w14:val="tx1"/>
            </w14:solidFill>
          </w14:textFill>
        </w:rPr>
        <w:t>7</w:t>
      </w:r>
      <w:r>
        <w:rPr>
          <w:rFonts w:hint="eastAsia" w:ascii="仿宋" w:hAnsi="仿宋" w:eastAsia="仿宋" w:cs="仿宋"/>
          <w:color w:val="000000" w:themeColor="text1"/>
          <w:sz w:val="24"/>
          <w:highlight w:val="none"/>
          <w:u w:val="single"/>
          <w14:textFill>
            <w14:solidFill>
              <w14:schemeClr w14:val="tx1"/>
            </w14:solidFill>
          </w14:textFill>
        </w:rPr>
        <w:t xml:space="preserve">日 </w:t>
      </w:r>
      <w:r>
        <w:rPr>
          <w:rFonts w:hint="eastAsia" w:ascii="仿宋" w:hAnsi="仿宋" w:eastAsia="仿宋" w:cs="仿宋"/>
          <w:color w:val="000000" w:themeColor="text1"/>
          <w:sz w:val="24"/>
          <w:highlight w:val="none"/>
          <w:u w:val="single"/>
          <w:lang w:val="en-US" w:eastAsia="zh-CN"/>
          <w14:textFill>
            <w14:solidFill>
              <w14:schemeClr w14:val="tx1"/>
            </w14:solidFill>
          </w14:textFill>
        </w:rPr>
        <w:t>10</w:t>
      </w:r>
      <w:r>
        <w:rPr>
          <w:rFonts w:hint="eastAsia" w:ascii="仿宋" w:hAnsi="仿宋" w:eastAsia="仿宋" w:cs="仿宋"/>
          <w:color w:val="000000" w:themeColor="text1"/>
          <w:sz w:val="24"/>
          <w:highlight w:val="none"/>
          <w:u w:val="single"/>
          <w14:textFill>
            <w14:solidFill>
              <w14:schemeClr w14:val="tx1"/>
            </w14:solidFill>
          </w14:textFill>
        </w:rPr>
        <w:t>点00分00秒</w:t>
      </w:r>
      <w:r>
        <w:rPr>
          <w:rFonts w:hint="eastAsia" w:ascii="仿宋" w:hAnsi="仿宋" w:eastAsia="仿宋" w:cs="仿宋"/>
          <w:bCs/>
          <w:color w:val="000000" w:themeColor="text1"/>
          <w:sz w:val="24"/>
          <w:highlight w:val="none"/>
          <w:u w:val="single"/>
          <w14:textFill>
            <w14:solidFill>
              <w14:schemeClr w14:val="tx1"/>
            </w14:solidFill>
          </w14:textFill>
        </w:rPr>
        <w:t xml:space="preserve">  </w:t>
      </w:r>
    </w:p>
    <w:p>
      <w:pPr>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开标地点（网址）：</w:t>
      </w:r>
      <w:r>
        <w:rPr>
          <w:rFonts w:hint="eastAsia" w:ascii="仿宋" w:hAnsi="仿宋" w:eastAsia="仿宋" w:cs="仿宋"/>
          <w:color w:val="000000" w:themeColor="text1"/>
          <w:sz w:val="24"/>
          <w:highlight w:val="none"/>
          <w14:textFill>
            <w14:solidFill>
              <w14:schemeClr w14:val="tx1"/>
            </w14:solidFill>
          </w14:textFill>
        </w:rPr>
        <w:t>政采云平台（https://www.zcygov.cn/）</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五、公告期限 </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自本公告发布之日起5个工作日。</w:t>
      </w:r>
    </w:p>
    <w:p>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六、其他补充事宜</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七、对本次采购提出询问、质疑、投诉，请按以下方式联系</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1.采购人信息</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名    称：杭州市余杭区人民政府五常街道办事处 </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地    址：杭州市余杭区西坝路59号       </w:t>
      </w:r>
    </w:p>
    <w:p>
      <w:pPr>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传    真： /</w:t>
      </w:r>
    </w:p>
    <w:p>
      <w:pPr>
        <w:spacing w:line="360" w:lineRule="auto"/>
        <w:ind w:firstLine="480" w:firstLineChars="200"/>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项目联系人（询问）：</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何维国</w:t>
      </w:r>
    </w:p>
    <w:p>
      <w:pPr>
        <w:spacing w:line="360"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项目联系方式（询问）：</w:t>
      </w:r>
      <w:r>
        <w:rPr>
          <w:rFonts w:hint="eastAsia" w:ascii="仿宋" w:hAnsi="仿宋" w:eastAsia="仿宋" w:cs="仿宋"/>
          <w:color w:val="000000" w:themeColor="text1"/>
          <w:sz w:val="24"/>
          <w:highlight w:val="none"/>
          <w:lang w:val="en-US" w:eastAsia="zh-CN"/>
          <w14:textFill>
            <w14:solidFill>
              <w14:schemeClr w14:val="tx1"/>
            </w14:solidFill>
          </w14:textFill>
        </w:rPr>
        <w:t>0571-89517195</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质疑联系人：徐杰</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质疑联系方式：0571-89517099  </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2.采购代理机构信息            </w:t>
      </w:r>
    </w:p>
    <w:p>
      <w:pPr>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    称：杭州华瑞新洲工程造价咨询有限公司</w:t>
      </w:r>
    </w:p>
    <w:p>
      <w:pPr>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址：杭州市临平区南苑街道玩月街IFC金融中心2幢1302室</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传    真： /</w:t>
      </w:r>
    </w:p>
    <w:p>
      <w:pPr>
        <w:spacing w:line="360" w:lineRule="auto"/>
        <w:ind w:firstLine="48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项目联系人（询问）：</w:t>
      </w:r>
      <w:r>
        <w:rPr>
          <w:rFonts w:hint="eastAsia" w:ascii="仿宋" w:hAnsi="仿宋" w:eastAsia="仿宋" w:cs="仿宋"/>
          <w:color w:val="000000" w:themeColor="text1"/>
          <w:sz w:val="24"/>
          <w:highlight w:val="none"/>
          <w:lang w:val="en-US" w:eastAsia="zh-CN"/>
          <w14:textFill>
            <w14:solidFill>
              <w14:schemeClr w14:val="tx1"/>
            </w14:solidFill>
          </w14:textFill>
        </w:rPr>
        <w:t>唐卫东</w:t>
      </w:r>
    </w:p>
    <w:p>
      <w:pPr>
        <w:spacing w:line="360" w:lineRule="auto"/>
        <w:ind w:firstLine="48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项目联系方式（询问）：</w:t>
      </w:r>
      <w:r>
        <w:rPr>
          <w:rFonts w:hint="eastAsia" w:ascii="仿宋" w:hAnsi="仿宋" w:eastAsia="仿宋" w:cs="仿宋"/>
          <w:color w:val="000000" w:themeColor="text1"/>
          <w:sz w:val="24"/>
          <w:highlight w:val="none"/>
          <w:lang w:val="en-US" w:eastAsia="zh-CN"/>
          <w14:textFill>
            <w14:solidFill>
              <w14:schemeClr w14:val="tx1"/>
            </w14:solidFill>
          </w14:textFill>
        </w:rPr>
        <w:t>13758286505</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质疑联系人：陈俊 </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质疑联系方式：0571-89181168</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3.同级政府采购监督管理部门            </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名    称：杭州市</w:t>
      </w:r>
      <w:r>
        <w:rPr>
          <w:rFonts w:hint="eastAsia" w:ascii="仿宋" w:hAnsi="仿宋" w:eastAsia="仿宋" w:cs="仿宋"/>
          <w:color w:val="000000" w:themeColor="text1"/>
          <w:sz w:val="24"/>
          <w:highlight w:val="none"/>
          <w:lang w:eastAsia="zh-CN"/>
          <w14:textFill>
            <w14:solidFill>
              <w14:schemeClr w14:val="tx1"/>
            </w14:solidFill>
          </w14:textFill>
        </w:rPr>
        <w:t>余杭</w:t>
      </w:r>
      <w:r>
        <w:rPr>
          <w:rFonts w:hint="eastAsia" w:ascii="仿宋" w:hAnsi="仿宋" w:eastAsia="仿宋" w:cs="仿宋"/>
          <w:color w:val="000000" w:themeColor="text1"/>
          <w:sz w:val="24"/>
          <w:highlight w:val="none"/>
          <w14:textFill>
            <w14:solidFill>
              <w14:schemeClr w14:val="tx1"/>
            </w14:solidFill>
          </w14:textFill>
        </w:rPr>
        <w:t>区财政局、浙江省政府采购行政裁决服务中心（杭州）</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地    址：杭州市上城区清泰街549号城建综合大楼11楼（快递仅限ems或顺丰）  </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传    真： /</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联系人 ：朱女士、王女士</w:t>
      </w:r>
    </w:p>
    <w:p>
      <w:pPr>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监督投诉电话：电话：0571-85252453 </w:t>
      </w:r>
      <w:r>
        <w:rPr>
          <w:rFonts w:hint="eastAsia" w:ascii="仿宋" w:hAnsi="仿宋" w:eastAsia="仿宋" w:cs="仿宋"/>
          <w:color w:val="000000" w:themeColor="text1"/>
          <w:sz w:val="24"/>
          <w:highlight w:val="none"/>
          <w14:textFill>
            <w14:solidFill>
              <w14:schemeClr w14:val="tx1"/>
            </w14:solidFill>
          </w14:textFill>
        </w:rPr>
        <w:tab/>
      </w:r>
      <w:r>
        <w:rPr>
          <w:rFonts w:hint="eastAsia" w:ascii="仿宋" w:hAnsi="仿宋" w:eastAsia="仿宋" w:cs="仿宋"/>
          <w:color w:val="000000" w:themeColor="text1"/>
          <w:sz w:val="24"/>
          <w:highlight w:val="none"/>
          <w14:textFill>
            <w14:solidFill>
              <w14:schemeClr w14:val="tx1"/>
            </w14:solidFill>
          </w14:textFill>
        </w:rPr>
        <w:tab/>
      </w:r>
    </w:p>
    <w:p>
      <w:pPr>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政策咨询：沈先生、陈先生，电话：0571-89580457、0571-89580460</w:t>
      </w:r>
    </w:p>
    <w:p>
      <w:pPr>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CA问题联系电话（人工）：汇信CA 400-888-4636；天谷CA 400-087-8198。</w:t>
      </w:r>
    </w:p>
    <w:p>
      <w:pPr>
        <w:widowControl/>
        <w:adjustRightInd/>
        <w:jc w:val="left"/>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br w:type="page"/>
      </w:r>
    </w:p>
    <w:p>
      <w:pPr>
        <w:adjustRightInd/>
        <w:spacing w:line="360" w:lineRule="auto"/>
        <w:jc w:val="center"/>
        <w:outlineLvl w:val="0"/>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第二部分</w:t>
      </w:r>
      <w:bookmarkEnd w:id="8"/>
      <w:r>
        <w:rPr>
          <w:rFonts w:hint="eastAsia" w:ascii="仿宋" w:hAnsi="仿宋" w:eastAsia="仿宋" w:cs="仿宋"/>
          <w:b/>
          <w:color w:val="000000" w:themeColor="text1"/>
          <w:sz w:val="36"/>
          <w:szCs w:val="20"/>
          <w:highlight w:val="none"/>
          <w14:textFill>
            <w14:solidFill>
              <w14:schemeClr w14:val="tx1"/>
            </w14:solidFill>
          </w14:textFill>
        </w:rPr>
        <w:t xml:space="preserve"> 投标人须知</w:t>
      </w:r>
      <w:bookmarkEnd w:id="9"/>
    </w:p>
    <w:p>
      <w:pPr>
        <w:adjustRightInd/>
        <w:spacing w:line="360" w:lineRule="auto"/>
        <w:ind w:firstLine="3845" w:firstLineChars="1197"/>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前附表</w:t>
      </w:r>
    </w:p>
    <w:tbl>
      <w:tblPr>
        <w:tblStyle w:val="6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仿宋" w:hAnsi="仿宋" w:eastAsia="仿宋" w:cs="仿宋"/>
                <w:color w:val="auto"/>
                <w:kern w:val="0"/>
                <w:sz w:val="24"/>
                <w:highlight w:val="none"/>
                <w:u w:val="single"/>
                <w:lang w:eastAsia="zh-CN"/>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lang w:eastAsia="zh-CN"/>
              </w:rPr>
              <w:t>五常街道机关、社区及平安巡防大队工会会员疗休养项目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lang w:eastAsia="zh-CN"/>
              </w:rPr>
              <w:t>租赁和商务服务业</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u w:val="single"/>
                <w:lang w:eastAsia="zh-CN"/>
              </w:rPr>
              <w:t>标准详见附件8《中小企业划型标准规定》</w:t>
            </w:r>
          </w:p>
          <w:p>
            <w:pPr>
              <w:pStyle w:val="6"/>
              <w:ind w:left="0" w:firstLine="0"/>
              <w:rPr>
                <w:rFonts w:hint="eastAsia" w:ascii="仿宋" w:eastAsia="仿宋" w:cs="仿宋"/>
                <w:color w:val="000000" w:themeColor="text1"/>
                <w:highlight w:val="none"/>
                <w:lang w:val="en-US"/>
                <w14:textFill>
                  <w14:solidFill>
                    <w14:schemeClr w14:val="tx1"/>
                  </w14:solidFill>
                </w14:textFill>
              </w:rPr>
            </w:pPr>
            <w:r>
              <w:rPr>
                <w:rFonts w:hint="eastAsia" w:ascii="仿宋" w:hAnsi="仿宋" w:eastAsia="仿宋" w:cs="仿宋"/>
                <w:color w:val="auto"/>
                <w:kern w:val="0"/>
                <w:sz w:val="24"/>
                <w:highlight w:val="none"/>
                <w:u w:val="single"/>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000000" w:themeColor="text1"/>
                <w:kern w:val="0"/>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0"/>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sym w:font="Wingdings" w:char="F0FE"/>
                </w:r>
              </w:sdtContent>
            </w:sdt>
            <w:r>
              <w:rPr>
                <w:rFonts w:hint="eastAsia" w:ascii="仿宋" w:hAnsi="仿宋" w:eastAsia="仿宋" w:cs="仿宋"/>
                <w:color w:val="000000" w:themeColor="text1"/>
                <w:kern w:val="0"/>
                <w:sz w:val="24"/>
                <w:highlight w:val="none"/>
                <w14:textFill>
                  <w14:solidFill>
                    <w14:schemeClr w14:val="tx1"/>
                  </w14:solidFill>
                </w14:textFill>
              </w:rPr>
              <w:t>本项目不允许采购进口产品。</w:t>
            </w:r>
          </w:p>
          <w:p>
            <w:pPr>
              <w:spacing w:line="360" w:lineRule="auto"/>
              <w:rPr>
                <w:rFonts w:hint="eastAsia" w:ascii="仿宋" w:hAnsi="仿宋" w:eastAsia="仿宋" w:cs="仿宋"/>
                <w:color w:val="000000" w:themeColor="text1"/>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944195600"/>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可以就</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2"/>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 xml:space="preserve"> A</w:t>
            </w:r>
            <w:r>
              <w:rPr>
                <w:rFonts w:hint="eastAsia" w:ascii="仿宋" w:hAnsi="仿宋" w:eastAsia="仿宋" w:cs="仿宋"/>
                <w:color w:val="000000" w:themeColor="text1"/>
                <w:sz w:val="24"/>
                <w:highlight w:val="none"/>
                <w14:textFill>
                  <w14:solidFill>
                    <w14:schemeClr w14:val="tx1"/>
                  </w14:solidFill>
                </w14:textFill>
              </w:rPr>
              <w:t>同意将非主体、非关键性的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工作分包。</w:t>
            </w:r>
            <w:sdt>
              <w:sdtPr>
                <w:rPr>
                  <w:rFonts w:hint="eastAsia" w:ascii="仿宋" w:hAnsi="仿宋" w:eastAsia="仿宋" w:cs="仿宋"/>
                  <w:color w:val="000000" w:themeColor="text1"/>
                  <w:kern w:val="0"/>
                  <w:sz w:val="24"/>
                  <w:highlight w:val="none"/>
                  <w14:textFill>
                    <w14:solidFill>
                      <w14:schemeClr w14:val="tx1"/>
                    </w14:solidFill>
                  </w14:textFill>
                </w:rPr>
                <w:id w:val="13"/>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kern w:val="0"/>
                <w:sz w:val="24"/>
                <w:highlight w:val="none"/>
                <w14:textFill>
                  <w14:solidFill>
                    <w14:schemeClr w14:val="tx1"/>
                  </w14:solidFill>
                </w14:textFill>
              </w:rPr>
              <w:t xml:space="preserve"> B</w:t>
            </w:r>
            <w:r>
              <w:rPr>
                <w:rFonts w:hint="eastAsia" w:ascii="仿宋" w:hAnsi="仿宋" w:eastAsia="仿宋" w:cs="仿宋"/>
                <w:color w:val="000000" w:themeColor="text1"/>
                <w:sz w:val="24"/>
                <w:highlight w:val="none"/>
                <w14:textFill>
                  <w14:solidFill>
                    <w14:schemeClr w14:val="tx1"/>
                  </w14:solidFill>
                </w14:textFill>
              </w:rPr>
              <w:t>不同意分包。</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317845815"/>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不组织。</w:t>
            </w:r>
          </w:p>
          <w:p>
            <w:pPr>
              <w:spacing w:line="360" w:lineRule="auto"/>
              <w:rPr>
                <w:rFonts w:hint="eastAsia" w:ascii="仿宋" w:hAnsi="仿宋" w:eastAsia="仿宋" w:cs="仿宋"/>
                <w:color w:val="000000" w:themeColor="text1"/>
                <w:sz w:val="24"/>
                <w:szCs w:val="20"/>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126353571"/>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B组织，</w:t>
            </w:r>
            <w:r>
              <w:rPr>
                <w:rFonts w:hint="eastAsia" w:ascii="仿宋" w:hAnsi="仿宋" w:eastAsia="仿宋" w:cs="仿宋"/>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，联系方式：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0"/>
                <w:highlight w:val="none"/>
                <w14:textFill>
                  <w14:solidFill>
                    <w14:schemeClr w14:val="tx1"/>
                  </w14:solidFill>
                </w14:textFill>
              </w:rPr>
              <w:t>。</w:t>
            </w:r>
          </w:p>
          <w:p>
            <w:pPr>
              <w:spacing w:line="360" w:lineRule="auto"/>
              <w:rPr>
                <w:rFonts w:hint="eastAsia" w:ascii="仿宋" w:hAnsi="仿宋" w:eastAsia="仿宋" w:cs="仿宋"/>
                <w:color w:val="000000" w:themeColor="text1"/>
                <w:sz w:val="24"/>
                <w:szCs w:val="20"/>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021049127"/>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sz w:val="24"/>
                <w:szCs w:val="20"/>
                <w:highlight w:val="none"/>
                <w14:textFill>
                  <w14:solidFill>
                    <w14:schemeClr w14:val="tx1"/>
                  </w14:solidFill>
                </w14:textFill>
              </w:rPr>
              <w:t>C不统一组织，供应商在获取采购文件后，自行至项目现场考察。地点：</w:t>
            </w:r>
            <w:r>
              <w:rPr>
                <w:rFonts w:hint="eastAsia" w:ascii="仿宋" w:hAnsi="仿宋" w:eastAsia="仿宋" w:cs="仿宋"/>
                <w:color w:val="000000" w:themeColor="text1"/>
                <w:sz w:val="24"/>
                <w:szCs w:val="20"/>
                <w:highlight w:val="none"/>
                <w:u w:val="single"/>
                <w14:textFill>
                  <w14:solidFill>
                    <w14:schemeClr w14:val="tx1"/>
                  </w14:solidFill>
                </w14:textFill>
              </w:rPr>
              <w:t xml:space="preserve">    </w:t>
            </w:r>
            <w:r>
              <w:rPr>
                <w:rFonts w:hint="eastAsia" w:ascii="仿宋" w:hAnsi="仿宋" w:eastAsia="仿宋" w:cs="仿宋"/>
                <w:color w:val="000000" w:themeColor="text1"/>
                <w:sz w:val="24"/>
                <w:szCs w:val="20"/>
                <w:highlight w:val="none"/>
                <w14:textFill>
                  <w14:solidFill>
                    <w14:schemeClr w14:val="tx1"/>
                  </w14:solidFill>
                </w14:textFill>
              </w:rPr>
              <w:t>，联系人：</w:t>
            </w:r>
            <w:r>
              <w:rPr>
                <w:rFonts w:hint="eastAsia" w:ascii="仿宋" w:hAnsi="仿宋" w:eastAsia="仿宋" w:cs="仿宋"/>
                <w:color w:val="000000" w:themeColor="text1"/>
                <w:sz w:val="24"/>
                <w:szCs w:val="20"/>
                <w:highlight w:val="none"/>
                <w:u w:val="single"/>
                <w14:textFill>
                  <w14:solidFill>
                    <w14:schemeClr w14:val="tx1"/>
                  </w14:solidFill>
                </w14:textFill>
              </w:rPr>
              <w:t xml:space="preserve">   </w:t>
            </w:r>
            <w:r>
              <w:rPr>
                <w:rFonts w:hint="eastAsia" w:ascii="仿宋" w:hAnsi="仿宋" w:eastAsia="仿宋" w:cs="仿宋"/>
                <w:color w:val="000000" w:themeColor="text1"/>
                <w:sz w:val="24"/>
                <w:szCs w:val="20"/>
                <w:highlight w:val="none"/>
                <w14:textFill>
                  <w14:solidFill>
                    <w14:schemeClr w14:val="tx1"/>
                  </w14:solidFill>
                </w14:textFill>
              </w:rPr>
              <w:t>，联系方式：</w:t>
            </w:r>
            <w:r>
              <w:rPr>
                <w:rFonts w:hint="eastAsia" w:ascii="仿宋" w:hAnsi="仿宋" w:eastAsia="仿宋" w:cs="仿宋"/>
                <w:color w:val="000000" w:themeColor="text1"/>
                <w:sz w:val="24"/>
                <w:szCs w:val="20"/>
                <w:highlight w:val="none"/>
                <w:u w:val="single"/>
                <w14:textFill>
                  <w14:solidFill>
                    <w14:schemeClr w14:val="tx1"/>
                  </w14:solidFill>
                </w14:textFill>
              </w:rPr>
              <w:t xml:space="preserve">   </w:t>
            </w:r>
            <w:r>
              <w:rPr>
                <w:rFonts w:hint="eastAsia" w:ascii="仿宋" w:hAnsi="仿宋" w:eastAsia="仿宋" w:cs="仿宋"/>
                <w:color w:val="000000" w:themeColor="text1"/>
                <w:sz w:val="24"/>
                <w:szCs w:val="20"/>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7"/>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不要求提供。</w:t>
            </w:r>
          </w:p>
          <w:p>
            <w:pPr>
              <w:spacing w:line="360" w:lineRule="auto"/>
              <w:rPr>
                <w:rFonts w:hint="eastAsia" w:ascii="仿宋" w:hAnsi="仿宋" w:eastAsia="仿宋" w:cs="仿宋"/>
                <w:color w:val="000000" w:themeColor="text1"/>
                <w:kern w:val="0"/>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026831988"/>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B要求提供，</w:t>
            </w:r>
          </w:p>
          <w:p>
            <w:pPr>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snapToGrid w:val="0"/>
                <w:color w:val="000000" w:themeColor="text1"/>
                <w:kern w:val="28"/>
                <w:sz w:val="24"/>
                <w:highlight w:val="none"/>
                <w14:textFill>
                  <w14:solidFill>
                    <w14:schemeClr w14:val="tx1"/>
                  </w14:solidFill>
                </w14:textFill>
              </w:rPr>
              <w:t>样品：</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pPr>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r>
              <w:rPr>
                <w:rFonts w:hint="eastAsia" w:ascii="仿宋" w:hAnsi="仿宋" w:eastAsia="仿宋" w:cs="仿宋"/>
                <w:snapToGrid w:val="0"/>
                <w:color w:val="000000" w:themeColor="text1"/>
                <w:kern w:val="28"/>
                <w:sz w:val="24"/>
                <w:highlight w:val="none"/>
                <w14:textFill>
                  <w14:solidFill>
                    <w14:schemeClr w14:val="tx1"/>
                  </w14:solidFill>
                </w14:textFill>
              </w:rPr>
              <w:t>样品制作的标准和要求：</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pPr>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（3）样品的评审方法以及评审标准</w:t>
            </w:r>
            <w:r>
              <w:rPr>
                <w:rFonts w:hint="eastAsia" w:ascii="仿宋" w:hAnsi="仿宋" w:eastAsia="仿宋" w:cs="仿宋"/>
                <w:snapToGrid w:val="0"/>
                <w:color w:val="000000" w:themeColor="text1"/>
                <w:kern w:val="28"/>
                <w:sz w:val="24"/>
                <w:highlight w:val="none"/>
                <w14:textFill>
                  <w14:solidFill>
                    <w14:schemeClr w14:val="tx1"/>
                  </w14:solidFill>
                </w14:textFill>
              </w:rPr>
              <w:t>：详见</w:t>
            </w:r>
            <w:r>
              <w:rPr>
                <w:rFonts w:hint="eastAsia" w:ascii="仿宋" w:hAnsi="仿宋" w:eastAsia="仿宋" w:cs="仿宋"/>
                <w:color w:val="000000" w:themeColor="text1"/>
                <w:sz w:val="24"/>
                <w:highlight w:val="none"/>
                <w:u w:val="single"/>
                <w14:textFill>
                  <w14:solidFill>
                    <w14:schemeClr w14:val="tx1"/>
                  </w14:solidFill>
                </w14:textFill>
              </w:rPr>
              <w:t>评标办法</w:t>
            </w:r>
            <w:r>
              <w:rPr>
                <w:rFonts w:hint="eastAsia" w:ascii="仿宋" w:hAnsi="仿宋" w:eastAsia="仿宋" w:cs="仿宋"/>
                <w:color w:val="000000" w:themeColor="text1"/>
                <w:kern w:val="0"/>
                <w:sz w:val="24"/>
                <w:highlight w:val="none"/>
                <w14:textFill>
                  <w14:solidFill>
                    <w14:schemeClr w14:val="tx1"/>
                  </w14:solidFill>
                </w14:textFill>
              </w:rPr>
              <w:t>；</w:t>
            </w:r>
          </w:p>
          <w:p>
            <w:pPr>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（4）是否需要随样品提交检测报告：</w:t>
            </w:r>
            <w:sdt>
              <w:sdtPr>
                <w:rPr>
                  <w:rFonts w:hint="eastAsia" w:ascii="仿宋" w:hAnsi="仿宋" w:eastAsia="仿宋" w:cs="仿宋"/>
                  <w:color w:val="000000" w:themeColor="text1"/>
                  <w:kern w:val="0"/>
                  <w:sz w:val="24"/>
                  <w:highlight w:val="none"/>
                  <w14:textFill>
                    <w14:solidFill>
                      <w14:schemeClr w14:val="tx1"/>
                    </w14:solidFill>
                  </w14:textFill>
                </w:rPr>
                <w:id w:val="1303421454"/>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否；</w:t>
            </w:r>
            <w:sdt>
              <w:sdtPr>
                <w:rPr>
                  <w:rFonts w:hint="eastAsia" w:ascii="仿宋" w:hAnsi="仿宋" w:eastAsia="仿宋" w:cs="仿宋"/>
                  <w:color w:val="000000" w:themeColor="text1"/>
                  <w:kern w:val="0"/>
                  <w:sz w:val="24"/>
                  <w:highlight w:val="none"/>
                  <w14:textFill>
                    <w14:solidFill>
                      <w14:schemeClr w14:val="tx1"/>
                    </w14:solidFill>
                  </w14:textFill>
                </w:rPr>
                <w:id w:val="1621728433"/>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是，检测机构的要求</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；检测内容</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（5）提供样品的时间：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；联系人</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28"/>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。请投标人在上述时间内提供样品并按规定位置安装完毕。超过截止时间的，采购人或采购代理机构将不予接收，并将清场并封闭样品现场。</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21"/>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不组织。</w:t>
            </w:r>
          </w:p>
          <w:p>
            <w:pPr>
              <w:spacing w:line="360" w:lineRule="auto"/>
              <w:rPr>
                <w:rFonts w:hint="eastAsia" w:ascii="仿宋" w:hAnsi="仿宋" w:eastAsia="仿宋" w:cs="仿宋"/>
                <w:color w:val="000000" w:themeColor="text1"/>
                <w:kern w:val="0"/>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174071719"/>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B组织。</w:t>
            </w: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（1）在评标时安排每个投标人进行方案讲解演示。每个投标人时间不超过</w:t>
            </w:r>
            <w:r>
              <w:rPr>
                <w:rFonts w:hint="eastAsia" w:ascii="仿宋" w:hAnsi="仿宋" w:eastAsia="仿宋" w:cs="仿宋"/>
                <w:color w:val="000000" w:themeColor="text1"/>
                <w:kern w:val="0"/>
                <w:sz w:val="24"/>
                <w:highlight w:val="none"/>
                <w:u w:val="single"/>
                <w14:textFill>
                  <w14:solidFill>
                    <w14:schemeClr w14:val="tx1"/>
                  </w14:solidFill>
                </w14:textFill>
              </w:rPr>
              <w:t>20（编制时可根据项目情况进行调整）</w:t>
            </w:r>
            <w:r>
              <w:rPr>
                <w:rFonts w:hint="eastAsia" w:ascii="仿宋" w:hAnsi="仿宋" w:eastAsia="仿宋" w:cs="仿宋"/>
                <w:color w:val="000000" w:themeColor="text1"/>
                <w:kern w:val="0"/>
                <w:sz w:val="24"/>
                <w:highlight w:val="none"/>
                <w14:textFill>
                  <w14:solidFill>
                    <w14:schemeClr w14:val="tx1"/>
                  </w14:solidFill>
                </w14:textFill>
              </w:rPr>
              <w:t>分钟，讲解次序以投标文件解密时间先后次序为准，讲解演示人员不超过</w:t>
            </w:r>
            <w:r>
              <w:rPr>
                <w:rFonts w:hint="eastAsia" w:ascii="仿宋" w:hAnsi="仿宋" w:eastAsia="仿宋" w:cs="仿宋"/>
                <w:color w:val="000000" w:themeColor="text1"/>
                <w:kern w:val="0"/>
                <w:sz w:val="24"/>
                <w:highlight w:val="none"/>
                <w:u w:val="single"/>
                <w14:textFill>
                  <w14:solidFill>
                    <w14:schemeClr w14:val="tx1"/>
                  </w14:solidFill>
                </w14:textFill>
              </w:rPr>
              <w:t>3（编制时可根据项目情况进行调整）</w:t>
            </w:r>
            <w:r>
              <w:rPr>
                <w:rFonts w:hint="eastAsia" w:ascii="仿宋" w:hAnsi="仿宋" w:eastAsia="仿宋" w:cs="仿宋"/>
                <w:color w:val="000000" w:themeColor="text1"/>
                <w:kern w:val="0"/>
                <w:sz w:val="24"/>
                <w:highlight w:val="none"/>
                <w14:textFill>
                  <w14:solidFill>
                    <w14:schemeClr w14:val="tx1"/>
                  </w14:solidFill>
                </w14:textFill>
              </w:rPr>
              <w:t>人。讲解演示结束后按要求解答评标委员会提问。</w:t>
            </w: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（2）方案讲解演示可选择以下其中一种方式：</w:t>
            </w: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方式一：政采云平台在线讲解演示。政采云平台在线讲解需投标人根据政采云平台操作要求做好准备工作，提前完善软硬件配置环境。</w:t>
            </w: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方式二：交易中心现场讲解演示。现场讲解地点为</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，讲解演示所用电脑等设备由投标人自备。现场讲解演示人员进场时提供讲解人员名单（加盖公章或授权代表签名）及身份证明，否则不得讲解演示。</w:t>
            </w:r>
          </w:p>
          <w:p>
            <w:pPr>
              <w:snapToGrid w:val="0"/>
              <w:spacing w:line="360" w:lineRule="auto"/>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（1）资格证明文件：见招标文件第二部分11.1。</w:t>
            </w:r>
          </w:p>
          <w:p>
            <w:pPr>
              <w:spacing w:line="360" w:lineRule="auto"/>
              <w:rPr>
                <w:rFonts w:hint="eastAsia" w:ascii="仿宋" w:hAnsi="仿宋" w:eastAsia="仿宋" w:cs="仿宋"/>
                <w:snapToGrid w:val="0"/>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☐强制采购。产品：    </w:t>
            </w: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□优先采购节能产品。产品：   </w:t>
            </w: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□优先采购环保产品。产品：    </w:t>
            </w:r>
          </w:p>
          <w:p>
            <w:pPr>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有关本项目实施所需的所有费用（含税费）均计入报价。</w:t>
            </w:r>
            <w:r>
              <w:rPr>
                <w:rFonts w:hint="eastAsia" w:ascii="仿宋" w:hAnsi="仿宋" w:eastAsia="仿宋" w:cs="仿宋"/>
                <w:b/>
                <w:bCs/>
                <w:color w:val="000000" w:themeColor="text1"/>
                <w:kern w:val="0"/>
                <w:sz w:val="24"/>
                <w:highlight w:val="none"/>
                <w:lang w:val="zh-CN"/>
                <w14:textFill>
                  <w14:solidFill>
                    <w14:schemeClr w14:val="tx1"/>
                  </w14:solidFill>
                </w14:textFill>
              </w:rPr>
              <w:t>投标文件</w:t>
            </w:r>
            <w:r>
              <w:rPr>
                <w:rFonts w:hint="eastAsia" w:ascii="仿宋" w:hAnsi="仿宋" w:eastAsia="仿宋" w:cs="仿宋"/>
                <w:b/>
                <w:bCs/>
                <w:color w:val="000000" w:themeColor="text1"/>
                <w:sz w:val="24"/>
                <w:highlight w:val="none"/>
                <w14:textFill>
                  <w14:solidFill>
                    <w14:schemeClr w14:val="tx1"/>
                  </w14:solidFill>
                </w14:textFill>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000000" w:themeColor="text1"/>
                <w:kern w:val="0"/>
                <w:sz w:val="24"/>
                <w:highlight w:val="none"/>
                <w:lang w:val="zh-CN"/>
                <w14:textFill>
                  <w14:solidFill>
                    <w14:schemeClr w14:val="tx1"/>
                  </w14:solidFill>
                </w14:textFill>
              </w:rPr>
              <w:t>投标文件中价格全部采用人民币报价。招标文件未列明，而投标人认为必需的费用也需列入报价。</w:t>
            </w:r>
            <w:r>
              <w:rPr>
                <w:rFonts w:hint="eastAsia" w:ascii="仿宋" w:hAnsi="仿宋" w:eastAsia="仿宋" w:cs="仿宋"/>
                <w:b/>
                <w:color w:val="000000" w:themeColor="text1"/>
                <w:kern w:val="0"/>
                <w:sz w:val="24"/>
                <w:highlight w:val="none"/>
                <w:lang w:val="zh-CN"/>
                <w14:textFill>
                  <w14:solidFill>
                    <w14:schemeClr w14:val="tx1"/>
                  </w14:solidFill>
                </w14:textFill>
              </w:rPr>
              <w:t>提醒：验收时检测费用由采购人承担，不包含在投标总价中。</w:t>
            </w:r>
          </w:p>
          <w:p>
            <w:pPr>
              <w:snapToGrid w:val="0"/>
              <w:spacing w:line="360" w:lineRule="auto"/>
              <w:jc w:val="left"/>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投标报价出现下列情形的，投标无效：</w:t>
            </w:r>
          </w:p>
          <w:p>
            <w:pPr>
              <w:snapToGrid w:val="0"/>
              <w:spacing w:line="360" w:lineRule="auto"/>
              <w:ind w:firstLine="241" w:firstLineChars="100"/>
              <w:jc w:val="left"/>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投标文件出现不是唯一的、有选择性投标报价的；</w:t>
            </w:r>
          </w:p>
          <w:p>
            <w:pPr>
              <w:snapToGrid w:val="0"/>
              <w:spacing w:line="360" w:lineRule="auto"/>
              <w:ind w:firstLine="241" w:firstLineChars="1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投标报价超过招标文件中规定的预算金额或者最高限价的;</w:t>
            </w:r>
          </w:p>
          <w:p>
            <w:pPr>
              <w:spacing w:line="360" w:lineRule="auto"/>
              <w:ind w:firstLine="241" w:firstLineChars="1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000000" w:themeColor="text1"/>
                <w:sz w:val="24"/>
                <w:szCs w:val="21"/>
                <w:highlight w:val="none"/>
                <w14:textFill>
                  <w14:solidFill>
                    <w14:schemeClr w14:val="tx1"/>
                  </w14:solidFill>
                </w14:textFill>
              </w:rPr>
              <w:t>;</w:t>
            </w:r>
          </w:p>
          <w:p>
            <w:pPr>
              <w:spacing w:line="360" w:lineRule="auto"/>
              <w:ind w:firstLine="241" w:firstLineChars="1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投标人对根据修正原则修正后的报价不确认的</w:t>
            </w:r>
            <w:r>
              <w:rPr>
                <w:rFonts w:hint="eastAsia" w:ascii="仿宋" w:hAnsi="仿宋" w:eastAsia="仿宋" w:cs="仿宋"/>
                <w:b/>
                <w:color w:val="000000" w:themeColor="text1"/>
                <w:sz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w:t>
            </w:r>
          </w:p>
        </w:tc>
        <w:tc>
          <w:tcPr>
            <w:tcW w:w="1843" w:type="dxa"/>
            <w:tcBorders>
              <w:top w:val="single" w:color="000000" w:sz="8" w:space="0"/>
              <w:left w:val="single" w:color="000000" w:sz="2" w:space="0"/>
              <w:bottom w:val="single" w:color="auto" w:sz="4"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备份投标文件送达地点和签收人员 </w:t>
            </w:r>
          </w:p>
        </w:tc>
        <w:tc>
          <w:tcPr>
            <w:tcW w:w="6095" w:type="dxa"/>
            <w:tcBorders>
              <w:top w:val="single" w:color="000000" w:sz="8" w:space="0"/>
              <w:left w:val="single" w:color="000000" w:sz="2" w:space="0"/>
              <w:bottom w:val="single" w:color="auto" w:sz="4" w:space="0"/>
              <w:right w:val="single" w:color="000000" w:sz="8" w:space="0"/>
            </w:tcBorders>
            <w:vAlign w:val="center"/>
          </w:tcPr>
          <w:p>
            <w:pPr>
              <w:pStyle w:val="35"/>
              <w:spacing w:line="360" w:lineRule="auto"/>
              <w:rPr>
                <w:rFonts w:hint="eastAsia" w:ascii="仿宋" w:hAnsi="仿宋" w:eastAsia="仿宋" w:cs="仿宋"/>
                <w:color w:val="000000" w:themeColor="text1"/>
                <w:kern w:val="28"/>
                <w:sz w:val="24"/>
                <w:highlight w:val="none"/>
                <w14:textFill>
                  <w14:solidFill>
                    <w14:schemeClr w14:val="tx1"/>
                  </w14:solidFill>
                </w14:textFill>
              </w:rPr>
            </w:pPr>
            <w:r>
              <w:rPr>
                <w:rFonts w:hint="eastAsia" w:ascii="仿宋" w:hAnsi="仿宋" w:eastAsia="仿宋" w:cs="仿宋"/>
                <w:color w:val="000000" w:themeColor="text1"/>
                <w:kern w:val="28"/>
                <w:sz w:val="24"/>
                <w:szCs w:val="24"/>
                <w:highlight w:val="none"/>
                <w14:textFill>
                  <w14:solidFill>
                    <w14:schemeClr w14:val="tx1"/>
                  </w14:solidFill>
                </w14:textFill>
              </w:rPr>
              <w:t>备份投标文件送达地点：</w:t>
            </w:r>
            <w:r>
              <w:rPr>
                <w:rFonts w:hint="eastAsia" w:ascii="仿宋" w:hAnsi="仿宋" w:eastAsia="仿宋" w:cs="仿宋"/>
                <w:color w:val="000000" w:themeColor="text1"/>
                <w:sz w:val="24"/>
                <w:highlight w:val="none"/>
                <w:u w:val="single"/>
                <w14:textFill>
                  <w14:solidFill>
                    <w14:schemeClr w14:val="tx1"/>
                  </w14:solidFill>
                </w14:textFill>
              </w:rPr>
              <w:t>杭州市临平区IFC互联网+金融中心2幢1302</w:t>
            </w:r>
            <w:r>
              <w:rPr>
                <w:rFonts w:hint="eastAsia" w:ascii="仿宋" w:hAnsi="仿宋" w:eastAsia="仿宋" w:cs="仿宋"/>
                <w:color w:val="000000" w:themeColor="text1"/>
                <w:kern w:val="28"/>
                <w:sz w:val="24"/>
                <w:szCs w:val="24"/>
                <w:highlight w:val="none"/>
                <w14:textFill>
                  <w14:solidFill>
                    <w14:schemeClr w14:val="tx1"/>
                  </w14:solidFill>
                </w14:textFill>
              </w:rPr>
              <w:t>；备份投标文件签收人员联系电话：</w:t>
            </w:r>
            <w:r>
              <w:rPr>
                <w:rFonts w:hint="eastAsia" w:ascii="仿宋" w:hAnsi="仿宋" w:eastAsia="仿宋" w:cs="仿宋"/>
                <w:color w:val="000000" w:themeColor="text1"/>
                <w:sz w:val="24"/>
                <w:highlight w:val="none"/>
                <w:u w:val="single"/>
                <w:lang w:val="en-US" w:eastAsia="zh-CN"/>
                <w14:textFill>
                  <w14:solidFill>
                    <w14:schemeClr w14:val="tx1"/>
                  </w14:solidFill>
                </w14:textFill>
              </w:rPr>
              <w:t>唐</w:t>
            </w:r>
            <w:r>
              <w:rPr>
                <w:rFonts w:hint="eastAsia" w:ascii="仿宋" w:hAnsi="仿宋" w:eastAsia="仿宋" w:cs="仿宋"/>
                <w:color w:val="000000" w:themeColor="text1"/>
                <w:sz w:val="24"/>
                <w:highlight w:val="none"/>
                <w:u w:val="single"/>
                <w14:textFill>
                  <w14:solidFill>
                    <w14:schemeClr w14:val="tx1"/>
                  </w14:solidFill>
                </w14:textFill>
              </w:rPr>
              <w:t>工，137</w:t>
            </w:r>
            <w:r>
              <w:rPr>
                <w:rFonts w:hint="eastAsia" w:ascii="仿宋" w:hAnsi="仿宋" w:eastAsia="仿宋" w:cs="仿宋"/>
                <w:color w:val="000000" w:themeColor="text1"/>
                <w:sz w:val="24"/>
                <w:highlight w:val="none"/>
                <w:u w:val="single"/>
                <w:lang w:val="en-US" w:eastAsia="zh-CN"/>
                <w14:textFill>
                  <w14:solidFill>
                    <w14:schemeClr w14:val="tx1"/>
                  </w14:solidFill>
                </w14:textFill>
              </w:rPr>
              <w:t>58286505</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b/>
                <w:color w:val="000000" w:themeColor="text1"/>
                <w:sz w:val="24"/>
                <w:szCs w:val="24"/>
                <w:highlight w:val="none"/>
                <w14:textFill>
                  <w14:solidFill>
                    <w14:schemeClr w14:val="tx1"/>
                  </w14:solidFill>
                </w14:textFill>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w:t>
            </w:r>
          </w:p>
        </w:tc>
        <w:tc>
          <w:tcPr>
            <w:tcW w:w="1843"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特别说明</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仿宋" w:hAnsi="仿宋" w:eastAsia="仿宋" w:cs="仿宋"/>
                <w:snapToGrid w:val="0"/>
                <w:color w:val="000000" w:themeColor="text1"/>
                <w:kern w:val="28"/>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23"/>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联合体投标的，联合体各方均需按招标文件第四部分评标标准要求提供资信证明文件，否则视为不符合相关要求。</w:t>
            </w:r>
          </w:p>
          <w:p>
            <w:pPr>
              <w:spacing w:line="360" w:lineRule="auto"/>
              <w:rPr>
                <w:rFonts w:hint="eastAsia" w:ascii="仿宋" w:hAnsi="仿宋" w:eastAsia="仿宋" w:cs="仿宋"/>
                <w:snapToGrid w:val="0"/>
                <w:color w:val="000000" w:themeColor="text1"/>
                <w:kern w:val="28"/>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24"/>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sym w:font="Wingdings" w:char="F0FE"/>
                </w:r>
              </w:sdtContent>
            </w:sdt>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
                <w14:textFill>
                  <w14:solidFill>
                    <w14:schemeClr w14:val="tx1"/>
                  </w14:solidFill>
                </w14:textFill>
              </w:rPr>
              <w:t>中标候选人数量</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auto"/>
                <w:kern w:val="2"/>
                <w:sz w:val="24"/>
                <w:szCs w:val="24"/>
                <w:highlight w:val="none"/>
                <w:lang w:val="en-US" w:eastAsia="zh-CN" w:bidi="ar-SA"/>
              </w:rPr>
              <w:t>每个标项推荐中标候选人1个；排名第一的中标候选人放弃中标、因不可抗力不能履行合同、不按照招标文件要求提交履约保证金担保，或者被查实存在影响中标结果的违法行为等情形，不符合中标条件的，招标人将：（</w:t>
            </w:r>
            <w:r>
              <w:rPr>
                <w:rFonts w:hint="eastAsia" w:ascii="仿宋" w:hAnsi="仿宋" w:eastAsia="仿宋" w:cs="Arial"/>
                <w:b/>
                <w:color w:val="auto"/>
                <w:kern w:val="0"/>
                <w:sz w:val="24"/>
                <w:szCs w:val="20"/>
                <w:highlight w:val="none"/>
              </w:rPr>
              <w:sym w:font="Wingdings" w:char="F0FE"/>
            </w:r>
            <w:r>
              <w:rPr>
                <w:rFonts w:hint="eastAsia" w:ascii="仿宋" w:hAnsi="仿宋" w:eastAsia="仿宋" w:cs="仿宋"/>
                <w:color w:val="auto"/>
                <w:kern w:val="2"/>
                <w:sz w:val="24"/>
                <w:szCs w:val="24"/>
                <w:highlight w:val="none"/>
                <w:lang w:val="en-US" w:eastAsia="zh-CN" w:bidi="ar-SA"/>
              </w:rPr>
              <w:t>重新招标 □按中标候选人名单排序依次确定其他中标候选人为中标人）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招标代理费</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本</w:t>
            </w:r>
            <w:r>
              <w:rPr>
                <w:rFonts w:hint="eastAsia" w:ascii="仿宋" w:hAnsi="仿宋" w:eastAsia="仿宋" w:cs="仿宋"/>
                <w:snapToGrid w:val="0"/>
                <w:color w:val="000000" w:themeColor="text1"/>
                <w:kern w:val="28"/>
                <w:sz w:val="24"/>
                <w:highlight w:val="none"/>
                <w:lang w:val="en-US" w:eastAsia="zh-CN"/>
                <w14:textFill>
                  <w14:solidFill>
                    <w14:schemeClr w14:val="tx1"/>
                  </w14:solidFill>
                </w14:textFill>
              </w:rPr>
              <w:t>项目共分5个标项，由各标项中标人支付对应标项代理服务费（专家评审费由5家中标人均摊支付），</w:t>
            </w:r>
            <w:r>
              <w:rPr>
                <w:rFonts w:hint="eastAsia" w:ascii="仿宋" w:hAnsi="仿宋" w:eastAsia="仿宋" w:cs="仿宋"/>
                <w:snapToGrid w:val="0"/>
                <w:color w:val="000000" w:themeColor="text1"/>
                <w:kern w:val="28"/>
                <w:sz w:val="24"/>
                <w:highlight w:val="none"/>
                <w14:textFill>
                  <w14:solidFill>
                    <w14:schemeClr w14:val="tx1"/>
                  </w14:solidFill>
                </w14:textFill>
              </w:rPr>
              <w:t>代理服务费按照国家计委印发的《招标代理服务收费管理暂行办法》计价格[2002]1980号</w:t>
            </w:r>
            <w:r>
              <w:rPr>
                <w:rFonts w:hint="eastAsia" w:ascii="仿宋" w:hAnsi="仿宋" w:eastAsia="仿宋" w:cs="仿宋"/>
                <w:snapToGrid w:val="0"/>
                <w:color w:val="000000" w:themeColor="text1"/>
                <w:kern w:val="28"/>
                <w:sz w:val="24"/>
                <w:highlight w:val="none"/>
                <w:lang w:val="en-US" w:eastAsia="zh-CN"/>
                <w14:textFill>
                  <w14:solidFill>
                    <w14:schemeClr w14:val="tx1"/>
                  </w14:solidFill>
                </w14:textFill>
              </w:rPr>
              <w:t>的72%</w:t>
            </w:r>
            <w:r>
              <w:rPr>
                <w:rFonts w:hint="eastAsia" w:ascii="仿宋" w:hAnsi="仿宋" w:eastAsia="仿宋" w:cs="仿宋"/>
                <w:snapToGrid w:val="0"/>
                <w:color w:val="000000" w:themeColor="text1"/>
                <w:kern w:val="28"/>
                <w:sz w:val="24"/>
                <w:highlight w:val="none"/>
                <w14:textFill>
                  <w14:solidFill>
                    <w14:schemeClr w14:val="tx1"/>
                  </w14:solidFill>
                </w14:textFill>
              </w:rPr>
              <w:t>计取</w:t>
            </w:r>
            <w:r>
              <w:rPr>
                <w:rFonts w:hint="eastAsia" w:ascii="仿宋" w:hAnsi="仿宋" w:eastAsia="仿宋" w:cs="仿宋"/>
                <w:snapToGrid w:val="0"/>
                <w:color w:val="000000" w:themeColor="text1"/>
                <w:kern w:val="28"/>
                <w:sz w:val="24"/>
                <w:highlight w:val="none"/>
                <w:lang w:eastAsia="zh-CN"/>
                <w14:textFill>
                  <w14:solidFill>
                    <w14:schemeClr w14:val="tx1"/>
                  </w14:solidFill>
                </w14:textFill>
              </w:rPr>
              <w:t>，</w:t>
            </w:r>
            <w:r>
              <w:rPr>
                <w:rFonts w:hint="eastAsia" w:ascii="仿宋" w:hAnsi="仿宋" w:eastAsia="仿宋" w:cs="仿宋"/>
                <w:snapToGrid w:val="0"/>
                <w:color w:val="000000" w:themeColor="text1"/>
                <w:kern w:val="28"/>
                <w:sz w:val="24"/>
                <w:highlight w:val="none"/>
                <w14:textFill>
                  <w14:solidFill>
                    <w14:schemeClr w14:val="tx1"/>
                  </w14:solidFill>
                </w14:textFill>
              </w:rPr>
              <w:t>各投标人应在投标报价中予以考虑。</w:t>
            </w:r>
          </w:p>
          <w:p>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000000" w:themeColor="text1"/>
                <w:kern w:val="28"/>
                <w:sz w:val="24"/>
                <w:highlight w:val="none"/>
                <w14:textFill>
                  <w14:solidFill>
                    <w14:schemeClr w14:val="tx1"/>
                  </w14:solidFill>
                </w14:textFill>
              </w:rPr>
              <w:t>中标服务费的交纳方式：以转帐或支票的形式支付；</w:t>
            </w:r>
            <w:r>
              <w:rPr>
                <w:rFonts w:hint="eastAsia" w:ascii="仿宋" w:hAnsi="仿宋" w:eastAsia="仿宋" w:cs="仿宋"/>
                <w:snapToGrid w:val="0"/>
                <w:color w:val="auto"/>
                <w:kern w:val="28"/>
                <w:sz w:val="24"/>
                <w:highlight w:val="none"/>
              </w:rPr>
              <w:t>开户行名称：浙江杭州余杭农村商业银行股份有限公司钱塘支行；帐号：201000204179943；</w:t>
            </w:r>
          </w:p>
          <w:p>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收款单位（账户名称）：杭州华瑞新洲工程造价咨询有限公司；</w:t>
            </w:r>
          </w:p>
          <w:p>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中标单位需在领取中标通知书时缴纳中标服务费，缴</w:t>
            </w:r>
          </w:p>
          <w:p>
            <w:pPr>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snapToGrid w:val="0"/>
                <w:color w:val="auto"/>
                <w:kern w:val="28"/>
                <w:sz w:val="24"/>
                <w:highlight w:val="none"/>
              </w:rPr>
              <w:t>纳时注明招标编号。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auto"/>
                <w:sz w:val="24"/>
                <w:highlight w:val="none"/>
                <w:lang w:val="en-US" w:eastAsia="zh-CN"/>
              </w:rPr>
              <w:t>16</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bCs/>
                <w:color w:val="auto"/>
                <w:sz w:val="24"/>
                <w:highlight w:val="none"/>
                <w:lang w:val="en-US" w:eastAsia="zh-CN"/>
              </w:rPr>
              <w:t>纸质投标文件</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color w:val="auto"/>
                <w:sz w:val="24"/>
                <w:highlight w:val="none"/>
              </w:rPr>
              <w:t>中标单位在领取中标通知书时，提供承诺书和加盖公章的纸质版投标文件（正本一份，副本</w:t>
            </w:r>
            <w:r>
              <w:rPr>
                <w:rFonts w:hint="eastAsia" w:ascii="仿宋" w:hAnsi="仿宋" w:eastAsia="仿宋" w:cs="仿宋"/>
                <w:color w:val="auto"/>
                <w:sz w:val="24"/>
                <w:highlight w:val="none"/>
                <w:lang w:val="en-US" w:eastAsia="zh-CN"/>
              </w:rPr>
              <w:t>二</w:t>
            </w:r>
            <w:r>
              <w:rPr>
                <w:rFonts w:hint="eastAsia" w:ascii="仿宋" w:hAnsi="仿宋" w:eastAsia="仿宋" w:cs="仿宋"/>
                <w:color w:val="auto"/>
                <w:sz w:val="24"/>
                <w:highlight w:val="none"/>
              </w:rPr>
              <w:t>份）并提供电子投标文件与纸质投标文件内容一致承诺书（格式自拟）三份。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17</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_GB2312" w:hAnsi="仿宋" w:eastAsia="仿宋_GB2312"/>
                <w:b/>
                <w:snapToGrid w:val="0"/>
                <w:color w:val="auto"/>
                <w:kern w:val="28"/>
                <w:sz w:val="24"/>
                <w:szCs w:val="20"/>
                <w:highlight w:val="none"/>
              </w:rPr>
              <w:t>其他约定</w:t>
            </w:r>
          </w:p>
        </w:tc>
        <w:tc>
          <w:tcPr>
            <w:tcW w:w="6095"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60" w:lineRule="auto"/>
              <w:ind w:left="0" w:right="0"/>
              <w:rPr>
                <w:rFonts w:hint="default" w:ascii="仿宋" w:hAnsi="仿宋" w:eastAsia="仿宋"/>
                <w:snapToGrid w:val="0"/>
                <w:color w:val="auto"/>
                <w:kern w:val="28"/>
                <w:sz w:val="24"/>
                <w:szCs w:val="20"/>
                <w:highlight w:val="none"/>
              </w:rPr>
            </w:pPr>
            <w:r>
              <w:rPr>
                <w:rFonts w:hint="eastAsia" w:ascii="仿宋" w:hAnsi="仿宋" w:eastAsia="仿宋"/>
                <w:snapToGrid w:val="0"/>
                <w:color w:val="auto"/>
                <w:kern w:val="28"/>
                <w:sz w:val="24"/>
                <w:szCs w:val="20"/>
                <w:highlight w:val="none"/>
              </w:rPr>
              <w:t>▲本项目共有</w:t>
            </w:r>
            <w:r>
              <w:rPr>
                <w:rFonts w:hint="eastAsia" w:ascii="仿宋" w:hAnsi="仿宋" w:eastAsia="仿宋"/>
                <w:snapToGrid w:val="0"/>
                <w:color w:val="auto"/>
                <w:kern w:val="28"/>
                <w:sz w:val="24"/>
                <w:szCs w:val="20"/>
                <w:highlight w:val="none"/>
                <w:lang w:val="en-US" w:eastAsia="zh-CN"/>
              </w:rPr>
              <w:t>五</w:t>
            </w:r>
            <w:r>
              <w:rPr>
                <w:rFonts w:hint="eastAsia" w:ascii="仿宋" w:hAnsi="仿宋" w:eastAsia="仿宋"/>
                <w:snapToGrid w:val="0"/>
                <w:color w:val="auto"/>
                <w:kern w:val="28"/>
                <w:sz w:val="24"/>
                <w:szCs w:val="20"/>
                <w:highlight w:val="none"/>
              </w:rPr>
              <w:t>个标项，供应商可选择其中一个或</w:t>
            </w:r>
            <w:r>
              <w:rPr>
                <w:rFonts w:hint="eastAsia" w:ascii="仿宋" w:hAnsi="仿宋" w:eastAsia="仿宋"/>
                <w:snapToGrid w:val="0"/>
                <w:color w:val="auto"/>
                <w:kern w:val="28"/>
                <w:sz w:val="24"/>
                <w:szCs w:val="20"/>
                <w:highlight w:val="none"/>
                <w:lang w:val="en-US" w:eastAsia="zh-CN"/>
              </w:rPr>
              <w:t>多</w:t>
            </w:r>
            <w:r>
              <w:rPr>
                <w:rFonts w:hint="eastAsia" w:ascii="仿宋" w:hAnsi="仿宋" w:eastAsia="仿宋"/>
                <w:snapToGrid w:val="0"/>
                <w:color w:val="auto"/>
                <w:kern w:val="28"/>
                <w:sz w:val="24"/>
                <w:szCs w:val="20"/>
                <w:highlight w:val="none"/>
              </w:rPr>
              <w:t>个标项进行投标，但只能在一个标项中被推荐为第一中标候选人，顺序按标项一、标项二</w:t>
            </w:r>
            <w:r>
              <w:rPr>
                <w:rFonts w:hint="eastAsia" w:ascii="仿宋" w:hAnsi="仿宋" w:eastAsia="仿宋"/>
                <w:snapToGrid w:val="0"/>
                <w:color w:val="auto"/>
                <w:kern w:val="28"/>
                <w:sz w:val="24"/>
                <w:szCs w:val="20"/>
                <w:highlight w:val="none"/>
                <w:lang w:eastAsia="zh-CN"/>
              </w:rPr>
              <w:t>、</w:t>
            </w:r>
            <w:r>
              <w:rPr>
                <w:rFonts w:hint="eastAsia" w:ascii="仿宋" w:hAnsi="仿宋" w:eastAsia="仿宋"/>
                <w:snapToGrid w:val="0"/>
                <w:color w:val="auto"/>
                <w:kern w:val="28"/>
                <w:sz w:val="24"/>
                <w:szCs w:val="20"/>
                <w:highlight w:val="none"/>
                <w:lang w:val="en-US" w:eastAsia="zh-CN"/>
              </w:rPr>
              <w:t>标项三、标项四、标项五</w:t>
            </w:r>
            <w:r>
              <w:rPr>
                <w:rFonts w:hint="eastAsia" w:ascii="仿宋" w:hAnsi="仿宋" w:eastAsia="仿宋"/>
                <w:snapToGrid w:val="0"/>
                <w:color w:val="auto"/>
                <w:kern w:val="28"/>
                <w:sz w:val="24"/>
                <w:szCs w:val="20"/>
                <w:highlight w:val="none"/>
              </w:rPr>
              <w:t>进行确定；如供应商前一个标项已经被确定为该标项的第一中标候选人，则后续标项将不被推荐为中标候选人。</w:t>
            </w:r>
          </w:p>
          <w:p>
            <w:pPr>
              <w:spacing w:before="0" w:beforeAutospacing="0" w:after="0" w:afterAutospacing="0" w:line="360" w:lineRule="auto"/>
              <w:ind w:left="0" w:right="0"/>
              <w:rPr>
                <w:rFonts w:hint="default" w:ascii="仿宋" w:hAnsi="仿宋" w:eastAsia="仿宋"/>
                <w:snapToGrid w:val="0"/>
                <w:color w:val="auto"/>
                <w:kern w:val="28"/>
                <w:sz w:val="24"/>
                <w:szCs w:val="20"/>
                <w:highlight w:val="none"/>
              </w:rPr>
            </w:pPr>
            <w:r>
              <w:rPr>
                <w:rFonts w:hint="eastAsia" w:ascii="仿宋" w:hAnsi="仿宋" w:eastAsia="仿宋"/>
                <w:snapToGrid w:val="0"/>
                <w:color w:val="auto"/>
                <w:kern w:val="28"/>
                <w:sz w:val="24"/>
                <w:szCs w:val="20"/>
                <w:highlight w:val="none"/>
              </w:rPr>
              <w:t>注：</w:t>
            </w:r>
            <w:r>
              <w:rPr>
                <w:rFonts w:hint="default" w:ascii="仿宋" w:hAnsi="仿宋" w:eastAsia="仿宋"/>
                <w:snapToGrid w:val="0"/>
                <w:color w:val="auto"/>
                <w:kern w:val="28"/>
                <w:sz w:val="24"/>
                <w:szCs w:val="20"/>
                <w:highlight w:val="none"/>
              </w:rPr>
              <w:t>1</w:t>
            </w:r>
            <w:r>
              <w:rPr>
                <w:rFonts w:hint="eastAsia" w:ascii="仿宋" w:hAnsi="仿宋" w:eastAsia="仿宋"/>
                <w:snapToGrid w:val="0"/>
                <w:color w:val="auto"/>
                <w:kern w:val="28"/>
                <w:sz w:val="24"/>
                <w:szCs w:val="20"/>
                <w:highlight w:val="none"/>
              </w:rPr>
              <w:t>、如标项一，</w:t>
            </w:r>
            <w:r>
              <w:rPr>
                <w:rFonts w:hint="default" w:ascii="仿宋" w:hAnsi="仿宋" w:eastAsia="仿宋"/>
                <w:snapToGrid w:val="0"/>
                <w:color w:val="auto"/>
                <w:kern w:val="28"/>
                <w:sz w:val="24"/>
                <w:szCs w:val="20"/>
                <w:highlight w:val="none"/>
              </w:rPr>
              <w:t>A</w:t>
            </w:r>
            <w:r>
              <w:rPr>
                <w:rFonts w:hint="eastAsia" w:ascii="仿宋" w:hAnsi="仿宋" w:eastAsia="仿宋"/>
                <w:snapToGrid w:val="0"/>
                <w:color w:val="auto"/>
                <w:kern w:val="28"/>
                <w:sz w:val="24"/>
                <w:szCs w:val="20"/>
                <w:highlight w:val="none"/>
              </w:rPr>
              <w:t>单位单独投标，并被推荐为第一中标候选人，则标项二中，无论</w:t>
            </w:r>
            <w:r>
              <w:rPr>
                <w:rFonts w:hint="default" w:ascii="仿宋" w:hAnsi="仿宋" w:eastAsia="仿宋"/>
                <w:snapToGrid w:val="0"/>
                <w:color w:val="auto"/>
                <w:kern w:val="28"/>
                <w:sz w:val="24"/>
                <w:szCs w:val="20"/>
                <w:highlight w:val="none"/>
              </w:rPr>
              <w:t>A</w:t>
            </w:r>
            <w:r>
              <w:rPr>
                <w:rFonts w:hint="eastAsia" w:ascii="仿宋" w:hAnsi="仿宋" w:eastAsia="仿宋"/>
                <w:snapToGrid w:val="0"/>
                <w:color w:val="auto"/>
                <w:kern w:val="28"/>
                <w:sz w:val="24"/>
                <w:szCs w:val="20"/>
                <w:highlight w:val="none"/>
              </w:rPr>
              <w:t>单位是单独投标，还是采用联合体投标（即：联合体中包含</w:t>
            </w:r>
            <w:r>
              <w:rPr>
                <w:rFonts w:hint="default" w:ascii="仿宋" w:hAnsi="仿宋" w:eastAsia="仿宋"/>
                <w:snapToGrid w:val="0"/>
                <w:color w:val="auto"/>
                <w:kern w:val="28"/>
                <w:sz w:val="24"/>
                <w:szCs w:val="20"/>
                <w:highlight w:val="none"/>
              </w:rPr>
              <w:t>A</w:t>
            </w:r>
            <w:r>
              <w:rPr>
                <w:rFonts w:hint="eastAsia" w:ascii="仿宋" w:hAnsi="仿宋" w:eastAsia="仿宋"/>
                <w:snapToGrid w:val="0"/>
                <w:color w:val="auto"/>
                <w:kern w:val="28"/>
                <w:sz w:val="24"/>
                <w:szCs w:val="20"/>
                <w:highlight w:val="none"/>
              </w:rPr>
              <w:t>单位），均不被推荐为中标候选人，以此类推。</w:t>
            </w:r>
          </w:p>
          <w:p>
            <w:pPr>
              <w:spacing w:line="360" w:lineRule="auto"/>
              <w:rPr>
                <w:rFonts w:hint="eastAsia" w:ascii="仿宋" w:hAnsi="仿宋" w:eastAsia="仿宋" w:cs="仿宋"/>
                <w:snapToGrid w:val="0"/>
                <w:color w:val="auto"/>
                <w:kern w:val="28"/>
                <w:sz w:val="24"/>
                <w:highlight w:val="none"/>
              </w:rPr>
            </w:pPr>
            <w:r>
              <w:rPr>
                <w:rFonts w:hint="default" w:ascii="仿宋" w:hAnsi="仿宋" w:eastAsia="仿宋"/>
                <w:snapToGrid w:val="0"/>
                <w:color w:val="auto"/>
                <w:kern w:val="28"/>
                <w:sz w:val="24"/>
                <w:szCs w:val="20"/>
                <w:highlight w:val="none"/>
              </w:rPr>
              <w:t>2</w:t>
            </w:r>
            <w:r>
              <w:rPr>
                <w:rFonts w:hint="eastAsia" w:ascii="仿宋" w:hAnsi="仿宋" w:eastAsia="仿宋"/>
                <w:snapToGrid w:val="0"/>
                <w:color w:val="auto"/>
                <w:kern w:val="28"/>
                <w:sz w:val="24"/>
                <w:szCs w:val="20"/>
                <w:highlight w:val="none"/>
              </w:rPr>
              <w:t>、如标项一，</w:t>
            </w:r>
            <w:r>
              <w:rPr>
                <w:rFonts w:hint="default" w:ascii="仿宋" w:hAnsi="仿宋" w:eastAsia="仿宋"/>
                <w:snapToGrid w:val="0"/>
                <w:color w:val="auto"/>
                <w:kern w:val="28"/>
                <w:sz w:val="24"/>
                <w:szCs w:val="20"/>
                <w:highlight w:val="none"/>
              </w:rPr>
              <w:t>A</w:t>
            </w:r>
            <w:r>
              <w:rPr>
                <w:rFonts w:hint="eastAsia" w:ascii="仿宋" w:hAnsi="仿宋" w:eastAsia="仿宋"/>
                <w:snapToGrid w:val="0"/>
                <w:color w:val="auto"/>
                <w:kern w:val="28"/>
                <w:sz w:val="24"/>
                <w:szCs w:val="20"/>
                <w:highlight w:val="none"/>
              </w:rPr>
              <w:t>、</w:t>
            </w:r>
            <w:r>
              <w:rPr>
                <w:rFonts w:hint="default" w:ascii="仿宋" w:hAnsi="仿宋" w:eastAsia="仿宋"/>
                <w:snapToGrid w:val="0"/>
                <w:color w:val="auto"/>
                <w:kern w:val="28"/>
                <w:sz w:val="24"/>
                <w:szCs w:val="20"/>
                <w:highlight w:val="none"/>
              </w:rPr>
              <w:t>B</w:t>
            </w:r>
            <w:r>
              <w:rPr>
                <w:rFonts w:hint="eastAsia" w:ascii="仿宋" w:hAnsi="仿宋" w:eastAsia="仿宋"/>
                <w:snapToGrid w:val="0"/>
                <w:color w:val="auto"/>
                <w:kern w:val="28"/>
                <w:sz w:val="24"/>
                <w:szCs w:val="20"/>
                <w:highlight w:val="none"/>
              </w:rPr>
              <w:t>等多家单位组成联合体“</w:t>
            </w:r>
            <w:r>
              <w:rPr>
                <w:rFonts w:hint="default" w:ascii="仿宋" w:hAnsi="仿宋" w:eastAsia="仿宋"/>
                <w:snapToGrid w:val="0"/>
                <w:color w:val="auto"/>
                <w:kern w:val="28"/>
                <w:sz w:val="24"/>
                <w:szCs w:val="20"/>
                <w:highlight w:val="none"/>
              </w:rPr>
              <w:t>Q</w:t>
            </w:r>
            <w:r>
              <w:rPr>
                <w:rFonts w:hint="eastAsia" w:ascii="仿宋" w:hAnsi="仿宋" w:eastAsia="仿宋"/>
                <w:snapToGrid w:val="0"/>
                <w:color w:val="auto"/>
                <w:kern w:val="28"/>
                <w:sz w:val="24"/>
                <w:szCs w:val="20"/>
                <w:highlight w:val="none"/>
              </w:rPr>
              <w:t>”投标，“</w:t>
            </w:r>
            <w:r>
              <w:rPr>
                <w:rFonts w:hint="default" w:ascii="仿宋" w:hAnsi="仿宋" w:eastAsia="仿宋"/>
                <w:snapToGrid w:val="0"/>
                <w:color w:val="auto"/>
                <w:kern w:val="28"/>
                <w:sz w:val="24"/>
                <w:szCs w:val="20"/>
                <w:highlight w:val="none"/>
              </w:rPr>
              <w:t>Q</w:t>
            </w:r>
            <w:r>
              <w:rPr>
                <w:rFonts w:hint="eastAsia" w:ascii="仿宋" w:hAnsi="仿宋" w:eastAsia="仿宋"/>
                <w:snapToGrid w:val="0"/>
                <w:color w:val="auto"/>
                <w:kern w:val="28"/>
                <w:sz w:val="24"/>
                <w:szCs w:val="20"/>
                <w:highlight w:val="none"/>
              </w:rPr>
              <w:t>”被推荐为第一中标候选人，则标项二中：</w:t>
            </w:r>
            <w:r>
              <w:rPr>
                <w:rFonts w:hint="default" w:ascii="仿宋" w:hAnsi="仿宋" w:eastAsia="仿宋"/>
                <w:snapToGrid w:val="0"/>
                <w:color w:val="auto"/>
                <w:kern w:val="28"/>
                <w:sz w:val="24"/>
                <w:szCs w:val="20"/>
                <w:highlight w:val="none"/>
              </w:rPr>
              <w:t xml:space="preserve"> </w:t>
            </w:r>
            <w:r>
              <w:rPr>
                <w:rFonts w:hint="eastAsia" w:ascii="仿宋" w:hAnsi="仿宋" w:eastAsia="仿宋"/>
                <w:snapToGrid w:val="0"/>
                <w:color w:val="auto"/>
                <w:kern w:val="28"/>
                <w:sz w:val="24"/>
                <w:szCs w:val="20"/>
                <w:highlight w:val="none"/>
              </w:rPr>
              <w:t>“</w:t>
            </w:r>
            <w:r>
              <w:rPr>
                <w:rFonts w:hint="default" w:ascii="仿宋" w:hAnsi="仿宋" w:eastAsia="仿宋"/>
                <w:snapToGrid w:val="0"/>
                <w:color w:val="auto"/>
                <w:kern w:val="28"/>
                <w:sz w:val="24"/>
                <w:szCs w:val="20"/>
                <w:highlight w:val="none"/>
              </w:rPr>
              <w:t>Q</w:t>
            </w:r>
            <w:r>
              <w:rPr>
                <w:rFonts w:hint="eastAsia" w:ascii="仿宋" w:hAnsi="仿宋" w:eastAsia="仿宋"/>
                <w:snapToGrid w:val="0"/>
                <w:color w:val="auto"/>
                <w:kern w:val="28"/>
                <w:sz w:val="24"/>
                <w:szCs w:val="20"/>
                <w:highlight w:val="none"/>
              </w:rPr>
              <w:t>”不再被推荐为中标候选人；</w:t>
            </w:r>
            <w:r>
              <w:rPr>
                <w:rFonts w:hint="default" w:ascii="仿宋" w:hAnsi="仿宋" w:eastAsia="仿宋"/>
                <w:snapToGrid w:val="0"/>
                <w:color w:val="auto"/>
                <w:kern w:val="28"/>
                <w:sz w:val="24"/>
                <w:szCs w:val="20"/>
                <w:highlight w:val="none"/>
              </w:rPr>
              <w:t>A</w:t>
            </w:r>
            <w:r>
              <w:rPr>
                <w:rFonts w:hint="eastAsia" w:ascii="仿宋" w:hAnsi="仿宋" w:eastAsia="仿宋"/>
                <w:snapToGrid w:val="0"/>
                <w:color w:val="auto"/>
                <w:kern w:val="28"/>
                <w:sz w:val="24"/>
                <w:szCs w:val="20"/>
                <w:highlight w:val="none"/>
              </w:rPr>
              <w:t>、</w:t>
            </w:r>
            <w:r>
              <w:rPr>
                <w:rFonts w:hint="default" w:ascii="仿宋" w:hAnsi="仿宋" w:eastAsia="仿宋"/>
                <w:snapToGrid w:val="0"/>
                <w:color w:val="auto"/>
                <w:kern w:val="28"/>
                <w:sz w:val="24"/>
                <w:szCs w:val="20"/>
                <w:highlight w:val="none"/>
              </w:rPr>
              <w:t>B</w:t>
            </w:r>
            <w:r>
              <w:rPr>
                <w:rFonts w:hint="eastAsia" w:ascii="仿宋" w:hAnsi="仿宋" w:eastAsia="仿宋"/>
                <w:snapToGrid w:val="0"/>
                <w:color w:val="auto"/>
                <w:kern w:val="28"/>
                <w:sz w:val="24"/>
                <w:szCs w:val="20"/>
                <w:highlight w:val="none"/>
              </w:rPr>
              <w:t>等多家单位单独投标，均不被推荐为中标候选人；联合体形式投标，联合体成员中包含“</w:t>
            </w:r>
            <w:r>
              <w:rPr>
                <w:rFonts w:hint="default" w:ascii="仿宋" w:hAnsi="仿宋" w:eastAsia="仿宋"/>
                <w:snapToGrid w:val="0"/>
                <w:color w:val="auto"/>
                <w:kern w:val="28"/>
                <w:sz w:val="24"/>
                <w:szCs w:val="20"/>
                <w:highlight w:val="none"/>
              </w:rPr>
              <w:t>Q</w:t>
            </w:r>
            <w:r>
              <w:rPr>
                <w:rFonts w:hint="eastAsia" w:ascii="仿宋" w:hAnsi="仿宋" w:eastAsia="仿宋"/>
                <w:snapToGrid w:val="0"/>
                <w:color w:val="auto"/>
                <w:kern w:val="28"/>
                <w:sz w:val="24"/>
                <w:szCs w:val="20"/>
                <w:highlight w:val="none"/>
              </w:rPr>
              <w:t>”中任一成员的，均不被推荐为中标候选人，以此类推。</w:t>
            </w:r>
          </w:p>
        </w:tc>
      </w:tr>
    </w:tbl>
    <w:p>
      <w:pPr>
        <w:snapToGrid w:val="0"/>
        <w:spacing w:line="360" w:lineRule="auto"/>
        <w:jc w:val="center"/>
        <w:rPr>
          <w:rFonts w:hint="eastAsia" w:ascii="仿宋" w:hAnsi="仿宋" w:eastAsia="仿宋" w:cs="仿宋"/>
          <w:b/>
          <w:color w:val="000000" w:themeColor="text1"/>
          <w:sz w:val="32"/>
          <w:szCs w:val="20"/>
          <w:highlight w:val="none"/>
          <w14:textFill>
            <w14:solidFill>
              <w14:schemeClr w14:val="tx1"/>
            </w14:solidFill>
          </w14:textFill>
        </w:rPr>
      </w:pPr>
    </w:p>
    <w:bookmarkEnd w:id="10"/>
    <w:p>
      <w:pPr>
        <w:adjustRightInd/>
        <w:spacing w:line="360" w:lineRule="auto"/>
        <w:outlineLvl w:val="0"/>
        <w:rPr>
          <w:rFonts w:hint="eastAsia" w:ascii="仿宋" w:hAnsi="仿宋" w:eastAsia="仿宋" w:cs="仿宋"/>
          <w:b/>
          <w:color w:val="000000" w:themeColor="text1"/>
          <w:sz w:val="32"/>
          <w:szCs w:val="20"/>
          <w:highlight w:val="none"/>
          <w14:textFill>
            <w14:solidFill>
              <w14:schemeClr w14:val="tx1"/>
            </w14:solidFill>
          </w14:textFill>
        </w:rPr>
      </w:pPr>
      <w:bookmarkStart w:id="11" w:name="_Toc164416483"/>
      <w:bookmarkStart w:id="12" w:name="第三部分"/>
    </w:p>
    <w:p>
      <w:pPr>
        <w:adjustRightInd/>
        <w:spacing w:line="360" w:lineRule="auto"/>
        <w:ind w:firstLine="3845" w:firstLineChars="1197"/>
        <w:outlineLvl w:val="0"/>
        <w:rPr>
          <w:rFonts w:hint="eastAsia" w:ascii="仿宋" w:hAnsi="仿宋" w:eastAsia="仿宋" w:cs="仿宋"/>
          <w:b/>
          <w:color w:val="000000" w:themeColor="text1"/>
          <w:sz w:val="32"/>
          <w:szCs w:val="20"/>
          <w:highlight w:val="none"/>
          <w14:textFill>
            <w14:solidFill>
              <w14:schemeClr w14:val="tx1"/>
            </w14:solidFill>
          </w14:textFill>
        </w:rPr>
      </w:pPr>
    </w:p>
    <w:p>
      <w:pPr>
        <w:adjustRightInd/>
        <w:spacing w:line="360" w:lineRule="auto"/>
        <w:ind w:firstLine="3845" w:firstLineChars="1197"/>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一、总则</w:t>
      </w:r>
    </w:p>
    <w:p>
      <w:pPr>
        <w:snapToGrid w:val="0"/>
        <w:spacing w:line="360" w:lineRule="auto"/>
        <w:ind w:firstLine="361" w:firstLineChars="150"/>
        <w:jc w:val="left"/>
        <w:outlineLvl w:val="1"/>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 适用范围</w:t>
      </w:r>
    </w:p>
    <w:p>
      <w:pPr>
        <w:snapToGrid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本招标文件适用于该项目的招标、投标、开标、资格审查及信用信息查询、评标、定标、合同、验收等行为（法律、法规另有规定的，从其规定）。</w:t>
      </w:r>
    </w:p>
    <w:p>
      <w:pPr>
        <w:adjustRightInd/>
        <w:spacing w:line="360" w:lineRule="auto"/>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   2.定义</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 “采购人”系指招标公告中载明的本项目的采购人。</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 “采购代理机构”系指招标公告中载明的本项目的采购代理机构。</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 “投标人”系指是指响应招标、参加投标竞争的法人、其他组织或者自然人。</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2.6“电子交易平台”系指本项目政府采购活动所依托的政府采购云平台（https://www.zcygov.cn/）。</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 “▲” 系指实质性要求条款，“</w:t>
      </w:r>
      <w:sdt>
        <w:sdtPr>
          <w:rPr>
            <w:rFonts w:hint="eastAsia" w:ascii="仿宋" w:hAnsi="仿宋" w:eastAsia="仿宋" w:cs="仿宋"/>
            <w:color w:val="000000" w:themeColor="text1"/>
            <w:kern w:val="0"/>
            <w:sz w:val="24"/>
            <w:highlight w:val="none"/>
            <w14:textFill>
              <w14:solidFill>
                <w14:schemeClr w14:val="tx1"/>
              </w14:solidFill>
            </w14:textFill>
          </w:rPr>
          <w:id w:val="512970236"/>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sz w:val="24"/>
          <w:highlight w:val="none"/>
          <w14:textFill>
            <w14:solidFill>
              <w14:schemeClr w14:val="tx1"/>
            </w14:solidFill>
          </w14:textFill>
        </w:rPr>
        <w:t>” 系指适用本项目的要求，“</w:t>
      </w:r>
      <w:sdt>
        <w:sdtPr>
          <w:rPr>
            <w:rFonts w:hint="eastAsia" w:ascii="仿宋" w:hAnsi="仿宋" w:eastAsia="仿宋" w:cs="仿宋"/>
            <w:color w:val="000000" w:themeColor="text1"/>
            <w:kern w:val="0"/>
            <w:sz w:val="24"/>
            <w:highlight w:val="none"/>
            <w14:textFill>
              <w14:solidFill>
                <w14:schemeClr w14:val="tx1"/>
              </w14:solidFill>
            </w14:textFill>
          </w:rPr>
          <w:id w:val="404888855"/>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sz w:val="24"/>
          <w:highlight w:val="none"/>
          <w14:textFill>
            <w14:solidFill>
              <w14:schemeClr w14:val="tx1"/>
            </w14:solidFill>
          </w14:textFill>
        </w:rPr>
        <w:t>” 系指不适用本项目的要求。</w:t>
      </w:r>
    </w:p>
    <w:p>
      <w:pPr>
        <w:spacing w:line="360" w:lineRule="auto"/>
        <w:ind w:firstLine="241" w:firstLineChars="1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采购项目需要落实的政府采购政策</w:t>
      </w:r>
    </w:p>
    <w:p>
      <w:pPr>
        <w:spacing w:line="360" w:lineRule="auto"/>
        <w:ind w:firstLine="240" w:firstLineChars="1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仿宋"/>
          <w:color w:val="000000" w:themeColor="text1"/>
          <w:kern w:val="0"/>
          <w:sz w:val="24"/>
          <w:highlight w:val="none"/>
          <w14:textFill>
            <w14:solidFill>
              <w14:schemeClr w14:val="tx1"/>
            </w14:solidFill>
          </w14:textFill>
        </w:rPr>
        <w:t>优先采购向我国企业转让技术、与我国企业签订消化吸收再创新方案的供应商的进口产品</w:t>
      </w:r>
      <w:r>
        <w:rPr>
          <w:rFonts w:hint="eastAsia" w:ascii="仿宋" w:hAnsi="仿宋" w:eastAsia="仿宋" w:cs="仿宋"/>
          <w:color w:val="000000" w:themeColor="text1"/>
          <w:sz w:val="24"/>
          <w:highlight w:val="none"/>
          <w14:textFill>
            <w14:solidFill>
              <w14:schemeClr w14:val="tx1"/>
            </w14:solidFill>
          </w14:textFill>
        </w:rPr>
        <w:t>。</w:t>
      </w:r>
    </w:p>
    <w:p>
      <w:pPr>
        <w:spacing w:line="360" w:lineRule="auto"/>
        <w:ind w:firstLine="240" w:firstLineChars="1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 支持绿色发展</w:t>
      </w:r>
    </w:p>
    <w:p>
      <w:pPr>
        <w:spacing w:line="360" w:lineRule="auto"/>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000000" w:themeColor="text1"/>
          <w:sz w:val="24"/>
          <w:highlight w:val="none"/>
          <w14:textFill>
            <w14:solidFill>
              <w14:schemeClr w14:val="tx1"/>
            </w14:solidFill>
          </w14:textFill>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3.2.2 修缮、装修类项目采购建材的，采购人应将绿色建筑和绿色建材性能、指标等作为实质性条件纳入招标文件和合同。</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240" w:firstLineChars="1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3.3支持中小企业发展</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符合中小企业划分标准的个体工商户，在政府采购活动中视同中小企业。</w:t>
      </w:r>
    </w:p>
    <w:p>
      <w:pPr>
        <w:widowControl/>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3.3.2</w:t>
      </w:r>
      <w:r>
        <w:rPr>
          <w:rFonts w:hint="eastAsia" w:ascii="仿宋" w:hAnsi="仿宋" w:eastAsia="仿宋" w:cs="仿宋"/>
          <w:color w:val="000000" w:themeColor="text1"/>
          <w:kern w:val="0"/>
          <w:sz w:val="24"/>
          <w:highlight w:val="none"/>
          <w14:textFill>
            <w14:solidFill>
              <w14:schemeClr w14:val="tx1"/>
            </w14:solidFill>
          </w14:textFill>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3.3.6可享受中小企业扶持政策的投标人应按照招标文件格式要求提供《中小企业声明函》，《中小企业声明函》填写企业类型错误，导致该企业享受本不能享受的中小企业扶持政策，投标无效并依法承担法律责任。</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3.3.7中小企业享受扶持政策获得政府采购合同的，小微企业不得将合同分包给大中型企业，中型企业不得将合同分包给大型企业。</w:t>
      </w:r>
    </w:p>
    <w:p>
      <w:pPr>
        <w:spacing w:line="360" w:lineRule="auto"/>
        <w:ind w:firstLine="240" w:firstLineChars="1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w:t>
      </w:r>
      <w:r>
        <w:rPr>
          <w:rFonts w:hint="eastAsia" w:ascii="仿宋" w:hAnsi="仿宋" w:eastAsia="仿宋" w:cs="仿宋"/>
          <w:bCs/>
          <w:color w:val="000000" w:themeColor="text1"/>
          <w:sz w:val="24"/>
          <w:highlight w:val="none"/>
          <w14:textFill>
            <w14:solidFill>
              <w14:schemeClr w14:val="tx1"/>
            </w14:solidFill>
          </w14:textFill>
        </w:rPr>
        <w:t>支持创新发展</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3.4.1 首台套、“制造精品”、“专精特新”等创新产品按规定享受政府采购支持政策。”</w:t>
      </w:r>
    </w:p>
    <w:p>
      <w:pPr>
        <w:pStyle w:val="6"/>
        <w:adjustRightInd w:val="0"/>
        <w:ind w:left="0" w:firstLine="480" w:firstLineChars="200"/>
        <w:rPr>
          <w:rFonts w:hint="eastAsia" w:ascii="仿宋" w:eastAsia="仿宋" w:cs="仿宋"/>
          <w:color w:val="000000" w:themeColor="text1"/>
          <w:highlight w:val="none"/>
          <w14:textFill>
            <w14:solidFill>
              <w14:schemeClr w14:val="tx1"/>
            </w14:solidFill>
          </w14:textFill>
        </w:rPr>
      </w:pPr>
      <w:r>
        <w:rPr>
          <w:rFonts w:hint="eastAsia" w:ascii="仿宋" w:eastAsia="仿宋" w:cs="仿宋"/>
          <w:b w:val="0"/>
          <w:bCs w:val="0"/>
          <w:color w:val="000000" w:themeColor="text1"/>
          <w:sz w:val="24"/>
          <w:szCs w:val="24"/>
          <w:highlight w:val="none"/>
          <w:lang w:val="en-US"/>
          <w14:textFill>
            <w14:solidFill>
              <w14:schemeClr w14:val="tx1"/>
            </w14:solidFill>
          </w14:textFill>
        </w:rPr>
        <w:t>3.4.2采购人应当贯彻落实知识产权保护相关法律法规，应当采购使用正版软件。</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3.5平等对待内外资企业和符合条件的破产重整企业</w:t>
      </w:r>
    </w:p>
    <w:p>
      <w:pPr>
        <w:spacing w:line="360" w:lineRule="auto"/>
        <w:ind w:firstLine="240" w:firstLineChars="1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平等对待内外资企业和符合条件的破产重整企业，切实保障企业公平竞争，平等维护企业的合法利益。</w:t>
      </w:r>
      <w:r>
        <w:rPr>
          <w:rFonts w:hint="eastAsia" w:ascii="仿宋" w:hAnsi="仿宋" w:eastAsia="仿宋" w:cs="仿宋"/>
          <w:color w:val="000000" w:themeColor="text1"/>
          <w:sz w:val="24"/>
          <w:highlight w:val="none"/>
          <w14:textFill>
            <w14:solidFill>
              <w14:schemeClr w14:val="tx1"/>
            </w14:solidFill>
          </w14:textFill>
        </w:rPr>
        <w:cr/>
      </w:r>
      <w:r>
        <w:rPr>
          <w:rFonts w:hint="eastAsia" w:ascii="仿宋" w:hAnsi="仿宋" w:eastAsia="仿宋" w:cs="仿宋"/>
          <w:b/>
          <w:color w:val="000000" w:themeColor="text1"/>
          <w:sz w:val="24"/>
          <w:highlight w:val="none"/>
          <w14:textFill>
            <w14:solidFill>
              <w14:schemeClr w14:val="tx1"/>
            </w14:solidFill>
          </w14:textFill>
        </w:rPr>
        <w:t>4. 询问、质疑、投诉</w:t>
      </w:r>
      <w:r>
        <w:rPr>
          <w:rFonts w:hint="eastAsia" w:ascii="仿宋" w:hAnsi="仿宋" w:eastAsia="仿宋" w:cs="仿宋"/>
          <w:color w:val="000000" w:themeColor="text1"/>
          <w:sz w:val="24"/>
          <w:highlight w:val="none"/>
          <w14:textFill>
            <w14:solidFill>
              <w14:schemeClr w14:val="tx1"/>
            </w14:solidFill>
          </w14:textFill>
        </w:rPr>
        <w:t>、补偿救济</w:t>
      </w:r>
    </w:p>
    <w:p>
      <w:pPr>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4.2供应商询问</w:t>
      </w:r>
    </w:p>
    <w:p>
      <w:pPr>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4.3供应商质疑</w:t>
      </w:r>
    </w:p>
    <w:p>
      <w:pPr>
        <w:pStyle w:val="35"/>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4.3</w:t>
      </w:r>
      <w:r>
        <w:rPr>
          <w:rFonts w:hint="eastAsia" w:ascii="仿宋" w:hAnsi="仿宋" w:eastAsia="仿宋" w:cs="仿宋"/>
          <w:color w:val="000000" w:themeColor="text1"/>
          <w:sz w:val="24"/>
          <w:highlight w:val="none"/>
          <w14:textFill>
            <w14:solidFill>
              <w14:schemeClr w14:val="tx1"/>
            </w14:solidFill>
          </w14:textFill>
        </w:rPr>
        <w:t>.1提出质疑的供应商应当是参与所质疑项目采购活动的供应商。潜在供应商已依法获取其可质疑的招标文件的，可以对该文件提出质疑。</w:t>
      </w:r>
    </w:p>
    <w:p>
      <w:pPr>
        <w:pStyle w:val="35"/>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4.3</w:t>
      </w:r>
      <w:r>
        <w:rPr>
          <w:rFonts w:hint="eastAsia" w:ascii="仿宋" w:hAnsi="仿宋" w:eastAsia="仿宋" w:cs="仿宋"/>
          <w:color w:val="000000" w:themeColor="text1"/>
          <w:sz w:val="24"/>
          <w:highlight w:val="none"/>
          <w14:textFill>
            <w14:solidFill>
              <w14:schemeClr w14:val="tx1"/>
            </w14:solidFill>
          </w14:textFill>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8"/>
        <w:spacing w:line="360" w:lineRule="auto"/>
        <w:ind w:firstLine="480" w:firstLineChars="200"/>
        <w:rPr>
          <w:rFonts w:hint="eastAsia" w:ascii="仿宋" w:hAnsi="仿宋" w:eastAsia="仿宋" w:cs="仿宋"/>
          <w:snapToGrid/>
          <w:color w:val="000000" w:themeColor="text1"/>
          <w:kern w:val="2"/>
          <w:sz w:val="24"/>
          <w:highlight w:val="none"/>
          <w14:textFill>
            <w14:solidFill>
              <w14:schemeClr w14:val="tx1"/>
            </w14:solidFill>
          </w14:textFill>
        </w:rPr>
      </w:pPr>
      <w:r>
        <w:rPr>
          <w:rFonts w:hint="eastAsia" w:ascii="仿宋" w:hAnsi="仿宋" w:eastAsia="仿宋" w:cs="仿宋"/>
          <w:snapToGrid/>
          <w:color w:val="000000" w:themeColor="text1"/>
          <w:kern w:val="2"/>
          <w:sz w:val="24"/>
          <w:highlight w:val="none"/>
          <w14:textFill>
            <w14:solidFill>
              <w14:schemeClr w14:val="tx1"/>
            </w14:solidFill>
          </w14:textFill>
        </w:rPr>
        <w:t>4.3.2.1对招标文件提出质疑的，质疑期限为供应商获得招标文件之日或者招标文件公告期限届满之日起计算。</w:t>
      </w:r>
    </w:p>
    <w:p>
      <w:pPr>
        <w:pStyle w:val="35"/>
        <w:spacing w:line="360" w:lineRule="auto"/>
        <w:ind w:left="479" w:leftChars="228"/>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4.3.2.2对采购过程提出质疑的，质疑期限为各采购程序环节结束之日起计算。4.3.2.3对采购结果提出质疑的，质疑期限自采购结果公告期限届满之日起计算。</w:t>
      </w:r>
    </w:p>
    <w:p>
      <w:pPr>
        <w:pStyle w:val="35"/>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4.3.3</w:t>
      </w:r>
      <w:r>
        <w:rPr>
          <w:rFonts w:hint="eastAsia" w:ascii="仿宋" w:hAnsi="仿宋" w:eastAsia="仿宋" w:cs="仿宋"/>
          <w:color w:val="000000" w:themeColor="text1"/>
          <w:sz w:val="24"/>
          <w:highlight w:val="none"/>
          <w14:textFill>
            <w14:solidFill>
              <w14:schemeClr w14:val="tx1"/>
            </w14:solidFill>
          </w14:textFill>
        </w:rPr>
        <w:t>供应商提出质疑应当提交质疑函和必要的证明材料。质疑函应当包括下列内容：</w:t>
      </w:r>
    </w:p>
    <w:p>
      <w:pPr>
        <w:pStyle w:val="35"/>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4.3.3.1供应商的姓名或者名称、地址、邮编、联系人及联系电话；</w:t>
      </w:r>
    </w:p>
    <w:p>
      <w:pPr>
        <w:pStyle w:val="35"/>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4.3.3.2质疑项目的名称、编号；</w:t>
      </w:r>
    </w:p>
    <w:p>
      <w:pPr>
        <w:pStyle w:val="35"/>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4.3.3.3具体、明确的质疑事项和与质疑事项相关的请求；</w:t>
      </w:r>
    </w:p>
    <w:p>
      <w:pPr>
        <w:pStyle w:val="35"/>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4.3.3.4事实依据；</w:t>
      </w:r>
    </w:p>
    <w:p>
      <w:pPr>
        <w:pStyle w:val="35"/>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4.3.3.5必要的法律依据；</w:t>
      </w:r>
    </w:p>
    <w:p>
      <w:pPr>
        <w:pStyle w:val="35"/>
        <w:spacing w:line="360" w:lineRule="auto"/>
        <w:ind w:firstLine="960" w:firstLineChars="4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4.3.3.6提出质疑的日期。</w:t>
      </w:r>
    </w:p>
    <w:p>
      <w:pPr>
        <w:pStyle w:val="890"/>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pPr>
        <w:pStyle w:val="890"/>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质疑函范本及制作说明详见附件2。</w:t>
      </w:r>
    </w:p>
    <w:p>
      <w:pPr>
        <w:pStyle w:val="890"/>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4.3.4对同一采购程序环节的质疑，供应商须在法定质疑期内一次性提出。</w:t>
      </w:r>
    </w:p>
    <w:p>
      <w:pPr>
        <w:pStyle w:val="890"/>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zh-CN"/>
          <w14:textFill>
            <w14:solidFill>
              <w14:schemeClr w14:val="tx1"/>
            </w14:solidFill>
          </w14:textFill>
        </w:rPr>
        <w:t>4.3</w:t>
      </w:r>
      <w:r>
        <w:rPr>
          <w:rFonts w:hint="eastAsia" w:ascii="仿宋" w:hAnsi="仿宋" w:eastAsia="仿宋" w:cs="仿宋"/>
          <w:color w:val="000000" w:themeColor="text1"/>
          <w:highlight w:val="none"/>
          <w14:textFill>
            <w14:solidFill>
              <w14:schemeClr w14:val="tx1"/>
            </w14:solidFill>
          </w14:textFill>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890"/>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zh-CN"/>
          <w14:textFill>
            <w14:solidFill>
              <w14:schemeClr w14:val="tx1"/>
            </w14:solidFill>
          </w14:textFill>
        </w:rPr>
        <w:t>4.3</w:t>
      </w:r>
      <w:r>
        <w:rPr>
          <w:rFonts w:hint="eastAsia" w:ascii="仿宋" w:hAnsi="仿宋" w:eastAsia="仿宋" w:cs="仿宋"/>
          <w:color w:val="000000" w:themeColor="text1"/>
          <w:highlight w:val="none"/>
          <w14:textFill>
            <w14:solidFill>
              <w14:schemeClr w14:val="tx1"/>
            </w14:solidFill>
          </w14:textFill>
        </w:rPr>
        <w:t>.6询问或者质疑事项可能影响采购结果的，采购人应当暂停签订合同，已经签订合同的，应当中止履行合同。</w:t>
      </w:r>
    </w:p>
    <w:p>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000000" w:themeColor="text1"/>
          <w:highlight w:val="none"/>
          <w:lang w:val="zh-CN"/>
          <w14:textFill>
            <w14:solidFill>
              <w14:schemeClr w14:val="tx1"/>
            </w14:solidFill>
          </w14:textFill>
        </w:rPr>
      </w:pPr>
      <w:r>
        <w:rPr>
          <w:rFonts w:hint="eastAsia" w:ascii="仿宋" w:hAnsi="仿宋" w:eastAsia="仿宋" w:cs="仿宋"/>
          <w:color w:val="000000" w:themeColor="text1"/>
          <w:highlight w:val="none"/>
          <w:lang w:val="zh-CN"/>
          <w14:textFill>
            <w14:solidFill>
              <w14:schemeClr w14:val="tx1"/>
            </w14:solidFill>
          </w14:textFill>
        </w:rPr>
        <w:t>4.4供应商投诉</w:t>
      </w:r>
    </w:p>
    <w:p>
      <w:pPr>
        <w:pStyle w:val="890"/>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4.4.1质疑供应商对采购人、采购代理机构的答复不满意或者采购人、采购代理机构未在规定的时间内作出答复的，可以在答复期满后十五个工作日内向同级政府采购监督管理部门提出投诉。</w:t>
      </w:r>
    </w:p>
    <w:p>
      <w:pPr>
        <w:pStyle w:val="890"/>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w:t>
      </w:r>
      <w:r>
        <w:rPr>
          <w:rFonts w:hint="eastAsia" w:ascii="仿宋" w:hAnsi="仿宋" w:eastAsia="仿宋" w:cs="仿宋"/>
          <w:color w:val="000000" w:themeColor="text1"/>
          <w:highlight w:val="none"/>
          <w:lang w:val="zh-CN"/>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供应商投诉的事项不得超出已质疑事项的范围，基于质疑答复内容提出的投诉事项除外。</w:t>
      </w:r>
    </w:p>
    <w:p>
      <w:pPr>
        <w:pStyle w:val="890"/>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4.4.3供应商投诉应当有明确的请求和必要的证明材料。</w:t>
      </w:r>
    </w:p>
    <w:p>
      <w:pPr>
        <w:pStyle w:val="890"/>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4.4.4以联合体形式参加政府采购活动的，其投诉应当由组成联合体的所有供应商共同提出。</w:t>
      </w:r>
    </w:p>
    <w:p>
      <w:pPr>
        <w:pStyle w:val="890"/>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4.4.5根据政府采购行政裁决省市区三级联动试点工作安排，杭州市本级、拱墅区、富阳区政府采购项目投诉材料可寄送至浙江省政府采购行政裁决服务中心（杭州），地址：杭州市上城区清泰街549号城建综合大楼11楼（快递仅限ems或顺丰），收件人：朱女士、王女士，电话：0571-85252453。</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4.5 补偿救济</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采购人因政策变化、规划调整而不履行政府采购合同的，供应商可依据《杭州市涉企补偿救济实施办法（试行）》向采购人提起补偿申请。”</w:t>
      </w:r>
    </w:p>
    <w:p>
      <w:pPr>
        <w:pStyle w:val="890"/>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p>
    <w:p>
      <w:pPr>
        <w:pStyle w:val="890"/>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投诉书范本及制作说明详见附件3。</w:t>
      </w:r>
    </w:p>
    <w:p>
      <w:pPr>
        <w:pStyle w:val="132"/>
        <w:snapToGrid w:val="0"/>
        <w:spacing w:before="0"/>
        <w:ind w:firstLine="360"/>
        <w:rPr>
          <w:rFonts w:hint="eastAsia" w:ascii="仿宋" w:hAnsi="仿宋" w:eastAsia="仿宋" w:cs="仿宋"/>
          <w:color w:val="000000" w:themeColor="text1"/>
          <w:sz w:val="18"/>
          <w:szCs w:val="18"/>
          <w:highlight w:val="none"/>
          <w14:textFill>
            <w14:solidFill>
              <w14:schemeClr w14:val="tx1"/>
            </w14:solidFill>
          </w14:textFill>
        </w:rPr>
      </w:pPr>
    </w:p>
    <w:p>
      <w:pPr>
        <w:adjustRightInd/>
        <w:spacing w:line="360" w:lineRule="auto"/>
        <w:jc w:val="center"/>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 xml:space="preserve">      二、招标文件的构成、澄清、修改</w:t>
      </w:r>
    </w:p>
    <w:p>
      <w:pPr>
        <w:pStyle w:val="35"/>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5．招标文件的构成</w:t>
      </w:r>
    </w:p>
    <w:p>
      <w:pPr>
        <w:pStyle w:val="35"/>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 招标文件包括下列文件及附件：</w:t>
      </w:r>
    </w:p>
    <w:p>
      <w:pPr>
        <w:pStyle w:val="35"/>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5.1.1招标公告；</w:t>
      </w:r>
    </w:p>
    <w:p>
      <w:pPr>
        <w:pStyle w:val="35"/>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5.1.2投标人须知；</w:t>
      </w:r>
    </w:p>
    <w:p>
      <w:pPr>
        <w:pStyle w:val="35"/>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5.1.3采购需求；</w:t>
      </w:r>
    </w:p>
    <w:p>
      <w:pPr>
        <w:pStyle w:val="35"/>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5.1.4评标办法；</w:t>
      </w:r>
    </w:p>
    <w:p>
      <w:pPr>
        <w:pStyle w:val="35"/>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5.1.5拟签订的合同文本；</w:t>
      </w:r>
    </w:p>
    <w:p>
      <w:pPr>
        <w:pStyle w:val="35"/>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5.1.6</w:t>
      </w:r>
      <w:r>
        <w:rPr>
          <w:rFonts w:hint="eastAsia" w:ascii="仿宋" w:hAnsi="仿宋" w:eastAsia="仿宋" w:cs="仿宋"/>
          <w:color w:val="000000" w:themeColor="text1"/>
          <w:sz w:val="24"/>
          <w:szCs w:val="24"/>
          <w:highlight w:val="none"/>
          <w14:textFill>
            <w14:solidFill>
              <w14:schemeClr w14:val="tx1"/>
            </w14:solidFill>
          </w14:textFill>
        </w:rPr>
        <w:t>应提交的有关格式范例。</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5.2与本项目有关的</w:t>
      </w:r>
      <w:r>
        <w:rPr>
          <w:rFonts w:hint="eastAsia" w:ascii="仿宋" w:hAnsi="仿宋" w:eastAsia="仿宋" w:cs="仿宋"/>
          <w:bCs/>
          <w:color w:val="000000" w:themeColor="text1"/>
          <w:sz w:val="24"/>
          <w:highlight w:val="none"/>
          <w14:textFill>
            <w14:solidFill>
              <w14:schemeClr w14:val="tx1"/>
            </w14:solidFill>
          </w14:textFill>
        </w:rPr>
        <w:t>澄清或者修改的内容为招标文件的组成部分</w:t>
      </w:r>
      <w:r>
        <w:rPr>
          <w:rFonts w:hint="eastAsia" w:ascii="仿宋" w:hAnsi="仿宋" w:eastAsia="仿宋" w:cs="仿宋"/>
          <w:color w:val="000000" w:themeColor="text1"/>
          <w:sz w:val="24"/>
          <w:highlight w:val="none"/>
          <w14:textFill>
            <w14:solidFill>
              <w14:schemeClr w14:val="tx1"/>
            </w14:solidFill>
          </w14:textFill>
        </w:rPr>
        <w:t>。</w:t>
      </w:r>
    </w:p>
    <w:p>
      <w:pPr>
        <w:pStyle w:val="35"/>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6. 招标文件的澄清、修改</w:t>
      </w:r>
    </w:p>
    <w:p>
      <w:pPr>
        <w:pStyle w:val="132"/>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6.1已获取招标文件的潜在投标人，若有问题需要澄清，应于投标截止时间前，以书面形式向采购代理机构提出。</w:t>
      </w:r>
    </w:p>
    <w:p>
      <w:pPr>
        <w:pStyle w:val="132"/>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
        <w:rPr>
          <w:rFonts w:hint="eastAsia" w:ascii="仿宋" w:hAnsi="仿宋" w:eastAsia="仿宋" w:cs="仿宋"/>
          <w:color w:val="000000" w:themeColor="text1"/>
          <w:sz w:val="18"/>
          <w:szCs w:val="18"/>
          <w:highlight w:val="none"/>
          <w:lang w:val="en-US"/>
          <w14:textFill>
            <w14:solidFill>
              <w14:schemeClr w14:val="tx1"/>
            </w14:solidFill>
          </w14:textFill>
        </w:rPr>
      </w:pPr>
      <w:r>
        <w:rPr>
          <w:rFonts w:hint="eastAsia" w:ascii="仿宋" w:hAnsi="仿宋" w:eastAsia="仿宋" w:cs="仿宋"/>
          <w:color w:val="000000" w:themeColor="text1"/>
          <w:szCs w:val="24"/>
          <w:highlight w:val="none"/>
          <w:lang w:val="en-US"/>
          <w14:textFill>
            <w14:solidFill>
              <w14:schemeClr w14:val="tx1"/>
            </w14:solidFill>
          </w14:textFill>
        </w:rPr>
        <w:t xml:space="preserve">    </w:t>
      </w:r>
    </w:p>
    <w:p>
      <w:pPr>
        <w:adjustRightInd/>
        <w:spacing w:line="360" w:lineRule="auto"/>
        <w:jc w:val="center"/>
        <w:outlineLvl w:val="0"/>
        <w:rPr>
          <w:rFonts w:hint="eastAsia" w:ascii="仿宋" w:hAnsi="仿宋" w:eastAsia="仿宋" w:cs="仿宋"/>
          <w:b/>
          <w:color w:val="000000" w:themeColor="text1"/>
          <w:sz w:val="30"/>
          <w:szCs w:val="20"/>
          <w:highlight w:val="none"/>
          <w14:textFill>
            <w14:solidFill>
              <w14:schemeClr w14:val="tx1"/>
            </w14:solidFill>
          </w14:textFill>
        </w:rPr>
      </w:pPr>
      <w:r>
        <w:rPr>
          <w:rFonts w:hint="eastAsia" w:ascii="仿宋" w:hAnsi="仿宋" w:eastAsia="仿宋" w:cs="仿宋"/>
          <w:b/>
          <w:color w:val="000000" w:themeColor="text1"/>
          <w:sz w:val="30"/>
          <w:szCs w:val="20"/>
          <w:highlight w:val="none"/>
          <w14:textFill>
            <w14:solidFill>
              <w14:schemeClr w14:val="tx1"/>
            </w14:solidFill>
          </w14:textFill>
        </w:rPr>
        <w:t>三、投标</w:t>
      </w:r>
    </w:p>
    <w:p>
      <w:pPr>
        <w:pStyle w:val="35"/>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7. 招标文件的获取</w:t>
      </w:r>
    </w:p>
    <w:p>
      <w:pPr>
        <w:spacing w:line="360" w:lineRule="auto"/>
        <w:ind w:firstLine="480" w:firstLineChars="200"/>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详见招标公告中获取招标文件的时间期限、地点、方式及招标文件售价。</w:t>
      </w:r>
    </w:p>
    <w:p>
      <w:pPr>
        <w:pStyle w:val="35"/>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8.开标前答疑会或现场考察</w:t>
      </w:r>
    </w:p>
    <w:p>
      <w:pPr>
        <w:pStyle w:val="35"/>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采购人组织潜在投标人现场考察或者召开开标前答疑会的，潜在投标人按第二部分投标人须知前附表的规定参加现场考察或者开标前答疑会。</w:t>
      </w:r>
    </w:p>
    <w:p>
      <w:pPr>
        <w:pStyle w:val="35"/>
        <w:spacing w:line="360" w:lineRule="auto"/>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kern w:val="28"/>
          <w:sz w:val="24"/>
          <w:szCs w:val="24"/>
          <w:highlight w:val="none"/>
          <w14:textFill>
            <w14:solidFill>
              <w14:schemeClr w14:val="tx1"/>
            </w14:solidFill>
          </w14:textFill>
        </w:rPr>
        <w:t>9.投标保证金</w:t>
      </w:r>
    </w:p>
    <w:p>
      <w:pPr>
        <w:pStyle w:val="8"/>
        <w:spacing w:line="360" w:lineRule="auto"/>
        <w:ind w:firstLine="470" w:firstLineChars="196"/>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本项目不需缴纳投标保证金。</w:t>
      </w:r>
    </w:p>
    <w:p>
      <w:pPr>
        <w:pStyle w:val="35"/>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10. 投标文件的语言</w:t>
      </w:r>
    </w:p>
    <w:p>
      <w:pPr>
        <w:autoSpaceDE w:val="0"/>
        <w:autoSpaceDN w:val="0"/>
        <w:spacing w:line="360" w:lineRule="auto"/>
        <w:ind w:firstLine="480" w:firstLineChars="200"/>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投标文件及投标人与采购有关的来往通知、函件和文件均应使用中文。</w:t>
      </w:r>
    </w:p>
    <w:p>
      <w:pPr>
        <w:pStyle w:val="35"/>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11. 投标文件的组成</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w:t>
      </w:r>
      <w:r>
        <w:rPr>
          <w:rFonts w:hint="eastAsia" w:ascii="仿宋" w:hAnsi="仿宋" w:eastAsia="仿宋" w:cs="仿宋"/>
          <w:b/>
          <w:color w:val="000000" w:themeColor="text1"/>
          <w:sz w:val="24"/>
          <w:highlight w:val="none"/>
          <w14:textFill>
            <w14:solidFill>
              <w14:schemeClr w14:val="tx1"/>
            </w14:solidFill>
          </w14:textFill>
        </w:rPr>
        <w:t>资格文件</w:t>
      </w:r>
      <w:r>
        <w:rPr>
          <w:rFonts w:hint="eastAsia" w:ascii="仿宋" w:hAnsi="仿宋" w:eastAsia="仿宋" w:cs="仿宋"/>
          <w:color w:val="000000" w:themeColor="text1"/>
          <w:sz w:val="24"/>
          <w:highlight w:val="none"/>
          <w14:textFill>
            <w14:solidFill>
              <w14:schemeClr w14:val="tx1"/>
            </w14:solidFill>
          </w14:textFill>
        </w:rPr>
        <w:t>：</w:t>
      </w:r>
    </w:p>
    <w:p>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11.1.1符合参加政府采购活动应当具备的一般条件的承诺函；</w:t>
      </w:r>
    </w:p>
    <w:p>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11.1.2</w:t>
      </w:r>
      <w:r>
        <w:rPr>
          <w:rFonts w:hint="eastAsia" w:ascii="仿宋" w:hAnsi="仿宋" w:eastAsia="仿宋" w:cs="仿宋"/>
          <w:snapToGrid w:val="0"/>
          <w:color w:val="000000" w:themeColor="text1"/>
          <w:kern w:val="28"/>
          <w:sz w:val="24"/>
          <w:szCs w:val="20"/>
          <w:highlight w:val="none"/>
          <w14:textFill>
            <w14:solidFill>
              <w14:schemeClr w14:val="tx1"/>
            </w14:solidFill>
          </w14:textFill>
        </w:rPr>
        <w:t>联合协议（如果有)；</w:t>
      </w:r>
    </w:p>
    <w:p>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11.1.3落实政府采购政策需满足的资格要求</w:t>
      </w:r>
      <w:r>
        <w:rPr>
          <w:rFonts w:hint="eastAsia" w:ascii="仿宋" w:hAnsi="仿宋" w:eastAsia="仿宋" w:cs="仿宋"/>
          <w:snapToGrid w:val="0"/>
          <w:color w:val="000000" w:themeColor="text1"/>
          <w:kern w:val="28"/>
          <w:sz w:val="24"/>
          <w:szCs w:val="20"/>
          <w:highlight w:val="none"/>
          <w14:textFill>
            <w14:solidFill>
              <w14:schemeClr w14:val="tx1"/>
            </w14:solidFill>
          </w14:textFill>
        </w:rPr>
        <w:t>（如果有)</w:t>
      </w:r>
      <w:r>
        <w:rPr>
          <w:rFonts w:hint="eastAsia" w:ascii="仿宋" w:hAnsi="仿宋" w:eastAsia="仿宋" w:cs="仿宋"/>
          <w:color w:val="000000" w:themeColor="text1"/>
          <w:sz w:val="24"/>
          <w:highlight w:val="none"/>
          <w14:textFill>
            <w14:solidFill>
              <w14:schemeClr w14:val="tx1"/>
            </w14:solidFill>
          </w14:textFill>
        </w:rPr>
        <w:t>；</w:t>
      </w:r>
    </w:p>
    <w:p>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11.1.4本项目的特定资格要求</w:t>
      </w:r>
      <w:r>
        <w:rPr>
          <w:rFonts w:hint="eastAsia" w:ascii="仿宋" w:hAnsi="仿宋" w:eastAsia="仿宋" w:cs="仿宋"/>
          <w:snapToGrid w:val="0"/>
          <w:color w:val="000000" w:themeColor="text1"/>
          <w:kern w:val="28"/>
          <w:sz w:val="24"/>
          <w:szCs w:val="20"/>
          <w:highlight w:val="none"/>
          <w14:textFill>
            <w14:solidFill>
              <w14:schemeClr w14:val="tx1"/>
            </w14:solidFill>
          </w14:textFill>
        </w:rPr>
        <w:t>（如果有)</w:t>
      </w:r>
      <w:r>
        <w:rPr>
          <w:rFonts w:hint="eastAsia" w:ascii="仿宋" w:hAnsi="仿宋" w:eastAsia="仿宋" w:cs="仿宋"/>
          <w:color w:val="000000" w:themeColor="text1"/>
          <w:sz w:val="24"/>
          <w:highlight w:val="none"/>
          <w14:textFill>
            <w14:solidFill>
              <w14:schemeClr w14:val="tx1"/>
            </w14:solidFill>
          </w14:textFill>
        </w:rPr>
        <w:t>。</w:t>
      </w:r>
    </w:p>
    <w:p>
      <w:pPr>
        <w:snapToGrid w:val="0"/>
        <w:spacing w:line="360" w:lineRule="auto"/>
        <w:ind w:firstLine="480" w:firstLineChars="200"/>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11.</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商务技术</w:t>
      </w:r>
      <w:r>
        <w:rPr>
          <w:rFonts w:hint="eastAsia" w:ascii="仿宋" w:hAnsi="仿宋" w:eastAsia="仿宋" w:cs="仿宋"/>
          <w:color w:val="000000" w:themeColor="text1"/>
          <w:sz w:val="24"/>
          <w:highlight w:val="none"/>
          <w:lang w:val="zh-CN"/>
          <w14:textFill>
            <w14:solidFill>
              <w14:schemeClr w14:val="tx1"/>
            </w14:solidFill>
          </w14:textFill>
        </w:rPr>
        <w:t>文件：</w:t>
      </w:r>
    </w:p>
    <w:p>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11.2.1投标函；</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11.2.2授权委托书或法定代表人（单位负责人、自然人本人）身份证明；</w:t>
      </w:r>
    </w:p>
    <w:p>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11.2.3分包意向协议</w:t>
      </w:r>
      <w:r>
        <w:rPr>
          <w:rFonts w:hint="eastAsia" w:ascii="仿宋" w:hAnsi="仿宋" w:eastAsia="仿宋" w:cs="仿宋"/>
          <w:snapToGrid w:val="0"/>
          <w:color w:val="000000" w:themeColor="text1"/>
          <w:kern w:val="28"/>
          <w:sz w:val="24"/>
          <w:szCs w:val="20"/>
          <w:highlight w:val="none"/>
          <w14:textFill>
            <w14:solidFill>
              <w14:schemeClr w14:val="tx1"/>
            </w14:solidFill>
          </w14:textFill>
        </w:rPr>
        <w:t>（如果有)</w:t>
      </w:r>
      <w:r>
        <w:rPr>
          <w:rFonts w:hint="eastAsia" w:ascii="仿宋" w:hAnsi="仿宋" w:eastAsia="仿宋" w:cs="仿宋"/>
          <w:color w:val="000000" w:themeColor="text1"/>
          <w:sz w:val="24"/>
          <w:highlight w:val="none"/>
          <w14:textFill>
            <w14:solidFill>
              <w14:schemeClr w14:val="tx1"/>
            </w14:solidFill>
          </w14:textFill>
        </w:rPr>
        <w:t>；</w:t>
      </w:r>
    </w:p>
    <w:p>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11.2.4符合性审查资料；</w:t>
      </w:r>
    </w:p>
    <w:p>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11.2.5评标标准相应的商务技术资料；</w:t>
      </w:r>
    </w:p>
    <w:p>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11.2.6投标标的清单；</w:t>
      </w:r>
    </w:p>
    <w:p>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11.2.7商务技术偏离表；</w:t>
      </w:r>
    </w:p>
    <w:p>
      <w:pPr>
        <w:snapToGrid w:val="0"/>
        <w:spacing w:line="360" w:lineRule="auto"/>
        <w:ind w:firstLine="960" w:firstLineChars="400"/>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11.</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8</w:t>
      </w:r>
      <w:r>
        <w:rPr>
          <w:rFonts w:hint="eastAsia" w:ascii="仿宋" w:hAnsi="仿宋" w:eastAsia="仿宋" w:cs="仿宋"/>
          <w:color w:val="000000" w:themeColor="text1"/>
          <w:sz w:val="24"/>
          <w:highlight w:val="none"/>
          <w:lang w:val="zh-CN"/>
          <w14:textFill>
            <w14:solidFill>
              <w14:schemeClr w14:val="tx1"/>
            </w14:solidFill>
          </w14:textFill>
        </w:rPr>
        <w:t>政府采购供应商廉洁自律承诺书；</w:t>
      </w:r>
    </w:p>
    <w:p>
      <w:pPr>
        <w:snapToGrid w:val="0"/>
        <w:spacing w:line="360" w:lineRule="auto"/>
        <w:ind w:firstLine="480" w:firstLineChars="200"/>
        <w:rPr>
          <w:rFonts w:hint="eastAsia" w:ascii="仿宋" w:hAnsi="仿宋" w:eastAsia="仿宋" w:cs="仿宋"/>
          <w:color w:val="000000" w:themeColor="text1"/>
          <w:sz w:val="24"/>
          <w:highlight w:val="none"/>
          <w:u w:val="singl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11.</w:t>
      </w: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b/>
          <w:color w:val="000000" w:themeColor="text1"/>
          <w:sz w:val="24"/>
          <w:highlight w:val="none"/>
          <w14:textFill>
            <w14:solidFill>
              <w14:schemeClr w14:val="tx1"/>
            </w14:solidFill>
          </w14:textFill>
        </w:rPr>
        <w:t>报价文件：</w:t>
      </w:r>
      <w:r>
        <w:rPr>
          <w:rFonts w:hint="eastAsia" w:ascii="仿宋" w:hAnsi="仿宋" w:eastAsia="仿宋" w:cs="仿宋"/>
          <w:color w:val="000000" w:themeColor="text1"/>
          <w:sz w:val="24"/>
          <w:highlight w:val="none"/>
          <w14:textFill>
            <w14:solidFill>
              <w14:schemeClr w14:val="tx1"/>
            </w14:solidFill>
          </w14:textFill>
        </w:rPr>
        <w:t xml:space="preserve"> </w:t>
      </w:r>
    </w:p>
    <w:p>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11.3.1开标一览表（报价表）；</w:t>
      </w:r>
    </w:p>
    <w:p>
      <w:pPr>
        <w:pStyle w:val="6"/>
        <w:adjustRightInd w:val="0"/>
        <w:ind w:left="0" w:firstLine="960" w:firstLineChars="400"/>
        <w:rPr>
          <w:rFonts w:hint="eastAsia" w:ascii="仿宋" w:eastAsia="仿宋" w:cs="仿宋"/>
          <w:color w:val="000000" w:themeColor="text1"/>
          <w:highlight w:val="none"/>
          <w14:textFill>
            <w14:solidFill>
              <w14:schemeClr w14:val="tx1"/>
            </w14:solidFill>
          </w14:textFill>
        </w:rPr>
      </w:pPr>
      <w:r>
        <w:rPr>
          <w:rFonts w:hint="eastAsia" w:ascii="仿宋" w:eastAsia="仿宋" w:cs="仿宋"/>
          <w:b w:val="0"/>
          <w:bCs w:val="0"/>
          <w:color w:val="000000" w:themeColor="text1"/>
          <w:sz w:val="24"/>
          <w:szCs w:val="24"/>
          <w:highlight w:val="none"/>
          <w:lang w:val="en-US"/>
          <w14:textFill>
            <w14:solidFill>
              <w14:schemeClr w14:val="tx1"/>
            </w14:solidFill>
          </w14:textFill>
        </w:rPr>
        <w:t>11.3.2 报价情况说明（如供应商报价低于项目预算50%的，应当提交本文档，详细阐述不影响产品质量或者诚信履约的具体原因）；</w:t>
      </w:r>
    </w:p>
    <w:p>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11.3.3中小企业声明函。</w:t>
      </w:r>
    </w:p>
    <w:p>
      <w:pPr>
        <w:spacing w:line="360" w:lineRule="auto"/>
        <w:ind w:firstLine="723" w:firstLineChars="3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投标文件含有采购人不能接受的附加条件的，投标无效；</w:t>
      </w:r>
    </w:p>
    <w:p>
      <w:pPr>
        <w:spacing w:line="360" w:lineRule="auto"/>
        <w:ind w:firstLine="723" w:firstLineChars="3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投标人提供虚假材料投标的，投标无效。</w:t>
      </w:r>
    </w:p>
    <w:p>
      <w:pPr>
        <w:pStyle w:val="132"/>
        <w:snapToGrid w:val="0"/>
        <w:spacing w:before="0"/>
        <w:ind w:firstLine="480"/>
        <w:outlineLvl w:val="0"/>
        <w:rPr>
          <w:rFonts w:hint="eastAsia" w:ascii="仿宋" w:hAnsi="仿宋" w:eastAsia="仿宋" w:cs="仿宋"/>
          <w:color w:val="000000" w:themeColor="text1"/>
          <w:szCs w:val="24"/>
          <w:highlight w:val="none"/>
          <w:shd w:val="clear" w:color="auto" w:fill="FFFFFF"/>
          <w14:textFill>
            <w14:solidFill>
              <w14:schemeClr w14:val="tx1"/>
            </w14:solidFill>
          </w14:textFill>
        </w:rPr>
      </w:pPr>
      <w:r>
        <w:rPr>
          <w:rFonts w:hint="eastAsia" w:ascii="仿宋" w:hAnsi="仿宋" w:eastAsia="仿宋" w:cs="仿宋"/>
          <w:color w:val="000000" w:themeColor="text1"/>
          <w:szCs w:val="24"/>
          <w:highlight w:val="none"/>
          <w:shd w:val="clear" w:color="auto" w:fill="FFFFFF"/>
          <w14:textFill>
            <w14:solidFill>
              <w14:schemeClr w14:val="tx1"/>
            </w14:solidFill>
          </w14:textFill>
        </w:rPr>
        <w:t>“投标人可事先在公开官网查询、核对相关证书和报告内容，确保投标（响应）文件资料准确无误。投标人应对投标文件中材料的真实性、合法性负责。”</w:t>
      </w:r>
    </w:p>
    <w:p>
      <w:pPr>
        <w:pStyle w:val="132"/>
        <w:snapToGrid w:val="0"/>
        <w:spacing w:before="0"/>
        <w:ind w:firstLine="0" w:firstLineChars="0"/>
        <w:outlineLvl w:val="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12</w:t>
      </w:r>
      <w:r>
        <w:rPr>
          <w:rFonts w:hint="eastAsia" w:ascii="仿宋" w:hAnsi="仿宋" w:eastAsia="仿宋" w:cs="仿宋"/>
          <w:b/>
          <w:color w:val="000000" w:themeColor="text1"/>
          <w:kern w:val="0"/>
          <w:szCs w:val="24"/>
          <w:highlight w:val="none"/>
          <w:lang w:val="zh-CN"/>
          <w14:textFill>
            <w14:solidFill>
              <w14:schemeClr w14:val="tx1"/>
            </w14:solidFill>
          </w14:textFill>
        </w:rPr>
        <w:t xml:space="preserve">. </w:t>
      </w:r>
      <w:r>
        <w:rPr>
          <w:rFonts w:hint="eastAsia" w:ascii="仿宋" w:hAnsi="仿宋" w:eastAsia="仿宋" w:cs="仿宋"/>
          <w:b/>
          <w:color w:val="000000" w:themeColor="text1"/>
          <w:szCs w:val="24"/>
          <w:highlight w:val="none"/>
          <w14:textFill>
            <w14:solidFill>
              <w14:schemeClr w14:val="tx1"/>
            </w14:solidFill>
          </w14:textFill>
        </w:rPr>
        <w:t>投标文件的编制</w:t>
      </w:r>
    </w:p>
    <w:p>
      <w:pPr>
        <w:spacing w:line="360" w:lineRule="auto"/>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12.3使用“政采云电子交易客户端”需要提前申领CA数字证书，申领流程请自行前往“浙江政府采购网-下载专区-电子交易客户端-CA驱动和申领流程”进行查阅。</w:t>
      </w:r>
    </w:p>
    <w:p>
      <w:pPr>
        <w:snapToGrid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13.投标文件的签署、盖章</w:t>
      </w:r>
    </w:p>
    <w:p>
      <w:pPr>
        <w:pStyle w:val="132"/>
        <w:snapToGrid w:val="0"/>
        <w:spacing w:before="0"/>
        <w:ind w:firstLine="48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13.1投标文件按照招标文件第六部分格式要</w:t>
      </w:r>
      <w:r>
        <w:rPr>
          <w:rFonts w:hint="eastAsia" w:ascii="仿宋" w:hAnsi="仿宋" w:eastAsia="仿宋" w:cs="仿宋"/>
          <w:color w:val="000000" w:themeColor="text1"/>
          <w:highlight w:val="none"/>
          <w14:textFill>
            <w14:solidFill>
              <w14:schemeClr w14:val="tx1"/>
            </w14:solidFill>
          </w14:textFill>
        </w:rPr>
        <w:t>求进行签署、盖章。</w:t>
      </w:r>
      <w:r>
        <w:rPr>
          <w:rFonts w:hint="eastAsia" w:ascii="仿宋" w:hAnsi="仿宋" w:eastAsia="仿宋" w:cs="仿宋"/>
          <w:b/>
          <w:color w:val="000000" w:themeColor="text1"/>
          <w:highlight w:val="none"/>
          <w14:textFill>
            <w14:solidFill>
              <w14:schemeClr w14:val="tx1"/>
            </w14:solidFill>
          </w14:textFill>
        </w:rPr>
        <w:t>▲投标人的投标文件未按照招标文件要求签署、盖章的，其投标无效</w:t>
      </w:r>
      <w:r>
        <w:rPr>
          <w:rFonts w:hint="eastAsia" w:ascii="仿宋" w:hAnsi="仿宋" w:eastAsia="仿宋" w:cs="仿宋"/>
          <w:color w:val="000000" w:themeColor="text1"/>
          <w:szCs w:val="24"/>
          <w:highlight w:val="none"/>
          <w14:textFill>
            <w14:solidFill>
              <w14:schemeClr w14:val="tx1"/>
            </w14:solidFill>
          </w14:textFill>
        </w:rPr>
        <w:t>。</w:t>
      </w:r>
    </w:p>
    <w:p>
      <w:pPr>
        <w:pStyle w:val="132"/>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13.2为确保网上操作合法、有效和安全，投标人应当在投标截止时间前完成在“政府采购云平台”的身份认证，确保在电子投标过程中能够对相关数据电文进行加密和使用电子签名。</w:t>
      </w:r>
    </w:p>
    <w:p>
      <w:pPr>
        <w:pStyle w:val="132"/>
        <w:snapToGrid w:val="0"/>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13.3招标文件对投标文件签署、盖章的要求适用于电子签名。</w:t>
      </w:r>
    </w:p>
    <w:p>
      <w:pPr>
        <w:pStyle w:val="132"/>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14. 投标文件的提交、补充、修改、撤回</w:t>
      </w:r>
    </w:p>
    <w:p>
      <w:pPr>
        <w:pStyle w:val="132"/>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2"/>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14.2电子交易平台收到投标文件，将妥善保存并即时向供应商发出确认回执通知。在投标截止时间前，除供应商补充、修改或者撤回投标文件外，任何单位和个人不得解密或提取投标文件。</w:t>
      </w:r>
    </w:p>
    <w:p>
      <w:pPr>
        <w:pStyle w:val="132"/>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14.3采购人、采购代理机构可以视情况延长投标文件提交的截止时间。在上述情况下，采购代理机构与投标人以前在投标截止期方面的全部权利、责任和义务，将适用于延长至新的投标截止期。</w:t>
      </w:r>
    </w:p>
    <w:p>
      <w:pPr>
        <w:pStyle w:val="35"/>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15.备份投标文件</w:t>
      </w:r>
    </w:p>
    <w:p>
      <w:pPr>
        <w:pStyle w:val="35"/>
        <w:spacing w:line="360" w:lineRule="auto"/>
        <w:ind w:firstLine="360" w:firstLineChars="15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000000" w:themeColor="text1"/>
          <w:sz w:val="24"/>
          <w:szCs w:val="24"/>
          <w:highlight w:val="none"/>
          <w14:textFill>
            <w14:solidFill>
              <w14:schemeClr w14:val="tx1"/>
            </w14:solidFill>
          </w14:textFill>
        </w:rPr>
        <w:t>但采购人、采购代理机构不强制或变相强制投标人提交备份投标文件。</w:t>
      </w:r>
    </w:p>
    <w:p>
      <w:pPr>
        <w:pStyle w:val="35"/>
        <w:spacing w:line="360" w:lineRule="auto"/>
        <w:ind w:firstLine="480"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15.2备份投标文件须在“政采云投标客户端”制作生成，并储存在</w:t>
      </w:r>
      <w:r>
        <w:rPr>
          <w:rFonts w:hint="eastAsia" w:ascii="仿宋" w:hAnsi="仿宋" w:eastAsia="仿宋" w:cs="仿宋"/>
          <w:color w:val="000000" w:themeColor="text1"/>
          <w:sz w:val="24"/>
          <w:highlight w:val="none"/>
          <w14:textFill>
            <w14:solidFill>
              <w14:schemeClr w14:val="tx1"/>
            </w14:solidFill>
          </w14:textFill>
        </w:rPr>
        <w:t>DVD光盘等存储介质</w:t>
      </w:r>
      <w:r>
        <w:rPr>
          <w:rFonts w:hint="eastAsia" w:ascii="仿宋" w:hAnsi="仿宋" w:eastAsia="仿宋" w:cs="仿宋"/>
          <w:color w:val="000000" w:themeColor="text1"/>
          <w:sz w:val="24"/>
          <w:szCs w:val="24"/>
          <w:highlight w:val="none"/>
          <w14:textFill>
            <w14:solidFill>
              <w14:schemeClr w14:val="tx1"/>
            </w14:solidFill>
          </w14:textFill>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000000" w:themeColor="text1"/>
          <w:sz w:val="24"/>
          <w:highlight w:val="none"/>
          <w14:textFill>
            <w14:solidFill>
              <w14:schemeClr w14:val="tx1"/>
            </w14:solidFill>
          </w14:textFill>
        </w:rPr>
        <w:t>不符合上述制作、</w:t>
      </w:r>
      <w:r>
        <w:rPr>
          <w:rFonts w:hint="eastAsia" w:ascii="仿宋" w:hAnsi="仿宋" w:eastAsia="仿宋" w:cs="仿宋"/>
          <w:b/>
          <w:color w:val="000000" w:themeColor="text1"/>
          <w:sz w:val="24"/>
          <w:szCs w:val="24"/>
          <w:highlight w:val="none"/>
          <w14:textFill>
            <w14:solidFill>
              <w14:schemeClr w14:val="tx1"/>
            </w14:solidFill>
          </w14:textFill>
        </w:rPr>
        <w:t>存储、密封规定的备份投标文件将被视为无效或者被拒绝接收。</w:t>
      </w:r>
    </w:p>
    <w:p>
      <w:pPr>
        <w:pStyle w:val="35"/>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15.3直接提交备份投标文件的，投标人应于投标截止时间前在招标公告中载明的开标地点将备份投标文件提交给采购代理机构，采购代理机构将拒绝接受逾期送达的备份投标文件。</w:t>
      </w:r>
    </w:p>
    <w:p>
      <w:pPr>
        <w:pStyle w:val="35"/>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000000" w:themeColor="text1"/>
          <w:sz w:val="24"/>
          <w:szCs w:val="24"/>
          <w:highlight w:val="none"/>
          <w14:textFill>
            <w14:solidFill>
              <w14:schemeClr w14:val="tx1"/>
            </w14:solidFill>
          </w14:textFill>
        </w:rPr>
        <w:t>招标文件第二部分投标人须知前附表规定的备份投标文件送达地点；</w:t>
      </w:r>
      <w:r>
        <w:rPr>
          <w:rFonts w:hint="eastAsia" w:ascii="仿宋" w:hAnsi="仿宋" w:eastAsia="仿宋" w:cs="仿宋"/>
          <w:color w:val="000000" w:themeColor="text1"/>
          <w:sz w:val="24"/>
          <w:szCs w:val="24"/>
          <w:highlight w:val="none"/>
          <w14:textFill>
            <w14:solidFill>
              <w14:schemeClr w14:val="tx1"/>
            </w14:solidFill>
          </w14:textFill>
        </w:rPr>
        <w:t>送达时间以签收人签收时间为准。采购代理机构将拒绝接受逾期送达的备份投标文件。邮寄过程中，电子备份投标文件发生泄露、遗失、损坏或延期送达等情况的，由投标人自行负责。</w:t>
      </w:r>
    </w:p>
    <w:p>
      <w:pPr>
        <w:pStyle w:val="35"/>
        <w:spacing w:line="360" w:lineRule="auto"/>
        <w:ind w:firstLine="479" w:firstLineChars="199"/>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15.5投标人仅提交备份投标文件，未在电子交易平台传输递交投标文件的，投标无效。</w:t>
      </w:r>
    </w:p>
    <w:p>
      <w:pPr>
        <w:pStyle w:val="132"/>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16.投标文件的无效处理</w:t>
      </w:r>
    </w:p>
    <w:p>
      <w:pPr>
        <w:pStyle w:val="26"/>
        <w:spacing w:line="360" w:lineRule="auto"/>
        <w:ind w:firstLine="360" w:firstLineChars="15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有招标文件第四部分4.2规定的情形之一的，投标无效：</w:t>
      </w:r>
    </w:p>
    <w:p>
      <w:pPr>
        <w:pStyle w:val="132"/>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17.投标有效期</w:t>
      </w:r>
    </w:p>
    <w:p>
      <w:pPr>
        <w:spacing w:line="360" w:lineRule="auto"/>
        <w:ind w:firstLine="480" w:firstLineChars="200"/>
        <w:rPr>
          <w:rFonts w:hint="eastAsia" w:ascii="仿宋" w:hAnsi="仿宋" w:eastAsia="仿宋" w:cs="仿宋"/>
          <w:b/>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17.1投标有效期为从提交投标文件的截止之日起90天。▲</w:t>
      </w:r>
      <w:r>
        <w:rPr>
          <w:rFonts w:hint="eastAsia" w:ascii="仿宋" w:hAnsi="仿宋" w:eastAsia="仿宋" w:cs="仿宋"/>
          <w:b/>
          <w:color w:val="000000" w:themeColor="text1"/>
          <w:sz w:val="24"/>
          <w:szCs w:val="20"/>
          <w:highlight w:val="none"/>
          <w14:textFill>
            <w14:solidFill>
              <w14:schemeClr w14:val="tx1"/>
            </w14:solidFill>
          </w14:textFill>
        </w:rPr>
        <w:t>投标人的投标文件中承</w:t>
      </w:r>
      <w:r>
        <w:rPr>
          <w:rFonts w:hint="eastAsia" w:ascii="仿宋" w:hAnsi="仿宋" w:eastAsia="仿宋" w:cs="仿宋"/>
          <w:b/>
          <w:color w:val="000000" w:themeColor="text1"/>
          <w:sz w:val="24"/>
          <w:szCs w:val="21"/>
          <w:highlight w:val="none"/>
          <w14:textFill>
            <w14:solidFill>
              <w14:schemeClr w14:val="tx1"/>
            </w14:solidFill>
          </w14:textFill>
        </w:rPr>
        <w:t>诺的投标有效期少于招标文件中载明的投标有效期的，投标无效。</w:t>
      </w:r>
    </w:p>
    <w:p>
      <w:pPr>
        <w:pStyle w:val="132"/>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17.2投标文件合格投递后，自投标截止日期起，在投标有效期内有效。</w:t>
      </w:r>
    </w:p>
    <w:p>
      <w:pPr>
        <w:pStyle w:val="132"/>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32"/>
        <w:spacing w:before="0"/>
        <w:ind w:firstLine="643"/>
        <w:rPr>
          <w:rFonts w:hint="eastAsia" w:ascii="仿宋" w:hAnsi="仿宋" w:eastAsia="仿宋" w:cs="仿宋"/>
          <w:b/>
          <w:color w:val="000000" w:themeColor="text1"/>
          <w:sz w:val="32"/>
          <w:highlight w:val="none"/>
          <w14:textFill>
            <w14:solidFill>
              <w14:schemeClr w14:val="tx1"/>
            </w14:solidFill>
          </w14:textFill>
        </w:rPr>
      </w:pPr>
    </w:p>
    <w:p>
      <w:pPr>
        <w:pStyle w:val="132"/>
        <w:spacing w:before="0"/>
        <w:ind w:firstLine="1928" w:firstLineChars="600"/>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四、开标、资格审查与信用信息查询</w:t>
      </w:r>
    </w:p>
    <w:p>
      <w:pPr>
        <w:pStyle w:val="558"/>
        <w:spacing w:before="0" w:line="360" w:lineRule="auto"/>
        <w:ind w:left="0" w:firstLine="241" w:firstLineChars="100"/>
        <w:contextualSpacing/>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18.开标</w:t>
      </w:r>
      <w:r>
        <w:rPr>
          <w:rFonts w:hint="eastAsia" w:ascii="仿宋" w:hAnsi="仿宋" w:eastAsia="仿宋" w:cs="仿宋"/>
          <w:color w:val="000000" w:themeColor="text1"/>
          <w:sz w:val="24"/>
          <w:highlight w:val="none"/>
          <w14:textFill>
            <w14:solidFill>
              <w14:schemeClr w14:val="tx1"/>
            </w14:solidFill>
          </w14:textFill>
        </w:rPr>
        <w:t xml:space="preserve"> </w:t>
      </w:r>
    </w:p>
    <w:p>
      <w:pPr>
        <w:pStyle w:val="558"/>
        <w:spacing w:before="0" w:line="360" w:lineRule="auto"/>
        <w:ind w:left="0" w:firstLine="480" w:firstLineChars="200"/>
        <w:contextualSpacing/>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18.1采购代理机构按照招标文件规定的时间通过电子交易平台组织开标，所有投标人均应当准时在线参加。投标人不足3家的，不得开标。</w:t>
      </w:r>
    </w:p>
    <w:p>
      <w:pPr>
        <w:pStyle w:val="558"/>
        <w:spacing w:before="0" w:line="360" w:lineRule="auto"/>
        <w:ind w:left="0" w:firstLine="240" w:firstLineChars="100"/>
        <w:contextualSpacing/>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18.2开标时，电子交易平台按开标时间自动提取所有投标文件。采购代理机构依托电子交易平台发起开始解密指令，投标人按照平台提示和招标文件的规定在半小时内完成在线解密。</w:t>
      </w:r>
    </w:p>
    <w:p>
      <w:pPr>
        <w:pStyle w:val="558"/>
        <w:spacing w:before="0" w:line="360" w:lineRule="auto"/>
        <w:ind w:left="0" w:firstLine="240" w:firstLineChars="100"/>
        <w:contextualSpacing/>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18.3</w:t>
      </w:r>
      <w:r>
        <w:rPr>
          <w:rFonts w:hint="eastAsia" w:ascii="仿宋" w:hAnsi="仿宋" w:eastAsia="仿宋" w:cs="仿宋"/>
          <w:b/>
          <w:color w:val="000000" w:themeColor="text1"/>
          <w:sz w:val="24"/>
          <w:highlight w:val="none"/>
          <w14:textFill>
            <w14:solidFill>
              <w14:schemeClr w14:val="tx1"/>
            </w14:solidFill>
          </w14:textFill>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hint="eastAsia" w:ascii="仿宋" w:hAnsi="仿宋" w:eastAsia="仿宋" w:cs="仿宋"/>
          <w:b/>
          <w:color w:val="000000" w:themeColor="text1"/>
          <w:sz w:val="24"/>
          <w:szCs w:val="20"/>
          <w:highlight w:val="none"/>
          <w14:textFill>
            <w14:solidFill>
              <w14:schemeClr w14:val="tx1"/>
            </w14:solidFill>
          </w14:textFill>
        </w:rPr>
      </w:pPr>
      <w:r>
        <w:rPr>
          <w:rFonts w:hint="eastAsia" w:ascii="仿宋" w:hAnsi="仿宋" w:eastAsia="仿宋" w:cs="仿宋"/>
          <w:b/>
          <w:color w:val="000000" w:themeColor="text1"/>
          <w:sz w:val="24"/>
          <w:szCs w:val="20"/>
          <w:highlight w:val="none"/>
          <w14:textFill>
            <w14:solidFill>
              <w14:schemeClr w14:val="tx1"/>
            </w14:solidFill>
          </w14:textFill>
        </w:rPr>
        <w:t>　19、资格审查</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19.1</w:t>
      </w:r>
      <w:r>
        <w:rPr>
          <w:rFonts w:hint="eastAsia" w:ascii="仿宋" w:hAnsi="仿宋" w:eastAsia="仿宋" w:cs="仿宋"/>
          <w:color w:val="000000" w:themeColor="text1"/>
          <w:sz w:val="24"/>
          <w:highlight w:val="none"/>
          <w14:textFill>
            <w14:solidFill>
              <w14:schemeClr w14:val="tx1"/>
            </w14:solidFill>
          </w14:textFill>
        </w:rPr>
        <w:t>采购人或采购代理机构依据法律法规和招标文件的规定，对投标人的资格进行审查。</w:t>
      </w:r>
    </w:p>
    <w:p>
      <w:pPr>
        <w:pStyle w:val="132"/>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19.2投标人未按照招标文件要求提供与</w:t>
      </w:r>
      <w:r>
        <w:rPr>
          <w:rFonts w:hint="eastAsia" w:ascii="仿宋" w:hAnsi="仿宋" w:eastAsia="仿宋" w:cs="仿宋"/>
          <w:color w:val="000000" w:themeColor="text1"/>
          <w:highlight w:val="none"/>
          <w14:textFill>
            <w14:solidFill>
              <w14:schemeClr w14:val="tx1"/>
            </w14:solidFill>
          </w14:textFill>
        </w:rPr>
        <w:t>资格条件相应的</w:t>
      </w:r>
      <w:r>
        <w:rPr>
          <w:rFonts w:hint="eastAsia" w:ascii="仿宋" w:hAnsi="仿宋" w:eastAsia="仿宋" w:cs="仿宋"/>
          <w:color w:val="000000" w:themeColor="text1"/>
          <w:kern w:val="0"/>
          <w:szCs w:val="24"/>
          <w:highlight w:val="none"/>
          <w14:textFill>
            <w14:solidFill>
              <w14:schemeClr w14:val="tx1"/>
            </w14:solidFill>
          </w14:textFill>
        </w:rPr>
        <w:t>有效资格证明材料的，视为</w:t>
      </w:r>
      <w:r>
        <w:rPr>
          <w:rFonts w:hint="eastAsia" w:ascii="仿宋" w:hAnsi="仿宋" w:eastAsia="仿宋" w:cs="仿宋"/>
          <w:color w:val="000000" w:themeColor="text1"/>
          <w:highlight w:val="none"/>
          <w14:textFill>
            <w14:solidFill>
              <w14:schemeClr w14:val="tx1"/>
            </w14:solidFill>
          </w14:textFill>
        </w:rPr>
        <w:t>投标人不具备招标文件中规定的资格要求，其投标无效。</w:t>
      </w:r>
    </w:p>
    <w:p>
      <w:pPr>
        <w:pStyle w:val="132"/>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19.</w:t>
      </w:r>
      <w:r>
        <w:rPr>
          <w:rFonts w:hint="eastAsia" w:ascii="仿宋" w:hAnsi="仿宋" w:eastAsia="仿宋" w:cs="仿宋"/>
          <w:color w:val="000000" w:themeColor="text1"/>
          <w:highlight w:val="none"/>
          <w14:textFill>
            <w14:solidFill>
              <w14:schemeClr w14:val="tx1"/>
            </w14:solidFill>
          </w14:textFill>
        </w:rPr>
        <w:t>3对未通过资格审查的投标人，采购人或采购代理机构告知其未通过的原因。</w:t>
      </w:r>
    </w:p>
    <w:p>
      <w:pPr>
        <w:pStyle w:val="132"/>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19.</w:t>
      </w:r>
      <w:r>
        <w:rPr>
          <w:rFonts w:hint="eastAsia" w:ascii="仿宋" w:hAnsi="仿宋" w:eastAsia="仿宋" w:cs="仿宋"/>
          <w:color w:val="000000" w:themeColor="text1"/>
          <w:highlight w:val="none"/>
          <w14:textFill>
            <w14:solidFill>
              <w14:schemeClr w14:val="tx1"/>
            </w14:solidFill>
          </w14:textFill>
        </w:rPr>
        <w:t>4合格投标人不足3家的，不再评标。</w:t>
      </w:r>
    </w:p>
    <w:p>
      <w:pPr>
        <w:pStyle w:val="132"/>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20、信用信息查询</w:t>
      </w:r>
    </w:p>
    <w:p>
      <w:pPr>
        <w:pStyle w:val="132"/>
        <w:spacing w:before="0"/>
        <w:ind w:firstLine="495" w:firstLineChars="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20.1信用信息查询渠道及截止时间：采购代理机构将在资格审查时通过“信用中国”网站(www.creditchina.gov.cn)、中国政府采购网(www.ccgp.gov.cn)渠道查询投标人接受资格时的信用记录。</w:t>
      </w:r>
    </w:p>
    <w:p>
      <w:pPr>
        <w:pStyle w:val="132"/>
        <w:spacing w:before="0"/>
        <w:ind w:firstLine="495" w:firstLineChars="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20.2信用信息查询记录和证据留存的具体方式：现场查询的投标人的信用记录、查询结果经确认后将与采购文件一起存档。</w:t>
      </w:r>
    </w:p>
    <w:p>
      <w:pPr>
        <w:pStyle w:val="132"/>
        <w:spacing w:before="0"/>
        <w:ind w:firstLine="495" w:firstLineChars="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20.3信用信息的使用规则：经查询列入失信被执行人名单、重大税收违法案件当事人名单、政府采购严重违法失信行为记录名单的投标人将被拒绝参与政府采购活动。</w:t>
      </w:r>
    </w:p>
    <w:p>
      <w:pPr>
        <w:pStyle w:val="132"/>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000000" w:themeColor="text1"/>
          <w:highlight w:val="none"/>
          <w14:textFill>
            <w14:solidFill>
              <w14:schemeClr w14:val="tx1"/>
            </w14:solidFill>
          </w14:textFill>
        </w:rPr>
        <w:t>。</w:t>
      </w:r>
    </w:p>
    <w:p>
      <w:pPr>
        <w:pStyle w:val="132"/>
        <w:spacing w:before="0"/>
        <w:ind w:firstLine="0" w:firstLineChars="0"/>
        <w:rPr>
          <w:rFonts w:hint="eastAsia" w:ascii="仿宋" w:hAnsi="仿宋" w:eastAsia="仿宋" w:cs="仿宋"/>
          <w:color w:val="000000" w:themeColor="text1"/>
          <w:kern w:val="0"/>
          <w:szCs w:val="24"/>
          <w:highlight w:val="none"/>
          <w14:textFill>
            <w14:solidFill>
              <w14:schemeClr w14:val="tx1"/>
            </w14:solidFill>
          </w14:textFill>
        </w:rPr>
      </w:pPr>
    </w:p>
    <w:p>
      <w:pPr>
        <w:snapToGrid w:val="0"/>
        <w:spacing w:line="360" w:lineRule="auto"/>
        <w:jc w:val="center"/>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五、评标</w:t>
      </w:r>
    </w:p>
    <w:p>
      <w:pPr>
        <w:spacing w:line="360" w:lineRule="auto"/>
        <w:rPr>
          <w:rFonts w:hint="eastAsia" w:ascii="仿宋" w:hAnsi="仿宋" w:eastAsia="仿宋" w:cs="仿宋"/>
          <w:b/>
          <w:color w:val="000000" w:themeColor="text1"/>
          <w:sz w:val="24"/>
          <w:highlight w:val="none"/>
          <w14:textFill>
            <w14:solidFill>
              <w14:schemeClr w14:val="tx1"/>
            </w14:solidFill>
          </w14:textFill>
        </w:rPr>
      </w:pPr>
      <w:bookmarkStart w:id="13" w:name="_Toc91899903"/>
      <w:r>
        <w:rPr>
          <w:rFonts w:hint="eastAsia" w:ascii="仿宋" w:hAnsi="仿宋" w:eastAsia="仿宋" w:cs="仿宋"/>
          <w:b/>
          <w:color w:val="000000" w:themeColor="text1"/>
          <w:sz w:val="24"/>
          <w:highlight w:val="none"/>
          <w14:textFill>
            <w14:solidFill>
              <w14:schemeClr w14:val="tx1"/>
            </w14:solidFill>
          </w14:textFill>
        </w:rPr>
        <w:t>21.</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000000" w:themeColor="text1"/>
          <w:sz w:val="24"/>
          <w:highlight w:val="none"/>
          <w14:textFill>
            <w14:solidFill>
              <w14:schemeClr w14:val="tx1"/>
            </w14:solidFill>
          </w14:textFill>
        </w:rPr>
        <w:t>详见招标文件第四部分评标办法。</w:t>
      </w:r>
    </w:p>
    <w:p>
      <w:pPr>
        <w:spacing w:line="360" w:lineRule="auto"/>
        <w:rPr>
          <w:rFonts w:hint="eastAsia" w:ascii="仿宋" w:hAnsi="仿宋" w:eastAsia="仿宋" w:cs="仿宋"/>
          <w:b/>
          <w:color w:val="000000" w:themeColor="text1"/>
          <w:sz w:val="24"/>
          <w:highlight w:val="none"/>
          <w14:textFill>
            <w14:solidFill>
              <w14:schemeClr w14:val="tx1"/>
            </w14:solidFill>
          </w14:textFill>
        </w:rPr>
      </w:pPr>
    </w:p>
    <w:p>
      <w:pPr>
        <w:snapToGrid w:val="0"/>
        <w:spacing w:line="360" w:lineRule="auto"/>
        <w:jc w:val="center"/>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六、定 标</w:t>
      </w:r>
    </w:p>
    <w:p>
      <w:pPr>
        <w:pStyle w:val="26"/>
        <w:spacing w:line="360" w:lineRule="auto"/>
        <w:ind w:left="479" w:hanging="479" w:hangingChars="199"/>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22. 确定中标供应商</w:t>
      </w:r>
    </w:p>
    <w:p>
      <w:pPr>
        <w:pStyle w:val="132"/>
        <w:snapToGrid w:val="0"/>
        <w:spacing w:before="0"/>
        <w:ind w:firstLine="48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pPr>
        <w:pStyle w:val="132"/>
        <w:snapToGrid w:val="0"/>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23. 中标通知与中标结果公告</w:t>
      </w:r>
    </w:p>
    <w:p>
      <w:pPr>
        <w:widowControl/>
        <w:shd w:val="clear" w:color="auto" w:fill="FFFFFF"/>
        <w:spacing w:line="360" w:lineRule="auto"/>
        <w:ind w:firstLine="48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spacing w:line="360" w:lineRule="auto"/>
        <w:ind w:firstLine="48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23.2中标结果公告内容包括采购人及其委托的采购代理机构的名称、地址、联系方式，项目名称和项目编号，中标人名称、地址和中标金额，主要中标标的的名称、规格型号、数量、单价、服务要求，开标记录、</w:t>
      </w:r>
      <w:bookmarkStart w:id="14" w:name="_Hlk101184471"/>
      <w:r>
        <w:rPr>
          <w:rFonts w:hint="eastAsia" w:ascii="仿宋" w:hAnsi="仿宋" w:eastAsia="仿宋" w:cs="仿宋"/>
          <w:color w:val="000000" w:themeColor="text1"/>
          <w:sz w:val="24"/>
          <w:highlight w:val="none"/>
          <w14:textFill>
            <w14:solidFill>
              <w14:schemeClr w14:val="tx1"/>
            </w14:solidFill>
          </w14:textFill>
        </w:rPr>
        <w:t>资格审查情况、评审专家抽取规则、符合性审查情况、</w:t>
      </w:r>
      <w:bookmarkEnd w:id="14"/>
      <w:r>
        <w:rPr>
          <w:rFonts w:hint="eastAsia" w:ascii="仿宋" w:hAnsi="仿宋" w:eastAsia="仿宋" w:cs="仿宋"/>
          <w:color w:val="000000" w:themeColor="text1"/>
          <w:sz w:val="24"/>
          <w:highlight w:val="none"/>
          <w14:textFill>
            <w14:solidFill>
              <w14:schemeClr w14:val="tx1"/>
            </w14:solidFill>
          </w14:textFill>
        </w:rPr>
        <w:t>未中标情况说明、中标公告期限以及评审专家名单、评分汇总及明细。</w:t>
      </w:r>
    </w:p>
    <w:p>
      <w:pPr>
        <w:widowControl/>
        <w:shd w:val="clear" w:color="auto" w:fill="FFFFFF"/>
        <w:spacing w:line="360" w:lineRule="auto"/>
        <w:ind w:firstLine="48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23.3公告期限为1个工作日。</w:t>
      </w:r>
    </w:p>
    <w:p>
      <w:pPr>
        <w:pStyle w:val="132"/>
        <w:snapToGrid w:val="0"/>
        <w:spacing w:before="0"/>
        <w:ind w:firstLine="482"/>
        <w:rPr>
          <w:rStyle w:val="79"/>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 xml:space="preserve">23.4 </w:t>
      </w:r>
      <w:r>
        <w:rPr>
          <w:rFonts w:hint="eastAsia" w:ascii="仿宋" w:hAnsi="仿宋" w:eastAsia="仿宋" w:cs="仿宋"/>
          <w:bCs/>
          <w:color w:val="000000" w:themeColor="text1"/>
          <w:szCs w:val="24"/>
          <w:highlight w:val="none"/>
          <w14:textFill>
            <w14:solidFill>
              <w14:schemeClr w14:val="tx1"/>
            </w14:solidFill>
          </w14:textFill>
        </w:rPr>
        <w:t>由于中标、成交供应商原因导致重新采购的，应当承担支付代理费和专家评审费等费用在内的赔偿责任。</w:t>
      </w:r>
    </w:p>
    <w:p>
      <w:pPr>
        <w:pStyle w:val="81"/>
        <w:rPr>
          <w:rFonts w:hint="eastAsia" w:ascii="仿宋" w:hAnsi="仿宋" w:eastAsia="仿宋" w:cs="仿宋"/>
          <w:color w:val="000000" w:themeColor="text1"/>
          <w:highlight w:val="none"/>
          <w14:textFill>
            <w14:solidFill>
              <w14:schemeClr w14:val="tx1"/>
            </w14:solidFill>
          </w14:textFill>
        </w:rPr>
      </w:pPr>
    </w:p>
    <w:p>
      <w:pPr>
        <w:snapToGrid w:val="0"/>
        <w:spacing w:line="360" w:lineRule="auto"/>
        <w:ind w:left="120" w:leftChars="57" w:firstLine="482" w:firstLineChars="150"/>
        <w:jc w:val="center"/>
        <w:rPr>
          <w:rFonts w:hint="eastAsia" w:ascii="仿宋" w:hAnsi="仿宋" w:eastAsia="仿宋" w:cs="仿宋"/>
          <w:b/>
          <w:color w:val="000000" w:themeColor="text1"/>
          <w:sz w:val="32"/>
          <w:highlight w:val="none"/>
          <w14:textFill>
            <w14:solidFill>
              <w14:schemeClr w14:val="tx1"/>
            </w14:solidFill>
          </w14:textFill>
        </w:rPr>
      </w:pPr>
    </w:p>
    <w:p>
      <w:pPr>
        <w:snapToGrid w:val="0"/>
        <w:spacing w:line="360" w:lineRule="auto"/>
        <w:ind w:left="120" w:leftChars="57" w:firstLine="482" w:firstLineChars="150"/>
        <w:jc w:val="center"/>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七、合同授予</w:t>
      </w:r>
    </w:p>
    <w:p>
      <w:pPr>
        <w:pStyle w:val="26"/>
        <w:spacing w:line="360" w:lineRule="auto"/>
        <w:ind w:left="479" w:hanging="479" w:hangingChars="199"/>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 xml:space="preserve">24. </w:t>
      </w:r>
      <w:r>
        <w:rPr>
          <w:rFonts w:hint="eastAsia" w:ascii="仿宋" w:hAnsi="仿宋" w:eastAsia="仿宋" w:cs="仿宋"/>
          <w:color w:val="000000" w:themeColor="text1"/>
          <w:highlight w:val="none"/>
          <w14:textFill>
            <w14:solidFill>
              <w14:schemeClr w14:val="tx1"/>
            </w14:solidFill>
          </w14:textFill>
        </w:rPr>
        <w:t>合同主要条款详见第五部分拟签订的合同文本。</w:t>
      </w:r>
    </w:p>
    <w:p>
      <w:pPr>
        <w:pStyle w:val="26"/>
        <w:spacing w:line="360" w:lineRule="auto"/>
        <w:ind w:left="479" w:hanging="479" w:hangingChars="199"/>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25. 合同的签订</w:t>
      </w:r>
    </w:p>
    <w:p>
      <w:pPr>
        <w:widowControl/>
        <w:shd w:val="clear" w:color="auto" w:fill="FFFFFF"/>
        <w:spacing w:line="360" w:lineRule="auto"/>
        <w:ind w:firstLine="48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25.1</w:t>
      </w:r>
      <w:r>
        <w:rPr>
          <w:rFonts w:hint="eastAsia" w:ascii="仿宋" w:hAnsi="仿宋" w:eastAsia="仿宋" w:cs="仿宋"/>
          <w:color w:val="000000" w:themeColor="text1"/>
          <w:kern w:val="0"/>
          <w:sz w:val="24"/>
          <w:highlight w:val="none"/>
          <w14:textFill>
            <w14:solidFill>
              <w14:schemeClr w14:val="tx1"/>
            </w14:solidFill>
          </w14:textFill>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32"/>
        <w:snapToGrid w:val="0"/>
        <w:spacing w:before="0"/>
        <w:ind w:firstLine="480"/>
        <w:rPr>
          <w:rFonts w:hint="eastAsia"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lang w:val="zh-CN"/>
          <w14:textFill>
            <w14:solidFill>
              <w14:schemeClr w14:val="tx1"/>
            </w14:solidFill>
          </w14:textFill>
        </w:rPr>
        <w:t>25.2中标人按规定的日期、时间、地点，由法定代表人或其授权代表与采购人代表签订合同。如中标人为联合体的，由联合体成员各方法定代表人或其授权代表与采购人代表签订合同。</w:t>
      </w:r>
    </w:p>
    <w:p>
      <w:pPr>
        <w:pStyle w:val="132"/>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25.3如签订合同并生效后，供应商无故拒绝或延期，除按照合同条款处理外，列入不良行为记录一次，并给予通报。</w:t>
      </w:r>
    </w:p>
    <w:p>
      <w:pPr>
        <w:pStyle w:val="132"/>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25.4中标供应商拒绝与采购人签订合同的，采购人可以按照评审报告推荐的中标或者成交候选人名单排序，确定下一候选人为中标供应商，也可以重新开展政府采购活动。</w:t>
      </w:r>
    </w:p>
    <w:p>
      <w:pPr>
        <w:pStyle w:val="132"/>
        <w:snapToGrid w:val="0"/>
        <w:spacing w:before="0" w:after="12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25.5采购合同由采购人与中标供应商根据招标文件、投标文件等内容通过政府采购电子交易平台在线签订，自动备案。</w:t>
      </w:r>
    </w:p>
    <w:p>
      <w:pPr>
        <w:pStyle w:val="26"/>
        <w:spacing w:line="360" w:lineRule="auto"/>
        <w:ind w:left="479" w:hanging="479" w:hangingChars="199"/>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26. 履约保证金</w:t>
      </w:r>
    </w:p>
    <w:p>
      <w:pPr>
        <w:tabs>
          <w:tab w:val="left" w:pos="0"/>
        </w:tabs>
        <w:spacing w:line="360" w:lineRule="auto"/>
        <w:ind w:firstLine="482"/>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000000" w:themeColor="text1"/>
          <w:sz w:val="24"/>
          <w:highlight w:val="none"/>
          <w14:textFill>
            <w14:solidFill>
              <w14:schemeClr w14:val="tx1"/>
            </w14:solidFill>
          </w14:textFill>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pPr>
        <w:pStyle w:val="6"/>
        <w:ind w:left="0" w:firstLine="480" w:firstLineChars="200"/>
        <w:rPr>
          <w:rFonts w:hint="eastAsia" w:ascii="仿宋" w:eastAsia="仿宋" w:cs="仿宋"/>
          <w:b w:val="0"/>
          <w:bCs w:val="0"/>
          <w:snapToGrid w:val="0"/>
          <w:color w:val="000000" w:themeColor="text1"/>
          <w:kern w:val="28"/>
          <w:sz w:val="24"/>
          <w:highlight w:val="none"/>
          <w14:textFill>
            <w14:solidFill>
              <w14:schemeClr w14:val="tx1"/>
            </w14:solidFill>
          </w14:textFill>
        </w:rPr>
      </w:pPr>
      <w:r>
        <w:rPr>
          <w:rFonts w:hint="eastAsia" w:ascii="仿宋" w:eastAsia="仿宋" w:cs="仿宋"/>
          <w:b w:val="0"/>
          <w:bCs w:val="0"/>
          <w:snapToGrid w:val="0"/>
          <w:color w:val="000000" w:themeColor="text1"/>
          <w:kern w:val="28"/>
          <w:sz w:val="24"/>
          <w:highlight w:val="none"/>
          <w14:textFill>
            <w14:solidFill>
              <w14:schemeClr w14:val="tx1"/>
            </w14:solidFill>
          </w14:textFill>
        </w:rPr>
        <w:t>供应商</w:t>
      </w:r>
      <w:r>
        <w:rPr>
          <w:rFonts w:hint="eastAsia" w:ascii="仿宋" w:eastAsia="仿宋" w:cs="仿宋"/>
          <w:b w:val="0"/>
          <w:bCs w:val="0"/>
          <w:snapToGrid w:val="0"/>
          <w:color w:val="000000" w:themeColor="text1"/>
          <w:kern w:val="28"/>
          <w:sz w:val="24"/>
          <w:highlight w:val="none"/>
          <w:lang w:val="en-US"/>
          <w14:textFill>
            <w14:solidFill>
              <w14:schemeClr w14:val="tx1"/>
            </w14:solidFill>
          </w14:textFill>
        </w:rPr>
        <w:t>可</w:t>
      </w:r>
      <w:r>
        <w:rPr>
          <w:rFonts w:hint="eastAsia" w:ascii="仿宋" w:eastAsia="仿宋" w:cs="仿宋"/>
          <w:b w:val="0"/>
          <w:bCs w:val="0"/>
          <w:snapToGrid w:val="0"/>
          <w:color w:val="000000" w:themeColor="text1"/>
          <w:kern w:val="28"/>
          <w:sz w:val="24"/>
          <w:highlight w:val="none"/>
          <w14:textFill>
            <w14:solidFill>
              <w14:schemeClr w14:val="tx1"/>
            </w14:solidFill>
          </w14:textFill>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6"/>
        <w:rPr>
          <w:rFonts w:hint="eastAsia" w:ascii="仿宋" w:eastAsia="仿宋" w:cs="仿宋"/>
          <w:color w:val="000000" w:themeColor="text1"/>
          <w:highlight w:val="none"/>
          <w14:textFill>
            <w14:solidFill>
              <w14:schemeClr w14:val="tx1"/>
            </w14:solidFill>
          </w14:textFill>
        </w:rPr>
      </w:pPr>
      <w:r>
        <w:rPr>
          <w:rFonts w:hint="eastAsia" w:ascii="仿宋" w:eastAsia="仿宋" w:cs="仿宋"/>
          <w:color w:val="000000" w:themeColor="text1"/>
          <w:sz w:val="24"/>
          <w:highlight w:val="none"/>
          <w:lang w:val="en-US"/>
          <w14:textFill>
            <w14:solidFill>
              <w14:schemeClr w14:val="tx1"/>
            </w14:solidFill>
          </w14:textFill>
        </w:rPr>
        <w:t>27.预付款</w:t>
      </w:r>
    </w:p>
    <w:p>
      <w:pPr>
        <w:adjustRightInd/>
        <w:spacing w:line="360" w:lineRule="auto"/>
        <w:ind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rPr>
          <w:rFonts w:hint="eastAsia" w:ascii="仿宋" w:hAnsi="仿宋" w:eastAsia="仿宋" w:cs="仿宋"/>
          <w:color w:val="000000" w:themeColor="text1"/>
          <w:highlight w:val="none"/>
          <w14:textFill>
            <w14:solidFill>
              <w14:schemeClr w14:val="tx1"/>
            </w14:solidFill>
          </w14:textFill>
        </w:rPr>
      </w:pPr>
    </w:p>
    <w:p>
      <w:pPr>
        <w:snapToGrid w:val="0"/>
        <w:spacing w:line="360" w:lineRule="auto"/>
        <w:ind w:firstLine="3357" w:firstLineChars="1045"/>
        <w:rPr>
          <w:rFonts w:hint="eastAsia" w:ascii="仿宋" w:hAnsi="仿宋" w:eastAsia="仿宋" w:cs="仿宋"/>
          <w:b/>
          <w:color w:val="000000" w:themeColor="text1"/>
          <w:sz w:val="32"/>
          <w:highlight w:val="none"/>
          <w14:textFill>
            <w14:solidFill>
              <w14:schemeClr w14:val="tx1"/>
            </w14:solidFill>
          </w14:textFill>
        </w:rPr>
      </w:pPr>
    </w:p>
    <w:p>
      <w:pPr>
        <w:snapToGrid w:val="0"/>
        <w:spacing w:line="360" w:lineRule="auto"/>
        <w:ind w:firstLine="3357" w:firstLineChars="1045"/>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八、电子交易活动的中止</w:t>
      </w:r>
    </w:p>
    <w:p>
      <w:pPr>
        <w:pStyle w:val="132"/>
        <w:snapToGrid w:val="0"/>
        <w:spacing w:before="0"/>
        <w:ind w:firstLine="0"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2</w:t>
      </w:r>
      <w:r>
        <w:rPr>
          <w:rFonts w:hint="eastAsia" w:ascii="仿宋" w:hAnsi="仿宋" w:eastAsia="仿宋" w:cs="仿宋"/>
          <w:b/>
          <w:bCs/>
          <w:color w:val="000000" w:themeColor="text1"/>
          <w:szCs w:val="24"/>
          <w:highlight w:val="none"/>
          <w14:textFill>
            <w14:solidFill>
              <w14:schemeClr w14:val="tx1"/>
            </w14:solidFill>
          </w14:textFill>
        </w:rPr>
        <w:t>8</w:t>
      </w:r>
      <w:r>
        <w:rPr>
          <w:rFonts w:hint="eastAsia" w:ascii="仿宋" w:hAnsi="仿宋" w:eastAsia="仿宋" w:cs="仿宋"/>
          <w:b/>
          <w:color w:val="000000" w:themeColor="text1"/>
          <w:szCs w:val="24"/>
          <w:highlight w:val="none"/>
          <w14:textFill>
            <w14:solidFill>
              <w14:schemeClr w14:val="tx1"/>
            </w14:solidFill>
          </w14:textFill>
        </w:rPr>
        <w:t>. 电子交易活动的中止。</w:t>
      </w:r>
      <w:r>
        <w:rPr>
          <w:rFonts w:hint="eastAsia" w:ascii="仿宋" w:hAnsi="仿宋" w:eastAsia="仿宋" w:cs="仿宋"/>
          <w:color w:val="000000" w:themeColor="text1"/>
          <w:highlight w:val="none"/>
          <w14:textFill>
            <w14:solidFill>
              <w14:schemeClr w14:val="tx1"/>
            </w14:solidFill>
          </w14:textFill>
        </w:rPr>
        <w:t>采购过程中出现以下情形，导致电子交易平台无法正常运行，或者无法保证电子交易的公平、公正和安全时，采购代理机构可中止电子交易活动：</w:t>
      </w:r>
    </w:p>
    <w:p>
      <w:pPr>
        <w:pStyle w:val="132"/>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28.1电子交易平台发生故障而无法登录访问的； </w:t>
      </w:r>
    </w:p>
    <w:p>
      <w:pPr>
        <w:pStyle w:val="132"/>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28.2电子交易平台应用或数据库出现错误，不能进行正常操作的；</w:t>
      </w:r>
    </w:p>
    <w:p>
      <w:pPr>
        <w:pStyle w:val="132"/>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28.3电子交易平台发现严重安全漏洞，有潜在泄密危险的；</w:t>
      </w:r>
    </w:p>
    <w:p>
      <w:pPr>
        <w:pStyle w:val="132"/>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28.4病毒发作导致不能进行正常操作的； </w:t>
      </w:r>
    </w:p>
    <w:p>
      <w:pPr>
        <w:pStyle w:val="132"/>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28.5其他无法保证电子交易的公平、公正和安全的情况。</w:t>
      </w:r>
    </w:p>
    <w:p>
      <w:pPr>
        <w:pStyle w:val="132"/>
        <w:snapToGrid w:val="0"/>
        <w:spacing w:before="0"/>
        <w:ind w:firstLine="0"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ind w:left="120" w:leftChars="57" w:firstLine="482" w:firstLineChars="150"/>
        <w:jc w:val="center"/>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九、验收</w:t>
      </w:r>
    </w:p>
    <w:p>
      <w:pPr>
        <w:pStyle w:val="26"/>
        <w:spacing w:line="360" w:lineRule="auto"/>
        <w:ind w:firstLine="0" w:firstLineChars="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30.验收</w:t>
      </w:r>
    </w:p>
    <w:p>
      <w:pPr>
        <w:tabs>
          <w:tab w:val="left" w:pos="0"/>
        </w:tabs>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pStyle w:val="6"/>
        <w:adjustRightInd w:val="0"/>
        <w:snapToGrid w:val="0"/>
        <w:ind w:left="0" w:firstLine="480" w:firstLineChars="200"/>
        <w:rPr>
          <w:rFonts w:hint="eastAsia" w:ascii="仿宋" w:eastAsia="仿宋" w:cs="仿宋"/>
          <w:b w:val="0"/>
          <w:bCs w:val="0"/>
          <w:color w:val="000000" w:themeColor="text1"/>
          <w:kern w:val="0"/>
          <w:sz w:val="24"/>
          <w:szCs w:val="24"/>
          <w:highlight w:val="none"/>
          <w:lang w:val="en-US"/>
          <w14:textFill>
            <w14:solidFill>
              <w14:schemeClr w14:val="tx1"/>
            </w14:solidFill>
          </w14:textFill>
        </w:rPr>
      </w:pPr>
      <w:r>
        <w:rPr>
          <w:rFonts w:hint="eastAsia" w:ascii="仿宋" w:eastAsia="仿宋" w:cs="仿宋"/>
          <w:b w:val="0"/>
          <w:bCs w:val="0"/>
          <w:color w:val="000000" w:themeColor="text1"/>
          <w:kern w:val="0"/>
          <w:sz w:val="24"/>
          <w:szCs w:val="24"/>
          <w:highlight w:val="none"/>
          <w:lang w:val="en-US"/>
          <w14:textFill>
            <w14:solidFill>
              <w14:schemeClr w14:val="tx1"/>
            </w14:solidFill>
          </w14:textFill>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pPr>
        <w:pStyle w:val="81"/>
        <w:rPr>
          <w:rFonts w:hint="eastAsia" w:ascii="仿宋" w:hAnsi="仿宋" w:eastAsia="仿宋" w:cs="仿宋"/>
          <w:color w:val="000000" w:themeColor="text1"/>
          <w:highlight w:val="none"/>
          <w14:textFill>
            <w14:solidFill>
              <w14:schemeClr w14:val="tx1"/>
            </w14:solidFill>
          </w14:textFill>
        </w:rPr>
      </w:pPr>
    </w:p>
    <w:bookmarkEnd w:id="13"/>
    <w:p>
      <w:pPr>
        <w:tabs>
          <w:tab w:val="left" w:pos="0"/>
        </w:tabs>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5236011"/>
      <w:bookmarkEnd w:id="15"/>
      <w:bookmarkStart w:id="16" w:name="_Hlt75236290"/>
      <w:bookmarkEnd w:id="16"/>
      <w:bookmarkStart w:id="17" w:name="_Hlt74714665"/>
      <w:bookmarkEnd w:id="17"/>
      <w:bookmarkStart w:id="18" w:name="_Hlt68057669"/>
      <w:bookmarkEnd w:id="18"/>
      <w:bookmarkStart w:id="19" w:name="_Hlt74707468"/>
      <w:bookmarkEnd w:id="19"/>
      <w:bookmarkStart w:id="20" w:name="_Hlt68073093"/>
      <w:bookmarkEnd w:id="20"/>
      <w:bookmarkStart w:id="21" w:name="_Hlt68072998"/>
      <w:bookmarkEnd w:id="21"/>
      <w:bookmarkStart w:id="22" w:name="_Hlt74729768"/>
      <w:bookmarkEnd w:id="22"/>
      <w:bookmarkStart w:id="23" w:name="_Hlt74730295"/>
      <w:bookmarkEnd w:id="23"/>
      <w:bookmarkStart w:id="24" w:name="_Hlt68403820"/>
      <w:bookmarkEnd w:id="24"/>
      <w:bookmarkStart w:id="25" w:name="_Hlt68072990"/>
      <w:bookmarkEnd w:id="25"/>
      <w:bookmarkStart w:id="26" w:name="_Hlt75236101"/>
      <w:bookmarkEnd w:id="26"/>
    </w:p>
    <w:bookmarkEnd w:id="11"/>
    <w:bookmarkEnd w:id="12"/>
    <w:p>
      <w:pPr>
        <w:spacing w:line="360" w:lineRule="auto"/>
        <w:jc w:val="center"/>
        <w:outlineLvl w:val="0"/>
        <w:rPr>
          <w:rFonts w:hint="eastAsia" w:ascii="仿宋" w:hAnsi="仿宋" w:eastAsia="仿宋" w:cs="仿宋"/>
          <w:b/>
          <w:color w:val="000000" w:themeColor="text1"/>
          <w:sz w:val="36"/>
          <w:szCs w:val="36"/>
          <w:highlight w:val="none"/>
          <w14:textFill>
            <w14:solidFill>
              <w14:schemeClr w14:val="tx1"/>
            </w14:solidFill>
          </w14:textFill>
        </w:rPr>
      </w:pPr>
      <w:bookmarkStart w:id="27" w:name="第四部分"/>
      <w:r>
        <w:rPr>
          <w:rFonts w:hint="eastAsia" w:ascii="仿宋" w:hAnsi="仿宋" w:eastAsia="仿宋" w:cs="仿宋"/>
          <w:b/>
          <w:color w:val="000000" w:themeColor="text1"/>
          <w:sz w:val="36"/>
          <w:szCs w:val="36"/>
          <w:highlight w:val="none"/>
          <w14:textFill>
            <w14:solidFill>
              <w14:schemeClr w14:val="tx1"/>
            </w14:solidFill>
          </w14:textFill>
        </w:rPr>
        <w:t>第三部分   采购需求</w:t>
      </w:r>
    </w:p>
    <w:p>
      <w:pPr>
        <w:autoSpaceDE w:val="0"/>
        <w:autoSpaceDN w:val="0"/>
        <w:snapToGrid w:val="0"/>
        <w:spacing w:line="540" w:lineRule="exact"/>
        <w:ind w:firstLine="480" w:firstLineChars="200"/>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一、疗养方案</w:t>
      </w:r>
    </w:p>
    <w:p>
      <w:pPr>
        <w:adjustRightInd w:val="0"/>
        <w:snapToGrid w:val="0"/>
        <w:spacing w:line="348"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五常街道机关、社区及平安巡防大队工会会员疗休养项目，分为五个标项，供应商可自行选择标项响应投标，但供应商中标只能中一个标项，根据标项一、标项二、标项三、标项四、标项五依次的顺序依次进行开评标，如投标单位已为先开评标标项推荐中标资格，则自动失去未开标项的推荐中标资格。</w:t>
      </w:r>
    </w:p>
    <w:p>
      <w:pPr>
        <w:adjustRightInd w:val="0"/>
        <w:snapToGrid w:val="0"/>
        <w:spacing w:line="348"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本招标采购文件内如未明确为哪个标项要求，即为所有标项的共同要求和内容，如已明示为哪个标项的具体要求，即按相关要求执行。</w:t>
      </w:r>
    </w:p>
    <w:tbl>
      <w:tblPr>
        <w:tblStyle w:val="63"/>
        <w:tblpPr w:leftFromText="180" w:rightFromText="180" w:vertAnchor="text" w:tblpXSpec="center" w:tblpY="64"/>
        <w:tblOverlap w:val="never"/>
        <w:tblW w:w="132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5"/>
        <w:gridCol w:w="1732"/>
        <w:gridCol w:w="1197"/>
        <w:gridCol w:w="8543"/>
        <w:gridCol w:w="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975" w:type="dxa"/>
            <w:noWrap w:val="0"/>
            <w:vAlign w:val="center"/>
          </w:tcPr>
          <w:p>
            <w:pPr>
              <w:keepNext w:val="0"/>
              <w:keepLines w:val="0"/>
              <w:pageBreakBefore w:val="0"/>
              <w:widowControl/>
              <w:kinsoku/>
              <w:wordWrap/>
              <w:overflowPunct/>
              <w:topLinePunct w:val="0"/>
              <w:autoSpaceDE/>
              <w:autoSpaceDN/>
              <w:bidi w:val="0"/>
              <w:snapToGrid w:val="0"/>
              <w:spacing w:before="0" w:beforeAutospacing="0" w:after="0" w:afterAutospacing="0" w:line="240" w:lineRule="auto"/>
              <w:ind w:left="0" w:right="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标项</w:t>
            </w:r>
          </w:p>
        </w:tc>
        <w:tc>
          <w:tcPr>
            <w:tcW w:w="1732" w:type="dxa"/>
            <w:noWrap w:val="0"/>
            <w:vAlign w:val="center"/>
          </w:tcPr>
          <w:p>
            <w:pPr>
              <w:keepNext w:val="0"/>
              <w:keepLines w:val="0"/>
              <w:pageBreakBefore w:val="0"/>
              <w:widowControl/>
              <w:kinsoku/>
              <w:wordWrap/>
              <w:overflowPunct/>
              <w:topLinePunct w:val="0"/>
              <w:autoSpaceDE/>
              <w:autoSpaceDN/>
              <w:bidi w:val="0"/>
              <w:snapToGrid w:val="0"/>
              <w:spacing w:before="0" w:beforeAutospacing="0" w:after="0" w:afterAutospacing="0" w:line="240" w:lineRule="auto"/>
              <w:ind w:left="0" w:right="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内容</w:t>
            </w:r>
          </w:p>
        </w:tc>
        <w:tc>
          <w:tcPr>
            <w:tcW w:w="1197" w:type="dxa"/>
            <w:noWrap w:val="0"/>
            <w:vAlign w:val="center"/>
          </w:tcPr>
          <w:p>
            <w:pPr>
              <w:keepNext w:val="0"/>
              <w:keepLines w:val="0"/>
              <w:pageBreakBefore w:val="0"/>
              <w:widowControl/>
              <w:kinsoku/>
              <w:wordWrap/>
              <w:overflowPunct/>
              <w:topLinePunct w:val="0"/>
              <w:autoSpaceDE/>
              <w:autoSpaceDN/>
              <w:bidi w:val="0"/>
              <w:snapToGrid w:val="0"/>
              <w:spacing w:before="0" w:beforeAutospacing="0" w:after="0" w:afterAutospacing="0" w:line="240" w:lineRule="auto"/>
              <w:ind w:left="0" w:right="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 xml:space="preserve">预算金额（万元） </w:t>
            </w:r>
          </w:p>
        </w:tc>
        <w:tc>
          <w:tcPr>
            <w:tcW w:w="8543" w:type="dxa"/>
            <w:noWrap w:val="0"/>
            <w:vAlign w:val="center"/>
          </w:tcPr>
          <w:p>
            <w:pPr>
              <w:keepNext w:val="0"/>
              <w:keepLines w:val="0"/>
              <w:pageBreakBefore w:val="0"/>
              <w:widowControl/>
              <w:kinsoku/>
              <w:wordWrap/>
              <w:overflowPunct/>
              <w:topLinePunct w:val="0"/>
              <w:autoSpaceDE/>
              <w:autoSpaceDN/>
              <w:bidi w:val="0"/>
              <w:snapToGrid w:val="0"/>
              <w:spacing w:before="0" w:beforeAutospacing="0" w:after="0" w:afterAutospacing="0" w:line="240" w:lineRule="auto"/>
              <w:ind w:left="0" w:right="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个人承担部分</w:t>
            </w:r>
          </w:p>
        </w:tc>
        <w:tc>
          <w:tcPr>
            <w:tcW w:w="825" w:type="dxa"/>
            <w:noWrap w:val="0"/>
            <w:vAlign w:val="center"/>
          </w:tcPr>
          <w:p>
            <w:pPr>
              <w:keepNext w:val="0"/>
              <w:keepLines w:val="0"/>
              <w:pageBreakBefore w:val="0"/>
              <w:widowControl/>
              <w:kinsoku/>
              <w:wordWrap/>
              <w:overflowPunct/>
              <w:topLinePunct w:val="0"/>
              <w:autoSpaceDE/>
              <w:autoSpaceDN/>
              <w:bidi w:val="0"/>
              <w:snapToGrid w:val="0"/>
              <w:spacing w:before="0" w:beforeAutospacing="0" w:after="0" w:afterAutospacing="0" w:line="240" w:lineRule="auto"/>
              <w:ind w:left="0" w:right="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预计人数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75" w:type="dxa"/>
            <w:noWrap w:val="0"/>
            <w:vAlign w:val="center"/>
          </w:tcPr>
          <w:p>
            <w:pPr>
              <w:widowControl/>
              <w:snapToGrid w:val="0"/>
              <w:spacing w:before="0" w:beforeAutospacing="0" w:after="0" w:afterAutospacing="0" w:line="348" w:lineRule="auto"/>
              <w:ind w:left="0" w:right="0"/>
              <w:jc w:val="center"/>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标项一</w:t>
            </w:r>
          </w:p>
        </w:tc>
        <w:tc>
          <w:tcPr>
            <w:tcW w:w="1732" w:type="dxa"/>
            <w:noWrap w:val="0"/>
            <w:vAlign w:val="center"/>
          </w:tcPr>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新昌、嵊州5日游</w:t>
            </w:r>
          </w:p>
        </w:tc>
        <w:tc>
          <w:tcPr>
            <w:tcW w:w="1197" w:type="dxa"/>
            <w:noWrap w:val="0"/>
            <w:vAlign w:val="center"/>
          </w:tcPr>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53.7</w:t>
            </w:r>
          </w:p>
        </w:tc>
        <w:tc>
          <w:tcPr>
            <w:tcW w:w="8543" w:type="dxa"/>
            <w:noWrap w:val="0"/>
            <w:vAlign w:val="center"/>
          </w:tcPr>
          <w:p>
            <w:pPr>
              <w:widowControl/>
              <w:numPr>
                <w:ilvl w:val="0"/>
                <w:numId w:val="0"/>
              </w:numPr>
              <w:snapToGrid w:val="0"/>
              <w:spacing w:before="0" w:beforeAutospacing="0" w:after="0" w:afterAutospacing="0" w:line="348" w:lineRule="auto"/>
              <w:ind w:left="0" w:right="0" w:rightChars="0"/>
              <w:jc w:val="both"/>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因出行人员个人原因产生的额外费用均由出行人员自行承担。</w:t>
            </w:r>
          </w:p>
        </w:tc>
        <w:tc>
          <w:tcPr>
            <w:tcW w:w="825" w:type="dxa"/>
            <w:noWrap w:val="0"/>
            <w:vAlign w:val="center"/>
          </w:tcPr>
          <w:p>
            <w:pPr>
              <w:widowControl/>
              <w:snapToGrid w:val="0"/>
              <w:spacing w:before="0" w:beforeAutospacing="0" w:after="0" w:afterAutospacing="0" w:line="348" w:lineRule="auto"/>
              <w:ind w:left="0" w:right="0"/>
              <w:jc w:val="center"/>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975" w:type="dxa"/>
            <w:noWrap w:val="0"/>
            <w:vAlign w:val="center"/>
          </w:tcPr>
          <w:p>
            <w:pPr>
              <w:widowControl/>
              <w:snapToGrid w:val="0"/>
              <w:spacing w:before="0" w:beforeAutospacing="0" w:after="0" w:afterAutospacing="0" w:line="348" w:lineRule="auto"/>
              <w:ind w:left="0" w:right="0"/>
              <w:jc w:val="center"/>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标项二</w:t>
            </w:r>
          </w:p>
        </w:tc>
        <w:tc>
          <w:tcPr>
            <w:tcW w:w="1732" w:type="dxa"/>
            <w:noWrap w:val="0"/>
            <w:vAlign w:val="center"/>
          </w:tcPr>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丽水缙云、云和、松阳5日游</w:t>
            </w:r>
          </w:p>
        </w:tc>
        <w:tc>
          <w:tcPr>
            <w:tcW w:w="1197" w:type="dxa"/>
            <w:noWrap w:val="0"/>
            <w:vAlign w:val="center"/>
          </w:tcPr>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35.4</w:t>
            </w:r>
          </w:p>
        </w:tc>
        <w:tc>
          <w:tcPr>
            <w:tcW w:w="8543" w:type="dxa"/>
            <w:noWrap w:val="0"/>
            <w:vAlign w:val="center"/>
          </w:tcPr>
          <w:p>
            <w:pPr>
              <w:widowControl/>
              <w:numPr>
                <w:ilvl w:val="0"/>
                <w:numId w:val="0"/>
              </w:numPr>
              <w:snapToGrid w:val="0"/>
              <w:spacing w:before="0" w:beforeAutospacing="0" w:after="0" w:afterAutospacing="0" w:line="348" w:lineRule="auto"/>
              <w:ind w:left="0" w:right="0" w:rightChars="0"/>
              <w:jc w:val="both"/>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因出行人员个人原因产生的额外费用均由出行人员自行承担。</w:t>
            </w:r>
          </w:p>
        </w:tc>
        <w:tc>
          <w:tcPr>
            <w:tcW w:w="825" w:type="dxa"/>
            <w:noWrap w:val="0"/>
            <w:vAlign w:val="center"/>
          </w:tcPr>
          <w:p>
            <w:pPr>
              <w:widowControl/>
              <w:snapToGrid w:val="0"/>
              <w:spacing w:before="0" w:beforeAutospacing="0" w:after="0" w:afterAutospacing="0" w:line="348" w:lineRule="auto"/>
              <w:ind w:left="0" w:right="0"/>
              <w:jc w:val="center"/>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75" w:type="dxa"/>
            <w:vMerge w:val="restart"/>
            <w:noWrap w:val="0"/>
            <w:vAlign w:val="center"/>
          </w:tcPr>
          <w:p>
            <w:pPr>
              <w:widowControl/>
              <w:snapToGrid w:val="0"/>
              <w:spacing w:before="0" w:beforeAutospacing="0" w:after="0" w:afterAutospacing="0" w:line="348" w:lineRule="auto"/>
              <w:ind w:left="0" w:right="0"/>
              <w:jc w:val="center"/>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标项三</w:t>
            </w:r>
          </w:p>
        </w:tc>
        <w:tc>
          <w:tcPr>
            <w:tcW w:w="1732" w:type="dxa"/>
            <w:noWrap w:val="0"/>
            <w:vAlign w:val="center"/>
          </w:tcPr>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千岛湖5日游</w:t>
            </w:r>
          </w:p>
        </w:tc>
        <w:tc>
          <w:tcPr>
            <w:tcW w:w="1197" w:type="dxa"/>
            <w:noWrap w:val="0"/>
            <w:vAlign w:val="center"/>
          </w:tcPr>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30</w:t>
            </w:r>
          </w:p>
        </w:tc>
        <w:tc>
          <w:tcPr>
            <w:tcW w:w="8543" w:type="dxa"/>
            <w:noWrap w:val="0"/>
            <w:vAlign w:val="center"/>
          </w:tcPr>
          <w:p>
            <w:pPr>
              <w:widowControl/>
              <w:numPr>
                <w:ilvl w:val="0"/>
                <w:numId w:val="0"/>
              </w:numPr>
              <w:snapToGrid w:val="0"/>
              <w:spacing w:before="0" w:beforeAutospacing="0" w:after="0" w:afterAutospacing="0" w:line="348" w:lineRule="auto"/>
              <w:ind w:right="0" w:rightChars="0"/>
              <w:jc w:val="both"/>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因出行人员个人原因产生的额外费用均由出行人员自行承担。</w:t>
            </w:r>
          </w:p>
        </w:tc>
        <w:tc>
          <w:tcPr>
            <w:tcW w:w="825" w:type="dxa"/>
            <w:noWrap w:val="0"/>
            <w:vAlign w:val="center"/>
          </w:tcPr>
          <w:p>
            <w:pPr>
              <w:widowControl/>
              <w:snapToGrid w:val="0"/>
              <w:spacing w:before="0" w:beforeAutospacing="0" w:after="0" w:afterAutospacing="0" w:line="348" w:lineRule="auto"/>
              <w:ind w:left="0" w:right="0"/>
              <w:jc w:val="center"/>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975" w:type="dxa"/>
            <w:vMerge w:val="continue"/>
            <w:noWrap w:val="0"/>
            <w:vAlign w:val="center"/>
          </w:tcPr>
          <w:p>
            <w:pPr>
              <w:widowControl/>
              <w:snapToGrid w:val="0"/>
              <w:spacing w:before="0" w:beforeAutospacing="0" w:after="0" w:afterAutospacing="0" w:line="348" w:lineRule="auto"/>
              <w:ind w:left="0" w:right="0"/>
              <w:jc w:val="center"/>
              <w:rPr>
                <w:rFonts w:hint="eastAsia" w:ascii="仿宋" w:hAnsi="仿宋" w:eastAsia="仿宋" w:cs="仿宋"/>
                <w:b w:val="0"/>
                <w:bCs w:val="0"/>
                <w:color w:val="auto"/>
                <w:kern w:val="0"/>
                <w:sz w:val="24"/>
                <w:szCs w:val="24"/>
                <w:highlight w:val="none"/>
                <w:lang w:val="en-US" w:eastAsia="zh-CN" w:bidi="ar-SA"/>
              </w:rPr>
            </w:pPr>
          </w:p>
        </w:tc>
        <w:tc>
          <w:tcPr>
            <w:tcW w:w="1732" w:type="dxa"/>
            <w:noWrap w:val="0"/>
            <w:vAlign w:val="center"/>
          </w:tcPr>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四川广元、九寨沟5日游</w:t>
            </w:r>
          </w:p>
        </w:tc>
        <w:tc>
          <w:tcPr>
            <w:tcW w:w="1197" w:type="dxa"/>
            <w:noWrap w:val="0"/>
            <w:vAlign w:val="center"/>
          </w:tcPr>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33</w:t>
            </w:r>
          </w:p>
        </w:tc>
        <w:tc>
          <w:tcPr>
            <w:tcW w:w="8543" w:type="dxa"/>
            <w:noWrap w:val="0"/>
            <w:vAlign w:val="center"/>
          </w:tcPr>
          <w:p>
            <w:pPr>
              <w:widowControl/>
              <w:numPr>
                <w:ilvl w:val="0"/>
                <w:numId w:val="0"/>
              </w:numPr>
              <w:snapToGrid w:val="0"/>
              <w:spacing w:before="0" w:beforeAutospacing="0" w:after="0" w:afterAutospacing="0" w:line="348" w:lineRule="auto"/>
              <w:ind w:left="0" w:right="0" w:rightChars="0"/>
              <w:jc w:val="both"/>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（1）该线路由采购人另支付交通补贴2000元/人，超出部分不管是否含大交通费均由出行人员自行与旅行社结算，此费用不包含在投标报价中；其他因出行人员个人原因产生的额外费用均由出行人员自行承担。</w:t>
            </w:r>
          </w:p>
          <w:p>
            <w:pPr>
              <w:widowControl/>
              <w:snapToGrid w:val="0"/>
              <w:spacing w:before="0" w:beforeAutospacing="0" w:after="0" w:afterAutospacing="0" w:line="348" w:lineRule="auto"/>
              <w:ind w:left="0" w:right="0"/>
              <w:jc w:val="left"/>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（2）飞机起飞时间须为上午8时-12时，请投标单位自行考虑方案及报价。</w:t>
            </w:r>
          </w:p>
        </w:tc>
        <w:tc>
          <w:tcPr>
            <w:tcW w:w="825" w:type="dxa"/>
            <w:noWrap w:val="0"/>
            <w:vAlign w:val="center"/>
          </w:tcPr>
          <w:p>
            <w:pPr>
              <w:widowControl/>
              <w:snapToGrid w:val="0"/>
              <w:spacing w:before="0" w:beforeAutospacing="0" w:after="0" w:afterAutospacing="0" w:line="348" w:lineRule="auto"/>
              <w:ind w:left="0" w:right="0"/>
              <w:jc w:val="center"/>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975" w:type="dxa"/>
            <w:vMerge w:val="restart"/>
            <w:noWrap w:val="0"/>
            <w:vAlign w:val="center"/>
          </w:tcPr>
          <w:p>
            <w:pPr>
              <w:widowControl/>
              <w:snapToGrid w:val="0"/>
              <w:spacing w:before="0" w:beforeAutospacing="0" w:after="0" w:afterAutospacing="0" w:line="348" w:lineRule="auto"/>
              <w:ind w:left="0" w:right="0"/>
              <w:jc w:val="center"/>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标项四</w:t>
            </w:r>
          </w:p>
        </w:tc>
        <w:tc>
          <w:tcPr>
            <w:tcW w:w="1732" w:type="dxa"/>
            <w:noWrap w:val="0"/>
            <w:vAlign w:val="center"/>
          </w:tcPr>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嵊泗列岛5日游</w:t>
            </w:r>
          </w:p>
        </w:tc>
        <w:tc>
          <w:tcPr>
            <w:tcW w:w="1197" w:type="dxa"/>
            <w:noWrap w:val="0"/>
            <w:vAlign w:val="center"/>
          </w:tcPr>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29.7</w:t>
            </w:r>
          </w:p>
        </w:tc>
        <w:tc>
          <w:tcPr>
            <w:tcW w:w="8543" w:type="dxa"/>
            <w:noWrap w:val="0"/>
            <w:vAlign w:val="center"/>
          </w:tcPr>
          <w:p>
            <w:pPr>
              <w:widowControl/>
              <w:snapToGrid w:val="0"/>
              <w:spacing w:before="0" w:beforeAutospacing="0" w:after="0" w:afterAutospacing="0" w:line="348" w:lineRule="auto"/>
              <w:ind w:left="0" w:right="0"/>
              <w:jc w:val="left"/>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因出行人员个人原因产生的额外费用均由出行人员自行承担。</w:t>
            </w:r>
          </w:p>
        </w:tc>
        <w:tc>
          <w:tcPr>
            <w:tcW w:w="825" w:type="dxa"/>
            <w:noWrap w:val="0"/>
            <w:vAlign w:val="center"/>
          </w:tcPr>
          <w:p>
            <w:pPr>
              <w:widowControl/>
              <w:snapToGrid w:val="0"/>
              <w:spacing w:before="0" w:beforeAutospacing="0" w:after="0" w:afterAutospacing="0" w:line="348" w:lineRule="auto"/>
              <w:ind w:left="0" w:right="0"/>
              <w:jc w:val="center"/>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5" w:type="dxa"/>
            <w:vMerge w:val="continue"/>
            <w:noWrap w:val="0"/>
            <w:vAlign w:val="center"/>
          </w:tcPr>
          <w:p>
            <w:pPr>
              <w:widowControl/>
              <w:snapToGrid w:val="0"/>
              <w:spacing w:before="0" w:beforeAutospacing="0" w:after="0" w:afterAutospacing="0" w:line="348" w:lineRule="auto"/>
              <w:ind w:left="0" w:right="0"/>
              <w:jc w:val="center"/>
              <w:rPr>
                <w:rFonts w:hint="eastAsia" w:ascii="仿宋" w:hAnsi="仿宋" w:eastAsia="仿宋" w:cs="仿宋"/>
                <w:b w:val="0"/>
                <w:bCs w:val="0"/>
                <w:color w:val="auto"/>
                <w:kern w:val="0"/>
                <w:sz w:val="24"/>
                <w:szCs w:val="24"/>
                <w:highlight w:val="none"/>
                <w:lang w:val="en-US" w:eastAsia="zh-CN" w:bidi="ar-SA"/>
              </w:rPr>
            </w:pPr>
          </w:p>
        </w:tc>
        <w:tc>
          <w:tcPr>
            <w:tcW w:w="1732" w:type="dxa"/>
            <w:noWrap w:val="0"/>
            <w:vAlign w:val="center"/>
          </w:tcPr>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恩施咸丰5日游</w:t>
            </w:r>
          </w:p>
        </w:tc>
        <w:tc>
          <w:tcPr>
            <w:tcW w:w="1197" w:type="dxa"/>
            <w:noWrap w:val="0"/>
            <w:vAlign w:val="center"/>
          </w:tcPr>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23</w:t>
            </w:r>
          </w:p>
        </w:tc>
        <w:tc>
          <w:tcPr>
            <w:tcW w:w="8543" w:type="dxa"/>
            <w:noWrap w:val="0"/>
            <w:vAlign w:val="center"/>
          </w:tcPr>
          <w:p>
            <w:pPr>
              <w:widowControl/>
              <w:numPr>
                <w:ilvl w:val="0"/>
                <w:numId w:val="0"/>
              </w:numPr>
              <w:snapToGrid w:val="0"/>
              <w:spacing w:before="0" w:beforeAutospacing="0" w:after="0" w:afterAutospacing="0" w:line="348" w:lineRule="auto"/>
              <w:ind w:left="0" w:right="0" w:rightChars="0"/>
              <w:jc w:val="both"/>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（1）该线路由采购人另支付交通补贴2000元/人，超出部分不管是否含大交通费均由出行人员自行与旅行社结算，此费用不包含在投标报价中；其他因出行人员个人原因产生的额外费用均由出行人员自行承担。</w:t>
            </w:r>
          </w:p>
        </w:tc>
        <w:tc>
          <w:tcPr>
            <w:tcW w:w="825" w:type="dxa"/>
            <w:noWrap w:val="0"/>
            <w:vAlign w:val="center"/>
          </w:tcPr>
          <w:p>
            <w:pPr>
              <w:widowControl/>
              <w:snapToGrid w:val="0"/>
              <w:spacing w:before="0" w:beforeAutospacing="0" w:after="0" w:afterAutospacing="0" w:line="348" w:lineRule="auto"/>
              <w:ind w:left="0" w:right="0"/>
              <w:jc w:val="center"/>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jc w:val="center"/>
        </w:trPr>
        <w:tc>
          <w:tcPr>
            <w:tcW w:w="975" w:type="dxa"/>
            <w:noWrap w:val="0"/>
            <w:vAlign w:val="center"/>
          </w:tcPr>
          <w:p>
            <w:pPr>
              <w:widowControl/>
              <w:snapToGrid w:val="0"/>
              <w:spacing w:before="0" w:beforeAutospacing="0" w:after="0" w:afterAutospacing="0" w:line="348" w:lineRule="auto"/>
              <w:ind w:left="0" w:right="0"/>
              <w:jc w:val="center"/>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标项五</w:t>
            </w:r>
          </w:p>
        </w:tc>
        <w:tc>
          <w:tcPr>
            <w:tcW w:w="1732" w:type="dxa"/>
            <w:noWrap w:val="0"/>
            <w:vAlign w:val="center"/>
          </w:tcPr>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长春、长白山5日游</w:t>
            </w:r>
          </w:p>
        </w:tc>
        <w:tc>
          <w:tcPr>
            <w:tcW w:w="1197" w:type="dxa"/>
            <w:noWrap w:val="0"/>
            <w:vAlign w:val="center"/>
          </w:tcPr>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74</w:t>
            </w:r>
          </w:p>
        </w:tc>
        <w:tc>
          <w:tcPr>
            <w:tcW w:w="8543" w:type="dxa"/>
            <w:noWrap w:val="0"/>
            <w:vAlign w:val="center"/>
          </w:tcPr>
          <w:p>
            <w:pPr>
              <w:widowControl/>
              <w:numPr>
                <w:ilvl w:val="0"/>
                <w:numId w:val="0"/>
              </w:numPr>
              <w:snapToGrid w:val="0"/>
              <w:spacing w:before="0" w:beforeAutospacing="0" w:after="0" w:afterAutospacing="0" w:line="348" w:lineRule="auto"/>
              <w:ind w:left="0" w:right="0" w:rightChars="0"/>
              <w:jc w:val="both"/>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（1）该线路由采购人另支付交通补贴2000元/人，超出部分不管是否含大交通费均由出行人员自行与旅行社结算，此费用不包含在投标报价中；其他因出行人员个人原因产生的额外费用均由出行人员自行承担。</w:t>
            </w:r>
          </w:p>
          <w:p>
            <w:pPr>
              <w:widowControl/>
              <w:snapToGrid w:val="0"/>
              <w:spacing w:before="0" w:beforeAutospacing="0" w:after="0" w:afterAutospacing="0" w:line="348" w:lineRule="auto"/>
              <w:ind w:left="0" w:right="0"/>
              <w:jc w:val="both"/>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（2）飞机起飞时间须为上午8时-12时，请投标单位自行考虑方案及报价。</w:t>
            </w:r>
          </w:p>
        </w:tc>
        <w:tc>
          <w:tcPr>
            <w:tcW w:w="825" w:type="dxa"/>
            <w:noWrap w:val="0"/>
            <w:vAlign w:val="center"/>
          </w:tcPr>
          <w:p>
            <w:pPr>
              <w:widowControl/>
              <w:snapToGrid w:val="0"/>
              <w:spacing w:before="0" w:beforeAutospacing="0" w:after="0" w:afterAutospacing="0" w:line="348" w:lineRule="auto"/>
              <w:ind w:left="0" w:right="0"/>
              <w:jc w:val="center"/>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jc w:val="center"/>
        </w:trPr>
        <w:tc>
          <w:tcPr>
            <w:tcW w:w="13272" w:type="dxa"/>
            <w:gridSpan w:val="5"/>
            <w:noWrap w:val="0"/>
            <w:vAlign w:val="center"/>
          </w:tcPr>
          <w:p>
            <w:pPr>
              <w:widowControl/>
              <w:numPr>
                <w:ilvl w:val="0"/>
                <w:numId w:val="0"/>
              </w:numPr>
              <w:snapToGrid w:val="0"/>
              <w:spacing w:before="0" w:beforeAutospacing="0" w:after="0" w:afterAutospacing="0" w:line="348" w:lineRule="auto"/>
              <w:ind w:left="0" w:right="0" w:rightChars="0"/>
              <w:jc w:val="both"/>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本次疗休养活动经费，在街道行政经费中列支，省内各标项线路单位承担最高限额3000元/人，省外线路采购人另支付交通补贴2000元/人，超出部分不管是否含大交通费均由出行人员自行与旅行社结算，此费用不包含在投标报价中；其他因出行人员个人原因产生的额外费用均由出行人员自行承担。其他线路费用均含大交通，大交通指飞机和高铁或动车。</w:t>
            </w:r>
          </w:p>
          <w:p>
            <w:pPr>
              <w:widowControl/>
              <w:numPr>
                <w:ilvl w:val="0"/>
                <w:numId w:val="0"/>
              </w:numPr>
              <w:snapToGrid w:val="0"/>
              <w:spacing w:before="0" w:beforeAutospacing="0" w:after="0" w:afterAutospacing="0" w:line="348" w:lineRule="auto"/>
              <w:ind w:left="0" w:right="0" w:rightChars="0"/>
              <w:jc w:val="both"/>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（2）省外线路飞机起飞时间须为上午8时-12时，请投标单位自行考虑方案及报价。</w:t>
            </w:r>
          </w:p>
          <w:p>
            <w:pPr>
              <w:widowControl/>
              <w:numPr>
                <w:ilvl w:val="0"/>
                <w:numId w:val="0"/>
              </w:numPr>
              <w:snapToGrid w:val="0"/>
              <w:spacing w:before="0" w:beforeAutospacing="0" w:after="0" w:afterAutospacing="0" w:line="348" w:lineRule="auto"/>
              <w:ind w:left="0" w:right="0" w:rightChars="0"/>
              <w:jc w:val="both"/>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3）本项目疗养时间以采购单位出发时间为准，预计出发时间为2025年5月-7月，原则上出发准备时间不得多于7-10个日历天；采购人提前告知具体出行时间，因中标人原因造成出行时间逾期，逾期违约金按每日伍仟元计取。</w:t>
            </w:r>
          </w:p>
          <w:p>
            <w:pPr>
              <w:widowControl/>
              <w:numPr>
                <w:ilvl w:val="0"/>
                <w:numId w:val="0"/>
              </w:numPr>
              <w:snapToGrid w:val="0"/>
              <w:spacing w:before="0" w:beforeAutospacing="0" w:after="0" w:afterAutospacing="0" w:line="348" w:lineRule="auto"/>
              <w:ind w:left="0" w:right="0" w:rightChars="0"/>
              <w:jc w:val="both"/>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（4）由于天气等不可抗拒因素，招标单位有权调整疗休养路线，中标单位应积极配合，不明事宜共同协商。</w:t>
            </w:r>
          </w:p>
          <w:p>
            <w:pPr>
              <w:widowControl/>
              <w:snapToGrid w:val="0"/>
              <w:spacing w:before="0" w:beforeAutospacing="0" w:after="0" w:afterAutospacing="0" w:line="348" w:lineRule="auto"/>
              <w:ind w:left="0" w:right="0"/>
              <w:jc w:val="center"/>
              <w:rPr>
                <w:rFonts w:hint="eastAsia" w:ascii="仿宋" w:hAnsi="仿宋" w:eastAsia="仿宋" w:cs="仿宋"/>
                <w:b w:val="0"/>
                <w:bCs w:val="0"/>
                <w:color w:val="auto"/>
                <w:kern w:val="0"/>
                <w:sz w:val="24"/>
                <w:szCs w:val="24"/>
                <w:highlight w:val="none"/>
                <w:lang w:val="en-US" w:eastAsia="zh-CN" w:bidi="ar-SA"/>
              </w:rPr>
            </w:pPr>
          </w:p>
        </w:tc>
      </w:tr>
    </w:tbl>
    <w:p>
      <w:pPr>
        <w:widowControl/>
        <w:snapToGrid w:val="0"/>
        <w:spacing w:line="360" w:lineRule="auto"/>
        <w:jc w:val="left"/>
        <w:rPr>
          <w:rFonts w:hint="eastAsia" w:ascii="仿宋" w:hAnsi="仿宋" w:eastAsia="仿宋" w:cs="仿宋"/>
          <w:b w:val="0"/>
          <w:bCs w:val="0"/>
          <w:color w:val="auto"/>
          <w:kern w:val="0"/>
          <w:sz w:val="24"/>
          <w:szCs w:val="24"/>
          <w:highlight w:val="none"/>
          <w:lang w:val="en-US" w:eastAsia="zh-CN" w:bidi="ar-SA"/>
        </w:rPr>
      </w:pPr>
    </w:p>
    <w:p>
      <w:pPr>
        <w:widowControl/>
        <w:snapToGrid w:val="0"/>
        <w:spacing w:line="360" w:lineRule="auto"/>
        <w:jc w:val="left"/>
        <w:rPr>
          <w:rFonts w:hint="eastAsia" w:ascii="仿宋" w:hAnsi="仿宋" w:eastAsia="仿宋" w:cs="仿宋"/>
          <w:b w:val="0"/>
          <w:bCs w:val="0"/>
          <w:color w:val="auto"/>
          <w:kern w:val="0"/>
          <w:sz w:val="24"/>
          <w:szCs w:val="24"/>
          <w:highlight w:val="none"/>
          <w:lang w:val="en-US" w:eastAsia="zh-CN" w:bidi="ar-SA"/>
        </w:rPr>
      </w:pPr>
    </w:p>
    <w:p>
      <w:pPr>
        <w:widowControl/>
        <w:snapToGrid w:val="0"/>
        <w:spacing w:line="360" w:lineRule="auto"/>
        <w:jc w:val="left"/>
        <w:rPr>
          <w:rFonts w:hint="eastAsia" w:ascii="仿宋" w:hAnsi="仿宋" w:eastAsia="仿宋" w:cs="仿宋"/>
          <w:b w:val="0"/>
          <w:bCs w:val="0"/>
          <w:color w:val="auto"/>
          <w:kern w:val="0"/>
          <w:sz w:val="24"/>
          <w:szCs w:val="24"/>
          <w:highlight w:val="none"/>
          <w:lang w:val="en-US" w:eastAsia="zh-CN" w:bidi="ar-SA"/>
        </w:rPr>
      </w:pPr>
    </w:p>
    <w:p>
      <w:pPr>
        <w:widowControl/>
        <w:snapToGrid w:val="0"/>
        <w:spacing w:line="360" w:lineRule="auto"/>
        <w:jc w:val="left"/>
        <w:rPr>
          <w:rFonts w:hint="eastAsia" w:ascii="仿宋" w:hAnsi="仿宋" w:eastAsia="仿宋" w:cs="仿宋"/>
          <w:b w:val="0"/>
          <w:bCs w:val="0"/>
          <w:color w:val="auto"/>
          <w:kern w:val="0"/>
          <w:sz w:val="24"/>
          <w:szCs w:val="24"/>
          <w:highlight w:val="none"/>
          <w:lang w:val="en-US" w:eastAsia="zh-CN" w:bidi="ar-SA"/>
        </w:rPr>
      </w:pPr>
    </w:p>
    <w:p>
      <w:pPr>
        <w:widowControl/>
        <w:snapToGrid w:val="0"/>
        <w:spacing w:line="360" w:lineRule="auto"/>
        <w:jc w:val="left"/>
        <w:rPr>
          <w:rFonts w:hint="eastAsia" w:ascii="仿宋" w:hAnsi="仿宋" w:eastAsia="仿宋" w:cs="仿宋"/>
          <w:b w:val="0"/>
          <w:bCs w:val="0"/>
          <w:color w:val="auto"/>
          <w:kern w:val="0"/>
          <w:sz w:val="24"/>
          <w:szCs w:val="24"/>
          <w:highlight w:val="none"/>
          <w:lang w:val="en-US" w:eastAsia="zh-CN" w:bidi="ar-SA"/>
        </w:rPr>
      </w:pPr>
    </w:p>
    <w:p>
      <w:pPr>
        <w:widowControl/>
        <w:snapToGrid w:val="0"/>
        <w:spacing w:line="360" w:lineRule="auto"/>
        <w:jc w:val="left"/>
        <w:rPr>
          <w:rFonts w:hint="eastAsia" w:ascii="仿宋" w:hAnsi="仿宋" w:eastAsia="仿宋" w:cs="仿宋"/>
          <w:b w:val="0"/>
          <w:bCs w:val="0"/>
          <w:color w:val="auto"/>
          <w:kern w:val="0"/>
          <w:sz w:val="24"/>
          <w:szCs w:val="24"/>
          <w:highlight w:val="none"/>
          <w:lang w:val="en-US" w:eastAsia="zh-CN" w:bidi="ar-SA"/>
        </w:rPr>
      </w:pPr>
    </w:p>
    <w:p>
      <w:pPr>
        <w:widowControl/>
        <w:snapToGrid w:val="0"/>
        <w:spacing w:line="360" w:lineRule="auto"/>
        <w:jc w:val="left"/>
        <w:rPr>
          <w:rFonts w:hint="eastAsia" w:ascii="仿宋" w:hAnsi="仿宋" w:eastAsia="仿宋" w:cs="仿宋"/>
          <w:b w:val="0"/>
          <w:bCs w:val="0"/>
          <w:color w:val="auto"/>
          <w:kern w:val="0"/>
          <w:sz w:val="24"/>
          <w:szCs w:val="24"/>
          <w:highlight w:val="none"/>
          <w:lang w:val="en-US" w:eastAsia="zh-CN" w:bidi="ar-SA"/>
        </w:rPr>
      </w:pPr>
    </w:p>
    <w:p>
      <w:pPr>
        <w:widowControl/>
        <w:snapToGrid w:val="0"/>
        <w:spacing w:line="360" w:lineRule="auto"/>
        <w:jc w:val="left"/>
        <w:rPr>
          <w:rFonts w:hint="eastAsia" w:ascii="仿宋" w:hAnsi="仿宋" w:eastAsia="仿宋" w:cs="仿宋"/>
          <w:b w:val="0"/>
          <w:bCs w:val="0"/>
          <w:color w:val="auto"/>
          <w:kern w:val="0"/>
          <w:sz w:val="24"/>
          <w:szCs w:val="24"/>
          <w:highlight w:val="none"/>
          <w:lang w:val="en-US" w:eastAsia="zh-CN" w:bidi="ar-SA"/>
        </w:rPr>
      </w:pPr>
    </w:p>
    <w:p>
      <w:pPr>
        <w:widowControl/>
        <w:snapToGrid w:val="0"/>
        <w:spacing w:line="360" w:lineRule="auto"/>
        <w:jc w:val="left"/>
        <w:rPr>
          <w:rFonts w:hint="eastAsia" w:ascii="仿宋" w:hAnsi="仿宋" w:eastAsia="仿宋" w:cs="仿宋"/>
          <w:b w:val="0"/>
          <w:bCs w:val="0"/>
          <w:color w:val="auto"/>
          <w:kern w:val="0"/>
          <w:sz w:val="24"/>
          <w:szCs w:val="24"/>
          <w:highlight w:val="none"/>
          <w:lang w:val="en-US" w:eastAsia="zh-CN" w:bidi="ar-SA"/>
        </w:rPr>
      </w:pPr>
    </w:p>
    <w:p>
      <w:pPr>
        <w:widowControl/>
        <w:snapToGrid w:val="0"/>
        <w:spacing w:line="360" w:lineRule="auto"/>
        <w:jc w:val="left"/>
        <w:rPr>
          <w:rFonts w:hint="eastAsia" w:ascii="仿宋" w:hAnsi="仿宋" w:eastAsia="仿宋" w:cs="仿宋"/>
          <w:b w:val="0"/>
          <w:bCs w:val="0"/>
          <w:color w:val="auto"/>
          <w:kern w:val="0"/>
          <w:sz w:val="24"/>
          <w:szCs w:val="24"/>
          <w:highlight w:val="none"/>
          <w:lang w:val="en-US" w:eastAsia="zh-CN" w:bidi="ar-SA"/>
        </w:rPr>
      </w:pPr>
    </w:p>
    <w:p>
      <w:pPr>
        <w:widowControl/>
        <w:snapToGrid w:val="0"/>
        <w:spacing w:line="360" w:lineRule="auto"/>
        <w:jc w:val="left"/>
        <w:rPr>
          <w:rFonts w:hint="eastAsia" w:ascii="仿宋" w:hAnsi="仿宋" w:eastAsia="仿宋" w:cs="仿宋"/>
          <w:b w:val="0"/>
          <w:bCs w:val="0"/>
          <w:color w:val="auto"/>
          <w:kern w:val="0"/>
          <w:sz w:val="24"/>
          <w:szCs w:val="24"/>
          <w:highlight w:val="none"/>
          <w:lang w:val="en-US" w:eastAsia="zh-CN" w:bidi="ar-SA"/>
        </w:rPr>
      </w:pPr>
    </w:p>
    <w:p>
      <w:pPr>
        <w:pStyle w:val="2"/>
        <w:rPr>
          <w:rFonts w:hint="eastAsia" w:ascii="仿宋" w:hAnsi="仿宋" w:eastAsia="仿宋" w:cs="仿宋"/>
          <w:b w:val="0"/>
          <w:bCs w:val="0"/>
          <w:color w:val="auto"/>
          <w:kern w:val="0"/>
          <w:sz w:val="24"/>
          <w:szCs w:val="24"/>
          <w:highlight w:val="none"/>
          <w:lang w:val="en-US" w:eastAsia="zh-CN" w:bidi="ar-SA"/>
        </w:rPr>
      </w:pPr>
    </w:p>
    <w:p>
      <w:pPr>
        <w:pStyle w:val="3"/>
        <w:rPr>
          <w:rFonts w:hint="eastAsia" w:ascii="仿宋" w:hAnsi="仿宋" w:eastAsia="仿宋" w:cs="仿宋"/>
          <w:b w:val="0"/>
          <w:bCs w:val="0"/>
          <w:color w:val="auto"/>
          <w:kern w:val="0"/>
          <w:sz w:val="24"/>
          <w:szCs w:val="24"/>
          <w:highlight w:val="none"/>
          <w:lang w:val="en-US" w:eastAsia="zh-CN" w:bidi="ar-SA"/>
        </w:rPr>
      </w:pPr>
    </w:p>
    <w:p>
      <w:pPr>
        <w:pStyle w:val="4"/>
        <w:rPr>
          <w:rFonts w:hint="eastAsia" w:ascii="仿宋" w:hAnsi="仿宋" w:eastAsia="仿宋" w:cs="仿宋"/>
          <w:b w:val="0"/>
          <w:bCs w:val="0"/>
          <w:color w:val="auto"/>
          <w:kern w:val="0"/>
          <w:sz w:val="24"/>
          <w:szCs w:val="24"/>
          <w:highlight w:val="none"/>
          <w:lang w:val="en-US" w:eastAsia="zh-CN" w:bidi="ar-SA"/>
        </w:rPr>
      </w:pPr>
    </w:p>
    <w:p>
      <w:pPr>
        <w:rPr>
          <w:rFonts w:hint="eastAsia" w:ascii="仿宋" w:hAnsi="仿宋" w:eastAsia="仿宋" w:cs="仿宋"/>
          <w:b w:val="0"/>
          <w:bCs w:val="0"/>
          <w:color w:val="auto"/>
          <w:kern w:val="0"/>
          <w:sz w:val="24"/>
          <w:szCs w:val="24"/>
          <w:highlight w:val="none"/>
          <w:lang w:val="en-US" w:eastAsia="zh-CN" w:bidi="ar-SA"/>
        </w:rPr>
      </w:pPr>
    </w:p>
    <w:p>
      <w:pPr>
        <w:pStyle w:val="2"/>
        <w:rPr>
          <w:rFonts w:hint="eastAsia" w:ascii="仿宋" w:hAnsi="仿宋" w:eastAsia="仿宋" w:cs="仿宋"/>
          <w:b w:val="0"/>
          <w:bCs w:val="0"/>
          <w:color w:val="auto"/>
          <w:kern w:val="0"/>
          <w:sz w:val="24"/>
          <w:szCs w:val="24"/>
          <w:highlight w:val="none"/>
          <w:lang w:val="en-US" w:eastAsia="zh-CN" w:bidi="ar-SA"/>
        </w:rPr>
      </w:pPr>
    </w:p>
    <w:p>
      <w:pPr>
        <w:pStyle w:val="3"/>
        <w:rPr>
          <w:rFonts w:hint="eastAsia" w:ascii="仿宋" w:hAnsi="仿宋" w:eastAsia="仿宋" w:cs="仿宋"/>
          <w:b w:val="0"/>
          <w:bCs w:val="0"/>
          <w:color w:val="auto"/>
          <w:kern w:val="0"/>
          <w:sz w:val="24"/>
          <w:szCs w:val="24"/>
          <w:highlight w:val="none"/>
          <w:lang w:val="en-US" w:eastAsia="zh-CN" w:bidi="ar-SA"/>
        </w:rPr>
      </w:pPr>
    </w:p>
    <w:p>
      <w:pPr>
        <w:pStyle w:val="4"/>
        <w:rPr>
          <w:rFonts w:hint="eastAsia" w:ascii="仿宋" w:hAnsi="仿宋" w:eastAsia="仿宋" w:cs="仿宋"/>
          <w:b w:val="0"/>
          <w:bCs w:val="0"/>
          <w:color w:val="auto"/>
          <w:kern w:val="0"/>
          <w:sz w:val="24"/>
          <w:szCs w:val="24"/>
          <w:highlight w:val="none"/>
          <w:lang w:val="en-US" w:eastAsia="zh-CN" w:bidi="ar-SA"/>
        </w:rPr>
      </w:pPr>
    </w:p>
    <w:p>
      <w:pPr>
        <w:rPr>
          <w:rFonts w:hint="eastAsia" w:ascii="仿宋" w:hAnsi="仿宋" w:eastAsia="仿宋" w:cs="仿宋"/>
          <w:b w:val="0"/>
          <w:bCs w:val="0"/>
          <w:color w:val="auto"/>
          <w:kern w:val="0"/>
          <w:sz w:val="24"/>
          <w:szCs w:val="24"/>
          <w:highlight w:val="none"/>
          <w:lang w:val="en-US" w:eastAsia="zh-CN" w:bidi="ar-SA"/>
        </w:rPr>
      </w:pPr>
    </w:p>
    <w:p>
      <w:pPr>
        <w:pStyle w:val="2"/>
        <w:rPr>
          <w:rFonts w:hint="eastAsia" w:ascii="仿宋" w:hAnsi="仿宋" w:eastAsia="仿宋" w:cs="仿宋"/>
          <w:b w:val="0"/>
          <w:bCs w:val="0"/>
          <w:color w:val="auto"/>
          <w:kern w:val="0"/>
          <w:sz w:val="24"/>
          <w:szCs w:val="24"/>
          <w:highlight w:val="none"/>
          <w:lang w:val="en-US" w:eastAsia="zh-CN" w:bidi="ar-SA"/>
        </w:rPr>
      </w:pPr>
    </w:p>
    <w:p>
      <w:pPr>
        <w:pStyle w:val="3"/>
        <w:rPr>
          <w:rFonts w:hint="eastAsia" w:ascii="仿宋" w:hAnsi="仿宋" w:eastAsia="仿宋" w:cs="仿宋"/>
          <w:b w:val="0"/>
          <w:bCs w:val="0"/>
          <w:color w:val="auto"/>
          <w:kern w:val="0"/>
          <w:sz w:val="24"/>
          <w:szCs w:val="24"/>
          <w:highlight w:val="none"/>
          <w:lang w:val="en-US" w:eastAsia="zh-CN" w:bidi="ar-SA"/>
        </w:rPr>
      </w:pPr>
    </w:p>
    <w:p>
      <w:pPr>
        <w:pStyle w:val="4"/>
        <w:rPr>
          <w:rFonts w:hint="eastAsia"/>
          <w:lang w:val="en-US" w:eastAsia="zh-CN"/>
        </w:rPr>
      </w:pPr>
    </w:p>
    <w:p>
      <w:pPr>
        <w:widowControl/>
        <w:snapToGrid w:val="0"/>
        <w:spacing w:line="360" w:lineRule="auto"/>
        <w:jc w:val="left"/>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二、行程安排</w:t>
      </w:r>
    </w:p>
    <w:p>
      <w:pPr>
        <w:widowControl/>
        <w:numPr>
          <w:ilvl w:val="0"/>
          <w:numId w:val="0"/>
        </w:numPr>
        <w:snapToGrid w:val="0"/>
        <w:spacing w:line="360" w:lineRule="auto"/>
        <w:jc w:val="left"/>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（1）时间、地点、人数</w:t>
      </w:r>
      <w:r>
        <w:rPr>
          <w:rFonts w:hint="eastAsia" w:ascii="仿宋" w:hAnsi="仿宋" w:eastAsia="仿宋" w:cs="仿宋"/>
          <w:b w:val="0"/>
          <w:bCs w:val="0"/>
          <w:color w:val="auto"/>
          <w:kern w:val="0"/>
          <w:sz w:val="24"/>
          <w:szCs w:val="24"/>
          <w:highlight w:val="none"/>
          <w:lang w:val="en-US" w:eastAsia="zh-CN" w:bidi="ar-SA"/>
        </w:rPr>
        <w:tab/>
      </w:r>
    </w:p>
    <w:p>
      <w:pPr>
        <w:spacing w:line="360" w:lineRule="auto"/>
        <w:ind w:firstLine="480" w:firstLineChars="200"/>
        <w:rPr>
          <w:rFonts w:hint="default"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计划时间见上表，以实际需求为准，出行地点为采购单位指定地点为准，各标项出行总人数见上表。具体人员清单由采购人分配人数，具体批次和出发时间由采购人视情况而定。</w:t>
      </w:r>
    </w:p>
    <w:p>
      <w:pPr>
        <w:spacing w:line="360" w:lineRule="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（2）行程线路拟安排</w:t>
      </w:r>
    </w:p>
    <w:p>
      <w:pPr>
        <w:tabs>
          <w:tab w:val="left" w:pos="0"/>
        </w:tabs>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1、第一天至第五天：组织人员活动、参观游览，行程安排符合人员疗养，在确保安全的前提下力求做到动静结合，贴近需求。最后一天发放满意度调查表，返回出发地。</w:t>
      </w:r>
    </w:p>
    <w:p>
      <w:pPr>
        <w:tabs>
          <w:tab w:val="left" w:pos="0"/>
        </w:tabs>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2、要求：行程安排及景区参观路线可根据天气等实际情况征得采购方同意后调整。制定协助旅游的服务方案及旅游出行前的说明。</w:t>
      </w:r>
    </w:p>
    <w:p>
      <w:pPr>
        <w:keepNext w:val="0"/>
        <w:keepLines w:val="0"/>
        <w:pageBreakBefore w:val="0"/>
        <w:widowControl/>
        <w:tabs>
          <w:tab w:val="left" w:pos="0"/>
        </w:tabs>
        <w:kinsoku/>
        <w:wordWrap/>
        <w:overflowPunct/>
        <w:topLinePunct w:val="0"/>
        <w:autoSpaceDE/>
        <w:autoSpaceDN/>
        <w:bidi w:val="0"/>
        <w:adjustRightInd/>
        <w:snapToGrid/>
        <w:spacing w:line="360" w:lineRule="auto"/>
        <w:ind w:left="0" w:leftChars="0" w:right="0" w:rightChars="0" w:firstLine="0" w:firstLineChars="0"/>
        <w:jc w:val="left"/>
        <w:textAlignment w:val="auto"/>
        <w:outlineLvl w:val="9"/>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 xml:space="preserve">    3、线路要求：投标单位须按采购需求每个标项的路线提供1种方案，同时此方案不作为采购人最终选定方案。</w:t>
      </w:r>
    </w:p>
    <w:p>
      <w:pPr>
        <w:tabs>
          <w:tab w:val="left" w:pos="0"/>
        </w:tabs>
        <w:spacing w:line="360" w:lineRule="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（3）行程基本要求</w:t>
      </w:r>
    </w:p>
    <w:p>
      <w:pPr>
        <w:widowControl w:val="0"/>
        <w:numPr>
          <w:ilvl w:val="0"/>
          <w:numId w:val="0"/>
        </w:numPr>
        <w:tabs>
          <w:tab w:val="left" w:pos="284"/>
          <w:tab w:val="left" w:pos="425"/>
        </w:tabs>
        <w:spacing w:line="360" w:lineRule="auto"/>
        <w:ind w:leftChars="0" w:firstLine="480" w:firstLineChars="200"/>
        <w:jc w:val="both"/>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 保险：投标供应商报价包含必须为疗休养职工购买具有一定抵抗风险的保险，包括旅行社责任险和个人旅游人身意外险，本旅游单位的企业责任保险保额1000万及以上，个人旅游人身意外险保额不得低于100万元。</w:t>
      </w:r>
    </w:p>
    <w:p>
      <w:pPr>
        <w:widowControl w:val="0"/>
        <w:numPr>
          <w:ilvl w:val="0"/>
          <w:numId w:val="0"/>
        </w:numPr>
        <w:tabs>
          <w:tab w:val="left" w:pos="284"/>
          <w:tab w:val="left" w:pos="425"/>
        </w:tabs>
        <w:spacing w:line="360" w:lineRule="auto"/>
        <w:ind w:leftChars="0" w:firstLine="480" w:firstLineChars="200"/>
        <w:jc w:val="both"/>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2.酒店：住宿酒店为携程四钻及以上商务标间（外省可同行档次的民宿），供应商方案应列出每一线路的酒店名称、具体地点，另外若团队中出现单男单女，个人不补住房差价，由中标供应商安排并承担；个人要求单住房，需要补交个人房差价；</w:t>
      </w:r>
    </w:p>
    <w:p>
      <w:pPr>
        <w:widowControl w:val="0"/>
        <w:numPr>
          <w:ilvl w:val="0"/>
          <w:numId w:val="0"/>
        </w:numPr>
        <w:tabs>
          <w:tab w:val="left" w:pos="284"/>
          <w:tab w:val="left" w:pos="425"/>
        </w:tabs>
        <w:spacing w:line="360" w:lineRule="auto"/>
        <w:ind w:leftChars="0" w:firstLine="480" w:firstLineChars="200"/>
        <w:jc w:val="both"/>
        <w:rPr>
          <w:rFonts w:hint="eastAsia" w:ascii="仿宋" w:hAnsi="仿宋" w:eastAsia="仿宋" w:cs="仿宋"/>
          <w:b w:val="0"/>
          <w:bCs w:val="0"/>
          <w:color w:val="auto"/>
          <w:kern w:val="0"/>
          <w:sz w:val="24"/>
          <w:szCs w:val="24"/>
          <w:highlight w:val="none"/>
          <w:lang w:val="en-US" w:eastAsia="zh-CN" w:bidi="ar-SA"/>
        </w:rPr>
        <w:sectPr>
          <w:footerReference r:id="rId8" w:type="default"/>
          <w:pgSz w:w="16838" w:h="11905" w:orient="landscape"/>
          <w:pgMar w:top="1417" w:right="680" w:bottom="1417" w:left="471" w:header="851" w:footer="992" w:gutter="0"/>
          <w:cols w:space="0" w:num="1"/>
          <w:titlePg/>
          <w:rtlGutter w:val="0"/>
          <w:docGrid w:linePitch="0" w:charSpace="0"/>
        </w:sectPr>
      </w:pPr>
      <w:r>
        <w:rPr>
          <w:rFonts w:hint="eastAsia" w:ascii="仿宋" w:hAnsi="仿宋" w:eastAsia="仿宋" w:cs="仿宋"/>
          <w:b w:val="0"/>
          <w:bCs w:val="0"/>
          <w:color w:val="auto"/>
          <w:kern w:val="0"/>
          <w:sz w:val="24"/>
          <w:szCs w:val="24"/>
          <w:highlight w:val="none"/>
          <w:lang w:val="en-US" w:eastAsia="zh-CN" w:bidi="ar-SA"/>
        </w:rPr>
        <w:t>3. 就餐安排：在正规饭店或农家乐就餐，可采用10人一桌或自助餐的形式。入住酒店必须包含早餐，每人每天午餐餐费标准不低于为80元/人，</w:t>
      </w:r>
    </w:p>
    <w:p>
      <w:pPr>
        <w:widowControl w:val="0"/>
        <w:numPr>
          <w:ilvl w:val="0"/>
          <w:numId w:val="0"/>
        </w:numPr>
        <w:tabs>
          <w:tab w:val="left" w:pos="284"/>
          <w:tab w:val="left" w:pos="425"/>
        </w:tabs>
        <w:spacing w:line="360" w:lineRule="auto"/>
        <w:ind w:leftChars="0" w:firstLine="480" w:firstLineChars="200"/>
        <w:jc w:val="both"/>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 xml:space="preserve">晚餐餐费标准不低于为100元/人，食物要求新鲜、安全，适合口味。要求每餐菜品多样，不雷同。餐厅交通便利，环境较好。 </w:t>
      </w:r>
    </w:p>
    <w:p>
      <w:pPr>
        <w:tabs>
          <w:tab w:val="left" w:pos="0"/>
        </w:tabs>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4.交通：全程空调旅游车（省外线路的大交通为飞机）。要求车况好，车位充足，空调效果好，司机服务态度好、技术好，确保行程安全。要求两年内新车，座位37座以上，按照人数1：1.2比例配备。每车至少配备1名导游。</w:t>
      </w:r>
    </w:p>
    <w:p>
      <w:pPr>
        <w:widowControl w:val="0"/>
        <w:numPr>
          <w:ilvl w:val="0"/>
          <w:numId w:val="0"/>
        </w:numPr>
        <w:tabs>
          <w:tab w:val="left" w:pos="284"/>
          <w:tab w:val="left" w:pos="425"/>
        </w:tabs>
        <w:spacing w:line="360" w:lineRule="auto"/>
        <w:ind w:leftChars="0" w:firstLine="480" w:firstLineChars="200"/>
        <w:jc w:val="both"/>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5.景点：每条线路中每天景点安排合理，有无自理费用需注明，一天至少安排一个景点；</w:t>
      </w:r>
    </w:p>
    <w:p>
      <w:pPr>
        <w:tabs>
          <w:tab w:val="left" w:pos="0"/>
        </w:tabs>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6.门票：行程所含景点门票。</w:t>
      </w:r>
    </w:p>
    <w:p>
      <w:pPr>
        <w:tabs>
          <w:tab w:val="left" w:pos="0"/>
        </w:tabs>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 xml:space="preserve">7.导游：当地优秀资质公司，有导游资格的专业导游讲解服务，全程陪同。 针对本项目要求投标供应商拟派出的服务人员须持有导游资格证书，其它人员亦要求具有相应的执业资格；   </w:t>
      </w:r>
    </w:p>
    <w:p>
      <w:pPr>
        <w:tabs>
          <w:tab w:val="left" w:pos="0"/>
        </w:tabs>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8.购物：全程不主动进购物点。</w:t>
      </w:r>
    </w:p>
    <w:p>
      <w:pPr>
        <w:tabs>
          <w:tab w:val="left" w:pos="0"/>
        </w:tabs>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9.无自费的景点或活动，无商业广告及各类产品推销和介绍。</w:t>
      </w:r>
    </w:p>
    <w:p>
      <w:pPr>
        <w:tabs>
          <w:tab w:val="left" w:pos="0"/>
        </w:tabs>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10.制定应急预案，发放《行程安排表》和《注意事项》、《满意度调查表》。如遇意外突发事件要及时妥善处理，并做好善后处理工作。</w:t>
      </w:r>
    </w:p>
    <w:p>
      <w:pPr>
        <w:tabs>
          <w:tab w:val="left" w:pos="0"/>
        </w:tabs>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11.每批每人配发帽子一顶、行李包一个、雨伞一把（知名一线品牌）、矿泉水不少于二瓶/天/人，每批次准备旅行常备药品一份，如遇职工在疗休养期间过生日的，赠送生日蛋糕一份/人。</w:t>
      </w:r>
    </w:p>
    <w:p>
      <w:pPr>
        <w:tabs>
          <w:tab w:val="left" w:pos="0"/>
        </w:tabs>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12.参加疗休养人员名单和个人信息不得外泄。</w:t>
      </w:r>
    </w:p>
    <w:p>
      <w:pPr>
        <w:tabs>
          <w:tab w:val="left" w:pos="0"/>
        </w:tabs>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13.每批结束前进行满意度测评，满意度低于85%（一般）的，扣当批疗养费用的2%，低于80%（差）的，扣5%，低于75%（很差）的，扣10%；凡低于85%的中标供应商扣款的同时均不得参加本单位下一年度的疗休养竞标。</w:t>
      </w:r>
    </w:p>
    <w:p>
      <w:pPr>
        <w:tabs>
          <w:tab w:val="left" w:pos="0"/>
        </w:tabs>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14.行程中的相关安全事宜（住宿、交通、饮食等）全部由中标人负责，如出现任何安全事故，则由中标人承担相关经济赔偿与法律义务。</w:t>
      </w:r>
    </w:p>
    <w:p>
      <w:pPr>
        <w:widowControl w:val="0"/>
        <w:numPr>
          <w:ilvl w:val="0"/>
          <w:numId w:val="0"/>
        </w:numPr>
        <w:tabs>
          <w:tab w:val="left" w:pos="284"/>
          <w:tab w:val="left" w:pos="425"/>
        </w:tabs>
        <w:spacing w:line="360" w:lineRule="auto"/>
        <w:ind w:leftChars="0" w:firstLine="480" w:firstLineChars="200"/>
        <w:jc w:val="both"/>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15. 中标供应商的方案应获得招标人的认可，招标人保留对中标供应商的某一线路指定其他方案的权利，组团时间按招标人计划实施，具体出团及返回时间根据供应商编制并获得招标人认可的方案为准。</w:t>
      </w:r>
    </w:p>
    <w:p>
      <w:pPr>
        <w:widowControl w:val="0"/>
        <w:numPr>
          <w:ilvl w:val="0"/>
          <w:numId w:val="0"/>
        </w:numPr>
        <w:tabs>
          <w:tab w:val="left" w:pos="284"/>
          <w:tab w:val="left" w:pos="425"/>
        </w:tabs>
        <w:spacing w:line="360" w:lineRule="auto"/>
        <w:ind w:leftChars="0" w:firstLine="480" w:firstLineChars="200"/>
        <w:jc w:val="both"/>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16.本项目不得以任何理由、任何形式进行转、分包，一经发现招标人可单方面解除合同，所造成的任何损失由投标供应商自行负责。</w:t>
      </w:r>
    </w:p>
    <w:p>
      <w:pPr>
        <w:pStyle w:val="26"/>
        <w:numPr>
          <w:ilvl w:val="0"/>
          <w:numId w:val="0"/>
        </w:numPr>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17.出行人数存在不确定性，最终费用按实际出发人数，按实结算。</w:t>
      </w:r>
    </w:p>
    <w:p>
      <w:pPr>
        <w:adjustRightInd w:val="0"/>
        <w:spacing w:line="360" w:lineRule="auto"/>
        <w:ind w:firstLine="0" w:firstLineChars="0"/>
        <w:textAlignment w:val="baseline"/>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三、其他需求</w:t>
      </w:r>
    </w:p>
    <w:p>
      <w:pPr>
        <w:adjustRightInd w:val="0"/>
        <w:snapToGrid w:val="0"/>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中标人不得以人数不足、行业要求及其他相关的不成团要求而不发团，中标后各标项中标单位及时与采购单位沟通相关细节及线路的优化事项。</w:t>
      </w:r>
    </w:p>
    <w:p>
      <w:pPr>
        <w:adjustRightInd w:val="0"/>
        <w:snapToGrid w:val="0"/>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本项目需执行的国家相关标准、行业标准、地方标准或者其他标准、规范。通过满意度测评和中标人提供总结报告的方式进行验收。</w:t>
      </w:r>
    </w:p>
    <w:p>
      <w:pPr>
        <w:pStyle w:val="26"/>
        <w:adjustRightInd w:val="0"/>
        <w:snapToGrid w:val="0"/>
        <w:spacing w:line="360" w:lineRule="auto"/>
        <w:ind w:firstLine="0" w:firstLineChars="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四、服务期要求</w:t>
      </w:r>
    </w:p>
    <w:p>
      <w:pPr>
        <w:pStyle w:val="484"/>
        <w:snapToGrid w:val="0"/>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自合同签订生效之日起至2025年12月31日止。如采购人有所需要，中标单位应根据采购人的要求延续提供服务，费用标准按原合同规定执行。</w:t>
      </w:r>
    </w:p>
    <w:p>
      <w:pPr>
        <w:adjustRightInd w:val="0"/>
        <w:snapToGrid w:val="0"/>
        <w:spacing w:line="360" w:lineRule="auto"/>
        <w:ind w:firstLine="0" w:firstLineChars="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五、付款方式</w:t>
      </w:r>
    </w:p>
    <w:p>
      <w:pPr>
        <w:adjustRightInd w:val="0"/>
        <w:snapToGrid w:val="0"/>
        <w:spacing w:line="360" w:lineRule="auto"/>
        <w:ind w:firstLine="480" w:firstLineChars="20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 xml:space="preserve">休养行程结束后，中标人按实际产生费用提供结算函（附本结算批次的线路、人数、总价等统计情况），经采购人经确认并在中标人开具增值税普通发票后30日内一次性支付该批次剩余费用。   </w:t>
      </w:r>
    </w:p>
    <w:p>
      <w:pPr>
        <w:adjustRightInd w:val="0"/>
        <w:snapToGrid w:val="0"/>
        <w:spacing w:line="360" w:lineRule="auto"/>
        <w:ind w:firstLine="0" w:firstLineChars="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六、采购人认为必须说明的其他内容</w:t>
      </w:r>
    </w:p>
    <w:p>
      <w:pPr>
        <w:pStyle w:val="2"/>
        <w:spacing w:line="360" w:lineRule="auto"/>
        <w:ind w:firstLine="480"/>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1、其他按采购人相关要求及政策规范执行。</w:t>
      </w:r>
    </w:p>
    <w:p>
      <w:pPr>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2、本项目服务期间如遇新政策调整工会疗休养标准的，双方协商按新政策执行。</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pPr>
        <w:pStyle w:val="6"/>
        <w:ind w:left="0" w:firstLine="0"/>
        <w:rPr>
          <w:rFonts w:hint="eastAsia" w:ascii="仿宋" w:eastAsia="仿宋" w:cs="仿宋"/>
          <w:color w:val="000000" w:themeColor="text1"/>
          <w:highlight w:val="none"/>
          <w14:textFill>
            <w14:solidFill>
              <w14:schemeClr w14:val="tx1"/>
            </w14:solidFill>
          </w14:textFill>
        </w:rPr>
      </w:pPr>
    </w:p>
    <w:p>
      <w:pPr>
        <w:rPr>
          <w:rFonts w:hint="eastAsia" w:ascii="仿宋" w:hAnsi="仿宋" w:eastAsia="仿宋" w:cs="仿宋"/>
          <w:color w:val="000000" w:themeColor="text1"/>
          <w:highlight w:val="none"/>
          <w14:textFill>
            <w14:solidFill>
              <w14:schemeClr w14:val="tx1"/>
            </w14:solidFill>
          </w14:textFill>
        </w:rPr>
      </w:pPr>
    </w:p>
    <w:p>
      <w:pPr>
        <w:pStyle w:val="62"/>
        <w:ind w:firstLine="420"/>
        <w:rPr>
          <w:rFonts w:hint="eastAsia" w:ascii="仿宋" w:hAnsi="仿宋" w:eastAsia="仿宋" w:cs="仿宋"/>
          <w:color w:val="000000" w:themeColor="text1"/>
          <w:highlight w:val="none"/>
          <w14:textFill>
            <w14:solidFill>
              <w14:schemeClr w14:val="tx1"/>
            </w14:solidFill>
          </w14:textFill>
        </w:rPr>
      </w:pPr>
    </w:p>
    <w:p>
      <w:pPr>
        <w:rPr>
          <w:rFonts w:hint="eastAsia" w:ascii="仿宋" w:hAnsi="仿宋" w:eastAsia="仿宋" w:cs="仿宋"/>
          <w:color w:val="000000" w:themeColor="text1"/>
          <w:highlight w:val="none"/>
          <w14:textFill>
            <w14:solidFill>
              <w14:schemeClr w14:val="tx1"/>
            </w14:solidFill>
          </w14:textFill>
        </w:rPr>
      </w:pPr>
    </w:p>
    <w:p>
      <w:pPr>
        <w:spacing w:line="360" w:lineRule="auto"/>
        <w:rPr>
          <w:rFonts w:hint="eastAsia" w:ascii="仿宋" w:hAnsi="仿宋" w:eastAsia="仿宋" w:cs="仿宋"/>
          <w:b/>
          <w:color w:val="000000" w:themeColor="text1"/>
          <w:szCs w:val="36"/>
          <w:highlight w:val="none"/>
          <w14:textFill>
            <w14:solidFill>
              <w14:schemeClr w14:val="tx1"/>
            </w14:solidFill>
          </w14:textFill>
        </w:rPr>
      </w:pPr>
    </w:p>
    <w:p>
      <w:pPr>
        <w:pStyle w:val="2"/>
        <w:rPr>
          <w:rFonts w:hint="eastAsia" w:ascii="仿宋" w:hAnsi="仿宋" w:eastAsia="仿宋" w:cs="仿宋"/>
          <w:b/>
          <w:color w:val="000000" w:themeColor="text1"/>
          <w:szCs w:val="36"/>
          <w:highlight w:val="none"/>
          <w14:textFill>
            <w14:solidFill>
              <w14:schemeClr w14:val="tx1"/>
            </w14:solidFill>
          </w14:textFill>
        </w:rPr>
      </w:pPr>
    </w:p>
    <w:p>
      <w:pPr>
        <w:pStyle w:val="3"/>
        <w:rPr>
          <w:rFonts w:hint="eastAsia" w:ascii="仿宋" w:hAnsi="仿宋" w:eastAsia="仿宋" w:cs="仿宋"/>
          <w:b/>
          <w:color w:val="000000" w:themeColor="text1"/>
          <w:szCs w:val="36"/>
          <w:highlight w:val="none"/>
          <w14:textFill>
            <w14:solidFill>
              <w14:schemeClr w14:val="tx1"/>
            </w14:solidFill>
          </w14:textFill>
        </w:rPr>
      </w:pPr>
    </w:p>
    <w:p>
      <w:pPr>
        <w:pStyle w:val="4"/>
        <w:rPr>
          <w:rFonts w:hint="eastAsia" w:ascii="仿宋" w:hAnsi="仿宋" w:eastAsia="仿宋" w:cs="仿宋"/>
          <w:b/>
          <w:color w:val="000000" w:themeColor="text1"/>
          <w:szCs w:val="36"/>
          <w:highlight w:val="none"/>
          <w14:textFill>
            <w14:solidFill>
              <w14:schemeClr w14:val="tx1"/>
            </w14:solidFill>
          </w14:textFill>
        </w:rPr>
      </w:pPr>
    </w:p>
    <w:p>
      <w:pPr>
        <w:rPr>
          <w:rFonts w:hint="eastAsia" w:ascii="仿宋" w:hAnsi="仿宋" w:eastAsia="仿宋" w:cs="仿宋"/>
          <w:b/>
          <w:color w:val="000000" w:themeColor="text1"/>
          <w:szCs w:val="36"/>
          <w:highlight w:val="none"/>
          <w14:textFill>
            <w14:solidFill>
              <w14:schemeClr w14:val="tx1"/>
            </w14:solidFill>
          </w14:textFill>
        </w:rPr>
      </w:pPr>
    </w:p>
    <w:p>
      <w:pPr>
        <w:pStyle w:val="2"/>
        <w:rPr>
          <w:rFonts w:hint="eastAsia" w:ascii="仿宋" w:hAnsi="仿宋" w:eastAsia="仿宋" w:cs="仿宋"/>
          <w:b/>
          <w:color w:val="000000" w:themeColor="text1"/>
          <w:szCs w:val="36"/>
          <w:highlight w:val="none"/>
          <w14:textFill>
            <w14:solidFill>
              <w14:schemeClr w14:val="tx1"/>
            </w14:solidFill>
          </w14:textFill>
        </w:rPr>
      </w:pPr>
    </w:p>
    <w:p>
      <w:pPr>
        <w:pStyle w:val="3"/>
        <w:rPr>
          <w:rFonts w:hint="eastAsia" w:ascii="仿宋" w:hAnsi="仿宋" w:eastAsia="仿宋" w:cs="仿宋"/>
          <w:b/>
          <w:color w:val="000000" w:themeColor="text1"/>
          <w:szCs w:val="36"/>
          <w:highlight w:val="none"/>
          <w14:textFill>
            <w14:solidFill>
              <w14:schemeClr w14:val="tx1"/>
            </w14:solidFill>
          </w14:textFill>
        </w:rPr>
      </w:pPr>
    </w:p>
    <w:p>
      <w:pPr>
        <w:pStyle w:val="4"/>
        <w:rPr>
          <w:rFonts w:hint="eastAsia" w:ascii="仿宋" w:hAnsi="仿宋" w:eastAsia="仿宋" w:cs="仿宋"/>
          <w:b/>
          <w:color w:val="000000" w:themeColor="text1"/>
          <w:szCs w:val="36"/>
          <w:highlight w:val="none"/>
          <w14:textFill>
            <w14:solidFill>
              <w14:schemeClr w14:val="tx1"/>
            </w14:solidFill>
          </w14:textFill>
        </w:rPr>
      </w:pPr>
    </w:p>
    <w:p>
      <w:pPr>
        <w:rPr>
          <w:rFonts w:hint="eastAsia" w:ascii="仿宋" w:hAnsi="仿宋" w:eastAsia="仿宋" w:cs="仿宋"/>
          <w:b/>
          <w:color w:val="000000" w:themeColor="text1"/>
          <w:szCs w:val="36"/>
          <w:highlight w:val="none"/>
          <w14:textFill>
            <w14:solidFill>
              <w14:schemeClr w14:val="tx1"/>
            </w14:solidFill>
          </w14:textFill>
        </w:rPr>
      </w:pPr>
    </w:p>
    <w:p>
      <w:pPr>
        <w:pStyle w:val="2"/>
        <w:rPr>
          <w:rFonts w:hint="eastAsia" w:ascii="仿宋" w:hAnsi="仿宋" w:eastAsia="仿宋" w:cs="仿宋"/>
          <w:b/>
          <w:color w:val="000000" w:themeColor="text1"/>
          <w:szCs w:val="36"/>
          <w:highlight w:val="none"/>
          <w14:textFill>
            <w14:solidFill>
              <w14:schemeClr w14:val="tx1"/>
            </w14:solidFill>
          </w14:textFill>
        </w:rPr>
      </w:pPr>
    </w:p>
    <w:p>
      <w:pPr>
        <w:pStyle w:val="3"/>
        <w:rPr>
          <w:rFonts w:hint="eastAsia" w:ascii="仿宋" w:hAnsi="仿宋" w:eastAsia="仿宋" w:cs="仿宋"/>
          <w:b/>
          <w:color w:val="000000" w:themeColor="text1"/>
          <w:szCs w:val="36"/>
          <w:highlight w:val="none"/>
          <w14:textFill>
            <w14:solidFill>
              <w14:schemeClr w14:val="tx1"/>
            </w14:solidFill>
          </w14:textFill>
        </w:rPr>
      </w:pPr>
    </w:p>
    <w:p>
      <w:pPr>
        <w:pStyle w:val="4"/>
        <w:rPr>
          <w:rFonts w:hint="eastAsia" w:ascii="仿宋" w:hAnsi="仿宋" w:eastAsia="仿宋" w:cs="仿宋"/>
          <w:b/>
          <w:color w:val="000000" w:themeColor="text1"/>
          <w:szCs w:val="36"/>
          <w:highlight w:val="none"/>
          <w14:textFill>
            <w14:solidFill>
              <w14:schemeClr w14:val="tx1"/>
            </w14:solidFill>
          </w14:textFill>
        </w:rPr>
      </w:pPr>
    </w:p>
    <w:p>
      <w:pPr>
        <w:rPr>
          <w:rFonts w:hint="eastAsia"/>
        </w:rPr>
      </w:pPr>
    </w:p>
    <w:p>
      <w:pPr>
        <w:spacing w:line="360" w:lineRule="auto"/>
        <w:jc w:val="center"/>
        <w:rPr>
          <w:rFonts w:hint="eastAsia" w:ascii="仿宋" w:hAnsi="仿宋" w:eastAsia="仿宋" w:cs="仿宋"/>
          <w:b/>
          <w:color w:val="000000" w:themeColor="text1"/>
          <w:sz w:val="36"/>
          <w:szCs w:val="56"/>
          <w:highlight w:val="none"/>
          <w14:textFill>
            <w14:solidFill>
              <w14:schemeClr w14:val="tx1"/>
            </w14:solidFill>
          </w14:textFill>
        </w:rPr>
      </w:pPr>
      <w:r>
        <w:rPr>
          <w:rFonts w:hint="eastAsia" w:ascii="仿宋" w:hAnsi="仿宋" w:eastAsia="仿宋" w:cs="仿宋"/>
          <w:b/>
          <w:color w:val="000000" w:themeColor="text1"/>
          <w:sz w:val="36"/>
          <w:szCs w:val="56"/>
          <w:highlight w:val="none"/>
          <w14:textFill>
            <w14:solidFill>
              <w14:schemeClr w14:val="tx1"/>
            </w14:solidFill>
          </w14:textFill>
        </w:rPr>
        <w:t xml:space="preserve">第四部分   </w:t>
      </w:r>
      <w:bookmarkStart w:id="28" w:name="_Toc184308098"/>
      <w:bookmarkEnd w:id="28"/>
      <w:bookmarkStart w:id="29" w:name="_Toc184313259"/>
      <w:bookmarkEnd w:id="29"/>
      <w:bookmarkStart w:id="30" w:name="_Toc184308075"/>
      <w:bookmarkEnd w:id="30"/>
      <w:bookmarkStart w:id="31" w:name="_Toc184313304"/>
      <w:bookmarkEnd w:id="31"/>
      <w:bookmarkStart w:id="32" w:name="_Toc184310285"/>
      <w:bookmarkEnd w:id="32"/>
      <w:bookmarkStart w:id="33" w:name="_Toc184313247"/>
      <w:bookmarkEnd w:id="33"/>
      <w:bookmarkStart w:id="34" w:name="_Toc184310300"/>
      <w:bookmarkEnd w:id="34"/>
      <w:bookmarkStart w:id="35" w:name="_Toc184310340"/>
      <w:bookmarkEnd w:id="35"/>
      <w:bookmarkStart w:id="36" w:name="_Toc184312092"/>
      <w:bookmarkEnd w:id="36"/>
      <w:bookmarkStart w:id="37" w:name="_Toc184310312"/>
      <w:bookmarkEnd w:id="37"/>
      <w:bookmarkStart w:id="38" w:name="_Toc184313271"/>
      <w:bookmarkEnd w:id="38"/>
      <w:bookmarkStart w:id="39" w:name="_Toc184314440"/>
      <w:bookmarkEnd w:id="39"/>
      <w:bookmarkStart w:id="40" w:name="_Toc184314458"/>
      <w:bookmarkEnd w:id="40"/>
      <w:bookmarkStart w:id="41" w:name="_Toc184314470"/>
      <w:bookmarkEnd w:id="41"/>
      <w:bookmarkStart w:id="42" w:name="_Toc184312115"/>
      <w:bookmarkEnd w:id="42"/>
      <w:bookmarkStart w:id="43" w:name="_Toc184314464"/>
      <w:bookmarkEnd w:id="43"/>
      <w:bookmarkStart w:id="44" w:name="_Toc184314461"/>
      <w:bookmarkEnd w:id="44"/>
      <w:bookmarkStart w:id="45" w:name="_Toc184314430"/>
      <w:bookmarkEnd w:id="45"/>
      <w:bookmarkStart w:id="46" w:name="_Toc184313269"/>
      <w:bookmarkEnd w:id="46"/>
      <w:bookmarkStart w:id="47" w:name="_Toc184314479"/>
      <w:bookmarkEnd w:id="47"/>
      <w:bookmarkStart w:id="48" w:name="_Toc184308069"/>
      <w:bookmarkEnd w:id="48"/>
      <w:bookmarkStart w:id="49" w:name="_Toc184312124"/>
      <w:bookmarkEnd w:id="49"/>
      <w:bookmarkStart w:id="50" w:name="_Toc184314462"/>
      <w:bookmarkEnd w:id="50"/>
      <w:bookmarkStart w:id="51" w:name="_Toc184314410"/>
      <w:bookmarkEnd w:id="51"/>
      <w:bookmarkStart w:id="52" w:name="_Toc184312112"/>
      <w:bookmarkEnd w:id="52"/>
      <w:bookmarkStart w:id="53" w:name="_Toc184308036"/>
      <w:bookmarkEnd w:id="53"/>
      <w:bookmarkStart w:id="54" w:name="_Toc184313238"/>
      <w:bookmarkEnd w:id="54"/>
      <w:bookmarkStart w:id="55" w:name="_Toc184310315"/>
      <w:bookmarkEnd w:id="55"/>
      <w:bookmarkStart w:id="56" w:name="_Toc184310302"/>
      <w:bookmarkEnd w:id="56"/>
      <w:bookmarkStart w:id="57" w:name="_Toc184312102"/>
      <w:bookmarkEnd w:id="57"/>
      <w:bookmarkStart w:id="58" w:name="_Toc184314475"/>
      <w:bookmarkEnd w:id="58"/>
      <w:bookmarkStart w:id="59" w:name="_Toc184314481"/>
      <w:bookmarkEnd w:id="59"/>
      <w:bookmarkStart w:id="60" w:name="_Toc184310344"/>
      <w:bookmarkEnd w:id="60"/>
      <w:bookmarkStart w:id="61" w:name="_Toc184313244"/>
      <w:bookmarkEnd w:id="61"/>
      <w:bookmarkStart w:id="62" w:name="_Toc184314456"/>
      <w:bookmarkEnd w:id="62"/>
      <w:bookmarkStart w:id="63" w:name="_Toc184308072"/>
      <w:bookmarkEnd w:id="63"/>
      <w:bookmarkStart w:id="64" w:name="_Toc184314446"/>
      <w:bookmarkEnd w:id="64"/>
      <w:bookmarkStart w:id="65" w:name="_Toc184308037"/>
      <w:bookmarkEnd w:id="65"/>
      <w:bookmarkStart w:id="66" w:name="_Toc184310313"/>
      <w:bookmarkEnd w:id="66"/>
      <w:bookmarkStart w:id="67" w:name="_Toc184313270"/>
      <w:bookmarkEnd w:id="67"/>
      <w:bookmarkStart w:id="68" w:name="_Toc184313298"/>
      <w:bookmarkEnd w:id="68"/>
      <w:bookmarkStart w:id="69" w:name="_Toc184314424"/>
      <w:bookmarkEnd w:id="69"/>
      <w:bookmarkStart w:id="70" w:name="_Toc184314433"/>
      <w:bookmarkEnd w:id="70"/>
      <w:bookmarkStart w:id="71" w:name="_Toc184308065"/>
      <w:bookmarkEnd w:id="71"/>
      <w:bookmarkStart w:id="72" w:name="_Toc184314451"/>
      <w:bookmarkEnd w:id="72"/>
      <w:bookmarkStart w:id="73" w:name="_Toc184308093"/>
      <w:bookmarkEnd w:id="73"/>
      <w:bookmarkStart w:id="74" w:name="_Toc184308083"/>
      <w:bookmarkEnd w:id="74"/>
      <w:bookmarkStart w:id="75" w:name="_Toc184310305"/>
      <w:bookmarkEnd w:id="75"/>
      <w:bookmarkStart w:id="76" w:name="_Toc184310286"/>
      <w:bookmarkEnd w:id="76"/>
      <w:bookmarkStart w:id="77" w:name="_Toc184308051"/>
      <w:bookmarkEnd w:id="77"/>
      <w:bookmarkStart w:id="78" w:name="_Toc184310308"/>
      <w:bookmarkEnd w:id="78"/>
      <w:bookmarkStart w:id="79" w:name="_Toc184313254"/>
      <w:bookmarkEnd w:id="79"/>
      <w:bookmarkStart w:id="80" w:name="_Toc184310287"/>
      <w:bookmarkEnd w:id="80"/>
      <w:bookmarkStart w:id="81" w:name="_Toc184310337"/>
      <w:bookmarkEnd w:id="81"/>
      <w:bookmarkStart w:id="82" w:name="_Toc184310326"/>
      <w:bookmarkEnd w:id="82"/>
      <w:bookmarkStart w:id="83" w:name="_Toc184312089"/>
      <w:bookmarkEnd w:id="83"/>
      <w:bookmarkStart w:id="84" w:name="_Toc184310327"/>
      <w:bookmarkEnd w:id="84"/>
      <w:bookmarkStart w:id="85" w:name="_Toc184314431"/>
      <w:bookmarkEnd w:id="85"/>
      <w:bookmarkStart w:id="86" w:name="_Toc184314447"/>
      <w:bookmarkEnd w:id="86"/>
      <w:bookmarkStart w:id="87" w:name="_Toc184312126"/>
      <w:bookmarkEnd w:id="87"/>
      <w:bookmarkStart w:id="88" w:name="_Toc184314411"/>
      <w:bookmarkEnd w:id="88"/>
      <w:bookmarkStart w:id="89" w:name="_Toc184312116"/>
      <w:bookmarkEnd w:id="89"/>
      <w:bookmarkStart w:id="90" w:name="_Toc184314453"/>
      <w:bookmarkEnd w:id="90"/>
      <w:bookmarkStart w:id="91" w:name="_Toc184313246"/>
      <w:bookmarkEnd w:id="91"/>
      <w:bookmarkStart w:id="92" w:name="_Toc184312100"/>
      <w:bookmarkEnd w:id="92"/>
      <w:bookmarkStart w:id="93" w:name="_Toc184313305"/>
      <w:bookmarkEnd w:id="93"/>
      <w:bookmarkStart w:id="94" w:name="_Toc184312075"/>
      <w:bookmarkEnd w:id="94"/>
      <w:bookmarkStart w:id="95" w:name="_Toc184314468"/>
      <w:bookmarkEnd w:id="95"/>
      <w:bookmarkStart w:id="96" w:name="_Toc184312086"/>
      <w:bookmarkEnd w:id="96"/>
      <w:bookmarkStart w:id="97" w:name="_Toc184312096"/>
      <w:bookmarkEnd w:id="97"/>
      <w:bookmarkStart w:id="98" w:name="_Toc184313292"/>
      <w:bookmarkEnd w:id="98"/>
      <w:bookmarkStart w:id="99" w:name="_Toc184310334"/>
      <w:bookmarkEnd w:id="99"/>
      <w:bookmarkStart w:id="100" w:name="_Toc184310306"/>
      <w:bookmarkEnd w:id="100"/>
      <w:bookmarkStart w:id="101" w:name="_Toc184312088"/>
      <w:bookmarkEnd w:id="101"/>
      <w:bookmarkStart w:id="102" w:name="_Toc184312074"/>
      <w:bookmarkEnd w:id="102"/>
      <w:bookmarkStart w:id="103" w:name="_Toc184312073"/>
      <w:bookmarkEnd w:id="103"/>
      <w:bookmarkStart w:id="104" w:name="_Toc184310279"/>
      <w:bookmarkEnd w:id="104"/>
      <w:bookmarkStart w:id="105" w:name="_Toc184310292"/>
      <w:bookmarkEnd w:id="105"/>
      <w:bookmarkStart w:id="106" w:name="_Toc184312084"/>
      <w:bookmarkEnd w:id="106"/>
      <w:bookmarkStart w:id="107" w:name="_Toc184313277"/>
      <w:bookmarkEnd w:id="107"/>
      <w:bookmarkStart w:id="108" w:name="_Toc184314427"/>
      <w:bookmarkEnd w:id="108"/>
      <w:bookmarkStart w:id="109" w:name="_Toc184308087"/>
      <w:bookmarkEnd w:id="109"/>
      <w:bookmarkStart w:id="110" w:name="_Toc184313243"/>
      <w:bookmarkEnd w:id="110"/>
      <w:bookmarkStart w:id="111" w:name="_Toc184310333"/>
      <w:bookmarkEnd w:id="111"/>
      <w:bookmarkStart w:id="112" w:name="_Toc184308043"/>
      <w:bookmarkEnd w:id="112"/>
      <w:bookmarkStart w:id="113" w:name="_Toc184312106"/>
      <w:bookmarkEnd w:id="113"/>
      <w:bookmarkStart w:id="114" w:name="_Toc184314426"/>
      <w:bookmarkEnd w:id="114"/>
      <w:bookmarkStart w:id="115" w:name="_Toc184308066"/>
      <w:bookmarkEnd w:id="115"/>
      <w:bookmarkStart w:id="116" w:name="_Toc184308088"/>
      <w:bookmarkEnd w:id="116"/>
      <w:bookmarkStart w:id="117" w:name="_Toc184314452"/>
      <w:bookmarkEnd w:id="117"/>
      <w:bookmarkStart w:id="118" w:name="_Toc184313308"/>
      <w:bookmarkEnd w:id="118"/>
      <w:bookmarkStart w:id="119" w:name="_Toc184308053"/>
      <w:bookmarkEnd w:id="119"/>
      <w:bookmarkStart w:id="120" w:name="_Toc184314438"/>
      <w:bookmarkEnd w:id="120"/>
      <w:bookmarkStart w:id="121" w:name="_Toc184308079"/>
      <w:bookmarkEnd w:id="121"/>
      <w:bookmarkStart w:id="122" w:name="_Toc184308090"/>
      <w:bookmarkEnd w:id="122"/>
      <w:bookmarkStart w:id="123" w:name="_Toc184313281"/>
      <w:bookmarkEnd w:id="123"/>
      <w:bookmarkStart w:id="124" w:name="_Toc184313266"/>
      <w:bookmarkEnd w:id="124"/>
      <w:bookmarkStart w:id="125" w:name="_Toc184313260"/>
      <w:bookmarkEnd w:id="125"/>
      <w:bookmarkStart w:id="126" w:name="_Toc184314421"/>
      <w:bookmarkEnd w:id="126"/>
      <w:bookmarkStart w:id="127" w:name="_Toc184314415"/>
      <w:bookmarkEnd w:id="127"/>
      <w:bookmarkStart w:id="128" w:name="_Toc184314418"/>
      <w:bookmarkEnd w:id="128"/>
      <w:bookmarkStart w:id="129" w:name="_Toc184313257"/>
      <w:bookmarkEnd w:id="129"/>
      <w:bookmarkStart w:id="130" w:name="_Toc184314450"/>
      <w:bookmarkEnd w:id="130"/>
      <w:bookmarkStart w:id="131" w:name="_Toc184312128"/>
      <w:bookmarkEnd w:id="131"/>
      <w:bookmarkStart w:id="132" w:name="_Toc184308085"/>
      <w:bookmarkEnd w:id="132"/>
      <w:bookmarkStart w:id="133" w:name="_Toc184313309"/>
      <w:bookmarkEnd w:id="133"/>
      <w:bookmarkStart w:id="134" w:name="_Toc184308039"/>
      <w:bookmarkEnd w:id="134"/>
      <w:bookmarkStart w:id="135" w:name="_Toc184310324"/>
      <w:bookmarkEnd w:id="135"/>
      <w:bookmarkStart w:id="136" w:name="_Toc184312097"/>
      <w:bookmarkEnd w:id="136"/>
      <w:bookmarkStart w:id="137" w:name="_Toc184308104"/>
      <w:bookmarkEnd w:id="137"/>
      <w:bookmarkStart w:id="138" w:name="_Toc184314419"/>
      <w:bookmarkEnd w:id="138"/>
      <w:bookmarkStart w:id="139" w:name="_Toc184308063"/>
      <w:bookmarkEnd w:id="139"/>
      <w:bookmarkStart w:id="140" w:name="_Toc184310310"/>
      <w:bookmarkEnd w:id="140"/>
      <w:bookmarkStart w:id="141" w:name="_Toc184313262"/>
      <w:bookmarkEnd w:id="141"/>
      <w:bookmarkStart w:id="142" w:name="_Toc184313253"/>
      <w:bookmarkEnd w:id="142"/>
      <w:bookmarkStart w:id="143" w:name="_Toc184314469"/>
      <w:bookmarkEnd w:id="143"/>
      <w:bookmarkStart w:id="144" w:name="_Toc184310319"/>
      <w:bookmarkEnd w:id="144"/>
      <w:bookmarkStart w:id="145" w:name="_Toc184313280"/>
      <w:bookmarkEnd w:id="145"/>
      <w:bookmarkStart w:id="146" w:name="_Toc184313268"/>
      <w:bookmarkEnd w:id="146"/>
      <w:bookmarkStart w:id="147" w:name="_Toc184312122"/>
      <w:bookmarkEnd w:id="147"/>
      <w:bookmarkStart w:id="148" w:name="_Toc184312114"/>
      <w:bookmarkEnd w:id="148"/>
      <w:bookmarkStart w:id="149" w:name="_Toc184313261"/>
      <w:bookmarkEnd w:id="149"/>
      <w:bookmarkStart w:id="150" w:name="_Toc184313279"/>
      <w:bookmarkEnd w:id="150"/>
      <w:bookmarkStart w:id="151" w:name="_Toc184314435"/>
      <w:bookmarkEnd w:id="151"/>
      <w:bookmarkStart w:id="152" w:name="_Toc184312077"/>
      <w:bookmarkEnd w:id="152"/>
      <w:bookmarkStart w:id="153" w:name="_Toc184314445"/>
      <w:bookmarkEnd w:id="153"/>
      <w:bookmarkStart w:id="154" w:name="_Toc184313264"/>
      <w:bookmarkEnd w:id="154"/>
      <w:bookmarkStart w:id="155" w:name="_Toc184313310"/>
      <w:bookmarkEnd w:id="155"/>
      <w:bookmarkStart w:id="156" w:name="_Toc184312111"/>
      <w:bookmarkEnd w:id="156"/>
      <w:bookmarkStart w:id="157" w:name="_Toc184314472"/>
      <w:bookmarkEnd w:id="157"/>
      <w:bookmarkStart w:id="158" w:name="_Toc184308071"/>
      <w:bookmarkEnd w:id="158"/>
      <w:bookmarkStart w:id="159" w:name="_Toc184310291"/>
      <w:bookmarkEnd w:id="159"/>
      <w:bookmarkStart w:id="160" w:name="_Toc184308044"/>
      <w:bookmarkEnd w:id="160"/>
      <w:bookmarkStart w:id="161" w:name="_Toc184312134"/>
      <w:bookmarkEnd w:id="161"/>
      <w:bookmarkStart w:id="162" w:name="_Toc184308091"/>
      <w:bookmarkEnd w:id="162"/>
      <w:bookmarkStart w:id="163" w:name="_Toc184314429"/>
      <w:bookmarkEnd w:id="163"/>
      <w:bookmarkStart w:id="164" w:name="_Toc184314466"/>
      <w:bookmarkEnd w:id="164"/>
      <w:bookmarkStart w:id="165" w:name="_Toc184313248"/>
      <w:bookmarkEnd w:id="165"/>
      <w:bookmarkStart w:id="166" w:name="_Toc184313250"/>
      <w:bookmarkEnd w:id="166"/>
      <w:bookmarkStart w:id="167" w:name="_Toc184310314"/>
      <w:bookmarkEnd w:id="167"/>
      <w:bookmarkStart w:id="168" w:name="_Toc184312109"/>
      <w:bookmarkEnd w:id="168"/>
      <w:bookmarkStart w:id="169" w:name="_Toc184312119"/>
      <w:bookmarkEnd w:id="169"/>
      <w:bookmarkStart w:id="170" w:name="_Toc184312139"/>
      <w:bookmarkEnd w:id="170"/>
      <w:bookmarkStart w:id="171" w:name="_Toc184314417"/>
      <w:bookmarkEnd w:id="171"/>
      <w:bookmarkStart w:id="172" w:name="_Toc184308049"/>
      <w:bookmarkEnd w:id="172"/>
      <w:bookmarkStart w:id="173" w:name="_Toc184313255"/>
      <w:bookmarkEnd w:id="173"/>
      <w:bookmarkStart w:id="174" w:name="_Toc184308100"/>
      <w:bookmarkEnd w:id="174"/>
      <w:bookmarkStart w:id="175" w:name="_Toc184308052"/>
      <w:bookmarkEnd w:id="175"/>
      <w:bookmarkStart w:id="176" w:name="_Toc184312107"/>
      <w:bookmarkEnd w:id="176"/>
      <w:bookmarkStart w:id="177" w:name="_Toc184308096"/>
      <w:bookmarkEnd w:id="177"/>
      <w:bookmarkStart w:id="178" w:name="_Toc184313263"/>
      <w:bookmarkEnd w:id="178"/>
      <w:bookmarkStart w:id="179" w:name="_Toc184312072"/>
      <w:bookmarkEnd w:id="179"/>
      <w:bookmarkStart w:id="180" w:name="_Toc184313285"/>
      <w:bookmarkEnd w:id="180"/>
      <w:bookmarkStart w:id="181" w:name="_Toc184313276"/>
      <w:bookmarkEnd w:id="181"/>
      <w:bookmarkStart w:id="182" w:name="_Toc184310296"/>
      <w:bookmarkEnd w:id="182"/>
      <w:bookmarkStart w:id="183" w:name="_Toc184308047"/>
      <w:bookmarkEnd w:id="183"/>
      <w:bookmarkStart w:id="184" w:name="_Toc184314476"/>
      <w:bookmarkEnd w:id="184"/>
      <w:bookmarkStart w:id="185" w:name="_Toc184308046"/>
      <w:bookmarkEnd w:id="185"/>
      <w:bookmarkStart w:id="186" w:name="_Toc184314441"/>
      <w:bookmarkEnd w:id="186"/>
      <w:bookmarkStart w:id="187" w:name="_Toc184312091"/>
      <w:bookmarkEnd w:id="187"/>
      <w:bookmarkStart w:id="188" w:name="_Toc184308077"/>
      <w:bookmarkEnd w:id="188"/>
      <w:bookmarkStart w:id="189" w:name="_Toc184310277"/>
      <w:bookmarkEnd w:id="189"/>
      <w:bookmarkStart w:id="190" w:name="_Toc184312103"/>
      <w:bookmarkEnd w:id="190"/>
      <w:bookmarkStart w:id="191" w:name="_Toc184313265"/>
      <w:bookmarkEnd w:id="191"/>
      <w:bookmarkStart w:id="192" w:name="_Toc184308097"/>
      <w:bookmarkEnd w:id="192"/>
      <w:bookmarkStart w:id="193" w:name="_Toc184310316"/>
      <w:bookmarkEnd w:id="193"/>
      <w:bookmarkStart w:id="194" w:name="_Toc184314434"/>
      <w:bookmarkEnd w:id="194"/>
      <w:bookmarkStart w:id="195" w:name="_Toc184308108"/>
      <w:bookmarkEnd w:id="195"/>
      <w:bookmarkStart w:id="196" w:name="_Toc184314477"/>
      <w:bookmarkEnd w:id="196"/>
      <w:bookmarkStart w:id="197" w:name="_Toc184314467"/>
      <w:bookmarkEnd w:id="197"/>
      <w:bookmarkStart w:id="198" w:name="_Toc184308099"/>
      <w:bookmarkEnd w:id="198"/>
      <w:bookmarkStart w:id="199" w:name="_Toc184313258"/>
      <w:bookmarkEnd w:id="199"/>
      <w:bookmarkStart w:id="200" w:name="_Toc184308061"/>
      <w:bookmarkEnd w:id="200"/>
      <w:bookmarkStart w:id="201" w:name="_Toc184314432"/>
      <w:bookmarkEnd w:id="201"/>
      <w:bookmarkStart w:id="202" w:name="_Toc184308048"/>
      <w:bookmarkEnd w:id="202"/>
      <w:bookmarkStart w:id="203" w:name="_Toc184314457"/>
      <w:bookmarkEnd w:id="203"/>
      <w:bookmarkStart w:id="204" w:name="_Toc184312136"/>
      <w:bookmarkEnd w:id="204"/>
      <w:bookmarkStart w:id="205" w:name="_Toc184312135"/>
      <w:bookmarkEnd w:id="205"/>
      <w:bookmarkStart w:id="206" w:name="_Toc184314473"/>
      <w:bookmarkEnd w:id="206"/>
      <w:bookmarkStart w:id="207" w:name="_Toc184313272"/>
      <w:bookmarkEnd w:id="207"/>
      <w:bookmarkStart w:id="208" w:name="_Toc184310273"/>
      <w:bookmarkEnd w:id="208"/>
      <w:bookmarkStart w:id="209" w:name="_Toc184310317"/>
      <w:bookmarkEnd w:id="209"/>
      <w:bookmarkStart w:id="210" w:name="_Toc184313249"/>
      <w:bookmarkEnd w:id="210"/>
      <w:bookmarkStart w:id="211" w:name="_Toc184312118"/>
      <w:bookmarkEnd w:id="211"/>
      <w:bookmarkStart w:id="212" w:name="_Toc184313303"/>
      <w:bookmarkEnd w:id="212"/>
      <w:bookmarkStart w:id="213" w:name="_Toc184310341"/>
      <w:bookmarkEnd w:id="213"/>
      <w:bookmarkStart w:id="214" w:name="_Toc184310307"/>
      <w:bookmarkEnd w:id="214"/>
      <w:bookmarkStart w:id="215" w:name="_Toc184313240"/>
      <w:bookmarkEnd w:id="215"/>
      <w:bookmarkStart w:id="216" w:name="_Toc184308081"/>
      <w:bookmarkEnd w:id="216"/>
      <w:bookmarkStart w:id="217" w:name="_Toc184313301"/>
      <w:bookmarkEnd w:id="217"/>
      <w:bookmarkStart w:id="218" w:name="_Toc184313284"/>
      <w:bookmarkEnd w:id="218"/>
      <w:bookmarkStart w:id="219" w:name="_Toc184312094"/>
      <w:bookmarkEnd w:id="219"/>
      <w:bookmarkStart w:id="220" w:name="_Toc184310321"/>
      <w:bookmarkEnd w:id="220"/>
      <w:bookmarkStart w:id="221" w:name="_Toc184312131"/>
      <w:bookmarkEnd w:id="221"/>
      <w:bookmarkStart w:id="222" w:name="_Toc184314443"/>
      <w:bookmarkEnd w:id="222"/>
      <w:bookmarkStart w:id="223" w:name="_Toc184310298"/>
      <w:bookmarkEnd w:id="223"/>
      <w:bookmarkStart w:id="224" w:name="_Toc184313275"/>
      <w:bookmarkEnd w:id="224"/>
      <w:bookmarkStart w:id="225" w:name="_Toc184308070"/>
      <w:bookmarkEnd w:id="225"/>
      <w:bookmarkStart w:id="226" w:name="_Toc184313267"/>
      <w:bookmarkEnd w:id="226"/>
      <w:bookmarkStart w:id="227" w:name="_Toc184314442"/>
      <w:bookmarkEnd w:id="227"/>
      <w:bookmarkStart w:id="228" w:name="_Toc184312125"/>
      <w:bookmarkEnd w:id="228"/>
      <w:bookmarkStart w:id="229" w:name="_Toc184310338"/>
      <w:bookmarkEnd w:id="229"/>
      <w:bookmarkStart w:id="230" w:name="_Toc184312093"/>
      <w:bookmarkEnd w:id="230"/>
      <w:bookmarkStart w:id="231" w:name="_Toc184314448"/>
      <w:bookmarkEnd w:id="231"/>
      <w:bookmarkStart w:id="232" w:name="_Toc184308103"/>
      <w:bookmarkEnd w:id="232"/>
      <w:bookmarkStart w:id="233" w:name="_Toc184312090"/>
      <w:bookmarkEnd w:id="233"/>
      <w:bookmarkStart w:id="234" w:name="_Toc184314471"/>
      <w:bookmarkEnd w:id="234"/>
      <w:bookmarkStart w:id="235" w:name="_Toc184310309"/>
      <w:bookmarkEnd w:id="235"/>
      <w:bookmarkStart w:id="236" w:name="_Toc184310325"/>
      <w:bookmarkEnd w:id="236"/>
      <w:bookmarkStart w:id="237" w:name="_Toc184314455"/>
      <w:bookmarkEnd w:id="237"/>
      <w:bookmarkStart w:id="238" w:name="_Toc184308080"/>
      <w:bookmarkEnd w:id="238"/>
      <w:bookmarkStart w:id="239" w:name="_Toc184308074"/>
      <w:bookmarkEnd w:id="239"/>
      <w:bookmarkStart w:id="240" w:name="_Toc184310293"/>
      <w:bookmarkEnd w:id="240"/>
      <w:bookmarkStart w:id="241" w:name="_Toc184308056"/>
      <w:bookmarkEnd w:id="241"/>
      <w:bookmarkStart w:id="242" w:name="_Toc184313274"/>
      <w:bookmarkEnd w:id="242"/>
      <w:bookmarkStart w:id="243" w:name="_Toc184310335"/>
      <w:bookmarkEnd w:id="243"/>
      <w:bookmarkStart w:id="244" w:name="_Toc184313256"/>
      <w:bookmarkEnd w:id="244"/>
      <w:bookmarkStart w:id="245" w:name="_Toc184308057"/>
      <w:bookmarkEnd w:id="245"/>
      <w:bookmarkStart w:id="246" w:name="_Toc184313291"/>
      <w:bookmarkEnd w:id="246"/>
      <w:bookmarkStart w:id="247" w:name="_Toc184312117"/>
      <w:bookmarkEnd w:id="247"/>
      <w:bookmarkStart w:id="248" w:name="_Toc184312069"/>
      <w:bookmarkEnd w:id="248"/>
      <w:bookmarkStart w:id="249" w:name="_Toc184312133"/>
      <w:bookmarkEnd w:id="249"/>
      <w:bookmarkStart w:id="250" w:name="_Toc184312121"/>
      <w:bookmarkEnd w:id="250"/>
      <w:bookmarkStart w:id="251" w:name="_Toc184308086"/>
      <w:bookmarkEnd w:id="251"/>
      <w:bookmarkStart w:id="252" w:name="_Toc184310290"/>
      <w:bookmarkEnd w:id="252"/>
      <w:bookmarkStart w:id="253" w:name="_Toc184312082"/>
      <w:bookmarkEnd w:id="253"/>
      <w:bookmarkStart w:id="254" w:name="_Toc184310288"/>
      <w:bookmarkEnd w:id="254"/>
      <w:bookmarkStart w:id="255" w:name="_Toc184308058"/>
      <w:bookmarkEnd w:id="255"/>
      <w:bookmarkStart w:id="256" w:name="_Toc184308041"/>
      <w:bookmarkEnd w:id="256"/>
      <w:bookmarkStart w:id="257" w:name="_Toc184313294"/>
      <w:bookmarkEnd w:id="257"/>
      <w:bookmarkStart w:id="258" w:name="_Toc184313300"/>
      <w:bookmarkEnd w:id="258"/>
      <w:bookmarkStart w:id="259" w:name="_Toc184310276"/>
      <w:bookmarkEnd w:id="259"/>
      <w:bookmarkStart w:id="260" w:name="_Toc184314444"/>
      <w:bookmarkEnd w:id="260"/>
      <w:bookmarkStart w:id="261" w:name="_Toc184312132"/>
      <w:bookmarkEnd w:id="261"/>
      <w:bookmarkStart w:id="262" w:name="_Toc184312099"/>
      <w:bookmarkEnd w:id="262"/>
      <w:bookmarkStart w:id="263" w:name="_Toc184310284"/>
      <w:bookmarkEnd w:id="263"/>
      <w:bookmarkStart w:id="264" w:name="_Toc184314420"/>
      <w:bookmarkEnd w:id="264"/>
      <w:bookmarkStart w:id="265" w:name="_Toc184308067"/>
      <w:bookmarkEnd w:id="265"/>
      <w:bookmarkStart w:id="266" w:name="_Toc184313282"/>
      <w:bookmarkEnd w:id="266"/>
      <w:bookmarkStart w:id="267" w:name="_Toc184312113"/>
      <w:bookmarkEnd w:id="267"/>
      <w:bookmarkStart w:id="268" w:name="_Toc184314465"/>
      <w:bookmarkEnd w:id="268"/>
      <w:bookmarkStart w:id="269" w:name="_Toc184312105"/>
      <w:bookmarkEnd w:id="269"/>
      <w:bookmarkStart w:id="270" w:name="_Toc184308106"/>
      <w:bookmarkEnd w:id="270"/>
      <w:bookmarkStart w:id="271" w:name="_Toc184310336"/>
      <w:bookmarkEnd w:id="271"/>
      <w:bookmarkStart w:id="272" w:name="_Toc184308084"/>
      <w:bookmarkEnd w:id="272"/>
      <w:bookmarkStart w:id="273" w:name="_Toc184314474"/>
      <w:bookmarkEnd w:id="273"/>
      <w:bookmarkStart w:id="274" w:name="_Toc184313290"/>
      <w:bookmarkEnd w:id="274"/>
      <w:bookmarkStart w:id="275" w:name="_Toc184314437"/>
      <w:bookmarkEnd w:id="275"/>
      <w:bookmarkStart w:id="276" w:name="_Toc184312095"/>
      <w:bookmarkEnd w:id="276"/>
      <w:bookmarkStart w:id="277" w:name="_Toc184314416"/>
      <w:bookmarkEnd w:id="277"/>
      <w:bookmarkStart w:id="278" w:name="_Toc184312138"/>
      <w:bookmarkEnd w:id="278"/>
      <w:bookmarkStart w:id="279" w:name="_Toc184308094"/>
      <w:bookmarkEnd w:id="279"/>
      <w:bookmarkStart w:id="280" w:name="_Toc184310289"/>
      <w:bookmarkEnd w:id="280"/>
      <w:bookmarkStart w:id="281" w:name="_Toc184313287"/>
      <w:bookmarkEnd w:id="281"/>
      <w:bookmarkStart w:id="282" w:name="_Toc184313299"/>
      <w:bookmarkEnd w:id="282"/>
      <w:bookmarkStart w:id="283" w:name="_Toc184313307"/>
      <w:bookmarkEnd w:id="283"/>
      <w:bookmarkStart w:id="284" w:name="_Toc184308076"/>
      <w:bookmarkEnd w:id="284"/>
      <w:bookmarkStart w:id="285" w:name="_Toc184310330"/>
      <w:bookmarkEnd w:id="285"/>
      <w:bookmarkStart w:id="286" w:name="_Toc184308102"/>
      <w:bookmarkEnd w:id="286"/>
      <w:bookmarkStart w:id="287" w:name="_Toc184310275"/>
      <w:bookmarkEnd w:id="287"/>
      <w:bookmarkStart w:id="288" w:name="_Toc184312068"/>
      <w:bookmarkEnd w:id="288"/>
      <w:bookmarkStart w:id="289" w:name="_Toc184314439"/>
      <w:bookmarkEnd w:id="289"/>
      <w:bookmarkStart w:id="290" w:name="_Toc184308095"/>
      <w:bookmarkEnd w:id="290"/>
      <w:bookmarkStart w:id="291" w:name="_Toc184310328"/>
      <w:bookmarkEnd w:id="291"/>
      <w:bookmarkStart w:id="292" w:name="_Toc184312067"/>
      <w:bookmarkEnd w:id="292"/>
      <w:bookmarkStart w:id="293" w:name="_Toc184313239"/>
      <w:bookmarkEnd w:id="293"/>
      <w:bookmarkStart w:id="294" w:name="_Toc184312071"/>
      <w:bookmarkEnd w:id="294"/>
      <w:bookmarkStart w:id="295" w:name="_Toc184312101"/>
      <w:bookmarkEnd w:id="295"/>
      <w:bookmarkStart w:id="296" w:name="_Toc184314449"/>
      <w:bookmarkEnd w:id="296"/>
      <w:bookmarkStart w:id="297" w:name="_Toc184313278"/>
      <w:bookmarkEnd w:id="297"/>
      <w:bookmarkStart w:id="298" w:name="_Toc184312078"/>
      <w:bookmarkEnd w:id="298"/>
      <w:bookmarkStart w:id="299" w:name="_Toc184310283"/>
      <w:bookmarkEnd w:id="299"/>
      <w:bookmarkStart w:id="300" w:name="_Toc184314460"/>
      <w:bookmarkEnd w:id="300"/>
      <w:bookmarkStart w:id="301" w:name="_Toc184308089"/>
      <w:bookmarkEnd w:id="301"/>
      <w:bookmarkStart w:id="302" w:name="_Toc184310342"/>
      <w:bookmarkEnd w:id="302"/>
      <w:bookmarkStart w:id="303" w:name="_Toc184314423"/>
      <w:bookmarkEnd w:id="303"/>
      <w:bookmarkStart w:id="304" w:name="_Toc184312104"/>
      <w:bookmarkEnd w:id="304"/>
      <w:bookmarkStart w:id="305" w:name="_Toc184308068"/>
      <w:bookmarkEnd w:id="305"/>
      <w:bookmarkStart w:id="306" w:name="_Toc184310280"/>
      <w:bookmarkEnd w:id="306"/>
      <w:bookmarkStart w:id="307" w:name="_Toc184313241"/>
      <w:bookmarkEnd w:id="307"/>
      <w:bookmarkStart w:id="308" w:name="_Toc184313245"/>
      <w:bookmarkEnd w:id="308"/>
      <w:bookmarkStart w:id="309" w:name="_Toc184314459"/>
      <w:bookmarkEnd w:id="309"/>
      <w:bookmarkStart w:id="310" w:name="_Toc184313286"/>
      <w:bookmarkEnd w:id="310"/>
      <w:bookmarkStart w:id="311" w:name="_Toc184310272"/>
      <w:bookmarkEnd w:id="311"/>
      <w:bookmarkStart w:id="312" w:name="_Toc184310323"/>
      <w:bookmarkEnd w:id="312"/>
      <w:bookmarkStart w:id="313" w:name="_Toc184310311"/>
      <w:bookmarkEnd w:id="313"/>
      <w:bookmarkStart w:id="314" w:name="_Toc184310320"/>
      <w:bookmarkEnd w:id="314"/>
      <w:bookmarkStart w:id="315" w:name="_Toc184313302"/>
      <w:bookmarkEnd w:id="315"/>
      <w:bookmarkStart w:id="316" w:name="_Toc184314413"/>
      <w:bookmarkEnd w:id="316"/>
      <w:bookmarkStart w:id="317" w:name="_Toc184312129"/>
      <w:bookmarkEnd w:id="317"/>
      <w:bookmarkStart w:id="318" w:name="_Toc184310281"/>
      <w:bookmarkEnd w:id="318"/>
      <w:bookmarkStart w:id="319" w:name="_Toc184308082"/>
      <w:bookmarkEnd w:id="319"/>
      <w:bookmarkStart w:id="320" w:name="_Toc184313251"/>
      <w:bookmarkEnd w:id="320"/>
      <w:bookmarkStart w:id="321" w:name="_Toc184310299"/>
      <w:bookmarkEnd w:id="321"/>
      <w:bookmarkStart w:id="322" w:name="_Toc184312087"/>
      <w:bookmarkEnd w:id="322"/>
      <w:bookmarkStart w:id="323" w:name="_Toc184314414"/>
      <w:bookmarkEnd w:id="323"/>
      <w:bookmarkStart w:id="324" w:name="_Toc184308045"/>
      <w:bookmarkEnd w:id="324"/>
      <w:bookmarkStart w:id="325" w:name="_Toc184308050"/>
      <w:bookmarkEnd w:id="325"/>
      <w:bookmarkStart w:id="326" w:name="_Toc184308064"/>
      <w:bookmarkEnd w:id="326"/>
      <w:bookmarkStart w:id="327" w:name="_Toc184312130"/>
      <w:bookmarkEnd w:id="327"/>
      <w:bookmarkStart w:id="328" w:name="_Toc184314422"/>
      <w:bookmarkEnd w:id="328"/>
      <w:bookmarkStart w:id="329" w:name="_Toc184313252"/>
      <w:bookmarkEnd w:id="329"/>
      <w:bookmarkStart w:id="330" w:name="_Toc184308059"/>
      <w:bookmarkEnd w:id="330"/>
      <w:bookmarkStart w:id="331" w:name="_Toc184313242"/>
      <w:bookmarkEnd w:id="331"/>
      <w:bookmarkStart w:id="332" w:name="_Toc184310301"/>
      <w:bookmarkEnd w:id="332"/>
      <w:bookmarkStart w:id="333" w:name="_Toc184314412"/>
      <w:bookmarkEnd w:id="333"/>
      <w:bookmarkStart w:id="334" w:name="_Toc184312076"/>
      <w:bookmarkEnd w:id="334"/>
      <w:bookmarkStart w:id="335" w:name="_Toc184313273"/>
      <w:bookmarkEnd w:id="335"/>
      <w:bookmarkStart w:id="336" w:name="_Toc184313283"/>
      <w:bookmarkEnd w:id="336"/>
      <w:bookmarkStart w:id="337" w:name="_Toc184308092"/>
      <w:bookmarkEnd w:id="337"/>
      <w:bookmarkStart w:id="338" w:name="_Toc184308038"/>
      <w:bookmarkEnd w:id="338"/>
      <w:bookmarkStart w:id="339" w:name="_Toc184312098"/>
      <w:bookmarkEnd w:id="339"/>
      <w:bookmarkStart w:id="340" w:name="_Toc184314482"/>
      <w:bookmarkEnd w:id="340"/>
      <w:bookmarkStart w:id="341" w:name="_Toc184312123"/>
      <w:bookmarkEnd w:id="341"/>
      <w:bookmarkStart w:id="342" w:name="_Toc184312127"/>
      <w:bookmarkEnd w:id="342"/>
      <w:bookmarkStart w:id="343" w:name="_Toc184312081"/>
      <w:bookmarkEnd w:id="343"/>
      <w:bookmarkStart w:id="344" w:name="_Toc184312108"/>
      <w:bookmarkEnd w:id="344"/>
      <w:bookmarkStart w:id="345" w:name="_Toc184314428"/>
      <w:bookmarkEnd w:id="345"/>
      <w:bookmarkStart w:id="346" w:name="_Toc184312085"/>
      <w:bookmarkEnd w:id="346"/>
      <w:bookmarkStart w:id="347" w:name="_Toc184313288"/>
      <w:bookmarkEnd w:id="347"/>
      <w:bookmarkStart w:id="348" w:name="_Toc184310329"/>
      <w:bookmarkEnd w:id="348"/>
      <w:bookmarkStart w:id="349" w:name="_Toc184310339"/>
      <w:bookmarkEnd w:id="349"/>
      <w:bookmarkStart w:id="350" w:name="_Toc184310318"/>
      <w:bookmarkEnd w:id="350"/>
      <w:bookmarkStart w:id="351" w:name="_Toc184310282"/>
      <w:bookmarkEnd w:id="351"/>
      <w:bookmarkStart w:id="352" w:name="_Toc184308101"/>
      <w:bookmarkEnd w:id="352"/>
      <w:bookmarkStart w:id="353" w:name="_Toc184314436"/>
      <w:bookmarkEnd w:id="353"/>
      <w:bookmarkStart w:id="354" w:name="_Toc184310332"/>
      <w:bookmarkEnd w:id="354"/>
      <w:bookmarkStart w:id="355" w:name="_Toc184312120"/>
      <w:bookmarkEnd w:id="355"/>
      <w:bookmarkStart w:id="356" w:name="_Toc184310304"/>
      <w:bookmarkEnd w:id="356"/>
      <w:bookmarkStart w:id="357" w:name="_Toc184310322"/>
      <w:bookmarkEnd w:id="357"/>
      <w:bookmarkStart w:id="358" w:name="_Toc184308073"/>
      <w:bookmarkEnd w:id="358"/>
      <w:bookmarkStart w:id="359" w:name="_Toc184308078"/>
      <w:bookmarkEnd w:id="359"/>
      <w:bookmarkStart w:id="360" w:name="_Toc184310303"/>
      <w:bookmarkEnd w:id="360"/>
      <w:bookmarkStart w:id="361" w:name="_Toc184313306"/>
      <w:bookmarkEnd w:id="361"/>
      <w:bookmarkStart w:id="362" w:name="_Toc184310295"/>
      <w:bookmarkEnd w:id="362"/>
      <w:bookmarkStart w:id="363" w:name="_Toc184314425"/>
      <w:bookmarkEnd w:id="363"/>
      <w:bookmarkStart w:id="364" w:name="_Toc184308042"/>
      <w:bookmarkEnd w:id="364"/>
      <w:bookmarkStart w:id="365" w:name="_Toc184312083"/>
      <w:bookmarkEnd w:id="365"/>
      <w:bookmarkStart w:id="366" w:name="_Toc184312080"/>
      <w:bookmarkEnd w:id="366"/>
      <w:bookmarkStart w:id="367" w:name="_Toc184308107"/>
      <w:bookmarkEnd w:id="367"/>
      <w:bookmarkStart w:id="368" w:name="_Toc184310294"/>
      <w:bookmarkEnd w:id="368"/>
      <w:bookmarkStart w:id="369" w:name="_Toc184314454"/>
      <w:bookmarkEnd w:id="369"/>
      <w:bookmarkStart w:id="370" w:name="_Toc184312137"/>
      <w:bookmarkEnd w:id="370"/>
      <w:bookmarkStart w:id="371" w:name="_Toc184310297"/>
      <w:bookmarkEnd w:id="371"/>
      <w:bookmarkStart w:id="372" w:name="_Toc184314480"/>
      <w:bookmarkEnd w:id="372"/>
      <w:bookmarkStart w:id="373" w:name="_Toc184308062"/>
      <w:bookmarkEnd w:id="373"/>
      <w:bookmarkStart w:id="374" w:name="_Toc184313293"/>
      <w:bookmarkEnd w:id="374"/>
      <w:bookmarkStart w:id="375" w:name="_Toc184308060"/>
      <w:bookmarkEnd w:id="375"/>
      <w:bookmarkStart w:id="376" w:name="_Toc184308054"/>
      <w:bookmarkEnd w:id="376"/>
      <w:bookmarkStart w:id="377" w:name="_Toc184310278"/>
      <w:bookmarkEnd w:id="377"/>
      <w:bookmarkStart w:id="378" w:name="_Toc184313289"/>
      <w:bookmarkEnd w:id="378"/>
      <w:bookmarkStart w:id="379" w:name="_Toc184308105"/>
      <w:bookmarkEnd w:id="379"/>
      <w:bookmarkStart w:id="380" w:name="_Toc184314478"/>
      <w:bookmarkEnd w:id="380"/>
      <w:bookmarkStart w:id="381" w:name="_Toc184313297"/>
      <w:bookmarkEnd w:id="381"/>
      <w:bookmarkStart w:id="382" w:name="_Toc184314463"/>
      <w:bookmarkEnd w:id="382"/>
      <w:bookmarkStart w:id="383" w:name="_Toc184312079"/>
      <w:bookmarkEnd w:id="383"/>
      <w:bookmarkStart w:id="384" w:name="_Toc184312070"/>
      <w:bookmarkEnd w:id="384"/>
      <w:bookmarkStart w:id="385" w:name="_Toc184308055"/>
      <w:bookmarkEnd w:id="385"/>
      <w:bookmarkStart w:id="386" w:name="_Toc184312110"/>
      <w:bookmarkEnd w:id="386"/>
      <w:bookmarkStart w:id="387" w:name="_Toc184310274"/>
      <w:bookmarkEnd w:id="387"/>
      <w:bookmarkStart w:id="388" w:name="_Toc184310343"/>
      <w:bookmarkEnd w:id="388"/>
      <w:bookmarkStart w:id="389" w:name="_Toc184313296"/>
      <w:bookmarkEnd w:id="389"/>
      <w:bookmarkStart w:id="390" w:name="_Toc184308040"/>
      <w:bookmarkEnd w:id="390"/>
      <w:bookmarkStart w:id="391" w:name="_Toc184310331"/>
      <w:bookmarkEnd w:id="391"/>
      <w:bookmarkStart w:id="392" w:name="_Toc184313295"/>
      <w:bookmarkEnd w:id="392"/>
      <w:r>
        <w:rPr>
          <w:rFonts w:hint="eastAsia" w:ascii="仿宋" w:hAnsi="仿宋" w:eastAsia="仿宋" w:cs="仿宋"/>
          <w:b/>
          <w:color w:val="000000" w:themeColor="text1"/>
          <w:sz w:val="36"/>
          <w:szCs w:val="56"/>
          <w:highlight w:val="none"/>
          <w14:textFill>
            <w14:solidFill>
              <w14:schemeClr w14:val="tx1"/>
            </w14:solidFill>
          </w14:textFill>
        </w:rPr>
        <w:t>评标办法</w:t>
      </w:r>
    </w:p>
    <w:p>
      <w:pPr>
        <w:snapToGrid w:val="0"/>
        <w:spacing w:line="480"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1、评标办法前附表</w:t>
      </w:r>
    </w:p>
    <w:p>
      <w:pPr>
        <w:pStyle w:val="132"/>
        <w:spacing w:before="0" w:line="480" w:lineRule="auto"/>
        <w:ind w:firstLine="482"/>
        <w:rPr>
          <w:rFonts w:ascii="仿宋" w:hAnsi="仿宋" w:eastAsia="仿宋" w:cs="仿宋"/>
          <w:color w:val="auto"/>
          <w:szCs w:val="24"/>
          <w:highlight w:val="none"/>
        </w:rPr>
      </w:pPr>
      <w:bookmarkStart w:id="393" w:name="_Toc441007124"/>
      <w:bookmarkStart w:id="394" w:name="_Toc443415649"/>
      <w:bookmarkStart w:id="395" w:name="_Toc4121"/>
      <w:r>
        <w:rPr>
          <w:rFonts w:hint="eastAsia" w:ascii="仿宋" w:hAnsi="仿宋" w:eastAsia="仿宋" w:cs="仿宋"/>
          <w:b/>
          <w:color w:val="auto"/>
          <w:szCs w:val="24"/>
          <w:highlight w:val="none"/>
        </w:rPr>
        <w:t>本次评标采用综合评分法，总分为100分。</w:t>
      </w:r>
      <w:r>
        <w:rPr>
          <w:rFonts w:hint="eastAsia" w:ascii="仿宋" w:hAnsi="仿宋" w:eastAsia="仿宋" w:cs="仿宋"/>
          <w:color w:val="auto"/>
          <w:szCs w:val="24"/>
          <w:highlight w:val="none"/>
        </w:rPr>
        <w:t>合格投标人的评标得分为各项目汇总得分，中标候选资格按评标得分由高到低顺序排列，得分相同的，按投标报价由低到高顺序排列；得分且投标报价相同的，按技术指标优劣顺序排列。排名第一的投标人为第一中标候选人。评分过程中采用四舍五入法，并保留小数2位。</w:t>
      </w:r>
    </w:p>
    <w:p>
      <w:pPr>
        <w:snapToGrid w:val="0"/>
        <w:spacing w:line="48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各投标人的综合得分为：投标价格得分+技术商务得分之和，总和为100分，其中：投标价格得分10分，商务技术得分90分。</w:t>
      </w:r>
    </w:p>
    <w:p>
      <w:pPr>
        <w:snapToGrid w:val="0"/>
        <w:spacing w:line="48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商务技术评标细则（90分）：</w:t>
      </w:r>
    </w:p>
    <w:tbl>
      <w:tblPr>
        <w:tblStyle w:val="63"/>
        <w:tblW w:w="104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6327"/>
        <w:gridCol w:w="720"/>
        <w:gridCol w:w="1091"/>
        <w:gridCol w:w="16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1" w:hRule="atLeast"/>
          <w:jc w:val="center"/>
        </w:trPr>
        <w:tc>
          <w:tcPr>
            <w:tcW w:w="709"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color w:val="auto"/>
                <w:sz w:val="24"/>
                <w:highlight w:val="none"/>
              </w:rPr>
              <w:t>序号</w:t>
            </w:r>
          </w:p>
        </w:tc>
        <w:tc>
          <w:tcPr>
            <w:tcW w:w="6327"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color w:val="auto"/>
                <w:sz w:val="24"/>
                <w:highlight w:val="none"/>
              </w:rPr>
              <w:t>评标标准</w:t>
            </w:r>
          </w:p>
        </w:tc>
        <w:tc>
          <w:tcPr>
            <w:tcW w:w="720"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color w:val="auto"/>
                <w:sz w:val="24"/>
                <w:highlight w:val="none"/>
              </w:rPr>
              <w:t>权重</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bCs/>
                <w:color w:val="auto"/>
                <w:sz w:val="24"/>
                <w:highlight w:val="none"/>
              </w:rPr>
            </w:pPr>
            <w:r>
              <w:rPr>
                <w:rFonts w:hint="eastAsia" w:ascii="仿宋" w:hAnsi="仿宋" w:eastAsia="仿宋" w:cs="仿宋_GB2312"/>
                <w:bCs/>
                <w:color w:val="auto"/>
                <w:sz w:val="24"/>
                <w:highlight w:val="none"/>
              </w:rPr>
              <w:t>主观分</w:t>
            </w:r>
            <w:r>
              <w:rPr>
                <w:rFonts w:hint="default" w:ascii="仿宋" w:hAnsi="仿宋" w:eastAsia="仿宋" w:cs="仿宋_GB2312"/>
                <w:bCs/>
                <w:color w:val="auto"/>
                <w:sz w:val="24"/>
                <w:highlight w:val="none"/>
              </w:rPr>
              <w:t>/</w:t>
            </w:r>
            <w:r>
              <w:rPr>
                <w:rFonts w:hint="eastAsia" w:ascii="仿宋" w:hAnsi="仿宋" w:eastAsia="仿宋" w:cs="仿宋_GB2312"/>
                <w:bCs/>
                <w:color w:val="auto"/>
                <w:sz w:val="24"/>
                <w:highlight w:val="none"/>
              </w:rPr>
              <w:t>客观分属性</w:t>
            </w:r>
          </w:p>
        </w:tc>
        <w:tc>
          <w:tcPr>
            <w:tcW w:w="1636" w:type="dxa"/>
            <w:noWrap w:val="0"/>
            <w:vAlign w:val="top"/>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bCs/>
                <w:color w:val="auto"/>
                <w:sz w:val="24"/>
                <w:highlight w:val="none"/>
              </w:rPr>
              <w:t>投标文件中评标标准相应的商务技术资料目录</w:t>
            </w:r>
            <w:r>
              <w:rPr>
                <w:rFonts w:hint="default" w:ascii="仿宋" w:hAnsi="仿宋" w:eastAsia="仿宋" w:cs="仿宋_GB2312"/>
                <w:bCs/>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restart"/>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default" w:ascii="仿宋" w:hAnsi="仿宋" w:eastAsia="仿宋" w:cs="仿宋_GB2312"/>
                <w:color w:val="auto"/>
                <w:sz w:val="24"/>
                <w:highlight w:val="none"/>
              </w:rPr>
              <w:t>1</w:t>
            </w:r>
          </w:p>
        </w:tc>
        <w:tc>
          <w:tcPr>
            <w:tcW w:w="6327" w:type="dxa"/>
            <w:noWrap w:val="0"/>
            <w:vAlign w:val="center"/>
          </w:tcPr>
          <w:p>
            <w:pPr>
              <w:adjustRightInd/>
              <w:spacing w:before="0" w:beforeAutospacing="0" w:after="0" w:afterAutospacing="0" w:line="360" w:lineRule="auto"/>
              <w:ind w:left="0" w:right="0"/>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）根据投标人提供的各项岗位职责和经营管理制度，职责制度健全、执行有力的得</w:t>
            </w: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根据投标人提供的各项岗位职责和经营管理制度，职责制度较健全、执行力较强的得</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根据投标人提供的各项岗位职责和经营管理制度，职责制度不健全、执行力弱的得</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投标人提供的各项岗位职责和经营管理制度</w:t>
            </w:r>
            <w:r>
              <w:rPr>
                <w:rFonts w:hint="eastAsia" w:ascii="仿宋" w:hAnsi="仿宋" w:eastAsia="仿宋" w:cs="仿宋"/>
                <w:color w:val="auto"/>
                <w:kern w:val="0"/>
                <w:sz w:val="24"/>
                <w:highlight w:val="none"/>
                <w:lang w:eastAsia="zh-CN"/>
              </w:rPr>
              <w:t>不合理或未提供</w:t>
            </w:r>
            <w:r>
              <w:rPr>
                <w:rFonts w:hint="eastAsia" w:ascii="仿宋" w:hAnsi="仿宋" w:eastAsia="仿宋" w:cs="仿宋"/>
                <w:color w:val="auto"/>
                <w:kern w:val="0"/>
                <w:sz w:val="24"/>
                <w:highlight w:val="none"/>
              </w:rPr>
              <w:t>各项岗位职责和经营管理制度</w:t>
            </w:r>
            <w:r>
              <w:rPr>
                <w:rFonts w:hint="eastAsia" w:ascii="仿宋" w:hAnsi="仿宋" w:eastAsia="仿宋" w:cs="仿宋"/>
                <w:color w:val="auto"/>
                <w:kern w:val="0"/>
                <w:sz w:val="24"/>
                <w:highlight w:val="none"/>
                <w:lang w:eastAsia="zh-CN"/>
              </w:rPr>
              <w:t>不得分。</w:t>
            </w:r>
          </w:p>
        </w:tc>
        <w:tc>
          <w:tcPr>
            <w:tcW w:w="720" w:type="dxa"/>
            <w:noWrap w:val="0"/>
            <w:vAlign w:val="center"/>
          </w:tcPr>
          <w:p>
            <w:pPr>
              <w:snapToGrid w:val="0"/>
              <w:spacing w:before="0" w:beforeAutospacing="0" w:after="0" w:afterAutospacing="0" w:line="360" w:lineRule="auto"/>
              <w:ind w:left="0" w:right="0"/>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6</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color w:val="auto"/>
                <w:sz w:val="24"/>
                <w:highlight w:val="none"/>
              </w:rPr>
              <w:t>主观分</w:t>
            </w:r>
          </w:p>
        </w:tc>
        <w:tc>
          <w:tcPr>
            <w:tcW w:w="1636" w:type="dxa"/>
            <w:vMerge w:val="restart"/>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企业管理制度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c>
          <w:tcPr>
            <w:tcW w:w="6327" w:type="dxa"/>
            <w:noWrap w:val="0"/>
            <w:vAlign w:val="center"/>
          </w:tcPr>
          <w:p>
            <w:pPr>
              <w:adjustRightInd/>
              <w:spacing w:before="0" w:beforeAutospacing="0" w:after="0" w:afterAutospacing="0" w:line="360" w:lineRule="auto"/>
              <w:ind w:left="0" w:right="0"/>
              <w:rPr>
                <w:rFonts w:hint="default"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default" w:ascii="仿宋" w:hAnsi="仿宋" w:eastAsia="仿宋" w:cs="仿宋"/>
                <w:color w:val="auto"/>
                <w:kern w:val="0"/>
                <w:sz w:val="24"/>
                <w:highlight w:val="none"/>
              </w:rPr>
              <w:t>2</w:t>
            </w:r>
            <w:r>
              <w:rPr>
                <w:rFonts w:hint="eastAsia" w:ascii="仿宋" w:hAnsi="仿宋" w:eastAsia="仿宋" w:cs="仿宋"/>
                <w:color w:val="auto"/>
                <w:kern w:val="0"/>
                <w:sz w:val="24"/>
                <w:highlight w:val="none"/>
              </w:rPr>
              <w:t>）根据投标人提供的组织接待业务和质量保证方案，内容科学合理方案可行的得</w:t>
            </w: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投标人提供的组织接待业务和质量保证方案，内容较科学合理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方案较可行的得</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投标人提供的组织接待业务和质量保证方案，内容不</w:t>
            </w:r>
            <w:r>
              <w:rPr>
                <w:rFonts w:hint="eastAsia" w:ascii="仿宋" w:hAnsi="仿宋" w:eastAsia="仿宋" w:cs="仿宋"/>
                <w:color w:val="auto"/>
                <w:kern w:val="0"/>
                <w:sz w:val="24"/>
                <w:highlight w:val="none"/>
                <w:lang w:val="en-US" w:eastAsia="zh-CN"/>
              </w:rPr>
              <w:t>详尽</w:t>
            </w:r>
            <w:r>
              <w:rPr>
                <w:rFonts w:hint="eastAsia" w:ascii="仿宋" w:hAnsi="仿宋" w:eastAsia="仿宋" w:cs="仿宋"/>
                <w:color w:val="auto"/>
                <w:kern w:val="0"/>
                <w:sz w:val="24"/>
                <w:highlight w:val="none"/>
              </w:rPr>
              <w:t>方案</w:t>
            </w:r>
            <w:r>
              <w:rPr>
                <w:rFonts w:hint="eastAsia" w:ascii="仿宋" w:hAnsi="仿宋" w:eastAsia="仿宋" w:cs="仿宋"/>
                <w:color w:val="auto"/>
                <w:kern w:val="0"/>
                <w:sz w:val="24"/>
                <w:highlight w:val="none"/>
                <w:lang w:val="en-US" w:eastAsia="zh-CN"/>
              </w:rPr>
              <w:t>不全面</w:t>
            </w:r>
            <w:r>
              <w:rPr>
                <w:rFonts w:hint="eastAsia" w:ascii="仿宋" w:hAnsi="仿宋" w:eastAsia="仿宋" w:cs="仿宋"/>
                <w:color w:val="auto"/>
                <w:kern w:val="0"/>
                <w:sz w:val="24"/>
                <w:highlight w:val="none"/>
              </w:rPr>
              <w:t>的得</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投标人提供的组织接待业务和质量保证方案</w:t>
            </w:r>
            <w:r>
              <w:rPr>
                <w:rFonts w:hint="eastAsia" w:ascii="仿宋" w:hAnsi="仿宋" w:eastAsia="仿宋" w:cs="仿宋"/>
                <w:color w:val="auto"/>
                <w:kern w:val="0"/>
                <w:sz w:val="24"/>
                <w:highlight w:val="none"/>
                <w:lang w:val="en-US" w:eastAsia="zh-CN"/>
              </w:rPr>
              <w:t>不合理或</w:t>
            </w:r>
            <w:r>
              <w:rPr>
                <w:rFonts w:hint="eastAsia" w:ascii="仿宋" w:hAnsi="仿宋" w:eastAsia="仿宋" w:cs="仿宋"/>
                <w:color w:val="auto"/>
                <w:kern w:val="0"/>
                <w:sz w:val="24"/>
                <w:highlight w:val="none"/>
              </w:rPr>
              <w:t>不提供的不得分。</w:t>
            </w:r>
          </w:p>
        </w:tc>
        <w:tc>
          <w:tcPr>
            <w:tcW w:w="720" w:type="dxa"/>
            <w:noWrap w:val="0"/>
            <w:vAlign w:val="center"/>
          </w:tcPr>
          <w:p>
            <w:pPr>
              <w:snapToGrid w:val="0"/>
              <w:spacing w:before="0" w:beforeAutospacing="0" w:after="0" w:afterAutospacing="0" w:line="360" w:lineRule="auto"/>
              <w:ind w:left="0" w:right="0"/>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6</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color w:val="auto"/>
                <w:sz w:val="24"/>
                <w:highlight w:val="none"/>
              </w:rPr>
              <w:t>主观分</w:t>
            </w:r>
          </w:p>
        </w:tc>
        <w:tc>
          <w:tcPr>
            <w:tcW w:w="1636"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default" w:ascii="仿宋" w:hAnsi="仿宋" w:eastAsia="仿宋" w:cs="仿宋_GB2312"/>
                <w:color w:val="auto"/>
                <w:sz w:val="24"/>
                <w:highlight w:val="none"/>
              </w:rPr>
              <w:t>2</w:t>
            </w:r>
          </w:p>
        </w:tc>
        <w:tc>
          <w:tcPr>
            <w:tcW w:w="6327" w:type="dxa"/>
            <w:noWrap w:val="0"/>
            <w:vAlign w:val="center"/>
          </w:tcPr>
          <w:p>
            <w:pPr>
              <w:adjustRightInd/>
              <w:spacing w:before="0" w:beforeAutospacing="0" w:after="0" w:afterAutospacing="0" w:line="360" w:lineRule="auto"/>
              <w:ind w:left="0" w:right="0"/>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）安全管理体系：组织机构、安全管理制度、应急预案（包括疫情防控应急预案）等以上体系内容完全科学合理可行的得</w:t>
            </w: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组织机构、安全管理制度、应急预案（包括疫情防控应急预案）等以上体系内容较科学合理可行的得</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组织机构、安全管理制度、应急预案（包括疫情防控应急预案）内容不</w:t>
            </w:r>
            <w:r>
              <w:rPr>
                <w:rFonts w:hint="eastAsia" w:ascii="仿宋" w:hAnsi="仿宋" w:eastAsia="仿宋" w:cs="仿宋"/>
                <w:color w:val="auto"/>
                <w:kern w:val="0"/>
                <w:sz w:val="24"/>
                <w:highlight w:val="none"/>
                <w:lang w:val="en-US" w:eastAsia="zh-CN"/>
              </w:rPr>
              <w:t>详尽</w:t>
            </w:r>
            <w:r>
              <w:rPr>
                <w:rFonts w:hint="eastAsia" w:ascii="仿宋" w:hAnsi="仿宋" w:eastAsia="仿宋" w:cs="仿宋"/>
                <w:color w:val="auto"/>
                <w:kern w:val="0"/>
                <w:sz w:val="24"/>
                <w:highlight w:val="none"/>
              </w:rPr>
              <w:t>方案</w:t>
            </w:r>
            <w:r>
              <w:rPr>
                <w:rFonts w:hint="eastAsia" w:ascii="仿宋" w:hAnsi="仿宋" w:eastAsia="仿宋" w:cs="仿宋"/>
                <w:color w:val="auto"/>
                <w:kern w:val="0"/>
                <w:sz w:val="24"/>
                <w:highlight w:val="none"/>
                <w:lang w:val="en-US" w:eastAsia="zh-CN"/>
              </w:rPr>
              <w:t>不全面</w:t>
            </w:r>
            <w:r>
              <w:rPr>
                <w:rFonts w:hint="eastAsia" w:ascii="仿宋" w:hAnsi="仿宋" w:eastAsia="仿宋" w:cs="仿宋"/>
                <w:color w:val="auto"/>
                <w:kern w:val="0"/>
                <w:sz w:val="24"/>
                <w:highlight w:val="none"/>
              </w:rPr>
              <w:t>的得</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组织机构、安全管理制度、应急预案（包括疫情防控应急预案）不合理的或不提供的不得分。</w:t>
            </w:r>
          </w:p>
        </w:tc>
        <w:tc>
          <w:tcPr>
            <w:tcW w:w="720" w:type="dxa"/>
            <w:noWrap w:val="0"/>
            <w:vAlign w:val="center"/>
          </w:tcPr>
          <w:p>
            <w:pPr>
              <w:snapToGrid w:val="0"/>
              <w:spacing w:before="0" w:beforeAutospacing="0" w:after="0" w:afterAutospacing="0" w:line="360" w:lineRule="auto"/>
              <w:ind w:left="0" w:right="0"/>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6</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color w:val="auto"/>
                <w:sz w:val="24"/>
                <w:highlight w:val="none"/>
              </w:rPr>
              <w:t>主观分</w:t>
            </w:r>
          </w:p>
        </w:tc>
        <w:tc>
          <w:tcPr>
            <w:tcW w:w="1636"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安全管理措施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restart"/>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default" w:ascii="仿宋" w:hAnsi="仿宋" w:eastAsia="仿宋" w:cs="仿宋_GB2312"/>
                <w:color w:val="auto"/>
                <w:sz w:val="24"/>
                <w:highlight w:val="none"/>
              </w:rPr>
              <w:t>3</w:t>
            </w:r>
          </w:p>
        </w:tc>
        <w:tc>
          <w:tcPr>
            <w:tcW w:w="6327" w:type="dxa"/>
            <w:noWrap w:val="0"/>
            <w:vAlign w:val="center"/>
          </w:tcPr>
          <w:p>
            <w:pPr>
              <w:snapToGrid w:val="0"/>
              <w:spacing w:before="0" w:beforeAutospacing="0" w:after="0" w:afterAutospacing="0" w:line="360" w:lineRule="auto"/>
              <w:ind w:left="0" w:right="0"/>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）针对本项目线路安排（包括景点安排）：每条线路必须提供详细的行程单，</w:t>
            </w:r>
            <w:r>
              <w:rPr>
                <w:rFonts w:hint="eastAsia" w:ascii="仿宋" w:hAnsi="仿宋" w:eastAsia="仿宋" w:cs="仿宋"/>
                <w:color w:val="auto"/>
                <w:kern w:val="0"/>
                <w:sz w:val="24"/>
                <w:highlight w:val="none"/>
                <w:lang w:val="en-US" w:eastAsia="zh-CN"/>
              </w:rPr>
              <w:t>投标人提供的行程单</w:t>
            </w:r>
            <w:r>
              <w:rPr>
                <w:rFonts w:hint="eastAsia" w:ascii="仿宋" w:hAnsi="仿宋" w:eastAsia="仿宋" w:cs="仿宋"/>
                <w:color w:val="auto"/>
                <w:kern w:val="0"/>
                <w:sz w:val="24"/>
                <w:highlight w:val="none"/>
              </w:rPr>
              <w:t>安排完全合理可行的得</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投标人提供的行程单</w:t>
            </w:r>
            <w:r>
              <w:rPr>
                <w:rFonts w:hint="eastAsia" w:ascii="仿宋" w:hAnsi="仿宋" w:eastAsia="仿宋" w:cs="仿宋"/>
                <w:color w:val="auto"/>
                <w:kern w:val="0"/>
                <w:sz w:val="24"/>
                <w:highlight w:val="none"/>
              </w:rPr>
              <w:t>安排较合理可行的得</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投标人提供的行程单</w:t>
            </w:r>
            <w:r>
              <w:rPr>
                <w:rFonts w:hint="eastAsia" w:ascii="仿宋" w:hAnsi="仿宋" w:eastAsia="仿宋" w:cs="仿宋"/>
                <w:color w:val="auto"/>
                <w:kern w:val="0"/>
                <w:sz w:val="24"/>
                <w:highlight w:val="none"/>
              </w:rPr>
              <w:t>安排</w:t>
            </w:r>
            <w:r>
              <w:rPr>
                <w:rFonts w:hint="eastAsia" w:ascii="仿宋" w:hAnsi="仿宋" w:eastAsia="仿宋" w:cs="仿宋"/>
                <w:color w:val="auto"/>
                <w:kern w:val="0"/>
                <w:sz w:val="24"/>
                <w:highlight w:val="none"/>
                <w:lang w:val="en-US" w:eastAsia="zh-CN"/>
              </w:rPr>
              <w:t>合理性一般</w:t>
            </w:r>
            <w:r>
              <w:rPr>
                <w:rFonts w:hint="eastAsia" w:ascii="仿宋" w:hAnsi="仿宋" w:eastAsia="仿宋" w:cs="仿宋"/>
                <w:color w:val="auto"/>
                <w:kern w:val="0"/>
                <w:sz w:val="24"/>
                <w:highlight w:val="none"/>
              </w:rPr>
              <w:t>的得</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val="en-US" w:eastAsia="zh-CN"/>
              </w:rPr>
              <w:t>投标人提供的行程单不合理或</w:t>
            </w:r>
            <w:r>
              <w:rPr>
                <w:rFonts w:hint="eastAsia" w:ascii="仿宋" w:hAnsi="仿宋" w:eastAsia="仿宋" w:cs="仿宋"/>
                <w:color w:val="auto"/>
                <w:kern w:val="0"/>
                <w:sz w:val="24"/>
                <w:highlight w:val="none"/>
              </w:rPr>
              <w:t>不提供的不得分；</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）根据投标文件中标明的各景点特色，内容丰富的得</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投标文件中标明的各景点特色，内容较丰富的得</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投标文件中标明的各景点特色，内容简单的得</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投标人提供</w:t>
            </w:r>
            <w:r>
              <w:rPr>
                <w:rFonts w:hint="eastAsia" w:ascii="仿宋" w:hAnsi="仿宋" w:eastAsia="仿宋" w:cs="仿宋"/>
                <w:color w:val="auto"/>
                <w:kern w:val="0"/>
                <w:sz w:val="24"/>
                <w:highlight w:val="none"/>
              </w:rPr>
              <w:t>的各景点特色</w:t>
            </w:r>
            <w:r>
              <w:rPr>
                <w:rFonts w:hint="eastAsia" w:ascii="仿宋" w:hAnsi="仿宋" w:eastAsia="仿宋" w:cs="仿宋"/>
                <w:color w:val="auto"/>
                <w:kern w:val="0"/>
                <w:sz w:val="24"/>
                <w:highlight w:val="none"/>
                <w:lang w:val="en-US" w:eastAsia="zh-CN"/>
              </w:rPr>
              <w:t>不合理或</w:t>
            </w:r>
            <w:r>
              <w:rPr>
                <w:rFonts w:hint="eastAsia" w:ascii="仿宋" w:hAnsi="仿宋" w:eastAsia="仿宋" w:cs="仿宋"/>
                <w:color w:val="auto"/>
                <w:kern w:val="0"/>
                <w:sz w:val="24"/>
                <w:highlight w:val="none"/>
              </w:rPr>
              <w:t>不提供的不得分；</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）根据投标文件中标明的游玩时间，有规划</w:t>
            </w:r>
            <w:r>
              <w:rPr>
                <w:rFonts w:hint="eastAsia" w:ascii="仿宋" w:hAnsi="仿宋" w:eastAsia="仿宋" w:cs="仿宋"/>
                <w:color w:val="auto"/>
                <w:kern w:val="0"/>
                <w:sz w:val="24"/>
                <w:highlight w:val="none"/>
                <w:lang w:val="en-US" w:eastAsia="zh-CN"/>
              </w:rPr>
              <w:t>并且合理</w:t>
            </w:r>
            <w:r>
              <w:rPr>
                <w:rFonts w:hint="eastAsia" w:ascii="仿宋" w:hAnsi="仿宋" w:eastAsia="仿宋" w:cs="仿宋"/>
                <w:color w:val="auto"/>
                <w:kern w:val="0"/>
                <w:sz w:val="24"/>
                <w:highlight w:val="none"/>
              </w:rPr>
              <w:t>的得</w:t>
            </w:r>
            <w:r>
              <w:rPr>
                <w:rFonts w:hint="default" w:ascii="仿宋" w:hAnsi="仿宋" w:eastAsia="仿宋" w:cs="仿宋"/>
                <w:color w:val="auto"/>
                <w:kern w:val="0"/>
                <w:sz w:val="24"/>
                <w:highlight w:val="none"/>
              </w:rPr>
              <w:t>2</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根据投标文件中标明的游玩时间</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有规划</w:t>
            </w:r>
            <w:r>
              <w:rPr>
                <w:rFonts w:hint="eastAsia" w:ascii="仿宋" w:hAnsi="仿宋" w:eastAsia="仿宋" w:cs="仿宋"/>
                <w:color w:val="auto"/>
                <w:kern w:val="0"/>
                <w:sz w:val="24"/>
                <w:highlight w:val="none"/>
                <w:lang w:val="en-US" w:eastAsia="zh-CN"/>
              </w:rPr>
              <w:t>较为合理</w:t>
            </w:r>
            <w:r>
              <w:rPr>
                <w:rFonts w:hint="eastAsia" w:ascii="仿宋" w:hAnsi="仿宋" w:eastAsia="仿宋" w:cs="仿宋"/>
                <w:color w:val="auto"/>
                <w:kern w:val="0"/>
                <w:sz w:val="24"/>
                <w:highlight w:val="none"/>
              </w:rPr>
              <w:t>的得</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投标文件中游玩时间规划不合理的</w:t>
            </w:r>
            <w:r>
              <w:rPr>
                <w:rFonts w:hint="eastAsia" w:ascii="仿宋" w:hAnsi="仿宋" w:eastAsia="仿宋" w:cs="仿宋"/>
                <w:color w:val="auto"/>
                <w:kern w:val="0"/>
                <w:sz w:val="24"/>
                <w:highlight w:val="none"/>
              </w:rPr>
              <w:t>的或不提供的不得分。</w:t>
            </w:r>
          </w:p>
        </w:tc>
        <w:tc>
          <w:tcPr>
            <w:tcW w:w="720"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12</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color w:val="auto"/>
                <w:sz w:val="24"/>
                <w:highlight w:val="none"/>
              </w:rPr>
              <w:t>主观分</w:t>
            </w:r>
          </w:p>
        </w:tc>
        <w:tc>
          <w:tcPr>
            <w:tcW w:w="1636" w:type="dxa"/>
            <w:vMerge w:val="restart"/>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疗休养策划方案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c>
          <w:tcPr>
            <w:tcW w:w="6327" w:type="dxa"/>
            <w:noWrap w:val="0"/>
            <w:vAlign w:val="center"/>
          </w:tcPr>
          <w:p>
            <w:pPr>
              <w:adjustRightInd/>
              <w:spacing w:before="0" w:beforeAutospacing="0" w:after="0" w:afterAutospacing="0" w:line="360" w:lineRule="auto"/>
              <w:ind w:left="0" w:right="0"/>
              <w:rPr>
                <w:rFonts w:hint="default" w:ascii="仿宋" w:hAnsi="仿宋" w:eastAsia="仿宋" w:cs="仿宋"/>
                <w:color w:val="auto"/>
                <w:kern w:val="0"/>
                <w:sz w:val="24"/>
                <w:highlight w:val="none"/>
              </w:rPr>
            </w:pPr>
            <w:r>
              <w:rPr>
                <w:rFonts w:hint="eastAsia" w:ascii="仿宋" w:hAnsi="仿宋" w:eastAsia="仿宋" w:cs="仿宋"/>
                <w:color w:val="auto"/>
                <w:kern w:val="0"/>
                <w:sz w:val="24"/>
                <w:highlight w:val="none"/>
              </w:rPr>
              <w:t>①根据投标人提供的</w:t>
            </w:r>
            <w:r>
              <w:rPr>
                <w:rFonts w:hint="eastAsia" w:ascii="仿宋" w:hAnsi="仿宋" w:eastAsia="仿宋" w:cs="仿宋"/>
                <w:color w:val="auto"/>
                <w:kern w:val="0"/>
                <w:sz w:val="24"/>
                <w:highlight w:val="none"/>
                <w:lang w:val="zh-CN"/>
              </w:rPr>
              <w:t>酒店住宿安排</w:t>
            </w:r>
            <w:r>
              <w:rPr>
                <w:rFonts w:hint="eastAsia" w:ascii="仿宋" w:hAnsi="仿宋" w:eastAsia="仿宋" w:cs="仿宋"/>
                <w:color w:val="auto"/>
                <w:kern w:val="0"/>
                <w:sz w:val="24"/>
                <w:highlight w:val="none"/>
              </w:rPr>
              <w:t>，安排合理、环境优美、舒适度高、设施条件好的得</w:t>
            </w:r>
            <w:r>
              <w:rPr>
                <w:rFonts w:hint="default" w:ascii="仿宋" w:hAnsi="仿宋" w:eastAsia="仿宋" w:cs="仿宋"/>
                <w:color w:val="auto"/>
                <w:kern w:val="0"/>
                <w:sz w:val="24"/>
                <w:highlight w:val="none"/>
              </w:rPr>
              <w:t>3</w:t>
            </w:r>
            <w:r>
              <w:rPr>
                <w:rFonts w:hint="eastAsia" w:ascii="仿宋" w:hAnsi="仿宋" w:eastAsia="仿宋" w:cs="仿宋"/>
                <w:color w:val="auto"/>
                <w:kern w:val="0"/>
                <w:sz w:val="24"/>
                <w:highlight w:val="none"/>
              </w:rPr>
              <w:t>分，安排较合理、环境较优美、舒适度较好、设施条件较好的得</w:t>
            </w:r>
            <w:r>
              <w:rPr>
                <w:rFonts w:hint="default" w:ascii="仿宋" w:hAnsi="仿宋" w:eastAsia="仿宋" w:cs="仿宋"/>
                <w:color w:val="auto"/>
                <w:kern w:val="0"/>
                <w:sz w:val="24"/>
                <w:highlight w:val="none"/>
              </w:rPr>
              <w:t>2</w:t>
            </w:r>
            <w:r>
              <w:rPr>
                <w:rFonts w:hint="eastAsia" w:ascii="仿宋" w:hAnsi="仿宋" w:eastAsia="仿宋" w:cs="仿宋"/>
                <w:color w:val="auto"/>
                <w:kern w:val="0"/>
                <w:sz w:val="24"/>
                <w:highlight w:val="none"/>
              </w:rPr>
              <w:t>分，安排不合理、环境一般、舒适度一般、设施条件一般的得</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分，不提供相关酒店住宿安排的不得分。</w:t>
            </w:r>
          </w:p>
          <w:p>
            <w:pPr>
              <w:adjustRightInd/>
              <w:spacing w:before="0" w:beforeAutospacing="0" w:after="0" w:afterAutospacing="0" w:line="360" w:lineRule="auto"/>
              <w:ind w:left="0" w:right="0"/>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②</w:t>
            </w:r>
            <w:r>
              <w:rPr>
                <w:rFonts w:hint="eastAsia" w:ascii="仿宋" w:hAnsi="仿宋" w:eastAsia="仿宋" w:cs="仿宋"/>
                <w:color w:val="auto"/>
                <w:kern w:val="0"/>
                <w:sz w:val="24"/>
                <w:highlight w:val="none"/>
                <w:lang w:val="zh-CN"/>
              </w:rPr>
              <w:t>根据</w:t>
            </w:r>
            <w:r>
              <w:rPr>
                <w:rFonts w:hint="eastAsia" w:ascii="仿宋" w:hAnsi="仿宋" w:eastAsia="仿宋" w:cs="仿宋"/>
                <w:color w:val="auto"/>
                <w:kern w:val="0"/>
                <w:sz w:val="24"/>
                <w:highlight w:val="none"/>
              </w:rPr>
              <w:t>投标人提供的</w:t>
            </w:r>
            <w:r>
              <w:rPr>
                <w:rFonts w:hint="eastAsia" w:ascii="仿宋" w:hAnsi="仿宋" w:eastAsia="仿宋" w:cs="仿宋"/>
                <w:color w:val="auto"/>
                <w:kern w:val="0"/>
                <w:sz w:val="24"/>
                <w:highlight w:val="none"/>
                <w:lang w:val="zh-CN"/>
              </w:rPr>
              <w:t>酒店星级</w:t>
            </w:r>
            <w:r>
              <w:rPr>
                <w:rFonts w:hint="eastAsia" w:ascii="仿宋" w:hAnsi="仿宋" w:eastAsia="仿宋" w:cs="仿宋"/>
                <w:color w:val="auto"/>
                <w:kern w:val="0"/>
                <w:sz w:val="24"/>
                <w:highlight w:val="none"/>
              </w:rPr>
              <w:t>，均为</w:t>
            </w:r>
            <w:r>
              <w:rPr>
                <w:rFonts w:hint="eastAsia" w:ascii="仿宋" w:hAnsi="仿宋" w:eastAsia="仿宋" w:cs="仿宋"/>
                <w:color w:val="auto"/>
                <w:kern w:val="0"/>
                <w:sz w:val="24"/>
                <w:highlight w:val="none"/>
                <w:lang w:val="en-US" w:eastAsia="zh-CN"/>
              </w:rPr>
              <w:t>携程四钻</w:t>
            </w:r>
            <w:r>
              <w:rPr>
                <w:rFonts w:hint="eastAsia" w:ascii="仿宋" w:hAnsi="仿宋" w:eastAsia="仿宋" w:cs="仿宋"/>
                <w:color w:val="auto"/>
                <w:kern w:val="0"/>
                <w:sz w:val="24"/>
                <w:highlight w:val="none"/>
              </w:rPr>
              <w:t>级及以上的得</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rPr>
              <w:t>其余情况均不得分。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提供该酒店携程钻级截图及投标人与其合作的相关协议，不提供不得分）。</w:t>
            </w:r>
          </w:p>
          <w:p>
            <w:pPr>
              <w:snapToGrid w:val="0"/>
              <w:spacing w:before="0" w:beforeAutospacing="0" w:after="0" w:afterAutospacing="0" w:line="360" w:lineRule="auto"/>
              <w:ind w:left="0" w:right="0"/>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③根据投标人提供的酒店疗养服务内容，疗养设施丰富的得</w:t>
            </w:r>
            <w:r>
              <w:rPr>
                <w:rFonts w:hint="default" w:ascii="仿宋" w:hAnsi="仿宋" w:eastAsia="仿宋" w:cs="仿宋"/>
                <w:color w:val="auto"/>
                <w:kern w:val="0"/>
                <w:sz w:val="24"/>
                <w:highlight w:val="none"/>
              </w:rPr>
              <w:t>3</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投标人提供的酒店疗养服务内容</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疗养设施较丰富的得</w:t>
            </w:r>
            <w:r>
              <w:rPr>
                <w:rFonts w:hint="default" w:ascii="仿宋" w:hAnsi="仿宋" w:eastAsia="仿宋" w:cs="仿宋"/>
                <w:color w:val="auto"/>
                <w:kern w:val="0"/>
                <w:sz w:val="24"/>
                <w:highlight w:val="none"/>
              </w:rPr>
              <w:t>2</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投标人提供的酒店疗养服务内容</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疗养设施一般的得</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不提供酒店疗养服务的不得分。</w:t>
            </w:r>
          </w:p>
        </w:tc>
        <w:tc>
          <w:tcPr>
            <w:tcW w:w="720"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10</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color w:val="auto"/>
                <w:sz w:val="24"/>
                <w:highlight w:val="none"/>
              </w:rPr>
              <w:t>主观分</w:t>
            </w:r>
          </w:p>
        </w:tc>
        <w:tc>
          <w:tcPr>
            <w:tcW w:w="1636"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c>
          <w:tcPr>
            <w:tcW w:w="6327" w:type="dxa"/>
            <w:noWrap w:val="0"/>
            <w:vAlign w:val="center"/>
          </w:tcPr>
          <w:p>
            <w:pPr>
              <w:snapToGrid w:val="0"/>
              <w:spacing w:before="0" w:beforeAutospacing="0" w:after="0" w:afterAutospacing="0" w:line="360" w:lineRule="auto"/>
              <w:ind w:left="0" w:right="0"/>
              <w:rPr>
                <w:rFonts w:hint="eastAsia" w:ascii="仿宋" w:hAnsi="仿宋" w:eastAsia="仿宋" w:cs="仿宋_GB2312"/>
                <w:color w:val="auto"/>
                <w:sz w:val="24"/>
                <w:highlight w:val="none"/>
                <w:lang w:eastAsia="zh-CN"/>
              </w:rPr>
            </w:pPr>
            <w:r>
              <w:rPr>
                <w:rFonts w:hint="eastAsia" w:ascii="仿宋" w:hAnsi="仿宋" w:eastAsia="仿宋" w:cs="仿宋"/>
                <w:color w:val="auto"/>
                <w:kern w:val="0"/>
                <w:sz w:val="24"/>
                <w:highlight w:val="none"/>
              </w:rPr>
              <w:t>（</w:t>
            </w:r>
            <w:r>
              <w:rPr>
                <w:rFonts w:hint="default" w:ascii="仿宋" w:hAnsi="仿宋" w:eastAsia="仿宋" w:cs="仿宋"/>
                <w:color w:val="auto"/>
                <w:kern w:val="0"/>
                <w:sz w:val="24"/>
                <w:highlight w:val="none"/>
              </w:rPr>
              <w:t>3</w:t>
            </w:r>
            <w:r>
              <w:rPr>
                <w:rFonts w:hint="eastAsia" w:ascii="仿宋" w:hAnsi="仿宋" w:eastAsia="仿宋" w:cs="仿宋"/>
                <w:color w:val="auto"/>
                <w:kern w:val="0"/>
                <w:sz w:val="24"/>
                <w:highlight w:val="none"/>
              </w:rPr>
              <w:t>）根据投标人提供的用餐地点、食品安全保障措施，菜品（</w:t>
            </w:r>
            <w:r>
              <w:rPr>
                <w:rFonts w:hint="eastAsia" w:ascii="仿宋" w:hAnsi="仿宋" w:eastAsia="仿宋" w:cs="仿宋"/>
                <w:b/>
                <w:bCs/>
                <w:color w:val="auto"/>
                <w:kern w:val="0"/>
                <w:sz w:val="24"/>
                <w:highlight w:val="none"/>
              </w:rPr>
              <w:t>附菜品图片，如无不得分</w:t>
            </w:r>
            <w:r>
              <w:rPr>
                <w:rFonts w:hint="eastAsia" w:ascii="仿宋" w:hAnsi="仿宋" w:eastAsia="仿宋" w:cs="仿宋"/>
                <w:color w:val="auto"/>
                <w:kern w:val="0"/>
                <w:sz w:val="24"/>
                <w:highlight w:val="none"/>
              </w:rPr>
              <w:t>）搭配、就餐环境</w:t>
            </w:r>
            <w:r>
              <w:rPr>
                <w:rFonts w:hint="eastAsia" w:ascii="仿宋" w:hAnsi="仿宋" w:eastAsia="仿宋" w:cs="仿宋"/>
                <w:color w:val="auto"/>
                <w:kern w:val="0"/>
                <w:sz w:val="24"/>
                <w:highlight w:val="none"/>
                <w:lang w:val="en-US" w:eastAsia="zh-CN"/>
              </w:rPr>
              <w:t>优美</w:t>
            </w:r>
            <w:r>
              <w:rPr>
                <w:rFonts w:hint="eastAsia" w:ascii="仿宋" w:hAnsi="仿宋" w:eastAsia="仿宋" w:cs="仿宋"/>
                <w:color w:val="auto"/>
                <w:kern w:val="0"/>
                <w:sz w:val="24"/>
                <w:highlight w:val="none"/>
              </w:rPr>
              <w:t>，内容丰富科学合理的得</w:t>
            </w: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投标人提供的用餐地点、食品安全保障措施，菜品（</w:t>
            </w:r>
            <w:r>
              <w:rPr>
                <w:rFonts w:hint="eastAsia" w:ascii="仿宋" w:hAnsi="仿宋" w:eastAsia="仿宋" w:cs="仿宋"/>
                <w:b/>
                <w:bCs/>
                <w:color w:val="auto"/>
                <w:kern w:val="0"/>
                <w:sz w:val="24"/>
                <w:highlight w:val="none"/>
              </w:rPr>
              <w:t>附菜品图片，如无不得分</w:t>
            </w:r>
            <w:r>
              <w:rPr>
                <w:rFonts w:hint="eastAsia" w:ascii="仿宋" w:hAnsi="仿宋" w:eastAsia="仿宋" w:cs="仿宋"/>
                <w:color w:val="auto"/>
                <w:kern w:val="0"/>
                <w:sz w:val="24"/>
                <w:highlight w:val="none"/>
              </w:rPr>
              <w:t>）搭配、就餐环境</w:t>
            </w:r>
            <w:r>
              <w:rPr>
                <w:rFonts w:hint="eastAsia" w:ascii="仿宋" w:hAnsi="仿宋" w:eastAsia="仿宋" w:cs="仿宋"/>
                <w:color w:val="auto"/>
                <w:kern w:val="0"/>
                <w:sz w:val="24"/>
                <w:highlight w:val="none"/>
                <w:lang w:val="en-US" w:eastAsia="zh-CN"/>
              </w:rPr>
              <w:t>良好</w:t>
            </w:r>
            <w:r>
              <w:rPr>
                <w:rFonts w:hint="eastAsia" w:ascii="仿宋" w:hAnsi="仿宋" w:eastAsia="仿宋" w:cs="仿宋"/>
                <w:color w:val="auto"/>
                <w:kern w:val="0"/>
                <w:sz w:val="24"/>
                <w:highlight w:val="none"/>
              </w:rPr>
              <w:t>，内容较丰富科学合理的得</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投标人提供的用餐地点、食品安全保障措施，菜品（</w:t>
            </w:r>
            <w:r>
              <w:rPr>
                <w:rFonts w:hint="eastAsia" w:ascii="仿宋" w:hAnsi="仿宋" w:eastAsia="仿宋" w:cs="仿宋"/>
                <w:b/>
                <w:bCs/>
                <w:color w:val="auto"/>
                <w:kern w:val="0"/>
                <w:sz w:val="24"/>
                <w:highlight w:val="none"/>
              </w:rPr>
              <w:t>附菜品图片，如无不得分</w:t>
            </w:r>
            <w:r>
              <w:rPr>
                <w:rFonts w:hint="eastAsia" w:ascii="仿宋" w:hAnsi="仿宋" w:eastAsia="仿宋" w:cs="仿宋"/>
                <w:color w:val="auto"/>
                <w:kern w:val="0"/>
                <w:sz w:val="24"/>
                <w:highlight w:val="none"/>
              </w:rPr>
              <w:t>）搭配、就餐环境</w:t>
            </w:r>
            <w:r>
              <w:rPr>
                <w:rFonts w:hint="eastAsia" w:ascii="仿宋" w:hAnsi="仿宋" w:eastAsia="仿宋" w:cs="仿宋"/>
                <w:color w:val="auto"/>
                <w:kern w:val="0"/>
                <w:sz w:val="24"/>
                <w:highlight w:val="none"/>
                <w:lang w:val="en-US" w:eastAsia="zh-CN"/>
              </w:rPr>
              <w:t>一般</w:t>
            </w:r>
            <w:r>
              <w:rPr>
                <w:rFonts w:hint="eastAsia" w:ascii="仿宋" w:hAnsi="仿宋" w:eastAsia="仿宋" w:cs="仿宋"/>
                <w:color w:val="auto"/>
                <w:kern w:val="0"/>
                <w:sz w:val="24"/>
                <w:highlight w:val="none"/>
              </w:rPr>
              <w:t>，内容</w:t>
            </w:r>
            <w:r>
              <w:rPr>
                <w:rFonts w:hint="eastAsia" w:ascii="仿宋" w:hAnsi="仿宋" w:eastAsia="仿宋" w:cs="仿宋"/>
                <w:color w:val="auto"/>
                <w:kern w:val="0"/>
                <w:sz w:val="24"/>
                <w:highlight w:val="none"/>
                <w:lang w:val="en-US" w:eastAsia="zh-CN"/>
              </w:rPr>
              <w:t>一般</w:t>
            </w:r>
            <w:r>
              <w:rPr>
                <w:rFonts w:hint="eastAsia" w:ascii="仿宋" w:hAnsi="仿宋" w:eastAsia="仿宋" w:cs="仿宋"/>
                <w:color w:val="auto"/>
                <w:kern w:val="0"/>
                <w:sz w:val="24"/>
                <w:highlight w:val="none"/>
              </w:rPr>
              <w:t>的得</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p>
        </w:tc>
        <w:tc>
          <w:tcPr>
            <w:tcW w:w="720" w:type="dxa"/>
            <w:noWrap w:val="0"/>
            <w:vAlign w:val="center"/>
          </w:tcPr>
          <w:p>
            <w:pPr>
              <w:snapToGrid w:val="0"/>
              <w:spacing w:before="0" w:beforeAutospacing="0" w:after="0" w:afterAutospacing="0" w:line="360" w:lineRule="auto"/>
              <w:ind w:left="0" w:right="0"/>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6</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color w:val="auto"/>
                <w:sz w:val="24"/>
                <w:highlight w:val="none"/>
              </w:rPr>
              <w:t>主观分</w:t>
            </w:r>
          </w:p>
        </w:tc>
        <w:tc>
          <w:tcPr>
            <w:tcW w:w="1636"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c>
          <w:tcPr>
            <w:tcW w:w="6327" w:type="dxa"/>
            <w:noWrap w:val="0"/>
            <w:vAlign w:val="center"/>
          </w:tcPr>
          <w:p>
            <w:pPr>
              <w:snapToGrid w:val="0"/>
              <w:spacing w:before="0" w:beforeAutospacing="0" w:after="0" w:afterAutospacing="0" w:line="360" w:lineRule="auto"/>
              <w:ind w:left="0" w:right="0"/>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w:t>
            </w:r>
            <w:r>
              <w:rPr>
                <w:rFonts w:hint="default" w:ascii="仿宋" w:hAnsi="仿宋" w:eastAsia="仿宋" w:cs="仿宋"/>
                <w:color w:val="auto"/>
                <w:kern w:val="0"/>
                <w:sz w:val="24"/>
                <w:highlight w:val="none"/>
              </w:rPr>
              <w:t>4</w:t>
            </w:r>
            <w:r>
              <w:rPr>
                <w:rFonts w:hint="eastAsia" w:ascii="仿宋" w:hAnsi="仿宋" w:eastAsia="仿宋" w:cs="仿宋"/>
                <w:color w:val="auto"/>
                <w:kern w:val="0"/>
                <w:sz w:val="24"/>
                <w:highlight w:val="none"/>
              </w:rPr>
              <w:t>）根据投标人提供的</w:t>
            </w:r>
            <w:r>
              <w:rPr>
                <w:rFonts w:hint="eastAsia" w:ascii="仿宋" w:hAnsi="仿宋" w:eastAsia="仿宋" w:cs="仿宋"/>
                <w:color w:val="auto"/>
                <w:kern w:val="0"/>
                <w:sz w:val="24"/>
                <w:highlight w:val="none"/>
                <w:lang w:val="zh-CN"/>
              </w:rPr>
              <w:t>旅游车或其他交通工具安排，</w:t>
            </w:r>
            <w:r>
              <w:rPr>
                <w:rFonts w:hint="eastAsia" w:ascii="仿宋" w:hAnsi="仿宋" w:eastAsia="仿宋" w:cs="仿宋"/>
                <w:color w:val="auto"/>
                <w:kern w:val="0"/>
                <w:sz w:val="24"/>
                <w:highlight w:val="none"/>
              </w:rPr>
              <w:t>安排合理且在</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年内的得</w:t>
            </w: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根据投标人提供的</w:t>
            </w:r>
            <w:r>
              <w:rPr>
                <w:rFonts w:hint="eastAsia" w:ascii="仿宋" w:hAnsi="仿宋" w:eastAsia="仿宋" w:cs="仿宋"/>
                <w:color w:val="auto"/>
                <w:kern w:val="0"/>
                <w:sz w:val="24"/>
                <w:highlight w:val="none"/>
                <w:lang w:val="zh-CN"/>
              </w:rPr>
              <w:t>旅游车或其他交通工具安排，</w:t>
            </w:r>
            <w:r>
              <w:rPr>
                <w:rFonts w:hint="eastAsia" w:ascii="仿宋" w:hAnsi="仿宋" w:eastAsia="仿宋" w:cs="仿宋"/>
                <w:color w:val="auto"/>
                <w:kern w:val="0"/>
                <w:sz w:val="24"/>
                <w:highlight w:val="none"/>
              </w:rPr>
              <w:t>安排较合理且在</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年内的得</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根据投标人提供的</w:t>
            </w:r>
            <w:r>
              <w:rPr>
                <w:rFonts w:hint="eastAsia" w:ascii="仿宋" w:hAnsi="仿宋" w:eastAsia="仿宋" w:cs="仿宋"/>
                <w:color w:val="auto"/>
                <w:kern w:val="0"/>
                <w:sz w:val="24"/>
                <w:highlight w:val="none"/>
                <w:lang w:val="zh-CN"/>
              </w:rPr>
              <w:t>旅游车或其他交通工具安排，</w:t>
            </w:r>
            <w:r>
              <w:rPr>
                <w:rFonts w:hint="eastAsia" w:ascii="仿宋" w:hAnsi="仿宋" w:eastAsia="仿宋" w:cs="仿宋"/>
                <w:color w:val="auto"/>
                <w:kern w:val="0"/>
                <w:sz w:val="24"/>
                <w:highlight w:val="none"/>
              </w:rPr>
              <w:t>安排不够合理且不在</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年内的得</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投标人提供的</w:t>
            </w:r>
            <w:r>
              <w:rPr>
                <w:rFonts w:hint="eastAsia" w:ascii="仿宋" w:hAnsi="仿宋" w:eastAsia="仿宋" w:cs="仿宋"/>
                <w:color w:val="auto"/>
                <w:kern w:val="0"/>
                <w:sz w:val="24"/>
                <w:highlight w:val="none"/>
                <w:lang w:val="zh-CN"/>
              </w:rPr>
              <w:t>旅游车或其他交通工具</w:t>
            </w:r>
            <w:r>
              <w:rPr>
                <w:rFonts w:hint="eastAsia" w:ascii="仿宋" w:hAnsi="仿宋" w:eastAsia="仿宋" w:cs="仿宋"/>
                <w:color w:val="auto"/>
                <w:kern w:val="0"/>
                <w:sz w:val="24"/>
                <w:highlight w:val="none"/>
              </w:rPr>
              <w:t>安排完全不合理且不在三年内的或不提供的不得分。</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kern w:val="0"/>
                <w:sz w:val="24"/>
                <w:highlight w:val="none"/>
              </w:rPr>
              <w:t>投标文件中提供的空调旅游大巴道路运输许可证，车队合作协议及车队规模、营业执照等资质情况，可提供相关图片、驾照、行驶证扫描件或复印件等加盖公章作为辅助评审资料</w:t>
            </w:r>
            <w:r>
              <w:rPr>
                <w:rFonts w:hint="eastAsia" w:ascii="仿宋" w:hAnsi="仿宋" w:eastAsia="仿宋" w:cs="仿宋"/>
                <w:b/>
                <w:bCs/>
                <w:color w:val="auto"/>
                <w:kern w:val="0"/>
                <w:sz w:val="24"/>
                <w:highlight w:val="none"/>
                <w:lang w:val="zh-CN"/>
              </w:rPr>
              <w:t>，否则不得分。）</w:t>
            </w:r>
          </w:p>
        </w:tc>
        <w:tc>
          <w:tcPr>
            <w:tcW w:w="720" w:type="dxa"/>
            <w:noWrap w:val="0"/>
            <w:vAlign w:val="center"/>
          </w:tcPr>
          <w:p>
            <w:pPr>
              <w:snapToGrid w:val="0"/>
              <w:spacing w:before="0" w:beforeAutospacing="0" w:after="0" w:afterAutospacing="0" w:line="360" w:lineRule="auto"/>
              <w:ind w:left="0" w:right="0"/>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6</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color w:val="auto"/>
                <w:sz w:val="24"/>
                <w:highlight w:val="none"/>
              </w:rPr>
              <w:t>主观分</w:t>
            </w:r>
          </w:p>
        </w:tc>
        <w:tc>
          <w:tcPr>
            <w:tcW w:w="1636"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c>
          <w:tcPr>
            <w:tcW w:w="6327" w:type="dxa"/>
            <w:noWrap w:val="0"/>
            <w:vAlign w:val="center"/>
          </w:tcPr>
          <w:p>
            <w:pPr>
              <w:snapToGrid w:val="0"/>
              <w:spacing w:before="0" w:beforeAutospacing="0" w:after="0" w:afterAutospacing="0" w:line="360" w:lineRule="auto"/>
              <w:ind w:left="0" w:right="0"/>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w:t>
            </w:r>
            <w:r>
              <w:rPr>
                <w:rFonts w:hint="default" w:ascii="仿宋" w:hAnsi="仿宋" w:eastAsia="仿宋" w:cs="仿宋"/>
                <w:color w:val="auto"/>
                <w:kern w:val="0"/>
                <w:sz w:val="24"/>
                <w:highlight w:val="none"/>
              </w:rPr>
              <w:t>5</w:t>
            </w:r>
            <w:r>
              <w:rPr>
                <w:rFonts w:hint="eastAsia" w:ascii="仿宋" w:hAnsi="仿宋" w:eastAsia="仿宋" w:cs="仿宋"/>
                <w:color w:val="auto"/>
                <w:kern w:val="0"/>
                <w:sz w:val="24"/>
                <w:highlight w:val="none"/>
              </w:rPr>
              <w:t>）根据投标人提供的</w:t>
            </w:r>
            <w:r>
              <w:rPr>
                <w:rFonts w:hint="eastAsia" w:ascii="仿宋" w:hAnsi="仿宋" w:eastAsia="仿宋" w:cs="仿宋"/>
                <w:color w:val="auto"/>
                <w:sz w:val="24"/>
                <w:highlight w:val="none"/>
              </w:rPr>
              <w:t>其他优惠措施方案、服务承诺（售后接受服务单位满意度测评等）及增值服务承诺，方案合理、承诺可行的得</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eastAsia="zh-CN"/>
              </w:rPr>
              <w:t>；</w:t>
            </w:r>
            <w:r>
              <w:rPr>
                <w:rFonts w:hint="eastAsia" w:ascii="仿宋" w:hAnsi="仿宋" w:eastAsia="仿宋" w:cs="仿宋"/>
                <w:color w:val="auto"/>
                <w:kern w:val="0"/>
                <w:sz w:val="24"/>
                <w:highlight w:val="none"/>
              </w:rPr>
              <w:t>标人提供的</w:t>
            </w:r>
            <w:r>
              <w:rPr>
                <w:rFonts w:hint="eastAsia" w:ascii="仿宋" w:hAnsi="仿宋" w:eastAsia="仿宋" w:cs="仿宋"/>
                <w:color w:val="auto"/>
                <w:sz w:val="24"/>
                <w:highlight w:val="none"/>
              </w:rPr>
              <w:t>其他优惠措施方案、服务承诺（售后接受服务单位满意度测评等）及增值服务承诺</w:t>
            </w:r>
            <w:r>
              <w:rPr>
                <w:rFonts w:hint="eastAsia" w:ascii="仿宋" w:hAnsi="仿宋" w:eastAsia="仿宋" w:cs="仿宋"/>
                <w:color w:val="auto"/>
                <w:sz w:val="24"/>
                <w:highlight w:val="none"/>
                <w:lang w:eastAsia="zh-CN"/>
              </w:rPr>
              <w:t>，</w:t>
            </w:r>
            <w:r>
              <w:rPr>
                <w:rFonts w:hint="eastAsia" w:ascii="仿宋" w:hAnsi="仿宋" w:eastAsia="仿宋" w:cs="仿宋"/>
                <w:color w:val="auto"/>
                <w:kern w:val="0"/>
                <w:sz w:val="24"/>
                <w:highlight w:val="none"/>
              </w:rPr>
              <w:t>方案较合理、承诺较可行的得</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方案不合理承诺不可行或不提供方案及承诺的均不得分，</w:t>
            </w:r>
            <w:r>
              <w:rPr>
                <w:rFonts w:hint="eastAsia" w:ascii="仿宋" w:hAnsi="仿宋" w:eastAsia="仿宋" w:cs="仿宋"/>
                <w:b/>
                <w:bCs/>
                <w:color w:val="auto"/>
                <w:sz w:val="24"/>
                <w:highlight w:val="none"/>
              </w:rPr>
              <w:t>承诺书格式自拟，无相关资料加盖公章则不得分。</w:t>
            </w:r>
          </w:p>
        </w:tc>
        <w:tc>
          <w:tcPr>
            <w:tcW w:w="720" w:type="dxa"/>
            <w:noWrap w:val="0"/>
            <w:vAlign w:val="center"/>
          </w:tcPr>
          <w:p>
            <w:pPr>
              <w:snapToGrid w:val="0"/>
              <w:spacing w:before="0" w:beforeAutospacing="0" w:after="0" w:afterAutospacing="0" w:line="360" w:lineRule="auto"/>
              <w:ind w:left="0" w:right="0"/>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2</w:t>
            </w:r>
          </w:p>
        </w:tc>
        <w:tc>
          <w:tcPr>
            <w:tcW w:w="1091" w:type="dxa"/>
            <w:noWrap w:val="0"/>
            <w:vAlign w:val="center"/>
          </w:tcPr>
          <w:p>
            <w:pPr>
              <w:tabs>
                <w:tab w:val="left" w:pos="450"/>
              </w:tabs>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color w:val="auto"/>
                <w:sz w:val="24"/>
                <w:highlight w:val="none"/>
              </w:rPr>
              <w:t>主观分</w:t>
            </w:r>
          </w:p>
        </w:tc>
        <w:tc>
          <w:tcPr>
            <w:tcW w:w="1636"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restart"/>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default" w:ascii="仿宋" w:hAnsi="仿宋" w:eastAsia="仿宋" w:cs="仿宋_GB2312"/>
                <w:color w:val="auto"/>
                <w:sz w:val="24"/>
                <w:highlight w:val="none"/>
              </w:rPr>
              <w:t>4</w:t>
            </w:r>
          </w:p>
        </w:tc>
        <w:tc>
          <w:tcPr>
            <w:tcW w:w="6327" w:type="dxa"/>
            <w:noWrap w:val="0"/>
            <w:vAlign w:val="center"/>
          </w:tcPr>
          <w:p>
            <w:pPr>
              <w:adjustRightInd/>
              <w:spacing w:before="0" w:beforeAutospacing="0" w:after="0" w:afterAutospacing="0" w:line="360" w:lineRule="auto"/>
              <w:ind w:left="0" w:right="0"/>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）根据投标人的提供方便、快捷、优质服务方案，方案可行便捷的得</w:t>
            </w:r>
            <w:r>
              <w:rPr>
                <w:rFonts w:hint="default" w:ascii="仿宋" w:hAnsi="仿宋" w:eastAsia="仿宋" w:cs="仿宋"/>
                <w:color w:val="auto"/>
                <w:kern w:val="0"/>
                <w:sz w:val="24"/>
                <w:highlight w:val="none"/>
              </w:rPr>
              <w:t>5</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投标人的提供方便、快捷、优质服务方案较可行便捷的得</w:t>
            </w:r>
            <w:r>
              <w:rPr>
                <w:rFonts w:hint="default" w:ascii="仿宋" w:hAnsi="仿宋" w:eastAsia="仿宋" w:cs="仿宋"/>
                <w:color w:val="auto"/>
                <w:kern w:val="0"/>
                <w:sz w:val="24"/>
                <w:highlight w:val="none"/>
              </w:rPr>
              <w:t>3</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投标人的提供方便、快捷、优质服务方案可行</w:t>
            </w:r>
            <w:r>
              <w:rPr>
                <w:rFonts w:hint="eastAsia" w:ascii="仿宋" w:hAnsi="仿宋" w:eastAsia="仿宋" w:cs="仿宋"/>
                <w:color w:val="auto"/>
                <w:kern w:val="0"/>
                <w:sz w:val="24"/>
                <w:highlight w:val="none"/>
                <w:lang w:val="en-US" w:eastAsia="zh-CN"/>
              </w:rPr>
              <w:t>性、</w:t>
            </w:r>
            <w:r>
              <w:rPr>
                <w:rFonts w:hint="eastAsia" w:ascii="仿宋" w:hAnsi="仿宋" w:eastAsia="仿宋" w:cs="仿宋"/>
                <w:color w:val="auto"/>
                <w:kern w:val="0"/>
                <w:sz w:val="24"/>
                <w:highlight w:val="none"/>
              </w:rPr>
              <w:t>便捷</w:t>
            </w:r>
            <w:r>
              <w:rPr>
                <w:rFonts w:hint="eastAsia" w:ascii="仿宋" w:hAnsi="仿宋" w:eastAsia="仿宋" w:cs="仿宋"/>
                <w:color w:val="auto"/>
                <w:kern w:val="0"/>
                <w:sz w:val="24"/>
                <w:highlight w:val="none"/>
                <w:lang w:val="en-US" w:eastAsia="zh-CN"/>
              </w:rPr>
              <w:t>性一般</w:t>
            </w:r>
            <w:r>
              <w:rPr>
                <w:rFonts w:hint="eastAsia" w:ascii="仿宋" w:hAnsi="仿宋" w:eastAsia="仿宋" w:cs="仿宋"/>
                <w:color w:val="auto"/>
                <w:kern w:val="0"/>
                <w:sz w:val="24"/>
                <w:highlight w:val="none"/>
              </w:rPr>
              <w:t>的得</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不提供方案的</w:t>
            </w:r>
            <w:r>
              <w:rPr>
                <w:rFonts w:hint="eastAsia" w:ascii="仿宋" w:hAnsi="仿宋" w:eastAsia="仿宋" w:cs="仿宋"/>
                <w:color w:val="auto"/>
                <w:kern w:val="0"/>
                <w:sz w:val="24"/>
                <w:highlight w:val="none"/>
                <w:lang w:val="en-US" w:eastAsia="zh-CN"/>
              </w:rPr>
              <w:t>或方案不合理的</w:t>
            </w:r>
            <w:r>
              <w:rPr>
                <w:rFonts w:hint="eastAsia" w:ascii="仿宋" w:hAnsi="仿宋" w:eastAsia="仿宋" w:cs="仿宋"/>
                <w:color w:val="auto"/>
                <w:kern w:val="0"/>
                <w:sz w:val="24"/>
                <w:highlight w:val="none"/>
              </w:rPr>
              <w:t>不得分。</w:t>
            </w:r>
          </w:p>
        </w:tc>
        <w:tc>
          <w:tcPr>
            <w:tcW w:w="720"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default" w:ascii="仿宋" w:hAnsi="仿宋" w:eastAsia="仿宋" w:cs="仿宋_GB2312"/>
                <w:color w:val="auto"/>
                <w:sz w:val="24"/>
                <w:highlight w:val="none"/>
              </w:rPr>
              <w:t>5</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color w:val="auto"/>
                <w:sz w:val="24"/>
                <w:highlight w:val="none"/>
              </w:rPr>
              <w:t>主观分</w:t>
            </w:r>
          </w:p>
        </w:tc>
        <w:tc>
          <w:tcPr>
            <w:tcW w:w="1636" w:type="dxa"/>
            <w:vMerge w:val="restart"/>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便捷服务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c>
          <w:tcPr>
            <w:tcW w:w="6327" w:type="dxa"/>
            <w:noWrap w:val="0"/>
            <w:vAlign w:val="center"/>
          </w:tcPr>
          <w:p>
            <w:pPr>
              <w:adjustRightInd/>
              <w:spacing w:before="0" w:beforeAutospacing="0" w:after="0" w:afterAutospacing="0" w:line="360" w:lineRule="auto"/>
              <w:ind w:left="0" w:right="0"/>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w:t>
            </w:r>
            <w:r>
              <w:rPr>
                <w:rFonts w:hint="default" w:ascii="仿宋" w:hAnsi="仿宋" w:eastAsia="仿宋" w:cs="仿宋"/>
                <w:color w:val="auto"/>
                <w:kern w:val="0"/>
                <w:sz w:val="24"/>
                <w:highlight w:val="none"/>
              </w:rPr>
              <w:t>2</w:t>
            </w:r>
            <w:r>
              <w:rPr>
                <w:rFonts w:hint="eastAsia" w:ascii="仿宋" w:hAnsi="仿宋" w:eastAsia="仿宋" w:cs="仿宋"/>
                <w:color w:val="auto"/>
                <w:kern w:val="0"/>
                <w:sz w:val="24"/>
                <w:highlight w:val="none"/>
              </w:rPr>
              <w:t>）根据投标人提供的日常投诉处理详细方案，方案合理可行的得</w:t>
            </w:r>
            <w:r>
              <w:rPr>
                <w:rFonts w:hint="default" w:ascii="仿宋" w:hAnsi="仿宋" w:eastAsia="仿宋" w:cs="仿宋"/>
                <w:color w:val="auto"/>
                <w:kern w:val="0"/>
                <w:sz w:val="24"/>
                <w:highlight w:val="none"/>
              </w:rPr>
              <w:t>5</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投标人提供的日常投诉处理详细方案较合理可行的得</w:t>
            </w:r>
            <w:r>
              <w:rPr>
                <w:rFonts w:hint="default" w:ascii="仿宋" w:hAnsi="仿宋" w:eastAsia="仿宋" w:cs="仿宋"/>
                <w:color w:val="auto"/>
                <w:kern w:val="0"/>
                <w:sz w:val="24"/>
                <w:highlight w:val="none"/>
              </w:rPr>
              <w:t>3</w:t>
            </w:r>
            <w:r>
              <w:rPr>
                <w:rFonts w:hint="eastAsia" w:ascii="仿宋" w:hAnsi="仿宋" w:eastAsia="仿宋" w:cs="仿宋"/>
                <w:color w:val="auto"/>
                <w:kern w:val="0"/>
                <w:sz w:val="24"/>
                <w:highlight w:val="none"/>
              </w:rPr>
              <w:t>分，投标人提供的日常投诉处理详细方案合理</w:t>
            </w:r>
            <w:r>
              <w:rPr>
                <w:rFonts w:hint="eastAsia" w:ascii="仿宋" w:hAnsi="仿宋" w:eastAsia="仿宋" w:cs="仿宋"/>
                <w:color w:val="auto"/>
                <w:kern w:val="0"/>
                <w:sz w:val="24"/>
                <w:highlight w:val="none"/>
                <w:lang w:val="en-US" w:eastAsia="zh-CN"/>
              </w:rPr>
              <w:t>性、</w:t>
            </w:r>
            <w:r>
              <w:rPr>
                <w:rFonts w:hint="eastAsia" w:ascii="仿宋" w:hAnsi="仿宋" w:eastAsia="仿宋" w:cs="仿宋"/>
                <w:color w:val="auto"/>
                <w:kern w:val="0"/>
                <w:sz w:val="24"/>
                <w:highlight w:val="none"/>
              </w:rPr>
              <w:t>可行</w:t>
            </w:r>
            <w:r>
              <w:rPr>
                <w:rFonts w:hint="eastAsia" w:ascii="仿宋" w:hAnsi="仿宋" w:eastAsia="仿宋" w:cs="仿宋"/>
                <w:color w:val="auto"/>
                <w:kern w:val="0"/>
                <w:sz w:val="24"/>
                <w:highlight w:val="none"/>
                <w:lang w:val="en-US" w:eastAsia="zh-CN"/>
              </w:rPr>
              <w:t>性一般的</w:t>
            </w:r>
            <w:r>
              <w:rPr>
                <w:rFonts w:hint="eastAsia" w:ascii="仿宋" w:hAnsi="仿宋" w:eastAsia="仿宋" w:cs="仿宋"/>
                <w:color w:val="auto"/>
                <w:kern w:val="0"/>
                <w:sz w:val="24"/>
                <w:highlight w:val="none"/>
              </w:rPr>
              <w:t>的得</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不提供方案的</w:t>
            </w:r>
            <w:r>
              <w:rPr>
                <w:rFonts w:hint="eastAsia" w:ascii="仿宋" w:hAnsi="仿宋" w:eastAsia="仿宋" w:cs="仿宋"/>
                <w:color w:val="auto"/>
                <w:kern w:val="0"/>
                <w:sz w:val="24"/>
                <w:highlight w:val="none"/>
                <w:lang w:val="en-US" w:eastAsia="zh-CN"/>
              </w:rPr>
              <w:t>或方案不合理的</w:t>
            </w:r>
            <w:r>
              <w:rPr>
                <w:rFonts w:hint="eastAsia" w:ascii="仿宋" w:hAnsi="仿宋" w:eastAsia="仿宋" w:cs="仿宋"/>
                <w:color w:val="auto"/>
                <w:kern w:val="0"/>
                <w:sz w:val="24"/>
                <w:highlight w:val="none"/>
              </w:rPr>
              <w:t>不得分。</w:t>
            </w:r>
          </w:p>
        </w:tc>
        <w:tc>
          <w:tcPr>
            <w:tcW w:w="720"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default" w:ascii="仿宋" w:hAnsi="仿宋" w:eastAsia="仿宋" w:cs="仿宋_GB2312"/>
                <w:color w:val="auto"/>
                <w:sz w:val="24"/>
                <w:highlight w:val="none"/>
              </w:rPr>
              <w:t>5</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color w:val="auto"/>
                <w:sz w:val="24"/>
                <w:highlight w:val="none"/>
              </w:rPr>
              <w:t>主观分</w:t>
            </w:r>
          </w:p>
        </w:tc>
        <w:tc>
          <w:tcPr>
            <w:tcW w:w="1636"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c>
          <w:tcPr>
            <w:tcW w:w="6327" w:type="dxa"/>
            <w:noWrap w:val="0"/>
            <w:vAlign w:val="center"/>
          </w:tcPr>
          <w:p>
            <w:pPr>
              <w:adjustRightInd/>
              <w:spacing w:before="0" w:beforeAutospacing="0" w:after="0" w:afterAutospacing="0" w:line="360" w:lineRule="auto"/>
              <w:ind w:left="0" w:right="0"/>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w:t>
            </w:r>
            <w:r>
              <w:rPr>
                <w:rFonts w:hint="default" w:ascii="仿宋" w:hAnsi="仿宋" w:eastAsia="仿宋" w:cs="仿宋"/>
                <w:color w:val="auto"/>
                <w:kern w:val="0"/>
                <w:sz w:val="24"/>
                <w:highlight w:val="none"/>
              </w:rPr>
              <w:t>3</w:t>
            </w:r>
            <w:r>
              <w:rPr>
                <w:rFonts w:hint="eastAsia" w:ascii="仿宋" w:hAnsi="仿宋" w:eastAsia="仿宋" w:cs="仿宋"/>
                <w:color w:val="auto"/>
                <w:kern w:val="0"/>
                <w:sz w:val="24"/>
                <w:highlight w:val="none"/>
              </w:rPr>
              <w:t>）根据投标人提供的针对本项目的响应时间、响应方式方法，响应时间合理方式方法可行的得</w:t>
            </w:r>
            <w:r>
              <w:rPr>
                <w:rFonts w:hint="default" w:ascii="仿宋" w:hAnsi="仿宋" w:eastAsia="仿宋" w:cs="仿宋"/>
                <w:color w:val="auto"/>
                <w:kern w:val="0"/>
                <w:sz w:val="24"/>
                <w:highlight w:val="none"/>
              </w:rPr>
              <w:t>5</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投标人提供的针对本项目的响应时间、响应方式方法</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响应时间较</w:t>
            </w:r>
            <w:r>
              <w:rPr>
                <w:rFonts w:hint="eastAsia" w:ascii="仿宋" w:hAnsi="仿宋" w:eastAsia="仿宋" w:cs="仿宋"/>
                <w:color w:val="auto"/>
                <w:kern w:val="0"/>
                <w:sz w:val="24"/>
                <w:highlight w:val="none"/>
                <w:lang w:val="en-US" w:eastAsia="zh-CN"/>
              </w:rPr>
              <w:t>为</w:t>
            </w:r>
            <w:r>
              <w:rPr>
                <w:rFonts w:hint="eastAsia" w:ascii="仿宋" w:hAnsi="仿宋" w:eastAsia="仿宋" w:cs="仿宋"/>
                <w:color w:val="auto"/>
                <w:kern w:val="0"/>
                <w:sz w:val="24"/>
                <w:highlight w:val="none"/>
              </w:rPr>
              <w:t>合理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方式方法较</w:t>
            </w:r>
            <w:r>
              <w:rPr>
                <w:rFonts w:hint="eastAsia" w:ascii="仿宋" w:hAnsi="仿宋" w:eastAsia="仿宋" w:cs="仿宋"/>
                <w:color w:val="auto"/>
                <w:kern w:val="0"/>
                <w:sz w:val="24"/>
                <w:highlight w:val="none"/>
                <w:lang w:val="en-US" w:eastAsia="zh-CN"/>
              </w:rPr>
              <w:t>为</w:t>
            </w:r>
            <w:r>
              <w:rPr>
                <w:rFonts w:hint="eastAsia" w:ascii="仿宋" w:hAnsi="仿宋" w:eastAsia="仿宋" w:cs="仿宋"/>
                <w:color w:val="auto"/>
                <w:kern w:val="0"/>
                <w:sz w:val="24"/>
                <w:highlight w:val="none"/>
              </w:rPr>
              <w:t>可行的得</w:t>
            </w:r>
            <w:r>
              <w:rPr>
                <w:rFonts w:hint="default" w:ascii="仿宋" w:hAnsi="仿宋" w:eastAsia="仿宋" w:cs="仿宋"/>
                <w:color w:val="auto"/>
                <w:kern w:val="0"/>
                <w:sz w:val="24"/>
                <w:highlight w:val="none"/>
              </w:rPr>
              <w:t>3</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投标人提供的针对本项目的响应时间、响应方式方法</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响应时间合理</w:t>
            </w:r>
            <w:r>
              <w:rPr>
                <w:rFonts w:hint="eastAsia" w:ascii="仿宋" w:hAnsi="仿宋" w:eastAsia="仿宋" w:cs="仿宋"/>
                <w:color w:val="auto"/>
                <w:kern w:val="0"/>
                <w:sz w:val="24"/>
                <w:highlight w:val="none"/>
                <w:lang w:val="en-US" w:eastAsia="zh-CN"/>
              </w:rPr>
              <w:t>性一般，</w:t>
            </w:r>
            <w:r>
              <w:rPr>
                <w:rFonts w:hint="eastAsia" w:ascii="仿宋" w:hAnsi="仿宋" w:eastAsia="仿宋" w:cs="仿宋"/>
                <w:color w:val="auto"/>
                <w:kern w:val="0"/>
                <w:sz w:val="24"/>
                <w:highlight w:val="none"/>
              </w:rPr>
              <w:t>方式方法</w:t>
            </w:r>
            <w:r>
              <w:rPr>
                <w:rFonts w:hint="eastAsia" w:ascii="仿宋" w:hAnsi="仿宋" w:eastAsia="仿宋" w:cs="仿宋"/>
                <w:color w:val="auto"/>
                <w:kern w:val="0"/>
                <w:sz w:val="24"/>
                <w:highlight w:val="none"/>
                <w:lang w:val="en-US" w:eastAsia="zh-CN"/>
              </w:rPr>
              <w:t>可行性一般</w:t>
            </w:r>
            <w:r>
              <w:rPr>
                <w:rFonts w:hint="eastAsia" w:ascii="仿宋" w:hAnsi="仿宋" w:eastAsia="仿宋" w:cs="仿宋"/>
                <w:color w:val="auto"/>
                <w:kern w:val="0"/>
                <w:sz w:val="24"/>
                <w:highlight w:val="none"/>
              </w:rPr>
              <w:t>的得</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不提供响应时间和方式方法的</w:t>
            </w:r>
            <w:r>
              <w:rPr>
                <w:rFonts w:hint="eastAsia" w:ascii="仿宋" w:hAnsi="仿宋" w:eastAsia="仿宋" w:cs="仿宋"/>
                <w:color w:val="auto"/>
                <w:kern w:val="0"/>
                <w:sz w:val="24"/>
                <w:highlight w:val="none"/>
                <w:lang w:val="en-US" w:eastAsia="zh-CN"/>
              </w:rPr>
              <w:t>或</w:t>
            </w:r>
            <w:r>
              <w:rPr>
                <w:rFonts w:hint="eastAsia" w:ascii="仿宋" w:hAnsi="仿宋" w:eastAsia="仿宋" w:cs="仿宋"/>
                <w:color w:val="auto"/>
                <w:kern w:val="0"/>
                <w:sz w:val="24"/>
                <w:highlight w:val="none"/>
              </w:rPr>
              <w:t>响应时间和方式方法</w:t>
            </w:r>
            <w:r>
              <w:rPr>
                <w:rFonts w:hint="eastAsia" w:ascii="仿宋" w:hAnsi="仿宋" w:eastAsia="仿宋" w:cs="仿宋"/>
                <w:color w:val="auto"/>
                <w:kern w:val="0"/>
                <w:sz w:val="24"/>
                <w:highlight w:val="none"/>
                <w:lang w:val="en-US" w:eastAsia="zh-CN"/>
              </w:rPr>
              <w:t>不合理的</w:t>
            </w:r>
            <w:r>
              <w:rPr>
                <w:rFonts w:hint="eastAsia" w:ascii="仿宋" w:hAnsi="仿宋" w:eastAsia="仿宋" w:cs="仿宋"/>
                <w:color w:val="auto"/>
                <w:kern w:val="0"/>
                <w:sz w:val="24"/>
                <w:highlight w:val="none"/>
              </w:rPr>
              <w:t>不得分。</w:t>
            </w:r>
          </w:p>
        </w:tc>
        <w:tc>
          <w:tcPr>
            <w:tcW w:w="720"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default" w:ascii="仿宋" w:hAnsi="仿宋" w:eastAsia="仿宋" w:cs="仿宋_GB2312"/>
                <w:color w:val="auto"/>
                <w:sz w:val="24"/>
                <w:highlight w:val="none"/>
              </w:rPr>
              <w:t>5</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color w:val="auto"/>
                <w:sz w:val="24"/>
                <w:highlight w:val="none"/>
              </w:rPr>
              <w:t>主观分</w:t>
            </w:r>
          </w:p>
        </w:tc>
        <w:tc>
          <w:tcPr>
            <w:tcW w:w="1636"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restart"/>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default" w:ascii="仿宋" w:hAnsi="仿宋" w:eastAsia="仿宋" w:cs="仿宋_GB2312"/>
                <w:color w:val="auto"/>
                <w:sz w:val="24"/>
                <w:highlight w:val="none"/>
              </w:rPr>
              <w:t>5</w:t>
            </w:r>
          </w:p>
        </w:tc>
        <w:tc>
          <w:tcPr>
            <w:tcW w:w="6327" w:type="dxa"/>
            <w:noWrap w:val="0"/>
            <w:vAlign w:val="center"/>
          </w:tcPr>
          <w:p>
            <w:pPr>
              <w:adjustRightInd/>
              <w:spacing w:before="0" w:beforeAutospacing="0" w:after="0" w:afterAutospacing="0" w:line="360" w:lineRule="auto"/>
              <w:ind w:left="0" w:right="0"/>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lang w:val="zh-CN"/>
              </w:rPr>
              <w:t>（</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根据投标人提供的</w:t>
            </w:r>
            <w:r>
              <w:rPr>
                <w:rFonts w:hint="eastAsia" w:ascii="仿宋" w:hAnsi="仿宋" w:eastAsia="仿宋" w:cs="仿宋"/>
                <w:color w:val="auto"/>
                <w:kern w:val="0"/>
                <w:sz w:val="24"/>
                <w:highlight w:val="none"/>
                <w:lang w:val="zh-CN"/>
              </w:rPr>
              <w:t>拟派项目负责人的专业素质、技术能力、经验以及调动各项资源的能力</w:t>
            </w:r>
            <w:r>
              <w:rPr>
                <w:rFonts w:hint="eastAsia" w:ascii="仿宋" w:hAnsi="仿宋" w:eastAsia="仿宋" w:cs="仿宋"/>
                <w:color w:val="auto"/>
                <w:kern w:val="0"/>
                <w:sz w:val="24"/>
                <w:highlight w:val="none"/>
                <w:lang w:val="en-US" w:eastAsia="zh-CN"/>
              </w:rPr>
              <w:t>方案</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专业素质、技术能力、经验以及调动各项资源的能力</w:t>
            </w:r>
            <w:r>
              <w:rPr>
                <w:rFonts w:hint="eastAsia" w:ascii="仿宋" w:hAnsi="仿宋" w:eastAsia="仿宋" w:cs="仿宋"/>
                <w:color w:val="auto"/>
                <w:kern w:val="0"/>
                <w:sz w:val="24"/>
                <w:highlight w:val="none"/>
              </w:rPr>
              <w:t>强的得</w:t>
            </w: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投标人提供的</w:t>
            </w:r>
            <w:r>
              <w:rPr>
                <w:rFonts w:hint="eastAsia" w:ascii="仿宋" w:hAnsi="仿宋" w:eastAsia="仿宋" w:cs="仿宋"/>
                <w:color w:val="auto"/>
                <w:kern w:val="0"/>
                <w:sz w:val="24"/>
                <w:highlight w:val="none"/>
                <w:lang w:val="zh-CN"/>
              </w:rPr>
              <w:t>拟派项目负责人的专业素质、技术能力、经验以及调动各项资源的能力</w:t>
            </w:r>
            <w:r>
              <w:rPr>
                <w:rFonts w:hint="eastAsia" w:ascii="仿宋" w:hAnsi="仿宋" w:eastAsia="仿宋" w:cs="仿宋"/>
                <w:color w:val="auto"/>
                <w:kern w:val="0"/>
                <w:sz w:val="24"/>
                <w:highlight w:val="none"/>
                <w:lang w:val="en-US" w:eastAsia="zh-CN"/>
              </w:rPr>
              <w:t>方案</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专业素质、技术能力、经验以及调动各项资源的能力</w:t>
            </w:r>
            <w:r>
              <w:rPr>
                <w:rFonts w:hint="eastAsia" w:ascii="仿宋" w:hAnsi="仿宋" w:eastAsia="仿宋" w:cs="仿宋"/>
                <w:color w:val="auto"/>
                <w:kern w:val="0"/>
                <w:sz w:val="24"/>
                <w:highlight w:val="none"/>
              </w:rPr>
              <w:t>较强的的得</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投标人提供的</w:t>
            </w:r>
            <w:r>
              <w:rPr>
                <w:rFonts w:hint="eastAsia" w:ascii="仿宋" w:hAnsi="仿宋" w:eastAsia="仿宋" w:cs="仿宋"/>
                <w:color w:val="auto"/>
                <w:kern w:val="0"/>
                <w:sz w:val="24"/>
                <w:highlight w:val="none"/>
                <w:lang w:val="zh-CN"/>
              </w:rPr>
              <w:t>拟派项目负责人的专业素质、技术能力、经验以及调动各项资源的能力</w:t>
            </w:r>
            <w:r>
              <w:rPr>
                <w:rFonts w:hint="eastAsia" w:ascii="仿宋" w:hAnsi="仿宋" w:eastAsia="仿宋" w:cs="仿宋"/>
                <w:color w:val="auto"/>
                <w:kern w:val="0"/>
                <w:sz w:val="24"/>
                <w:highlight w:val="none"/>
                <w:lang w:val="en-US" w:eastAsia="zh-CN"/>
              </w:rPr>
              <w:t>方案</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专业素质、技术能力、经验以及调动各项资源的能力</w:t>
            </w:r>
            <w:r>
              <w:rPr>
                <w:rFonts w:hint="eastAsia" w:ascii="仿宋" w:hAnsi="仿宋" w:eastAsia="仿宋" w:cs="仿宋"/>
                <w:color w:val="auto"/>
                <w:kern w:val="0"/>
                <w:sz w:val="24"/>
                <w:highlight w:val="none"/>
                <w:lang w:val="en-US" w:eastAsia="zh-CN"/>
              </w:rPr>
              <w:t>一般</w:t>
            </w:r>
            <w:r>
              <w:rPr>
                <w:rFonts w:hint="eastAsia" w:ascii="仿宋" w:hAnsi="仿宋" w:eastAsia="仿宋" w:cs="仿宋"/>
                <w:color w:val="auto"/>
                <w:kern w:val="0"/>
                <w:sz w:val="24"/>
                <w:highlight w:val="none"/>
              </w:rPr>
              <w:t>的得</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不提供项目负责人</w:t>
            </w:r>
            <w:r>
              <w:rPr>
                <w:rFonts w:hint="eastAsia" w:ascii="仿宋" w:hAnsi="仿宋" w:eastAsia="仿宋" w:cs="仿宋"/>
                <w:color w:val="auto"/>
                <w:kern w:val="0"/>
                <w:sz w:val="24"/>
                <w:highlight w:val="none"/>
                <w:lang w:val="zh-CN"/>
              </w:rPr>
              <w:t>专业素质、技术能力、经验以及调动各项资源的能力</w:t>
            </w:r>
            <w:r>
              <w:rPr>
                <w:rFonts w:hint="eastAsia" w:ascii="仿宋" w:hAnsi="仿宋" w:eastAsia="仿宋" w:cs="仿宋"/>
                <w:color w:val="auto"/>
                <w:kern w:val="0"/>
                <w:sz w:val="24"/>
                <w:highlight w:val="none"/>
                <w:lang w:val="en-US" w:eastAsia="zh-CN"/>
              </w:rPr>
              <w:t>方案的或</w:t>
            </w:r>
            <w:r>
              <w:rPr>
                <w:rFonts w:hint="eastAsia" w:ascii="仿宋" w:hAnsi="仿宋" w:eastAsia="仿宋" w:cs="仿宋"/>
                <w:color w:val="auto"/>
                <w:kern w:val="0"/>
                <w:sz w:val="24"/>
                <w:highlight w:val="none"/>
              </w:rPr>
              <w:t>提供的</w:t>
            </w:r>
            <w:r>
              <w:rPr>
                <w:rFonts w:hint="eastAsia" w:ascii="仿宋" w:hAnsi="仿宋" w:eastAsia="仿宋" w:cs="仿宋"/>
                <w:color w:val="auto"/>
                <w:kern w:val="0"/>
                <w:sz w:val="24"/>
                <w:highlight w:val="none"/>
                <w:lang w:val="zh-CN"/>
              </w:rPr>
              <w:t>拟派项目负责人的专业素质、技术能力、经验以及调动各项资源的能力</w:t>
            </w:r>
            <w:r>
              <w:rPr>
                <w:rFonts w:hint="eastAsia" w:ascii="仿宋" w:hAnsi="仿宋" w:eastAsia="仿宋" w:cs="仿宋"/>
                <w:color w:val="auto"/>
                <w:kern w:val="0"/>
                <w:sz w:val="24"/>
                <w:highlight w:val="none"/>
                <w:lang w:val="en-US" w:eastAsia="zh-CN"/>
              </w:rPr>
              <w:t>方案不合理</w:t>
            </w:r>
            <w:r>
              <w:rPr>
                <w:rFonts w:hint="eastAsia" w:ascii="仿宋" w:hAnsi="仿宋" w:eastAsia="仿宋" w:cs="仿宋"/>
                <w:color w:val="auto"/>
                <w:kern w:val="0"/>
                <w:sz w:val="24"/>
                <w:highlight w:val="none"/>
              </w:rPr>
              <w:t>的不得分。</w:t>
            </w:r>
          </w:p>
        </w:tc>
        <w:tc>
          <w:tcPr>
            <w:tcW w:w="720"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6</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color w:val="auto"/>
                <w:sz w:val="24"/>
                <w:highlight w:val="none"/>
              </w:rPr>
              <w:t>主观分</w:t>
            </w:r>
          </w:p>
        </w:tc>
        <w:tc>
          <w:tcPr>
            <w:tcW w:w="1636" w:type="dxa"/>
            <w:vMerge w:val="restart"/>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投入本项目导游情况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c>
          <w:tcPr>
            <w:tcW w:w="6327" w:type="dxa"/>
            <w:noWrap w:val="0"/>
            <w:vAlign w:val="center"/>
          </w:tcPr>
          <w:p>
            <w:pPr>
              <w:snapToGrid w:val="0"/>
              <w:spacing w:before="0" w:beforeAutospacing="0" w:after="0" w:afterAutospacing="0" w:line="360" w:lineRule="auto"/>
              <w:ind w:left="0" w:right="0"/>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w:t>
            </w:r>
            <w:r>
              <w:rPr>
                <w:rFonts w:hint="default" w:ascii="仿宋" w:hAnsi="仿宋" w:eastAsia="仿宋" w:cs="仿宋"/>
                <w:color w:val="auto"/>
                <w:kern w:val="0"/>
                <w:sz w:val="24"/>
                <w:highlight w:val="none"/>
              </w:rPr>
              <w:t>2</w:t>
            </w:r>
            <w:r>
              <w:rPr>
                <w:rFonts w:hint="eastAsia" w:ascii="仿宋" w:hAnsi="仿宋" w:eastAsia="仿宋" w:cs="仿宋"/>
                <w:color w:val="auto"/>
                <w:kern w:val="0"/>
                <w:sz w:val="24"/>
                <w:highlight w:val="none"/>
              </w:rPr>
              <w:t>）投标人投入本项目的导游人数，导游</w:t>
            </w:r>
            <w:r>
              <w:rPr>
                <w:rFonts w:hint="default" w:ascii="仿宋" w:hAnsi="仿宋" w:eastAsia="仿宋" w:cs="仿宋"/>
                <w:color w:val="auto"/>
                <w:kern w:val="0"/>
                <w:sz w:val="24"/>
                <w:highlight w:val="none"/>
              </w:rPr>
              <w:t>5</w:t>
            </w:r>
            <w:r>
              <w:rPr>
                <w:rFonts w:hint="eastAsia" w:ascii="仿宋" w:hAnsi="仿宋" w:eastAsia="仿宋" w:cs="仿宋"/>
                <w:color w:val="auto"/>
                <w:kern w:val="0"/>
                <w:sz w:val="24"/>
                <w:highlight w:val="none"/>
              </w:rPr>
              <w:t>人</w:t>
            </w:r>
            <w:r>
              <w:rPr>
                <w:rFonts w:hint="eastAsia" w:ascii="仿宋" w:hAnsi="仿宋" w:eastAsia="仿宋" w:cs="仿宋"/>
                <w:color w:val="auto"/>
                <w:kern w:val="0"/>
                <w:sz w:val="24"/>
                <w:highlight w:val="none"/>
                <w:lang w:val="en-US" w:eastAsia="zh-CN"/>
              </w:rPr>
              <w:t>及以上</w:t>
            </w:r>
            <w:r>
              <w:rPr>
                <w:rFonts w:hint="eastAsia" w:ascii="仿宋" w:hAnsi="仿宋" w:eastAsia="仿宋" w:cs="仿宋"/>
                <w:color w:val="auto"/>
                <w:kern w:val="0"/>
                <w:sz w:val="24"/>
                <w:highlight w:val="none"/>
              </w:rPr>
              <w:t>得</w:t>
            </w:r>
            <w:r>
              <w:rPr>
                <w:rFonts w:hint="default" w:ascii="仿宋" w:hAnsi="仿宋" w:eastAsia="仿宋" w:cs="仿宋"/>
                <w:color w:val="auto"/>
                <w:kern w:val="0"/>
                <w:sz w:val="24"/>
                <w:highlight w:val="none"/>
              </w:rPr>
              <w:t>2</w:t>
            </w:r>
            <w:r>
              <w:rPr>
                <w:rFonts w:hint="eastAsia" w:ascii="仿宋" w:hAnsi="仿宋" w:eastAsia="仿宋" w:cs="仿宋"/>
                <w:color w:val="auto"/>
                <w:kern w:val="0"/>
                <w:sz w:val="24"/>
                <w:highlight w:val="none"/>
              </w:rPr>
              <w:t>分，不足</w:t>
            </w:r>
            <w:r>
              <w:rPr>
                <w:rFonts w:hint="default" w:ascii="仿宋" w:hAnsi="仿宋" w:eastAsia="仿宋" w:cs="仿宋"/>
                <w:color w:val="auto"/>
                <w:kern w:val="0"/>
                <w:sz w:val="24"/>
                <w:highlight w:val="none"/>
              </w:rPr>
              <w:t>5</w:t>
            </w:r>
            <w:r>
              <w:rPr>
                <w:rFonts w:hint="eastAsia" w:ascii="仿宋" w:hAnsi="仿宋" w:eastAsia="仿宋" w:cs="仿宋"/>
                <w:color w:val="auto"/>
                <w:kern w:val="0"/>
                <w:sz w:val="24"/>
                <w:highlight w:val="none"/>
              </w:rPr>
              <w:t>人不得分；</w:t>
            </w:r>
            <w:r>
              <w:rPr>
                <w:rFonts w:hint="eastAsia" w:ascii="仿宋" w:hAnsi="仿宋" w:eastAsia="仿宋" w:cs="仿宋"/>
                <w:color w:val="auto"/>
                <w:kern w:val="0"/>
                <w:sz w:val="24"/>
                <w:highlight w:val="none"/>
                <w:lang w:val="zh-CN"/>
              </w:rPr>
              <w:t>有</w:t>
            </w:r>
            <w:r>
              <w:rPr>
                <w:rFonts w:hint="eastAsia" w:ascii="仿宋" w:hAnsi="仿宋" w:eastAsia="仿宋" w:cs="仿宋"/>
                <w:color w:val="auto"/>
                <w:kern w:val="0"/>
                <w:sz w:val="24"/>
                <w:highlight w:val="none"/>
              </w:rPr>
              <w:t>高</w:t>
            </w:r>
            <w:r>
              <w:rPr>
                <w:rFonts w:hint="eastAsia" w:ascii="仿宋" w:hAnsi="仿宋" w:eastAsia="仿宋" w:cs="仿宋"/>
                <w:color w:val="auto"/>
                <w:kern w:val="0"/>
                <w:sz w:val="24"/>
                <w:highlight w:val="none"/>
                <w:lang w:val="zh-CN"/>
              </w:rPr>
              <w:t>级导游员的每个得</w:t>
            </w:r>
            <w:r>
              <w:rPr>
                <w:rFonts w:hint="default"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lang w:val="zh-CN"/>
              </w:rPr>
              <w:t>分，</w:t>
            </w:r>
            <w:r>
              <w:rPr>
                <w:rFonts w:hint="eastAsia" w:ascii="仿宋" w:hAnsi="仿宋" w:eastAsia="仿宋" w:cs="仿宋"/>
                <w:color w:val="auto"/>
                <w:kern w:val="0"/>
                <w:sz w:val="24"/>
                <w:highlight w:val="none"/>
              </w:rPr>
              <w:t>有中级导游员的每个得</w:t>
            </w:r>
            <w:r>
              <w:rPr>
                <w:rFonts w:hint="default" w:ascii="仿宋" w:hAnsi="仿宋" w:eastAsia="仿宋" w:cs="仿宋"/>
                <w:color w:val="auto"/>
                <w:kern w:val="0"/>
                <w:sz w:val="24"/>
                <w:highlight w:val="none"/>
              </w:rPr>
              <w:t>0.5</w:t>
            </w:r>
            <w:r>
              <w:rPr>
                <w:rFonts w:hint="eastAsia" w:ascii="仿宋" w:hAnsi="仿宋" w:eastAsia="仿宋" w:cs="仿宋"/>
                <w:color w:val="auto"/>
                <w:kern w:val="0"/>
                <w:sz w:val="24"/>
                <w:highlight w:val="none"/>
              </w:rPr>
              <w:t>分，本项最多得</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分</w:t>
            </w:r>
            <w:r>
              <w:rPr>
                <w:rFonts w:hint="eastAsia" w:ascii="仿宋" w:hAnsi="仿宋" w:eastAsia="仿宋" w:cs="仿宋"/>
                <w:b/>
                <w:bCs/>
                <w:color w:val="auto"/>
                <w:kern w:val="0"/>
                <w:sz w:val="24"/>
                <w:highlight w:val="none"/>
              </w:rPr>
              <w:t>（提供清晰的有效期内导游证书扫描件、劳动合同及其在投标单位的社保缴纳记录[落款时间在本项目招标公告发布之日（含发布之日）后社保部门出具的单位或个人社保证明]复制件，否则不得分）。</w:t>
            </w:r>
          </w:p>
        </w:tc>
        <w:tc>
          <w:tcPr>
            <w:tcW w:w="720" w:type="dxa"/>
            <w:noWrap w:val="0"/>
            <w:vAlign w:val="center"/>
          </w:tcPr>
          <w:p>
            <w:pPr>
              <w:snapToGrid w:val="0"/>
              <w:spacing w:before="0" w:beforeAutospacing="0" w:after="0" w:afterAutospacing="0" w:line="360" w:lineRule="auto"/>
              <w:ind w:left="0" w:right="0"/>
              <w:jc w:val="center"/>
              <w:rPr>
                <w:rFonts w:hint="eastAsia"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5</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bCs/>
                <w:color w:val="auto"/>
                <w:sz w:val="24"/>
                <w:highlight w:val="none"/>
              </w:rPr>
              <w:t>客观分</w:t>
            </w:r>
          </w:p>
        </w:tc>
        <w:tc>
          <w:tcPr>
            <w:tcW w:w="1636"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default" w:ascii="仿宋" w:hAnsi="仿宋" w:eastAsia="仿宋" w:cs="仿宋_GB2312"/>
                <w:color w:val="auto"/>
                <w:sz w:val="24"/>
                <w:highlight w:val="none"/>
              </w:rPr>
              <w:t>6</w:t>
            </w:r>
          </w:p>
        </w:tc>
        <w:tc>
          <w:tcPr>
            <w:tcW w:w="6327" w:type="dxa"/>
            <w:noWrap w:val="0"/>
            <w:vAlign w:val="center"/>
          </w:tcPr>
          <w:p>
            <w:pPr>
              <w:numPr>
                <w:ilvl w:val="0"/>
                <w:numId w:val="2"/>
              </w:numPr>
              <w:adjustRightInd/>
              <w:spacing w:before="0" w:beforeAutospacing="0" w:after="0" w:afterAutospacing="0" w:line="360" w:lineRule="auto"/>
              <w:ind w:left="0" w:right="0"/>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投标人具有效的质量体系认证、环境管理体系认证、职业健康安全管理体系认证，每提供一项得</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分，本项最高得</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分</w:t>
            </w:r>
            <w:r>
              <w:rPr>
                <w:rFonts w:hint="eastAsia" w:ascii="仿宋" w:hAnsi="仿宋" w:eastAsia="仿宋" w:cs="仿宋"/>
                <w:b/>
                <w:bCs/>
                <w:color w:val="auto"/>
                <w:kern w:val="0"/>
                <w:sz w:val="24"/>
                <w:highlight w:val="none"/>
              </w:rPr>
              <w:t>（提供有效期内的的体系证书扫描件，否则不得分）</w:t>
            </w:r>
          </w:p>
        </w:tc>
        <w:tc>
          <w:tcPr>
            <w:tcW w:w="720" w:type="dxa"/>
            <w:noWrap w:val="0"/>
            <w:vAlign w:val="center"/>
          </w:tcPr>
          <w:p>
            <w:pPr>
              <w:snapToGrid w:val="0"/>
              <w:spacing w:before="0" w:beforeAutospacing="0" w:after="0" w:afterAutospacing="0" w:line="360" w:lineRule="auto"/>
              <w:ind w:left="0" w:right="0"/>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3</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bCs/>
                <w:color w:val="auto"/>
                <w:sz w:val="24"/>
                <w:highlight w:val="none"/>
              </w:rPr>
              <w:t>客观分</w:t>
            </w:r>
          </w:p>
        </w:tc>
        <w:tc>
          <w:tcPr>
            <w:tcW w:w="1636"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企业实力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noWrap w:val="0"/>
            <w:vAlign w:val="center"/>
          </w:tcPr>
          <w:p>
            <w:pPr>
              <w:snapToGrid w:val="0"/>
              <w:spacing w:before="0" w:beforeAutospacing="0" w:after="0" w:afterAutospacing="0" w:line="360" w:lineRule="auto"/>
              <w:ind w:left="0" w:right="0"/>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7</w:t>
            </w:r>
          </w:p>
        </w:tc>
        <w:tc>
          <w:tcPr>
            <w:tcW w:w="6327" w:type="dxa"/>
            <w:noWrap w:val="0"/>
            <w:vAlign w:val="center"/>
          </w:tcPr>
          <w:p>
            <w:pPr>
              <w:snapToGrid w:val="0"/>
              <w:spacing w:before="0" w:beforeAutospacing="0" w:after="0" w:afterAutospacing="0" w:line="360" w:lineRule="auto"/>
              <w:ind w:left="0" w:right="0"/>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自</w:t>
            </w:r>
            <w:r>
              <w:rPr>
                <w:rFonts w:hint="default" w:ascii="仿宋" w:hAnsi="仿宋" w:eastAsia="仿宋" w:cs="仿宋"/>
                <w:color w:val="auto"/>
                <w:kern w:val="0"/>
                <w:sz w:val="24"/>
                <w:highlight w:val="none"/>
              </w:rPr>
              <w:t>2021</w:t>
            </w:r>
            <w:r>
              <w:rPr>
                <w:rFonts w:hint="eastAsia" w:ascii="仿宋" w:hAnsi="仿宋" w:eastAsia="仿宋" w:cs="仿宋"/>
                <w:color w:val="auto"/>
                <w:kern w:val="0"/>
                <w:sz w:val="24"/>
                <w:highlight w:val="none"/>
              </w:rPr>
              <w:t>年</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月</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日（时间以合同签订时间为准）以来，投标人从事疗休养项目的业绩证明，每一个得</w:t>
            </w:r>
            <w:r>
              <w:rPr>
                <w:rFonts w:hint="default" w:ascii="仿宋" w:hAnsi="仿宋" w:eastAsia="仿宋" w:cs="仿宋"/>
                <w:color w:val="auto"/>
                <w:kern w:val="0"/>
                <w:sz w:val="24"/>
                <w:highlight w:val="none"/>
              </w:rPr>
              <w:t>0.</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分，最高得</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分</w:t>
            </w:r>
            <w:r>
              <w:rPr>
                <w:rFonts w:hint="default" w:ascii="仿宋" w:hAnsi="仿宋" w:eastAsia="仿宋" w:cs="仿宋"/>
                <w:color w:val="auto"/>
                <w:kern w:val="0"/>
                <w:sz w:val="24"/>
                <w:highlight w:val="none"/>
              </w:rPr>
              <w:t>(</w:t>
            </w:r>
            <w:r>
              <w:rPr>
                <w:rFonts w:hint="eastAsia" w:ascii="仿宋" w:hAnsi="仿宋" w:eastAsia="仿宋" w:cs="仿宋"/>
                <w:color w:val="auto"/>
                <w:kern w:val="0"/>
                <w:sz w:val="24"/>
                <w:highlight w:val="none"/>
              </w:rPr>
              <w:t>投标文件中须同时提供合同、</w:t>
            </w:r>
            <w:r>
              <w:rPr>
                <w:rFonts w:hint="eastAsia" w:ascii="仿宋" w:hAnsi="仿宋" w:eastAsia="仿宋" w:cs="仿宋"/>
                <w:color w:val="auto"/>
                <w:kern w:val="0"/>
                <w:sz w:val="24"/>
                <w:highlight w:val="none"/>
                <w:lang w:val="en-US" w:eastAsia="zh-CN"/>
              </w:rPr>
              <w:t>中标通知书</w:t>
            </w:r>
            <w:r>
              <w:rPr>
                <w:rFonts w:hint="eastAsia" w:ascii="仿宋" w:hAnsi="仿宋" w:eastAsia="仿宋" w:cs="仿宋"/>
                <w:color w:val="auto"/>
                <w:kern w:val="0"/>
                <w:sz w:val="24"/>
                <w:highlight w:val="none"/>
              </w:rPr>
              <w:t>否则不得分）。</w:t>
            </w:r>
          </w:p>
        </w:tc>
        <w:tc>
          <w:tcPr>
            <w:tcW w:w="720"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default" w:ascii="仿宋" w:hAnsi="仿宋" w:eastAsia="仿宋" w:cs="仿宋_GB2312"/>
                <w:color w:val="auto"/>
                <w:sz w:val="24"/>
                <w:highlight w:val="none"/>
              </w:rPr>
              <w:t>1</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bCs/>
                <w:color w:val="auto"/>
                <w:sz w:val="24"/>
                <w:highlight w:val="none"/>
              </w:rPr>
              <w:t>客观分</w:t>
            </w:r>
          </w:p>
        </w:tc>
        <w:tc>
          <w:tcPr>
            <w:tcW w:w="1636"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企业业绩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restart"/>
            <w:noWrap w:val="0"/>
            <w:vAlign w:val="center"/>
          </w:tcPr>
          <w:p>
            <w:pPr>
              <w:snapToGrid w:val="0"/>
              <w:spacing w:before="0" w:beforeAutospacing="0" w:after="0" w:afterAutospacing="0" w:line="360" w:lineRule="auto"/>
              <w:ind w:left="0" w:right="0"/>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8</w:t>
            </w:r>
          </w:p>
        </w:tc>
        <w:tc>
          <w:tcPr>
            <w:tcW w:w="6327" w:type="dxa"/>
            <w:noWrap w:val="0"/>
            <w:vAlign w:val="center"/>
          </w:tcPr>
          <w:p>
            <w:pPr>
              <w:adjustRightInd/>
              <w:spacing w:before="0" w:beforeAutospacing="0" w:after="0" w:afterAutospacing="0" w:line="360" w:lineRule="auto"/>
              <w:ind w:left="0" w:right="0"/>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）投标人承诺</w:t>
            </w:r>
            <w:r>
              <w:rPr>
                <w:rFonts w:hint="default" w:ascii="仿宋" w:hAnsi="仿宋" w:eastAsia="仿宋" w:cs="仿宋"/>
                <w:color w:val="auto"/>
                <w:kern w:val="0"/>
                <w:sz w:val="24"/>
                <w:highlight w:val="none"/>
              </w:rPr>
              <w:t>202</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年旅行社责任保险保额</w:t>
            </w:r>
            <w:r>
              <w:rPr>
                <w:rFonts w:hint="eastAsia" w:ascii="仿宋" w:hAnsi="仿宋" w:eastAsia="仿宋" w:cs="仿宋"/>
                <w:color w:val="auto"/>
                <w:kern w:val="0"/>
                <w:sz w:val="24"/>
                <w:highlight w:val="none"/>
                <w:lang w:val="en-US" w:eastAsia="zh-CN"/>
              </w:rPr>
              <w:t>1000</w:t>
            </w:r>
            <w:r>
              <w:rPr>
                <w:rFonts w:hint="eastAsia" w:ascii="仿宋" w:hAnsi="仿宋" w:eastAsia="仿宋" w:cs="仿宋"/>
                <w:color w:val="auto"/>
                <w:kern w:val="0"/>
                <w:sz w:val="24"/>
                <w:highlight w:val="none"/>
              </w:rPr>
              <w:t>万及以上的得</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分，每增加</w:t>
            </w:r>
            <w:r>
              <w:rPr>
                <w:rFonts w:hint="default" w:ascii="仿宋" w:hAnsi="仿宋" w:eastAsia="仿宋" w:cs="仿宋"/>
                <w:color w:val="auto"/>
                <w:kern w:val="0"/>
                <w:sz w:val="24"/>
                <w:highlight w:val="none"/>
              </w:rPr>
              <w:t>500</w:t>
            </w:r>
            <w:r>
              <w:rPr>
                <w:rFonts w:hint="eastAsia" w:ascii="仿宋" w:hAnsi="仿宋" w:eastAsia="仿宋" w:cs="仿宋"/>
                <w:color w:val="auto"/>
                <w:kern w:val="0"/>
                <w:sz w:val="24"/>
                <w:highlight w:val="none"/>
              </w:rPr>
              <w:t>万加</w:t>
            </w:r>
            <w:r>
              <w:rPr>
                <w:rFonts w:hint="default" w:ascii="仿宋" w:hAnsi="仿宋" w:eastAsia="仿宋" w:cs="仿宋"/>
                <w:color w:val="auto"/>
                <w:kern w:val="0"/>
                <w:sz w:val="24"/>
                <w:highlight w:val="none"/>
              </w:rPr>
              <w:t>1</w:t>
            </w:r>
            <w:r>
              <w:rPr>
                <w:rFonts w:hint="eastAsia" w:ascii="仿宋" w:hAnsi="仿宋" w:eastAsia="仿宋" w:cs="仿宋"/>
                <w:color w:val="auto"/>
                <w:kern w:val="0"/>
                <w:sz w:val="24"/>
                <w:highlight w:val="none"/>
              </w:rPr>
              <w:t>分，最高得</w:t>
            </w:r>
            <w:r>
              <w:rPr>
                <w:rFonts w:hint="default" w:ascii="仿宋" w:hAnsi="仿宋" w:eastAsia="仿宋" w:cs="仿宋"/>
                <w:color w:val="auto"/>
                <w:kern w:val="0"/>
                <w:sz w:val="24"/>
                <w:highlight w:val="none"/>
              </w:rPr>
              <w:t>2</w:t>
            </w:r>
            <w:r>
              <w:rPr>
                <w:rFonts w:hint="eastAsia" w:ascii="仿宋" w:hAnsi="仿宋" w:eastAsia="仿宋" w:cs="仿宋"/>
                <w:color w:val="auto"/>
                <w:kern w:val="0"/>
                <w:sz w:val="24"/>
                <w:highlight w:val="none"/>
              </w:rPr>
              <w:t>分</w:t>
            </w:r>
            <w:r>
              <w:rPr>
                <w:rFonts w:hint="eastAsia" w:ascii="仿宋" w:hAnsi="仿宋" w:eastAsia="仿宋" w:cs="仿宋"/>
                <w:b/>
                <w:bCs/>
                <w:color w:val="auto"/>
                <w:kern w:val="0"/>
                <w:sz w:val="24"/>
                <w:highlight w:val="none"/>
              </w:rPr>
              <w:t>（投标文件中需同时提供承诺函及有效期内的保单扫描件，否则不得分。无承诺不得分，承诺格式自拟。）</w:t>
            </w:r>
          </w:p>
        </w:tc>
        <w:tc>
          <w:tcPr>
            <w:tcW w:w="720"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default" w:ascii="仿宋" w:hAnsi="仿宋" w:eastAsia="仿宋" w:cs="仿宋_GB2312"/>
                <w:color w:val="auto"/>
                <w:sz w:val="24"/>
                <w:highlight w:val="none"/>
              </w:rPr>
              <w:t>2</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bCs/>
                <w:color w:val="auto"/>
                <w:sz w:val="24"/>
                <w:highlight w:val="none"/>
              </w:rPr>
              <w:t>客观分</w:t>
            </w:r>
          </w:p>
        </w:tc>
        <w:tc>
          <w:tcPr>
            <w:tcW w:w="1636" w:type="dxa"/>
            <w:vMerge w:val="restart"/>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
                <w:color w:val="auto"/>
                <w:kern w:val="0"/>
                <w:sz w:val="24"/>
                <w:highlight w:val="none"/>
              </w:rPr>
              <w:t>服务承诺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c>
          <w:tcPr>
            <w:tcW w:w="6327" w:type="dxa"/>
            <w:noWrap w:val="0"/>
            <w:vAlign w:val="center"/>
          </w:tcPr>
          <w:p>
            <w:pPr>
              <w:adjustRightInd/>
              <w:spacing w:before="0" w:beforeAutospacing="0" w:after="0" w:afterAutospacing="0" w:line="360" w:lineRule="auto"/>
              <w:ind w:left="0" w:right="0"/>
              <w:rPr>
                <w:rFonts w:hint="default" w:ascii="仿宋" w:hAnsi="仿宋" w:eastAsia="仿宋" w:cs="仿宋"/>
                <w:b/>
                <w:bCs/>
                <w:color w:val="auto"/>
                <w:kern w:val="0"/>
                <w:sz w:val="24"/>
                <w:highlight w:val="none"/>
              </w:rPr>
            </w:pPr>
            <w:r>
              <w:rPr>
                <w:rFonts w:hint="eastAsia" w:ascii="仿宋" w:hAnsi="仿宋" w:eastAsia="仿宋" w:cs="仿宋"/>
                <w:color w:val="auto"/>
                <w:kern w:val="0"/>
                <w:sz w:val="24"/>
                <w:highlight w:val="none"/>
              </w:rPr>
              <w:t>（</w:t>
            </w:r>
            <w:r>
              <w:rPr>
                <w:rFonts w:hint="default" w:ascii="仿宋" w:hAnsi="仿宋" w:eastAsia="仿宋" w:cs="仿宋"/>
                <w:color w:val="auto"/>
                <w:kern w:val="0"/>
                <w:sz w:val="24"/>
                <w:highlight w:val="none"/>
              </w:rPr>
              <w:t>2</w:t>
            </w:r>
            <w:r>
              <w:rPr>
                <w:rFonts w:hint="eastAsia" w:ascii="仿宋" w:hAnsi="仿宋" w:eastAsia="仿宋" w:cs="仿宋"/>
                <w:color w:val="auto"/>
                <w:kern w:val="0"/>
                <w:sz w:val="24"/>
                <w:highlight w:val="none"/>
              </w:rPr>
              <w:t>）承诺为游客提供人身意外伤害保险不低于</w:t>
            </w:r>
            <w:r>
              <w:rPr>
                <w:rFonts w:hint="default" w:ascii="仿宋" w:hAnsi="仿宋" w:eastAsia="仿宋" w:cs="仿宋"/>
                <w:color w:val="auto"/>
                <w:kern w:val="0"/>
                <w:sz w:val="24"/>
                <w:highlight w:val="none"/>
              </w:rPr>
              <w:t>200</w:t>
            </w:r>
            <w:r>
              <w:rPr>
                <w:rFonts w:hint="eastAsia" w:ascii="仿宋" w:hAnsi="仿宋" w:eastAsia="仿宋" w:cs="仿宋"/>
                <w:color w:val="auto"/>
                <w:kern w:val="0"/>
                <w:sz w:val="24"/>
                <w:highlight w:val="none"/>
              </w:rPr>
              <w:t>万元的得</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分</w:t>
            </w:r>
            <w:r>
              <w:rPr>
                <w:rFonts w:hint="eastAsia" w:ascii="仿宋" w:hAnsi="仿宋" w:eastAsia="仿宋" w:cs="仿宋"/>
                <w:b/>
                <w:bCs/>
                <w:color w:val="auto"/>
                <w:kern w:val="0"/>
                <w:sz w:val="24"/>
                <w:highlight w:val="none"/>
              </w:rPr>
              <w:t>（投标文件中需提供承诺函，否则不得分。无承诺不得分，承诺格式自拟。）</w:t>
            </w:r>
          </w:p>
        </w:tc>
        <w:tc>
          <w:tcPr>
            <w:tcW w:w="720" w:type="dxa"/>
            <w:noWrap w:val="0"/>
            <w:vAlign w:val="center"/>
          </w:tcPr>
          <w:p>
            <w:pPr>
              <w:snapToGrid w:val="0"/>
              <w:spacing w:before="0" w:beforeAutospacing="0" w:after="0" w:afterAutospacing="0" w:line="360" w:lineRule="auto"/>
              <w:ind w:left="0" w:right="0"/>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2</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bCs/>
                <w:color w:val="auto"/>
                <w:sz w:val="24"/>
                <w:highlight w:val="none"/>
              </w:rPr>
              <w:t>客观分</w:t>
            </w:r>
          </w:p>
        </w:tc>
        <w:tc>
          <w:tcPr>
            <w:tcW w:w="1636"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709"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p>
        </w:tc>
        <w:tc>
          <w:tcPr>
            <w:tcW w:w="6327" w:type="dxa"/>
            <w:noWrap w:val="0"/>
            <w:vAlign w:val="center"/>
          </w:tcPr>
          <w:p>
            <w:pPr>
              <w:adjustRightInd/>
              <w:spacing w:before="0" w:beforeAutospacing="0" w:after="0" w:afterAutospacing="0" w:line="360" w:lineRule="auto"/>
              <w:ind w:left="0" w:right="0"/>
              <w:rPr>
                <w:rFonts w:hint="default" w:ascii="仿宋" w:hAnsi="仿宋" w:eastAsia="仿宋" w:cs="仿宋"/>
                <w:b/>
                <w:bCs/>
                <w:color w:val="auto"/>
                <w:kern w:val="0"/>
                <w:sz w:val="24"/>
                <w:highlight w:val="none"/>
              </w:rPr>
            </w:pPr>
            <w:r>
              <w:rPr>
                <w:rFonts w:hint="eastAsia" w:ascii="仿宋" w:hAnsi="仿宋" w:eastAsia="仿宋" w:cs="仿宋"/>
                <w:color w:val="auto"/>
                <w:kern w:val="0"/>
                <w:sz w:val="24"/>
                <w:highlight w:val="none"/>
              </w:rPr>
              <w:t>（</w:t>
            </w:r>
            <w:r>
              <w:rPr>
                <w:rFonts w:hint="default" w:ascii="仿宋" w:hAnsi="仿宋" w:eastAsia="仿宋" w:cs="仿宋"/>
                <w:color w:val="auto"/>
                <w:kern w:val="0"/>
                <w:sz w:val="24"/>
                <w:highlight w:val="none"/>
              </w:rPr>
              <w:t>3</w:t>
            </w:r>
            <w:r>
              <w:rPr>
                <w:rFonts w:hint="eastAsia" w:ascii="仿宋" w:hAnsi="仿宋" w:eastAsia="仿宋" w:cs="仿宋"/>
                <w:color w:val="auto"/>
                <w:kern w:val="0"/>
                <w:sz w:val="24"/>
                <w:highlight w:val="none"/>
              </w:rPr>
              <w:t>）承诺小额赔款先行赔付的（</w:t>
            </w:r>
            <w:r>
              <w:rPr>
                <w:rFonts w:hint="default" w:ascii="仿宋" w:hAnsi="仿宋" w:eastAsia="仿宋" w:cs="仿宋"/>
                <w:b/>
                <w:bCs/>
                <w:color w:val="auto"/>
                <w:kern w:val="0"/>
                <w:sz w:val="24"/>
                <w:highlight w:val="none"/>
              </w:rPr>
              <w:t>1000</w:t>
            </w:r>
            <w:r>
              <w:rPr>
                <w:rFonts w:hint="eastAsia" w:ascii="仿宋" w:hAnsi="仿宋" w:eastAsia="仿宋" w:cs="仿宋"/>
                <w:b/>
                <w:bCs/>
                <w:color w:val="auto"/>
                <w:kern w:val="0"/>
                <w:sz w:val="24"/>
                <w:highlight w:val="none"/>
              </w:rPr>
              <w:t>元及以下</w:t>
            </w:r>
            <w:r>
              <w:rPr>
                <w:rFonts w:hint="eastAsia" w:ascii="仿宋" w:hAnsi="仿宋" w:eastAsia="仿宋" w:cs="仿宋"/>
                <w:color w:val="auto"/>
                <w:kern w:val="0"/>
                <w:sz w:val="24"/>
                <w:highlight w:val="none"/>
              </w:rPr>
              <w:t>）得</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分</w:t>
            </w:r>
            <w:r>
              <w:rPr>
                <w:rFonts w:hint="eastAsia" w:ascii="仿宋" w:hAnsi="仿宋" w:eastAsia="仿宋" w:cs="仿宋"/>
                <w:b/>
                <w:bCs/>
                <w:color w:val="auto"/>
                <w:kern w:val="0"/>
                <w:sz w:val="24"/>
                <w:highlight w:val="none"/>
              </w:rPr>
              <w:t>（投标文件中需提供承诺函，否则不得分。无承诺不得分，承诺格式自拟。）</w:t>
            </w:r>
          </w:p>
        </w:tc>
        <w:tc>
          <w:tcPr>
            <w:tcW w:w="720" w:type="dxa"/>
            <w:noWrap w:val="0"/>
            <w:vAlign w:val="center"/>
          </w:tcPr>
          <w:p>
            <w:pPr>
              <w:snapToGrid w:val="0"/>
              <w:spacing w:before="0" w:beforeAutospacing="0" w:after="0" w:afterAutospacing="0" w:line="360" w:lineRule="auto"/>
              <w:ind w:left="0" w:right="0"/>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lang w:val="en-US" w:eastAsia="zh-CN"/>
              </w:rPr>
              <w:t>2</w:t>
            </w:r>
          </w:p>
        </w:tc>
        <w:tc>
          <w:tcPr>
            <w:tcW w:w="1091" w:type="dxa"/>
            <w:noWrap w:val="0"/>
            <w:vAlign w:val="center"/>
          </w:tcPr>
          <w:p>
            <w:pPr>
              <w:snapToGrid w:val="0"/>
              <w:spacing w:before="0" w:beforeAutospacing="0" w:after="0" w:afterAutospacing="0" w:line="360" w:lineRule="auto"/>
              <w:ind w:left="0" w:right="0"/>
              <w:jc w:val="center"/>
              <w:rPr>
                <w:rFonts w:hint="default" w:ascii="仿宋" w:hAnsi="仿宋" w:eastAsia="仿宋" w:cs="仿宋_GB2312"/>
                <w:color w:val="auto"/>
                <w:sz w:val="24"/>
                <w:highlight w:val="none"/>
              </w:rPr>
            </w:pPr>
            <w:r>
              <w:rPr>
                <w:rFonts w:hint="eastAsia" w:ascii="仿宋" w:hAnsi="仿宋" w:eastAsia="仿宋" w:cs="仿宋_GB2312"/>
                <w:bCs/>
                <w:color w:val="auto"/>
                <w:sz w:val="24"/>
                <w:highlight w:val="none"/>
              </w:rPr>
              <w:t>客观分</w:t>
            </w:r>
          </w:p>
        </w:tc>
        <w:tc>
          <w:tcPr>
            <w:tcW w:w="1636" w:type="dxa"/>
            <w:vMerge w:val="continue"/>
            <w:noWrap w:val="0"/>
            <w:vAlign w:val="center"/>
          </w:tcPr>
          <w:p>
            <w:pPr>
              <w:snapToGrid w:val="0"/>
              <w:spacing w:before="0" w:beforeAutospacing="0" w:after="0" w:afterAutospacing="0" w:line="360" w:lineRule="auto"/>
              <w:ind w:left="0" w:right="0"/>
              <w:jc w:val="center"/>
              <w:rPr>
                <w:rFonts w:hint="default" w:ascii="仿宋" w:hAnsi="仿宋" w:eastAsia="仿宋" w:cs="仿宋"/>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7036" w:type="dxa"/>
            <w:gridSpan w:val="2"/>
            <w:noWrap w:val="0"/>
            <w:vAlign w:val="center"/>
          </w:tcPr>
          <w:p>
            <w:pPr>
              <w:spacing w:before="0" w:beforeAutospacing="0" w:after="0" w:afterAutospacing="0" w:line="360" w:lineRule="auto"/>
              <w:ind w:left="0" w:right="0"/>
              <w:jc w:val="center"/>
              <w:rPr>
                <w:rFonts w:hint="eastAsia" w:ascii="仿宋" w:hAnsi="仿宋" w:eastAsia="仿宋" w:cs="宋体"/>
                <w:color w:val="auto"/>
                <w:sz w:val="24"/>
                <w:highlight w:val="none"/>
                <w:lang w:val="en-US" w:eastAsia="zh-CN"/>
              </w:rPr>
            </w:pPr>
            <w:r>
              <w:rPr>
                <w:rFonts w:hint="eastAsia" w:ascii="仿宋" w:hAnsi="仿宋" w:eastAsia="仿宋" w:cs="宋体"/>
                <w:b/>
                <w:bCs/>
                <w:color w:val="auto"/>
                <w:sz w:val="24"/>
                <w:highlight w:val="none"/>
                <w:lang w:val="en-US" w:eastAsia="zh-CN"/>
              </w:rPr>
              <w:t>合  计</w:t>
            </w:r>
          </w:p>
        </w:tc>
        <w:tc>
          <w:tcPr>
            <w:tcW w:w="720" w:type="dxa"/>
            <w:noWrap w:val="0"/>
            <w:vAlign w:val="center"/>
          </w:tcPr>
          <w:p>
            <w:pPr>
              <w:spacing w:before="0" w:beforeAutospacing="0" w:after="0" w:afterAutospacing="0" w:line="360" w:lineRule="auto"/>
              <w:ind w:left="0" w:right="0"/>
              <w:jc w:val="center"/>
              <w:outlineLvl w:val="0"/>
              <w:rPr>
                <w:rFonts w:hint="default" w:ascii="仿宋" w:hAnsi="仿宋" w:eastAsia="仿宋" w:cs="仿宋_GB2312"/>
                <w:color w:val="auto"/>
                <w:sz w:val="24"/>
                <w:highlight w:val="none"/>
                <w:lang w:val="en-US" w:eastAsia="zh-CN"/>
              </w:rPr>
            </w:pPr>
            <w:r>
              <w:rPr>
                <w:rFonts w:hint="eastAsia" w:ascii="仿宋" w:hAnsi="仿宋" w:eastAsia="仿宋" w:cs="仿宋_GB2312"/>
                <w:b/>
                <w:bCs/>
                <w:color w:val="auto"/>
                <w:sz w:val="24"/>
                <w:highlight w:val="none"/>
                <w:lang w:val="en-US" w:eastAsia="zh-CN"/>
              </w:rPr>
              <w:t>90</w:t>
            </w:r>
          </w:p>
        </w:tc>
        <w:tc>
          <w:tcPr>
            <w:tcW w:w="1091" w:type="dxa"/>
            <w:noWrap w:val="0"/>
            <w:vAlign w:val="center"/>
          </w:tcPr>
          <w:p>
            <w:pPr>
              <w:spacing w:before="0" w:beforeAutospacing="0" w:after="0" w:afterAutospacing="0" w:line="360" w:lineRule="auto"/>
              <w:ind w:left="0" w:right="0"/>
              <w:jc w:val="center"/>
              <w:outlineLvl w:val="0"/>
              <w:rPr>
                <w:rFonts w:hint="default" w:ascii="仿宋" w:hAnsi="仿宋" w:eastAsia="仿宋" w:cs="仿宋_GB2312"/>
                <w:color w:val="auto"/>
                <w:sz w:val="24"/>
                <w:highlight w:val="none"/>
              </w:rPr>
            </w:pPr>
          </w:p>
        </w:tc>
        <w:tc>
          <w:tcPr>
            <w:tcW w:w="1636" w:type="dxa"/>
            <w:noWrap w:val="0"/>
            <w:vAlign w:val="center"/>
          </w:tcPr>
          <w:p>
            <w:pPr>
              <w:spacing w:before="0" w:beforeAutospacing="0" w:after="0" w:afterAutospacing="0" w:line="360" w:lineRule="auto"/>
              <w:ind w:left="0" w:right="0"/>
              <w:jc w:val="center"/>
              <w:outlineLvl w:val="0"/>
              <w:rPr>
                <w:rFonts w:hint="default" w:ascii="仿宋" w:hAnsi="仿宋" w:eastAsia="仿宋" w:cs="仿宋_GB2312"/>
                <w:color w:val="auto"/>
                <w:sz w:val="24"/>
                <w:highlight w:val="none"/>
              </w:rPr>
            </w:pPr>
          </w:p>
        </w:tc>
      </w:tr>
    </w:tbl>
    <w:p>
      <w:pPr>
        <w:spacing w:line="360" w:lineRule="auto"/>
        <w:rPr>
          <w:rFonts w:ascii="仿宋" w:hAnsi="仿宋" w:eastAsia="仿宋"/>
          <w:color w:val="auto"/>
          <w:highlight w:val="none"/>
        </w:rPr>
      </w:pPr>
    </w:p>
    <w:p>
      <w:pPr>
        <w:snapToGrid w:val="0"/>
        <w:spacing w:line="360" w:lineRule="auto"/>
        <w:rPr>
          <w:rFonts w:ascii="仿宋" w:hAnsi="仿宋" w:eastAsia="仿宋" w:cs="宋体"/>
          <w:b/>
          <w:color w:val="auto"/>
          <w:sz w:val="24"/>
          <w:highlight w:val="none"/>
        </w:rPr>
      </w:pPr>
      <w:r>
        <w:rPr>
          <w:rFonts w:hint="eastAsia" w:ascii="宋体" w:hAnsi="宋体" w:eastAsia="仿宋" w:cs="宋体"/>
          <w:color w:val="auto"/>
          <w:sz w:val="20"/>
          <w:szCs w:val="20"/>
          <w:highlight w:val="none"/>
          <w:shd w:val="clear" w:color="auto" w:fill="FFFFFF"/>
        </w:rPr>
        <w:t> </w:t>
      </w:r>
      <w:r>
        <w:rPr>
          <w:rFonts w:hint="eastAsia" w:ascii="仿宋" w:hAnsi="仿宋" w:eastAsia="仿宋" w:cs="宋体"/>
          <w:color w:val="auto"/>
          <w:sz w:val="20"/>
          <w:szCs w:val="20"/>
          <w:highlight w:val="none"/>
          <w:shd w:val="clear" w:color="auto" w:fill="FFFFFF"/>
        </w:rPr>
        <w:t>*</w:t>
      </w:r>
      <w:r>
        <w:rPr>
          <w:rFonts w:hint="eastAsia" w:ascii="仿宋" w:hAnsi="仿宋" w:eastAsia="仿宋" w:cs="宋体"/>
          <w:b/>
          <w:color w:val="auto"/>
          <w:sz w:val="24"/>
          <w:highlight w:val="none"/>
        </w:rPr>
        <w:t>备注：</w:t>
      </w:r>
      <w:r>
        <w:rPr>
          <w:rFonts w:hint="eastAsia" w:ascii="仿宋" w:hAnsi="仿宋" w:eastAsia="仿宋" w:cs="宋体"/>
          <w:color w:val="auto"/>
          <w:sz w:val="24"/>
          <w:highlight w:val="none"/>
        </w:rPr>
        <w:t>投标人编制投标文件（商务技术文件部分）时，建议按此目录（序号和内容）提供评标标准相应的商务技术资料。</w:t>
      </w:r>
      <w:r>
        <w:rPr>
          <w:rFonts w:hint="eastAsia" w:ascii="宋体" w:hAnsi="宋体" w:eastAsia="仿宋" w:cs="宋体"/>
          <w:color w:val="auto"/>
          <w:sz w:val="24"/>
          <w:highlight w:val="none"/>
        </w:rPr>
        <w:t> </w:t>
      </w:r>
    </w:p>
    <w:bookmarkEnd w:id="393"/>
    <w:bookmarkEnd w:id="394"/>
    <w:bookmarkEnd w:id="395"/>
    <w:p>
      <w:pPr>
        <w:spacing w:line="480" w:lineRule="auto"/>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2、商务分+技术分=评标委员会所有成员评分合计数/评标委员会组成人员数（精确到小数点后二位）；</w:t>
      </w:r>
    </w:p>
    <w:p>
      <w:pPr>
        <w:spacing w:line="480" w:lineRule="auto"/>
        <w:ind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3、价格分（10分）</w:t>
      </w:r>
      <w:r>
        <w:rPr>
          <w:rFonts w:hint="eastAsia" w:ascii="仿宋" w:hAnsi="仿宋" w:eastAsia="仿宋" w:cs="仿宋"/>
          <w:color w:val="auto"/>
          <w:sz w:val="24"/>
          <w:highlight w:val="none"/>
        </w:rPr>
        <w:t>采用低价优先法计算，即满足招标文件要求且投标价格最低的投标报价为评标基准价，其最低报价为满分；按［投标报价得分=（评标基准价/投标报价）*10］的计算公式计算（报价得分保留两位小数，后一位四舍五入）。</w:t>
      </w:r>
    </w:p>
    <w:p>
      <w:pPr>
        <w:spacing w:line="48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评标过程中，不得去掉报价中的最高报价和最低报价。</w:t>
      </w:r>
    </w:p>
    <w:p>
      <w:pPr>
        <w:spacing w:line="48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p>
      <w:pPr>
        <w:pStyle w:val="62"/>
        <w:spacing w:line="480" w:lineRule="auto"/>
        <w:ind w:left="0" w:leftChars="0" w:firstLine="480"/>
        <w:rPr>
          <w:rFonts w:ascii="仿宋" w:hAnsi="仿宋" w:eastAsia="仿宋" w:cs="仿宋"/>
          <w:color w:val="auto"/>
          <w:sz w:val="24"/>
          <w:highlight w:val="none"/>
        </w:rPr>
      </w:pPr>
      <w:r>
        <w:rPr>
          <w:rFonts w:hint="eastAsia" w:ascii="仿宋" w:hAnsi="仿宋" w:eastAsia="仿宋" w:cs="仿宋"/>
          <w:color w:val="auto"/>
          <w:sz w:val="24"/>
          <w:highlight w:val="none"/>
        </w:rPr>
        <w:t>报价是中标的一个重要因素，但最低报价不是中标的唯一依据。</w:t>
      </w:r>
    </w:p>
    <w:p>
      <w:pPr>
        <w:snapToGrid w:val="0"/>
        <w:spacing w:line="480" w:lineRule="auto"/>
        <w:ind w:firstLine="482" w:firstLineChars="200"/>
        <w:rPr>
          <w:rFonts w:ascii="仿宋" w:hAnsi="仿宋" w:eastAsia="仿宋" w:cs="仿宋"/>
          <w:b/>
          <w:color w:val="auto"/>
          <w:sz w:val="24"/>
          <w:highlight w:val="none"/>
        </w:rPr>
      </w:pPr>
      <w:r>
        <w:rPr>
          <w:rFonts w:hint="eastAsia" w:ascii="仿宋" w:hAnsi="仿宋" w:eastAsia="仿宋" w:cs="仿宋"/>
          <w:b/>
          <w:bCs/>
          <w:color w:val="auto"/>
          <w:sz w:val="24"/>
          <w:highlight w:val="none"/>
        </w:rPr>
        <w:t>4、各投标人的综合得分为：技术商务得分+投标价格得分之和，总和为100分，其中：商务技术得分90分，投标价格得分10分。</w:t>
      </w:r>
    </w:p>
    <w:p>
      <w:pPr>
        <w:snapToGrid w:val="0"/>
        <w:spacing w:line="360" w:lineRule="auto"/>
        <w:rPr>
          <w:rFonts w:hint="eastAsia" w:ascii="仿宋" w:hAnsi="仿宋" w:eastAsia="仿宋" w:cs="仿宋"/>
          <w:b/>
          <w:color w:val="000000" w:themeColor="text1"/>
          <w:sz w:val="28"/>
          <w:szCs w:val="28"/>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一、评标方法</w:t>
      </w:r>
    </w:p>
    <w:p>
      <w:pPr>
        <w:adjustRightInd/>
        <w:spacing w:line="360" w:lineRule="auto"/>
        <w:ind w:firstLine="472" w:firstLineChars="19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1.本项目采用综合评分法。</w:t>
      </w:r>
      <w:r>
        <w:rPr>
          <w:rFonts w:hint="eastAsia" w:ascii="仿宋" w:hAnsi="仿宋" w:eastAsia="仿宋" w:cs="仿宋"/>
          <w:color w:val="000000" w:themeColor="text1"/>
          <w:kern w:val="0"/>
          <w:sz w:val="24"/>
          <w:highlight w:val="none"/>
          <w14:textFill>
            <w14:solidFill>
              <w14:schemeClr w14:val="tx1"/>
            </w14:solidFill>
          </w14:textFill>
        </w:rPr>
        <w:t>综合评分法，是指投标文件满足招标文件全部实质性要求，且按照评审因素的量化指标评审得分最高的投标人为中标候选人的评标方法。</w:t>
      </w:r>
    </w:p>
    <w:p>
      <w:pPr>
        <w:adjustRightInd/>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二、评标标准</w:t>
      </w:r>
    </w:p>
    <w:p>
      <w:pPr>
        <w:spacing w:line="360" w:lineRule="auto"/>
        <w:ind w:firstLine="472" w:firstLineChars="196"/>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评标标准：</w:t>
      </w:r>
      <w:r>
        <w:rPr>
          <w:rFonts w:hint="eastAsia" w:ascii="仿宋" w:hAnsi="仿宋" w:eastAsia="仿宋" w:cs="仿宋"/>
          <w:color w:val="000000" w:themeColor="text1"/>
          <w:kern w:val="0"/>
          <w:sz w:val="24"/>
          <w:highlight w:val="none"/>
          <w14:textFill>
            <w14:solidFill>
              <w14:schemeClr w14:val="tx1"/>
            </w14:solidFill>
          </w14:textFill>
        </w:rPr>
        <w:t>见评标办法前附表。</w:t>
      </w:r>
    </w:p>
    <w:p>
      <w:pPr>
        <w:spacing w:line="360" w:lineRule="auto"/>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三、评标程序</w:t>
      </w:r>
    </w:p>
    <w:p>
      <w:pPr>
        <w:spacing w:line="360" w:lineRule="auto"/>
        <w:ind w:firstLine="472" w:firstLineChars="19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3.1符合性审查。</w:t>
      </w:r>
      <w:r>
        <w:rPr>
          <w:rFonts w:hint="eastAsia" w:ascii="仿宋" w:hAnsi="仿宋" w:eastAsia="仿宋" w:cs="仿宋"/>
          <w:color w:val="000000" w:themeColor="text1"/>
          <w:kern w:val="0"/>
          <w:sz w:val="24"/>
          <w:highlight w:val="none"/>
          <w14:textFill>
            <w14:solidFill>
              <w14:schemeClr w14:val="tx1"/>
            </w14:solidFill>
          </w14:textFill>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3.2 比较与评价。</w:t>
      </w:r>
      <w:r>
        <w:rPr>
          <w:rFonts w:hint="eastAsia" w:ascii="仿宋" w:hAnsi="仿宋" w:eastAsia="仿宋" w:cs="仿宋"/>
          <w:color w:val="000000" w:themeColor="text1"/>
          <w:kern w:val="0"/>
          <w:sz w:val="24"/>
          <w:highlight w:val="none"/>
          <w14:textFill>
            <w14:solidFill>
              <w14:schemeClr w14:val="tx1"/>
            </w14:solidFill>
          </w14:textFill>
        </w:rPr>
        <w:t>评标委员会应当按照招标文件中规定的评标方法和标准，对符合性审查合格的投标文件进行商务和技术评估，综合比较与评价。</w:t>
      </w:r>
    </w:p>
    <w:p>
      <w:pPr>
        <w:spacing w:line="360" w:lineRule="auto"/>
        <w:ind w:firstLine="472" w:firstLineChars="19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3.3汇总商务技术得分。</w:t>
      </w:r>
      <w:r>
        <w:rPr>
          <w:rFonts w:hint="eastAsia" w:ascii="仿宋" w:hAnsi="仿宋" w:eastAsia="仿宋" w:cs="仿宋"/>
          <w:color w:val="000000" w:themeColor="text1"/>
          <w:kern w:val="0"/>
          <w:sz w:val="24"/>
          <w:highlight w:val="none"/>
          <w14:textFill>
            <w14:solidFill>
              <w14:schemeClr w14:val="tx1"/>
            </w14:solidFill>
          </w14:textFill>
        </w:rPr>
        <w:t>评标委员会各成员应当独立对每个投标人的商务和技术文件进行评价，并汇总商务技术得分情况。</w:t>
      </w:r>
    </w:p>
    <w:p>
      <w:pPr>
        <w:spacing w:line="360" w:lineRule="auto"/>
        <w:ind w:firstLine="472" w:firstLineChars="196"/>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3.4报价评审。</w:t>
      </w:r>
    </w:p>
    <w:p>
      <w:pPr>
        <w:pStyle w:val="132"/>
        <w:spacing w:before="0"/>
        <w:ind w:firstLine="508" w:firstLineChars="212"/>
        <w:rPr>
          <w:rFonts w:hint="eastAsia"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14:textFill>
            <w14:solidFill>
              <w14:schemeClr w14:val="tx1"/>
            </w14:solidFill>
          </w14:textFill>
        </w:rPr>
        <w:t>3.4.1投标文件报价出现前后不一致的，按照下列规定修正：</w:t>
      </w:r>
    </w:p>
    <w:p>
      <w:pPr>
        <w:pStyle w:val="132"/>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3.4.1.1投标文件中开标一览表(报价表)内容与投标文件中相应内容不一致的，以开标一览表(报价表)为准;</w:t>
      </w:r>
    </w:p>
    <w:p>
      <w:pPr>
        <w:pStyle w:val="132"/>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3.4.1.2大写金额和小写金额不一致的，以大写金额为准;</w:t>
      </w:r>
    </w:p>
    <w:p>
      <w:pPr>
        <w:pStyle w:val="132"/>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3.4.1.3单价金额小数点或者百分比有明显错位的，以开标一览表的总价为准，并修改单价;</w:t>
      </w:r>
    </w:p>
    <w:p>
      <w:pPr>
        <w:pStyle w:val="132"/>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3.4.1.4总价金额与按单价汇总金额不一致的，以单价金额计算结果为准。</w:t>
      </w:r>
    </w:p>
    <w:p>
      <w:pPr>
        <w:pStyle w:val="132"/>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3.4.2投标文件出现不是唯一的、有选择性投标报价的，投标无效。</w:t>
      </w:r>
    </w:p>
    <w:p>
      <w:pPr>
        <w:snapToGrid w:val="0"/>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3.4.3投标报价超过招标文件中规定的预算金额或者最高限价的，投标无效。</w:t>
      </w:r>
    </w:p>
    <w:p>
      <w:pPr>
        <w:pStyle w:val="132"/>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2"/>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3.5排序与推荐。</w:t>
      </w:r>
      <w:r>
        <w:rPr>
          <w:rFonts w:hint="eastAsia" w:ascii="仿宋" w:hAnsi="仿宋" w:eastAsia="仿宋" w:cs="仿宋"/>
          <w:color w:val="000000" w:themeColor="text1"/>
          <w:kern w:val="0"/>
          <w:sz w:val="24"/>
          <w:highlight w:val="none"/>
          <w14:textFill>
            <w14:solidFill>
              <w14:schemeClr w14:val="tx1"/>
            </w14:solidFill>
          </w14:textFill>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的中标候选人数量：</w:t>
      </w:r>
      <w:r>
        <w:rPr>
          <w:rFonts w:hint="eastAsia" w:ascii="仿宋" w:hAnsi="仿宋" w:eastAsia="仿宋" w:cs="仿宋"/>
          <w:color w:val="000000" w:themeColor="text1"/>
          <w:kern w:val="0"/>
          <w:sz w:val="24"/>
          <w:highlight w:val="none"/>
          <w:u w:val="single"/>
          <w14:textFill>
            <w14:solidFill>
              <w14:schemeClr w14:val="tx1"/>
            </w14:solidFill>
          </w14:textFill>
        </w:rPr>
        <w:t>1个</w:t>
      </w:r>
      <w:r>
        <w:rPr>
          <w:rFonts w:hint="eastAsia" w:ascii="仿宋" w:hAnsi="仿宋" w:eastAsia="仿宋" w:cs="仿宋"/>
          <w:color w:val="000000" w:themeColor="text1"/>
          <w:kern w:val="0"/>
          <w:sz w:val="24"/>
          <w:highlight w:val="none"/>
          <w14:textFill>
            <w14:solidFill>
              <w14:schemeClr w14:val="tx1"/>
            </w14:solidFill>
          </w14:textFill>
        </w:rPr>
        <w:t>。”</w:t>
      </w:r>
    </w:p>
    <w:p>
      <w:pPr>
        <w:spacing w:line="360" w:lineRule="auto"/>
        <w:ind w:firstLine="480" w:firstLineChars="200"/>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3.6编写评标报告。</w:t>
      </w:r>
      <w:r>
        <w:rPr>
          <w:rFonts w:hint="eastAsia" w:ascii="仿宋" w:hAnsi="仿宋" w:eastAsia="仿宋" w:cs="仿宋"/>
          <w:color w:val="000000" w:themeColor="text1"/>
          <w:kern w:val="0"/>
          <w:sz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四、评标中的其他事项</w:t>
      </w:r>
    </w:p>
    <w:p>
      <w:pPr>
        <w:pStyle w:val="132"/>
        <w:spacing w:before="0"/>
        <w:ind w:firstLine="472" w:firstLineChars="196"/>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b/>
          <w:color w:val="000000" w:themeColor="text1"/>
          <w:kern w:val="0"/>
          <w:szCs w:val="24"/>
          <w:highlight w:val="none"/>
          <w14:textFill>
            <w14:solidFill>
              <w14:schemeClr w14:val="tx1"/>
            </w14:solidFill>
          </w14:textFill>
        </w:rPr>
        <w:t>4.1投标人澄清、说明或者补正。</w:t>
      </w:r>
      <w:r>
        <w:rPr>
          <w:rFonts w:hint="eastAsia" w:ascii="仿宋" w:hAnsi="仿宋" w:eastAsia="仿宋" w:cs="仿宋"/>
          <w:color w:val="000000" w:themeColor="text1"/>
          <w:kern w:val="0"/>
          <w:szCs w:val="24"/>
          <w:highlight w:val="none"/>
          <w14:textFill>
            <w14:solidFill>
              <w14:schemeClr w14:val="tx1"/>
            </w14:solidFill>
          </w14:textFill>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6"/>
        <w:spacing w:line="360" w:lineRule="auto"/>
        <w:ind w:left="954" w:leftChars="226" w:hanging="479" w:firstLineChars="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b/>
          <w:color w:val="000000" w:themeColor="text1"/>
          <w:kern w:val="0"/>
          <w:highlight w:val="none"/>
          <w14:textFill>
            <w14:solidFill>
              <w14:schemeClr w14:val="tx1"/>
            </w14:solidFill>
          </w14:textFill>
        </w:rPr>
        <w:t>4.2投标无效。</w:t>
      </w:r>
      <w:r>
        <w:rPr>
          <w:rFonts w:hint="eastAsia" w:ascii="仿宋" w:hAnsi="仿宋" w:eastAsia="仿宋" w:cs="仿宋"/>
          <w:color w:val="000000" w:themeColor="text1"/>
          <w:szCs w:val="21"/>
          <w:highlight w:val="none"/>
          <w14:textFill>
            <w14:solidFill>
              <w14:schemeClr w14:val="tx1"/>
            </w14:solidFill>
          </w14:textFill>
        </w:rPr>
        <w:t>有下列情形之一的，投标无效：</w:t>
      </w:r>
    </w:p>
    <w:p>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4.2.2投标文件未按照招标文件要求签署、盖章的；</w:t>
      </w:r>
    </w:p>
    <w:p>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4.2.4投标文件含有采购人不能接受的附加条件的；</w:t>
      </w:r>
    </w:p>
    <w:p>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4.2.5投标文件中承诺的投标有效期少于招标文件中载明的投标有效期的；</w:t>
      </w:r>
    </w:p>
    <w:p>
      <w:pPr>
        <w:snapToGrid w:val="0"/>
        <w:spacing w:line="360" w:lineRule="auto"/>
        <w:ind w:firstLine="120" w:firstLineChars="5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4.2.6投标文件出现不是唯一的、有选择性投标报价的;</w:t>
      </w:r>
    </w:p>
    <w:p>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4.2.7投标报价超过招标文件中规定的预算金额或者最高限价的;</w:t>
      </w:r>
    </w:p>
    <w:p>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4.2.9投标人对根据修正原则修正后的报价不确认的；</w:t>
      </w:r>
    </w:p>
    <w:p>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4.2.10投标人提供虚假材料投标的；</w:t>
      </w:r>
    </w:p>
    <w:p>
      <w:pPr>
        <w:spacing w:line="360" w:lineRule="auto"/>
        <w:ind w:firstLine="240" w:firstLineChars="1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4.2.11投标人有恶意串通、妨碍其他投标人的竞争行为、损害采购人或者其他投标人的合法权益情形的；</w:t>
      </w:r>
    </w:p>
    <w:p>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4.2.12投标人仅提交备份投标文件，未在电子交易平台传输递交投标文件的，投标无效；</w:t>
      </w:r>
    </w:p>
    <w:p>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4.2.13参与同一个采购包（标段）的供应商存在下列情形之一且无法合理解释的，其投标（响应）文件无效：</w:t>
      </w:r>
    </w:p>
    <w:p>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①不同供应商的电子投标（响应）文件上传计算机的网卡MAC地址或硬盘序列号等硬件信息相同的；</w:t>
      </w:r>
    </w:p>
    <w:p>
      <w:pPr>
        <w:spacing w:line="360" w:lineRule="auto"/>
        <w:ind w:left="420" w:left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②上传的电子投标（响应）文件若出现使用本项目其他投标（响应）供应商的数字证书加密的，或者加盖本项目其他投标（响应）供应商的电子印章的；</w:t>
      </w:r>
    </w:p>
    <w:p>
      <w:pPr>
        <w:spacing w:line="360" w:lineRule="auto"/>
        <w:ind w:left="420" w:left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③不同供应商的投标（响应）文件的内容存在3处（含）以上错误一致的；④不同供应商联系人为同一人或不同联系人的联系电话一致的。”</w:t>
      </w:r>
    </w:p>
    <w:p>
      <w:pPr>
        <w:pStyle w:val="6"/>
        <w:ind w:left="862" w:leftChars="205"/>
        <w:rPr>
          <w:rFonts w:hint="eastAsia" w:ascii="仿宋" w:eastAsia="仿宋" w:cs="仿宋"/>
          <w:b w:val="0"/>
          <w:bCs w:val="0"/>
          <w:color w:val="000000" w:themeColor="text1"/>
          <w:kern w:val="0"/>
          <w:sz w:val="24"/>
          <w:szCs w:val="24"/>
          <w:highlight w:val="none"/>
          <w:lang w:val="en-US"/>
          <w14:textFill>
            <w14:solidFill>
              <w14:schemeClr w14:val="tx1"/>
            </w14:solidFill>
          </w14:textFill>
        </w:rPr>
      </w:pPr>
      <w:r>
        <w:rPr>
          <w:rFonts w:hint="eastAsia" w:ascii="仿宋" w:eastAsia="仿宋" w:cs="仿宋"/>
          <w:b w:val="0"/>
          <w:bCs w:val="0"/>
          <w:color w:val="000000" w:themeColor="text1"/>
          <w:kern w:val="0"/>
          <w:sz w:val="24"/>
          <w:szCs w:val="24"/>
          <w:highlight w:val="none"/>
          <w:lang w:val="en-US"/>
          <w14:textFill>
            <w14:solidFill>
              <w14:schemeClr w14:val="tx1"/>
            </w14:solidFill>
          </w14:textFill>
        </w:rPr>
        <w:t>4.2.14 投标文件不满足招标文件的其它实质性要求的；</w:t>
      </w:r>
    </w:p>
    <w:p>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4.2.15法律、法规、规章（适用本市的）及省级以上规范性文件（适用本市的）规定的其他无效情形。</w:t>
      </w:r>
    </w:p>
    <w:p>
      <w:pPr>
        <w:pStyle w:val="26"/>
        <w:snapToGrid w:val="0"/>
        <w:spacing w:line="360" w:lineRule="auto"/>
        <w:ind w:firstLine="472" w:firstLineChars="196"/>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5.废标。</w:t>
      </w:r>
      <w:r>
        <w:rPr>
          <w:rFonts w:hint="eastAsia" w:ascii="仿宋" w:hAnsi="仿宋" w:eastAsia="仿宋" w:cs="仿宋"/>
          <w:color w:val="000000" w:themeColor="text1"/>
          <w:highlight w:val="none"/>
          <w14:textFill>
            <w14:solidFill>
              <w14:schemeClr w14:val="tx1"/>
            </w14:solidFill>
          </w14:textFill>
        </w:rPr>
        <w:t>根据《中华人民共和国政府采购法》第三十六条之规定，在采购中，出现下列情形之一的，应予废标：</w:t>
      </w:r>
    </w:p>
    <w:p>
      <w:pPr>
        <w:pStyle w:val="26"/>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5.1符合专业条件的供应商或者对招标文件作实质响应的供应商不足3家的；</w:t>
      </w:r>
    </w:p>
    <w:p>
      <w:pPr>
        <w:pStyle w:val="26"/>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5.2出现影响采购公正的违法、违规行为的；</w:t>
      </w:r>
    </w:p>
    <w:p>
      <w:pPr>
        <w:pStyle w:val="26"/>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5.3投标人的报价均超过了采购预算，采购人不能支付的；</w:t>
      </w:r>
    </w:p>
    <w:p>
      <w:pPr>
        <w:pStyle w:val="26"/>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5.4因重大变故，采购任务取消的。</w:t>
      </w:r>
    </w:p>
    <w:p>
      <w:pPr>
        <w:pStyle w:val="26"/>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废标后，采购代理机构应当将废标理由通知所有投标人。</w:t>
      </w:r>
    </w:p>
    <w:p>
      <w:pPr>
        <w:pStyle w:val="26"/>
        <w:snapToGrid w:val="0"/>
        <w:spacing w:line="360" w:lineRule="auto"/>
        <w:ind w:firstLine="590" w:firstLineChars="245"/>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6.修改招标文件，重新组织采购活动。</w:t>
      </w:r>
      <w:r>
        <w:rPr>
          <w:rFonts w:hint="eastAsia" w:ascii="仿宋" w:hAnsi="仿宋" w:eastAsia="仿宋" w:cs="仿宋"/>
          <w:color w:val="000000" w:themeColor="text1"/>
          <w:highlight w:val="none"/>
          <w14:textFill>
            <w14:solidFill>
              <w14:schemeClr w14:val="tx1"/>
            </w14:solidFill>
          </w14:textFill>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6"/>
        <w:snapToGrid w:val="0"/>
        <w:spacing w:line="360" w:lineRule="auto"/>
        <w:ind w:firstLine="482"/>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kern w:val="0"/>
          <w:highlight w:val="none"/>
          <w14:textFill>
            <w14:solidFill>
              <w14:schemeClr w14:val="tx1"/>
            </w14:solidFill>
          </w14:textFill>
        </w:rPr>
        <w:t>7.重新开展采购。</w:t>
      </w:r>
      <w:r>
        <w:rPr>
          <w:rFonts w:hint="eastAsia" w:ascii="仿宋" w:hAnsi="仿宋" w:eastAsia="仿宋" w:cs="仿宋"/>
          <w:color w:val="000000" w:themeColor="text1"/>
          <w:highlight w:val="none"/>
          <w14:textFill>
            <w14:solidFill>
              <w14:schemeClr w14:val="tx1"/>
            </w14:solidFill>
          </w14:textFill>
        </w:rPr>
        <w:t>有政府采购法第七十一条、第七十二条规定的违法行为之一，影响或者可能影响中标结果的，依照下列规定处理：</w:t>
      </w:r>
    </w:p>
    <w:p>
      <w:pPr>
        <w:pStyle w:val="26"/>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7.1未确定中标供应商的，终止本次政府采购活动，重新开展政府采购活动。</w:t>
      </w:r>
    </w:p>
    <w:p>
      <w:pPr>
        <w:pStyle w:val="26"/>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7.2已确定中标供应商但尚未签订政府采购合同的，中标结果无效，从合格的中标候选人中另行确定中标供应商；没有合格的中标候选人的，重新开展政府采购活动。</w:t>
      </w:r>
    </w:p>
    <w:p>
      <w:pPr>
        <w:pStyle w:val="26"/>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7.3政府采购合同已签订但尚未履行的，撤销合同，从合格的中标候选人中另行确定中标供应商；没有合格的中标候选人的，重新开展政府采购活动。</w:t>
      </w:r>
    </w:p>
    <w:p>
      <w:pPr>
        <w:pStyle w:val="26"/>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7.4政府采购合同已经履行，给采购人、供应商造成损失的，由责任人承担赔偿责任。</w:t>
      </w:r>
    </w:p>
    <w:p>
      <w:pPr>
        <w:pStyle w:val="26"/>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7.5政府采购当事人有其他违反政府采购法或者政府采购法实施条例等法律法规规定的行为，经改正后仍然影响或者可能影响中标结果或者依法被认定为中标无效的，依照7.1-7.4规定处理。</w:t>
      </w:r>
    </w:p>
    <w:p>
      <w:pPr>
        <w:pStyle w:val="26"/>
        <w:snapToGrid w:val="0"/>
        <w:spacing w:line="360" w:lineRule="auto"/>
        <w:ind w:firstLine="0" w:firstLineChars="0"/>
        <w:rPr>
          <w:rFonts w:hint="eastAsia" w:ascii="仿宋" w:hAnsi="仿宋" w:eastAsia="仿宋" w:cs="仿宋"/>
          <w:color w:val="000000" w:themeColor="text1"/>
          <w:highlight w:val="none"/>
          <w14:textFill>
            <w14:solidFill>
              <w14:schemeClr w14:val="tx1"/>
            </w14:solidFill>
          </w14:textFill>
        </w:rPr>
      </w:pPr>
    </w:p>
    <w:bookmarkEnd w:id="27"/>
    <w:p>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bookmarkStart w:id="396" w:name="第五部分"/>
      <w:bookmarkStart w:id="397" w:name="_Toc86217003"/>
    </w:p>
    <w:p>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 xml:space="preserve">    </w:t>
      </w:r>
    </w:p>
    <w:p>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p>
    <w:p>
      <w:pPr>
        <w:widowControl/>
        <w:adjustRightInd/>
        <w:jc w:val="left"/>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br w:type="page"/>
      </w:r>
    </w:p>
    <w:p>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第五部分 拟签订的合同文本</w:t>
      </w:r>
    </w:p>
    <w:p>
      <w:pPr>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合同编号：</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line="480" w:lineRule="auto"/>
        <w:jc w:val="center"/>
        <w:rPr>
          <w:rFonts w:hint="eastAsia" w:ascii="仿宋" w:hAnsi="仿宋" w:eastAsia="仿宋" w:cs="仿宋"/>
          <w:b/>
          <w:color w:val="000000" w:themeColor="text1"/>
          <w:sz w:val="28"/>
          <w:szCs w:val="28"/>
          <w:highlight w:val="none"/>
          <w14:textFill>
            <w14:solidFill>
              <w14:schemeClr w14:val="tx1"/>
            </w14:solidFill>
          </w14:textFill>
        </w:rPr>
      </w:pPr>
    </w:p>
    <w:p>
      <w:pPr>
        <w:spacing w:line="480" w:lineRule="auto"/>
        <w:jc w:val="center"/>
        <w:rPr>
          <w:rFonts w:hint="eastAsia" w:ascii="仿宋" w:hAnsi="仿宋" w:eastAsia="仿宋" w:cs="仿宋"/>
          <w:b/>
          <w:color w:val="000000" w:themeColor="text1"/>
          <w:sz w:val="24"/>
          <w:highlight w:val="none"/>
          <w14:textFill>
            <w14:solidFill>
              <w14:schemeClr w14:val="tx1"/>
            </w14:solidFill>
          </w14:textFill>
        </w:rPr>
      </w:pPr>
    </w:p>
    <w:p>
      <w:pPr>
        <w:spacing w:line="480" w:lineRule="auto"/>
        <w:jc w:val="center"/>
        <w:rPr>
          <w:rFonts w:hint="eastAsia" w:ascii="仿宋" w:hAnsi="仿宋" w:eastAsia="仿宋" w:cs="仿宋"/>
          <w:b/>
          <w:color w:val="000000" w:themeColor="text1"/>
          <w:sz w:val="24"/>
          <w:highlight w:val="none"/>
          <w14:textFill>
            <w14:solidFill>
              <w14:schemeClr w14:val="tx1"/>
            </w14:solidFill>
          </w14:textFill>
        </w:rPr>
      </w:pPr>
    </w:p>
    <w:p>
      <w:pPr>
        <w:spacing w:line="480" w:lineRule="auto"/>
        <w:jc w:val="center"/>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政府采购合同参考范本</w:t>
      </w:r>
    </w:p>
    <w:p>
      <w:pPr>
        <w:spacing w:line="480" w:lineRule="auto"/>
        <w:jc w:val="center"/>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（服务类）</w:t>
      </w:r>
    </w:p>
    <w:p>
      <w:pPr>
        <w:pStyle w:val="703"/>
        <w:ind w:firstLine="2843" w:firstLineChars="118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第一部分 合同书</w:t>
      </w:r>
    </w:p>
    <w:p>
      <w:pPr>
        <w:spacing w:before="120" w:line="22" w:lineRule="atLeast"/>
        <w:rPr>
          <w:rFonts w:hint="eastAsia" w:ascii="仿宋" w:hAnsi="仿宋" w:eastAsia="仿宋" w:cs="仿宋"/>
          <w:color w:val="000000" w:themeColor="text1"/>
          <w:sz w:val="24"/>
          <w:highlight w:val="none"/>
          <w14:textFill>
            <w14:solidFill>
              <w14:schemeClr w14:val="tx1"/>
            </w14:solidFill>
          </w14:textFill>
        </w:rPr>
      </w:pPr>
    </w:p>
    <w:p>
      <w:pPr>
        <w:pStyle w:val="6"/>
        <w:rPr>
          <w:rFonts w:hint="eastAsia" w:ascii="仿宋" w:eastAsia="仿宋" w:cs="仿宋"/>
          <w:color w:val="000000" w:themeColor="text1"/>
          <w:highlight w:val="none"/>
          <w14:textFill>
            <w14:solidFill>
              <w14:schemeClr w14:val="tx1"/>
            </w14:solidFill>
          </w14:textFill>
        </w:rPr>
      </w:pPr>
    </w:p>
    <w:p>
      <w:pPr>
        <w:spacing w:before="120" w:line="22" w:lineRule="atLeast"/>
        <w:ind w:left="96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项目名称：</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pStyle w:val="600"/>
        <w:spacing w:before="120" w:line="22" w:lineRule="atLeast"/>
        <w:rPr>
          <w:rFonts w:hint="eastAsia" w:ascii="仿宋" w:hAnsi="仿宋" w:eastAsia="仿宋" w:cs="仿宋"/>
          <w:color w:val="000000" w:themeColor="text1"/>
          <w:szCs w:val="24"/>
          <w:highlight w:val="none"/>
          <w14:textFill>
            <w14:solidFill>
              <w14:schemeClr w14:val="tx1"/>
            </w14:solidFill>
          </w14:textFill>
        </w:rPr>
      </w:pPr>
    </w:p>
    <w:p>
      <w:pPr>
        <w:pStyle w:val="600"/>
        <w:spacing w:before="120" w:line="22" w:lineRule="atLeast"/>
        <w:rPr>
          <w:rFonts w:hint="eastAsia" w:ascii="仿宋" w:hAnsi="仿宋" w:eastAsia="仿宋" w:cs="仿宋"/>
          <w:color w:val="000000" w:themeColor="text1"/>
          <w:szCs w:val="24"/>
          <w:highlight w:val="none"/>
          <w14:textFill>
            <w14:solidFill>
              <w14:schemeClr w14:val="tx1"/>
            </w14:solidFill>
          </w14:textFill>
        </w:rPr>
      </w:pPr>
    </w:p>
    <w:p>
      <w:pPr>
        <w:rPr>
          <w:rFonts w:hint="eastAsia" w:ascii="仿宋" w:hAnsi="仿宋" w:eastAsia="仿宋" w:cs="仿宋"/>
          <w:color w:val="000000" w:themeColor="text1"/>
          <w:sz w:val="24"/>
          <w:highlight w:val="none"/>
          <w14:textFill>
            <w14:solidFill>
              <w14:schemeClr w14:val="tx1"/>
            </w14:solidFill>
          </w14:textFill>
        </w:rPr>
      </w:pPr>
    </w:p>
    <w:p>
      <w:pPr>
        <w:spacing w:before="120" w:line="22" w:lineRule="atLeast"/>
        <w:ind w:left="96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甲方：</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before="120" w:line="22" w:lineRule="atLeast"/>
        <w:rPr>
          <w:rFonts w:hint="eastAsia" w:ascii="仿宋" w:hAnsi="仿宋" w:eastAsia="仿宋" w:cs="仿宋"/>
          <w:color w:val="000000" w:themeColor="text1"/>
          <w:sz w:val="24"/>
          <w:highlight w:val="none"/>
          <w14:textFill>
            <w14:solidFill>
              <w14:schemeClr w14:val="tx1"/>
            </w14:solidFill>
          </w14:textFill>
        </w:rPr>
      </w:pPr>
    </w:p>
    <w:p>
      <w:pPr>
        <w:spacing w:before="120" w:line="22" w:lineRule="atLeast"/>
        <w:ind w:left="96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乙方：</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before="120" w:line="22" w:lineRule="atLeast"/>
        <w:rPr>
          <w:rFonts w:hint="eastAsia" w:ascii="仿宋" w:hAnsi="仿宋" w:eastAsia="仿宋" w:cs="仿宋"/>
          <w:color w:val="000000" w:themeColor="text1"/>
          <w:sz w:val="24"/>
          <w:highlight w:val="none"/>
          <w14:textFill>
            <w14:solidFill>
              <w14:schemeClr w14:val="tx1"/>
            </w14:solidFill>
          </w14:textFill>
        </w:rPr>
      </w:pPr>
    </w:p>
    <w:p>
      <w:pPr>
        <w:spacing w:before="120" w:line="22" w:lineRule="atLeast"/>
        <w:ind w:firstLine="960" w:firstLineChars="4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签订地：</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before="120" w:line="22" w:lineRule="atLeast"/>
        <w:rPr>
          <w:rFonts w:hint="eastAsia" w:ascii="仿宋" w:hAnsi="仿宋" w:eastAsia="仿宋" w:cs="仿宋"/>
          <w:color w:val="000000" w:themeColor="text1"/>
          <w:sz w:val="24"/>
          <w:highlight w:val="none"/>
          <w14:textFill>
            <w14:solidFill>
              <w14:schemeClr w14:val="tx1"/>
            </w14:solidFill>
          </w14:textFill>
        </w:rPr>
      </w:pPr>
    </w:p>
    <w:p>
      <w:pPr>
        <w:spacing w:before="120" w:line="22" w:lineRule="atLeast"/>
        <w:ind w:firstLine="960" w:firstLineChars="4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签订日期：</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w:t>
      </w:r>
    </w:p>
    <w:p>
      <w:pPr>
        <w:widowControl/>
        <w:jc w:val="left"/>
        <w:rPr>
          <w:rFonts w:hint="eastAsia" w:ascii="仿宋" w:hAnsi="仿宋" w:eastAsia="仿宋" w:cs="仿宋"/>
          <w:color w:val="000000" w:themeColor="text1"/>
          <w:kern w:val="0"/>
          <w:sz w:val="24"/>
          <w:highlight w:val="none"/>
          <w14:textFill>
            <w14:solidFill>
              <w14:schemeClr w14:val="tx1"/>
            </w14:solidFill>
          </w14:textFill>
        </w:rPr>
        <w:sectPr>
          <w:pgSz w:w="11907" w:h="16840"/>
          <w:pgMar w:top="1474" w:right="1814" w:bottom="1474" w:left="1814" w:header="851" w:footer="851" w:gutter="0"/>
          <w:cols w:space="720" w:num="1"/>
        </w:sectPr>
      </w:pPr>
    </w:p>
    <w:p>
      <w:pPr>
        <w:rPr>
          <w:rFonts w:hint="eastAsia" w:ascii="仿宋" w:hAnsi="仿宋" w:eastAsia="仿宋" w:cs="仿宋"/>
          <w:b/>
          <w:color w:val="000000" w:themeColor="text1"/>
          <w:sz w:val="24"/>
          <w:highlight w:val="none"/>
          <w14:textFill>
            <w14:solidFill>
              <w14:schemeClr w14:val="tx1"/>
            </w14:solidFill>
          </w14:textFill>
        </w:rPr>
      </w:pP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年</w:t>
      </w:r>
      <w:r>
        <w:rPr>
          <w:rFonts w:hint="eastAsia" w:ascii="仿宋" w:hAnsi="仿宋" w:eastAsia="仿宋" w:cs="仿宋"/>
          <w:color w:val="000000" w:themeColor="text1"/>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（采购人）   </w:t>
      </w:r>
      <w:r>
        <w:rPr>
          <w:rFonts w:hint="eastAsia" w:ascii="仿宋" w:hAnsi="仿宋" w:eastAsia="仿宋" w:cs="仿宋"/>
          <w:color w:val="000000" w:themeColor="text1"/>
          <w:sz w:val="24"/>
          <w:highlight w:val="none"/>
          <w14:textFill>
            <w14:solidFill>
              <w14:schemeClr w14:val="tx1"/>
            </w14:solidFill>
          </w14:textFill>
        </w:rPr>
        <w:t>以</w:t>
      </w:r>
      <w:r>
        <w:rPr>
          <w:rFonts w:hint="eastAsia" w:ascii="仿宋" w:hAnsi="仿宋" w:eastAsia="仿宋" w:cs="仿宋"/>
          <w:color w:val="000000" w:themeColor="text1"/>
          <w:sz w:val="24"/>
          <w:highlight w:val="none"/>
          <w:u w:val="single"/>
          <w14:textFill>
            <w14:solidFill>
              <w14:schemeClr w14:val="tx1"/>
            </w14:solidFill>
          </w14:textFill>
        </w:rPr>
        <w:t xml:space="preserve">   （政府采购方式）  </w:t>
      </w:r>
      <w:r>
        <w:rPr>
          <w:rFonts w:hint="eastAsia" w:ascii="仿宋" w:hAnsi="仿宋" w:eastAsia="仿宋" w:cs="仿宋"/>
          <w:color w:val="000000" w:themeColor="text1"/>
          <w:sz w:val="24"/>
          <w:highlight w:val="none"/>
          <w14:textFill>
            <w14:solidFill>
              <w14:schemeClr w14:val="tx1"/>
            </w14:solidFill>
          </w14:textFill>
        </w:rPr>
        <w:t>对</w:t>
      </w:r>
      <w:r>
        <w:rPr>
          <w:rFonts w:hint="eastAsia" w:ascii="仿宋" w:hAnsi="仿宋" w:eastAsia="仿宋" w:cs="仿宋"/>
          <w:color w:val="000000" w:themeColor="text1"/>
          <w:sz w:val="24"/>
          <w:highlight w:val="none"/>
          <w:u w:val="single"/>
          <w14:textFill>
            <w14:solidFill>
              <w14:schemeClr w14:val="tx1"/>
            </w14:solidFill>
          </w14:textFill>
        </w:rPr>
        <w:t xml:space="preserve">  （项目名称）    </w:t>
      </w:r>
      <w:r>
        <w:rPr>
          <w:rFonts w:hint="eastAsia" w:ascii="仿宋" w:hAnsi="仿宋" w:eastAsia="仿宋" w:cs="仿宋"/>
          <w:color w:val="000000" w:themeColor="text1"/>
          <w:sz w:val="24"/>
          <w:highlight w:val="none"/>
          <w14:textFill>
            <w14:solidFill>
              <w14:schemeClr w14:val="tx1"/>
            </w14:solidFill>
          </w14:textFill>
        </w:rPr>
        <w:t>项目进行了采购。经</w:t>
      </w:r>
      <w:r>
        <w:rPr>
          <w:rFonts w:hint="eastAsia" w:ascii="仿宋" w:hAnsi="仿宋" w:eastAsia="仿宋" w:cs="仿宋"/>
          <w:color w:val="000000" w:themeColor="text1"/>
          <w:sz w:val="24"/>
          <w:highlight w:val="none"/>
          <w:u w:val="single"/>
          <w14:textFill>
            <w14:solidFill>
              <w14:schemeClr w14:val="tx1"/>
            </w14:solidFill>
          </w14:textFill>
        </w:rPr>
        <w:t xml:space="preserve">   （相关评定主体名称）   </w:t>
      </w:r>
      <w:r>
        <w:rPr>
          <w:rFonts w:hint="eastAsia" w:ascii="仿宋" w:hAnsi="仿宋" w:eastAsia="仿宋" w:cs="仿宋"/>
          <w:color w:val="000000" w:themeColor="text1"/>
          <w:sz w:val="24"/>
          <w:highlight w:val="none"/>
          <w14:textFill>
            <w14:solidFill>
              <w14:schemeClr w14:val="tx1"/>
            </w14:solidFill>
          </w14:textFill>
        </w:rPr>
        <w:t>评定，</w:t>
      </w:r>
      <w:r>
        <w:rPr>
          <w:rFonts w:hint="eastAsia" w:ascii="仿宋" w:hAnsi="仿宋" w:eastAsia="仿宋" w:cs="仿宋"/>
          <w:color w:val="000000" w:themeColor="text1"/>
          <w:sz w:val="24"/>
          <w:highlight w:val="none"/>
          <w:u w:val="single"/>
          <w14:textFill>
            <w14:solidFill>
              <w14:schemeClr w14:val="tx1"/>
            </w14:solidFill>
          </w14:textFill>
        </w:rPr>
        <w:t xml:space="preserve">   （中标或者成交供应商名称） </w:t>
      </w:r>
      <w:r>
        <w:rPr>
          <w:rFonts w:hint="eastAsia" w:ascii="仿宋" w:hAnsi="仿宋" w:eastAsia="仿宋" w:cs="仿宋"/>
          <w:color w:val="000000" w:themeColor="text1"/>
          <w:sz w:val="24"/>
          <w:highlight w:val="none"/>
          <w14:textFill>
            <w14:solidFill>
              <w14:schemeClr w14:val="tx1"/>
            </w14:solidFill>
          </w14:textFill>
        </w:rPr>
        <w:t>为该项目中标或者成交供应商。现于中标或者成交通知书发出之日起10个工作日内，按照采购文件确定的事项签订本合同。</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根据《中华人民共和国民法典》《中华人民共和国政府采购法》等相关法律法规之规定，按照平等、自愿、公平和诚实信用的原则，经</w:t>
      </w:r>
      <w:r>
        <w:rPr>
          <w:rFonts w:hint="eastAsia" w:ascii="仿宋" w:hAnsi="仿宋" w:eastAsia="仿宋" w:cs="仿宋"/>
          <w:color w:val="000000" w:themeColor="text1"/>
          <w:sz w:val="24"/>
          <w:highlight w:val="none"/>
          <w:u w:val="single"/>
          <w14:textFill>
            <w14:solidFill>
              <w14:schemeClr w14:val="tx1"/>
            </w14:solidFill>
          </w14:textFill>
        </w:rPr>
        <w:t xml:space="preserve">   （采购人）   </w:t>
      </w:r>
      <w:r>
        <w:rPr>
          <w:rFonts w:hint="eastAsia" w:ascii="仿宋" w:hAnsi="仿宋" w:eastAsia="仿宋" w:cs="仿宋"/>
          <w:color w:val="000000" w:themeColor="text1"/>
          <w:sz w:val="24"/>
          <w:highlight w:val="none"/>
          <w:lang w:val="zh-CN"/>
          <w14:textFill>
            <w14:solidFill>
              <w14:schemeClr w14:val="tx1"/>
            </w14:solidFill>
          </w14:textFill>
        </w:rPr>
        <w:t>(以下简称：甲方)和</w:t>
      </w:r>
      <w:r>
        <w:rPr>
          <w:rFonts w:hint="eastAsia" w:ascii="仿宋" w:hAnsi="仿宋" w:eastAsia="仿宋" w:cs="仿宋"/>
          <w:color w:val="000000" w:themeColor="text1"/>
          <w:sz w:val="24"/>
          <w:highlight w:val="none"/>
          <w:u w:val="single"/>
          <w14:textFill>
            <w14:solidFill>
              <w14:schemeClr w14:val="tx1"/>
            </w14:solidFill>
          </w14:textFill>
        </w:rPr>
        <w:t xml:space="preserve">   （中或者成交标供应商名称）   </w:t>
      </w:r>
      <w:r>
        <w:rPr>
          <w:rFonts w:hint="eastAsia" w:ascii="仿宋" w:hAnsi="仿宋" w:eastAsia="仿宋" w:cs="仿宋"/>
          <w:color w:val="000000" w:themeColor="text1"/>
          <w:sz w:val="24"/>
          <w:highlight w:val="none"/>
          <w:lang w:val="zh-CN"/>
          <w14:textFill>
            <w14:solidFill>
              <w14:schemeClr w14:val="tx1"/>
            </w14:solidFill>
          </w14:textFill>
        </w:rPr>
        <w:t>(以下简称：乙方)协商一致，约定以下合同</w:t>
      </w:r>
      <w:r>
        <w:rPr>
          <w:rFonts w:hint="eastAsia" w:ascii="仿宋" w:hAnsi="仿宋" w:eastAsia="仿宋" w:cs="仿宋"/>
          <w:color w:val="000000" w:themeColor="text1"/>
          <w:sz w:val="24"/>
          <w:highlight w:val="none"/>
          <w14:textFill>
            <w14:solidFill>
              <w14:schemeClr w14:val="tx1"/>
            </w14:solidFill>
          </w14:textFill>
        </w:rPr>
        <w:t>条款，以兹共同遵守、全面履行。</w:t>
      </w:r>
    </w:p>
    <w:p>
      <w:pPr>
        <w:spacing w:line="560" w:lineRule="exact"/>
        <w:ind w:firstLine="482" w:firstLineChars="200"/>
        <w:outlineLvl w:val="0"/>
        <w:rPr>
          <w:rFonts w:hint="eastAsia" w:ascii="仿宋" w:hAnsi="仿宋" w:eastAsia="仿宋" w:cs="仿宋"/>
          <w:color w:val="000000" w:themeColor="text1"/>
          <w:sz w:val="24"/>
          <w:highlight w:val="none"/>
          <w14:textFill>
            <w14:solidFill>
              <w14:schemeClr w14:val="tx1"/>
            </w14:solidFill>
          </w14:textFill>
        </w:rPr>
      </w:pPr>
      <w:bookmarkStart w:id="398" w:name="_Toc20421"/>
      <w:bookmarkStart w:id="399" w:name="_Toc19273"/>
      <w:bookmarkStart w:id="400" w:name="_Toc15367"/>
      <w:bookmarkStart w:id="401" w:name="_Toc22967"/>
      <w:bookmarkStart w:id="402" w:name="_Toc28855"/>
      <w:r>
        <w:rPr>
          <w:rFonts w:hint="eastAsia" w:ascii="仿宋" w:hAnsi="仿宋" w:eastAsia="仿宋" w:cs="仿宋"/>
          <w:b/>
          <w:color w:val="000000" w:themeColor="text1"/>
          <w:sz w:val="24"/>
          <w:highlight w:val="none"/>
          <w14:textFill>
            <w14:solidFill>
              <w14:schemeClr w14:val="tx1"/>
            </w14:solidFill>
          </w14:textFill>
        </w:rPr>
        <w:t>1.1 合同组成部分</w:t>
      </w:r>
      <w:bookmarkEnd w:id="398"/>
      <w:bookmarkEnd w:id="399"/>
      <w:bookmarkEnd w:id="400"/>
      <w:bookmarkEnd w:id="401"/>
      <w:bookmarkEnd w:id="402"/>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 本合同及其补充合同、变更协议；</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 中标或者成交通知书；</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 投标或者响应文件（含澄清或者说明文件）；</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1.1.4 采购文件（含澄清或者修改文件）；</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1.1.5 其他相关采购文件。</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03" w:name="_Toc18585"/>
      <w:bookmarkStart w:id="404" w:name="_Toc6773"/>
      <w:bookmarkStart w:id="405" w:name="_Toc22185"/>
      <w:bookmarkStart w:id="406" w:name="_Toc2918"/>
      <w:bookmarkStart w:id="407" w:name="_Toc6311"/>
      <w:r>
        <w:rPr>
          <w:rFonts w:hint="eastAsia" w:ascii="仿宋" w:hAnsi="仿宋" w:eastAsia="仿宋" w:cs="仿宋"/>
          <w:b/>
          <w:color w:val="000000" w:themeColor="text1"/>
          <w:sz w:val="24"/>
          <w:highlight w:val="none"/>
          <w14:textFill>
            <w14:solidFill>
              <w14:schemeClr w14:val="tx1"/>
            </w14:solidFill>
          </w14:textFill>
        </w:rPr>
        <w:t>1.2 标的</w:t>
      </w:r>
      <w:bookmarkEnd w:id="403"/>
      <w:bookmarkEnd w:id="404"/>
      <w:bookmarkEnd w:id="405"/>
      <w:bookmarkEnd w:id="406"/>
      <w:bookmarkEnd w:id="407"/>
    </w:p>
    <w:p>
      <w:pPr>
        <w:spacing w:line="56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1.2.1 服务内容：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pPr>
        <w:spacing w:line="56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1.2.2 服务标准：</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pPr>
        <w:spacing w:line="56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1.2.3 技术保障：</w:t>
      </w:r>
      <w:r>
        <w:rPr>
          <w:rFonts w:hint="eastAsia" w:ascii="仿宋" w:hAnsi="仿宋" w:eastAsia="仿宋" w:cs="仿宋"/>
          <w:color w:val="000000" w:themeColor="text1"/>
          <w:sz w:val="24"/>
          <w:highlight w:val="none"/>
          <w:u w:val="single"/>
          <w14:textFill>
            <w14:solidFill>
              <w14:schemeClr w14:val="tx1"/>
            </w14:solidFill>
          </w14:textFill>
        </w:rPr>
        <w:t>　　　　　　　　　                      　      ；</w:t>
      </w:r>
    </w:p>
    <w:p>
      <w:pPr>
        <w:spacing w:line="56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1.2.4 服务人员组成：</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pPr>
        <w:pStyle w:val="961"/>
        <w:spacing w:before="0" w:beforeAutospacing="0" w:after="0" w:afterAutospacing="0" w:line="360" w:lineRule="auto"/>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1.2.5合同</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（是/否）涉及货物。若涉及货物的，则：</w:t>
      </w:r>
    </w:p>
    <w:p>
      <w:pPr>
        <w:spacing w:line="56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bookmarkStart w:id="408" w:name="_Toc5635"/>
      <w:bookmarkStart w:id="409" w:name="_Toc1386"/>
      <w:bookmarkStart w:id="410" w:name="_Toc4929"/>
      <w:bookmarkStart w:id="411" w:name="_Toc21124"/>
      <w:bookmarkStart w:id="412" w:name="_Toc13918"/>
      <w:r>
        <w:rPr>
          <w:rFonts w:hint="eastAsia" w:ascii="仿宋" w:hAnsi="仿宋" w:eastAsia="仿宋" w:cs="仿宋"/>
          <w:color w:val="000000" w:themeColor="text1"/>
          <w:sz w:val="24"/>
          <w:highlight w:val="none"/>
          <w14:textFill>
            <w14:solidFill>
              <w14:schemeClr w14:val="tx1"/>
            </w14:solidFill>
          </w14:textFill>
        </w:rPr>
        <w:t>1.2.5.1 货物名称、品牌、规格型号、花色：</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pPr>
        <w:spacing w:line="56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1.2.5.2 货物数量：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pPr>
        <w:spacing w:line="56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1.2.5.3 货物质量：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1.3 价款</w:t>
      </w:r>
      <w:bookmarkEnd w:id="408"/>
      <w:bookmarkEnd w:id="409"/>
      <w:bookmarkEnd w:id="410"/>
      <w:bookmarkEnd w:id="411"/>
      <w:bookmarkEnd w:id="412"/>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本项目采用以下第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条款规定的计价方式计价。</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1.3.1总价合同，本合同总价（含税）为：￥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元（大写：</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元人民币）。</w:t>
      </w:r>
    </w:p>
    <w:p>
      <w:pPr>
        <w:spacing w:line="56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1"/>
              <w:spacing w:line="56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序号</w:t>
            </w:r>
          </w:p>
        </w:tc>
        <w:tc>
          <w:tcPr>
            <w:tcW w:w="3402" w:type="dxa"/>
            <w:vAlign w:val="center"/>
          </w:tcPr>
          <w:p>
            <w:pPr>
              <w:pStyle w:val="321"/>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分项名称</w:t>
            </w:r>
          </w:p>
        </w:tc>
        <w:tc>
          <w:tcPr>
            <w:tcW w:w="2552" w:type="dxa"/>
            <w:vAlign w:val="center"/>
          </w:tcPr>
          <w:p>
            <w:pPr>
              <w:pStyle w:val="321"/>
              <w:spacing w:line="56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1"/>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402" w:type="dxa"/>
            <w:vAlign w:val="center"/>
          </w:tcPr>
          <w:p>
            <w:pPr>
              <w:pStyle w:val="321"/>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552" w:type="dxa"/>
            <w:vAlign w:val="center"/>
          </w:tcPr>
          <w:p>
            <w:pPr>
              <w:pStyle w:val="321"/>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1"/>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402" w:type="dxa"/>
            <w:vAlign w:val="center"/>
          </w:tcPr>
          <w:p>
            <w:pPr>
              <w:pStyle w:val="321"/>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552" w:type="dxa"/>
            <w:vAlign w:val="center"/>
          </w:tcPr>
          <w:p>
            <w:pPr>
              <w:pStyle w:val="321"/>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1"/>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402" w:type="dxa"/>
            <w:vAlign w:val="center"/>
          </w:tcPr>
          <w:p>
            <w:pPr>
              <w:pStyle w:val="321"/>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552" w:type="dxa"/>
            <w:vAlign w:val="center"/>
          </w:tcPr>
          <w:p>
            <w:pPr>
              <w:pStyle w:val="321"/>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1"/>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402" w:type="dxa"/>
            <w:vAlign w:val="center"/>
          </w:tcPr>
          <w:p>
            <w:pPr>
              <w:pStyle w:val="321"/>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552" w:type="dxa"/>
            <w:vAlign w:val="center"/>
          </w:tcPr>
          <w:p>
            <w:pPr>
              <w:pStyle w:val="321"/>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321"/>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总价</w:t>
            </w:r>
          </w:p>
        </w:tc>
        <w:tc>
          <w:tcPr>
            <w:tcW w:w="2552" w:type="dxa"/>
            <w:vAlign w:val="center"/>
          </w:tcPr>
          <w:p>
            <w:pPr>
              <w:pStyle w:val="321"/>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r>
    </w:tbl>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bookmarkStart w:id="413" w:name="_Toc3654"/>
      <w:bookmarkStart w:id="414" w:name="_Toc30158"/>
      <w:bookmarkStart w:id="415" w:name="_Toc30506"/>
      <w:bookmarkStart w:id="416" w:name="_Toc26916"/>
      <w:bookmarkStart w:id="417" w:name="_Toc14993"/>
      <w:r>
        <w:rPr>
          <w:rFonts w:hint="eastAsia" w:ascii="仿宋" w:hAnsi="仿宋" w:eastAsia="仿宋" w:cs="仿宋"/>
          <w:bCs/>
          <w:color w:val="000000" w:themeColor="text1"/>
          <w:sz w:val="24"/>
          <w:highlight w:val="none"/>
          <w14:textFill>
            <w14:solidFill>
              <w14:schemeClr w14:val="tx1"/>
            </w14:solidFill>
          </w14:textFill>
        </w:rPr>
        <w:t>1.3.2单价合同，本合同单价（含税）标准为：</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。服务工作量的计量方式为：</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。单价合同，在合同履行期间内，根据实际完成的工作量据实结算，但结算总价上限不得超过预算金额或者双方确定的金额￥</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元（大写：</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元人民币）。</w:t>
      </w:r>
    </w:p>
    <w:p>
      <w:pPr>
        <w:pStyle w:val="6"/>
        <w:rPr>
          <w:rFonts w:hint="eastAsia" w:ascii="仿宋" w:eastAsia="仿宋" w:cs="仿宋"/>
          <w:color w:val="000000" w:themeColor="text1"/>
          <w:highlight w:val="none"/>
          <w:lang w:val="en-US"/>
          <w14:textFill>
            <w14:solidFill>
              <w14:schemeClr w14:val="tx1"/>
            </w14:solidFill>
          </w14:textFill>
        </w:rPr>
      </w:pPr>
      <w:r>
        <w:rPr>
          <w:rFonts w:hint="eastAsia" w:ascii="仿宋" w:eastAsia="仿宋" w:cs="仿宋"/>
          <w:color w:val="000000" w:themeColor="text1"/>
          <w:sz w:val="24"/>
          <w:highlight w:val="none"/>
          <w:lang w:val="en-US"/>
          <w14:textFill>
            <w14:solidFill>
              <w14:schemeClr w14:val="tx1"/>
            </w14:solidFill>
          </w14:textFill>
        </w:rPr>
        <w:t xml:space="preserve">    </w:t>
      </w:r>
      <w:r>
        <w:rPr>
          <w:rFonts w:hint="eastAsia" w:ascii="仿宋" w:eastAsia="仿宋" w:cs="仿宋"/>
          <w:b w:val="0"/>
          <w:bCs w:val="0"/>
          <w:color w:val="000000" w:themeColor="text1"/>
          <w:sz w:val="24"/>
          <w:highlight w:val="none"/>
          <w:lang w:val="en-US"/>
          <w14:textFill>
            <w14:solidFill>
              <w14:schemeClr w14:val="tx1"/>
            </w14:solidFill>
          </w14:textFill>
        </w:rPr>
        <w:t>1.3.3其他计价方式：</w:t>
      </w:r>
      <w:r>
        <w:rPr>
          <w:rFonts w:hint="eastAsia" w:ascii="仿宋" w:eastAsia="仿宋" w:cs="仿宋"/>
          <w:b w:val="0"/>
          <w:bCs w:val="0"/>
          <w:color w:val="000000" w:themeColor="text1"/>
          <w:sz w:val="24"/>
          <w:highlight w:val="none"/>
          <w:u w:val="single"/>
          <w:lang w:val="en-US"/>
          <w14:textFill>
            <w14:solidFill>
              <w14:schemeClr w14:val="tx1"/>
            </w14:solidFill>
          </w14:textFill>
        </w:rPr>
        <w:t xml:space="preserve">                   </w:t>
      </w:r>
      <w:r>
        <w:rPr>
          <w:rFonts w:hint="eastAsia" w:ascii="仿宋" w:eastAsia="仿宋" w:cs="仿宋"/>
          <w:b w:val="0"/>
          <w:bCs w:val="0"/>
          <w:color w:val="000000" w:themeColor="text1"/>
          <w:sz w:val="24"/>
          <w:highlight w:val="none"/>
          <w14:textFill>
            <w14:solidFill>
              <w14:schemeClr w14:val="tx1"/>
            </w14:solidFill>
          </w14:textFill>
        </w:rPr>
        <w:t>。</w:t>
      </w:r>
    </w:p>
    <w:bookmarkEnd w:id="413"/>
    <w:bookmarkEnd w:id="414"/>
    <w:bookmarkEnd w:id="415"/>
    <w:bookmarkEnd w:id="416"/>
    <w:bookmarkEnd w:id="417"/>
    <w:p>
      <w:pPr>
        <w:pStyle w:val="961"/>
        <w:spacing w:before="0" w:beforeAutospacing="0" w:after="0" w:afterAutospacing="0" w:line="360" w:lineRule="auto"/>
        <w:ind w:firstLine="480"/>
        <w:rPr>
          <w:rFonts w:hint="eastAsia" w:ascii="仿宋" w:hAnsi="仿宋" w:eastAsia="仿宋" w:cs="仿宋"/>
          <w:b/>
          <w:color w:val="000000" w:themeColor="text1"/>
          <w:highlight w:val="none"/>
          <w14:textFill>
            <w14:solidFill>
              <w14:schemeClr w14:val="tx1"/>
            </w14:solidFill>
          </w14:textFill>
        </w:rPr>
      </w:pPr>
      <w:bookmarkStart w:id="418" w:name="_Toc22618"/>
      <w:bookmarkStart w:id="419" w:name="_Toc10340"/>
      <w:bookmarkStart w:id="420" w:name="_Toc1814"/>
      <w:bookmarkStart w:id="421" w:name="_Toc4760"/>
      <w:bookmarkStart w:id="422" w:name="_Toc3625"/>
      <w:bookmarkStart w:id="423" w:name="_Toc8772"/>
      <w:bookmarkStart w:id="424" w:name="_Toc31421"/>
      <w:bookmarkStart w:id="425" w:name="_Toc11108"/>
      <w:r>
        <w:rPr>
          <w:rFonts w:hint="eastAsia" w:ascii="仿宋" w:hAnsi="仿宋" w:eastAsia="仿宋" w:cs="仿宋"/>
          <w:b/>
          <w:color w:val="000000" w:themeColor="text1"/>
          <w:highlight w:val="none"/>
          <w14:textFill>
            <w14:solidFill>
              <w14:schemeClr w14:val="tx1"/>
            </w14:solidFill>
          </w14:textFill>
        </w:rPr>
        <w:t>1.4履约保证金</w:t>
      </w:r>
    </w:p>
    <w:p>
      <w:pPr>
        <w:pStyle w:val="961"/>
        <w:spacing w:before="0" w:beforeAutospacing="0" w:after="0" w:afterAutospacing="0" w:line="360" w:lineRule="auto"/>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乙方</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（是/否）需要支付履约保证金。若需要支付履约保证金的，则：</w:t>
      </w:r>
    </w:p>
    <w:p>
      <w:pPr>
        <w:spacing w:line="560" w:lineRule="exact"/>
        <w:ind w:firstLine="480" w:firstLineChars="200"/>
        <w:outlineLvl w:val="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1.4.1履约保证金的比例为合同金额的</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pPr>
        <w:spacing w:line="560" w:lineRule="exact"/>
        <w:ind w:firstLine="480" w:firstLineChars="200"/>
        <w:outlineLvl w:val="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1.4.2履约保证金支付方式详见</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pPr>
        <w:pStyle w:val="6"/>
        <w:tabs>
          <w:tab w:val="left" w:pos="0"/>
        </w:tabs>
        <w:spacing w:line="560" w:lineRule="exact"/>
        <w:ind w:left="0" w:firstLine="480" w:firstLineChars="200"/>
        <w:rPr>
          <w:rFonts w:hint="eastAsia" w:ascii="仿宋" w:eastAsia="仿宋" w:cs="仿宋"/>
          <w:color w:val="000000" w:themeColor="text1"/>
          <w:highlight w:val="none"/>
          <w:lang w:val="en-US"/>
          <w14:textFill>
            <w14:solidFill>
              <w14:schemeClr w14:val="tx1"/>
            </w14:solidFill>
          </w14:textFill>
        </w:rPr>
      </w:pPr>
      <w:r>
        <w:rPr>
          <w:rFonts w:hint="eastAsia" w:ascii="仿宋" w:eastAsia="仿宋" w:cs="仿宋"/>
          <w:b w:val="0"/>
          <w:bCs w:val="0"/>
          <w:color w:val="000000" w:themeColor="text1"/>
          <w:kern w:val="0"/>
          <w:sz w:val="24"/>
          <w:szCs w:val="24"/>
          <w:highlight w:val="none"/>
          <w:lang w:val="en-US"/>
          <w14:textFill>
            <w14:solidFill>
              <w14:schemeClr w14:val="tx1"/>
            </w14:solidFill>
          </w14:textFill>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1.4.4甲方在项目验收结束后及时退还履约保证金。甲方在项目通过验收之日起</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个工作日内将履约保证金无息退还乙方，逾期退还的，乙方可要求甲方支付违约金，违约金按每迟延退还一日的应退还而未退还金额的</w:t>
      </w:r>
      <w:r>
        <w:rPr>
          <w:rFonts w:hint="eastAsia" w:ascii="仿宋" w:hAnsi="仿宋" w:eastAsia="仿宋" w:cs="仿宋"/>
          <w:color w:val="000000" w:themeColor="text1"/>
          <w:kern w:val="0"/>
          <w:sz w:val="24"/>
          <w:highlight w:val="none"/>
          <w:u w:val="single"/>
          <w14:textFill>
            <w14:solidFill>
              <w14:schemeClr w14:val="tx1"/>
            </w14:solidFill>
          </w14:textFill>
        </w:rPr>
        <w:t xml:space="preserve">  0.05（可根据情况修改）  </w:t>
      </w:r>
      <w:r>
        <w:rPr>
          <w:rFonts w:hint="eastAsia" w:ascii="仿宋" w:hAnsi="仿宋" w:eastAsia="仿宋" w:cs="仿宋"/>
          <w:color w:val="000000" w:themeColor="text1"/>
          <w:kern w:val="0"/>
          <w:sz w:val="24"/>
          <w:highlight w:val="none"/>
          <w14:textFill>
            <w14:solidFill>
              <w14:schemeClr w14:val="tx1"/>
            </w14:solidFill>
          </w14:textFill>
        </w:rPr>
        <w:t>%计算，最高限额为本合同履约保证金的</w:t>
      </w:r>
      <w:r>
        <w:rPr>
          <w:rFonts w:hint="eastAsia" w:ascii="仿宋" w:hAnsi="仿宋" w:eastAsia="仿宋" w:cs="仿宋"/>
          <w:color w:val="000000" w:themeColor="text1"/>
          <w:kern w:val="0"/>
          <w:sz w:val="24"/>
          <w:highlight w:val="none"/>
          <w:u w:val="single"/>
          <w14:textFill>
            <w14:solidFill>
              <w14:schemeClr w14:val="tx1"/>
            </w14:solidFill>
          </w14:textFill>
        </w:rPr>
        <w:t xml:space="preserve">  20  </w:t>
      </w:r>
      <w:r>
        <w:rPr>
          <w:rFonts w:hint="eastAsia" w:ascii="仿宋" w:hAnsi="仿宋" w:eastAsia="仿宋" w:cs="仿宋"/>
          <w:color w:val="000000" w:themeColor="text1"/>
          <w:kern w:val="0"/>
          <w:sz w:val="24"/>
          <w:highlight w:val="none"/>
          <w14:textFill>
            <w14:solidFill>
              <w14:schemeClr w14:val="tx1"/>
            </w14:solidFill>
          </w14:textFill>
        </w:rPr>
        <w:t xml:space="preserve"> %。</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1.5</w:t>
      </w:r>
      <w:bookmarkEnd w:id="418"/>
      <w:bookmarkEnd w:id="419"/>
      <w:bookmarkEnd w:id="420"/>
      <w:r>
        <w:rPr>
          <w:rFonts w:hint="eastAsia" w:ascii="仿宋" w:hAnsi="仿宋" w:eastAsia="仿宋" w:cs="仿宋"/>
          <w:b/>
          <w:color w:val="000000" w:themeColor="text1"/>
          <w:sz w:val="24"/>
          <w:highlight w:val="none"/>
          <w14:textFill>
            <w14:solidFill>
              <w14:schemeClr w14:val="tx1"/>
            </w14:solidFill>
          </w14:textFill>
        </w:rPr>
        <w:t>预付款</w:t>
      </w:r>
    </w:p>
    <w:p>
      <w:pPr>
        <w:pStyle w:val="961"/>
        <w:spacing w:before="0" w:beforeAutospacing="0" w:after="0" w:afterAutospacing="0" w:line="360" w:lineRule="auto"/>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甲方</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（是/否）需要支付预付款。若需要支付预付款的，则：</w:t>
      </w:r>
    </w:p>
    <w:p>
      <w:pPr>
        <w:spacing w:line="560" w:lineRule="exact"/>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1.5.1预付款比例、支付方式、时间详见</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pPr>
        <w:pStyle w:val="961"/>
        <w:spacing w:before="0" w:beforeAutospacing="0" w:after="0" w:afterAutospacing="0" w:line="360" w:lineRule="auto"/>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1.5.2预付款的扣回方式详见</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b/>
          <w:i/>
          <w:color w:val="000000" w:themeColor="text1"/>
          <w:highlight w:val="none"/>
          <w:u w:val="single"/>
          <w14:textFill>
            <w14:solidFill>
              <w14:schemeClr w14:val="tx1"/>
            </w14:solidFill>
          </w14:textFill>
        </w:rPr>
        <w:t>合同专用条款</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w:t>
      </w:r>
    </w:p>
    <w:p>
      <w:pPr>
        <w:pStyle w:val="961"/>
        <w:spacing w:before="0" w:beforeAutospacing="0" w:after="0" w:afterAutospacing="0" w:line="360" w:lineRule="auto"/>
        <w:ind w:firstLine="480"/>
        <w:rPr>
          <w:rFonts w:hint="eastAsia" w:ascii="仿宋" w:hAnsi="仿宋" w:eastAsia="仿宋" w:cs="仿宋"/>
          <w:color w:val="000000" w:themeColor="text1"/>
          <w:highlight w:val="none"/>
          <w:u w:val="singl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1.5.3预付款的担保措施详见</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b/>
          <w:i/>
          <w:color w:val="000000" w:themeColor="text1"/>
          <w:highlight w:val="none"/>
          <w:u w:val="single"/>
          <w14:textFill>
            <w14:solidFill>
              <w14:schemeClr w14:val="tx1"/>
            </w14:solidFill>
          </w14:textFill>
        </w:rPr>
        <w:t>合同专用条款</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w:t>
      </w:r>
    </w:p>
    <w:p>
      <w:pPr>
        <w:pStyle w:val="961"/>
        <w:spacing w:before="0" w:beforeAutospacing="0" w:after="0" w:afterAutospacing="0" w:line="360" w:lineRule="auto"/>
        <w:ind w:firstLine="480"/>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1.6资金支付</w:t>
      </w:r>
    </w:p>
    <w:p>
      <w:pPr>
        <w:pStyle w:val="961"/>
        <w:spacing w:before="0" w:beforeAutospacing="0" w:after="0" w:afterAutospacing="0" w:line="360" w:lineRule="auto"/>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1.6.2资金支付的方式、时间和条件详见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1.7 履行期限、地点和方式</w:t>
      </w:r>
      <w:bookmarkEnd w:id="421"/>
      <w:bookmarkEnd w:id="422"/>
      <w:bookmarkEnd w:id="423"/>
      <w:bookmarkEnd w:id="424"/>
      <w:bookmarkEnd w:id="425"/>
    </w:p>
    <w:p>
      <w:pPr>
        <w:spacing w:line="56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1.7.1 服务交付（实施）的时间（期限）：</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1.7.2 服务交付（实施）的地点（地域范围）：</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1.7.3 服务交付（实施）的方式：</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pPr>
        <w:spacing w:line="560" w:lineRule="exact"/>
        <w:ind w:firstLine="480" w:firstLineChars="200"/>
        <w:outlineLvl w:val="0"/>
        <w:rPr>
          <w:rFonts w:hint="eastAsia" w:ascii="仿宋" w:hAnsi="仿宋" w:eastAsia="仿宋" w:cs="仿宋"/>
          <w:bCs/>
          <w:color w:val="000000" w:themeColor="text1"/>
          <w:sz w:val="24"/>
          <w:highlight w:val="none"/>
          <w14:textFill>
            <w14:solidFill>
              <w14:schemeClr w14:val="tx1"/>
            </w14:solidFill>
          </w14:textFill>
        </w:rPr>
      </w:pPr>
      <w:bookmarkStart w:id="426" w:name="_Toc24662"/>
      <w:bookmarkStart w:id="427" w:name="_Toc2375"/>
      <w:bookmarkStart w:id="428" w:name="_Toc8586"/>
      <w:bookmarkStart w:id="429" w:name="_Toc5698"/>
      <w:bookmarkStart w:id="430" w:name="_Toc3079"/>
      <w:r>
        <w:rPr>
          <w:rFonts w:hint="eastAsia" w:ascii="仿宋" w:hAnsi="仿宋" w:eastAsia="仿宋" w:cs="仿宋"/>
          <w:bCs/>
          <w:color w:val="000000" w:themeColor="text1"/>
          <w:sz w:val="24"/>
          <w:highlight w:val="none"/>
          <w14:textFill>
            <w14:solidFill>
              <w14:schemeClr w14:val="tx1"/>
            </w14:solidFill>
          </w14:textFill>
        </w:rPr>
        <w:t>1.7.4若服务涉及货物的，则货物的：</w:t>
      </w:r>
    </w:p>
    <w:p>
      <w:pPr>
        <w:spacing w:line="56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1.7.4.1 交付期限：详见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1.7.4.2 交付地点：</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1.7.4.3 交付方式：</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pPr>
        <w:spacing w:line="560" w:lineRule="exact"/>
        <w:ind w:firstLine="482" w:firstLineChars="200"/>
        <w:outlineLvl w:val="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1.8违约责任</w:t>
      </w:r>
      <w:bookmarkEnd w:id="426"/>
      <w:bookmarkEnd w:id="427"/>
      <w:bookmarkEnd w:id="428"/>
      <w:bookmarkEnd w:id="429"/>
      <w:bookmarkEnd w:id="430"/>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000000" w:themeColor="text1"/>
          <w:sz w:val="24"/>
          <w:highlight w:val="none"/>
          <w:u w:val="single"/>
          <w14:textFill>
            <w14:solidFill>
              <w14:schemeClr w14:val="tx1"/>
            </w14:solidFill>
          </w14:textFill>
        </w:rPr>
        <w:t xml:space="preserve">0.05 </w:t>
      </w:r>
      <w:r>
        <w:rPr>
          <w:rFonts w:hint="eastAsia" w:ascii="仿宋" w:hAnsi="仿宋" w:eastAsia="仿宋" w:cs="仿宋"/>
          <w:color w:val="000000" w:themeColor="text1"/>
          <w:sz w:val="24"/>
          <w:highlight w:val="none"/>
          <w14:textFill>
            <w14:solidFill>
              <w14:schemeClr w14:val="tx1"/>
            </w14:solidFill>
          </w14:textFill>
        </w:rPr>
        <w:t>%计算，最高限额为本合同总价的</w:t>
      </w:r>
      <w:r>
        <w:rPr>
          <w:rFonts w:hint="eastAsia" w:ascii="仿宋" w:hAnsi="仿宋" w:eastAsia="仿宋" w:cs="仿宋"/>
          <w:color w:val="000000" w:themeColor="text1"/>
          <w:sz w:val="24"/>
          <w:highlight w:val="none"/>
          <w:u w:val="single"/>
          <w14:textFill>
            <w14:solidFill>
              <w14:schemeClr w14:val="tx1"/>
            </w14:solidFill>
          </w14:textFill>
        </w:rPr>
        <w:t xml:space="preserve">  20   </w:t>
      </w:r>
      <w:r>
        <w:rPr>
          <w:rFonts w:hint="eastAsia" w:ascii="仿宋" w:hAnsi="仿宋" w:eastAsia="仿宋" w:cs="仿宋"/>
          <w:color w:val="000000" w:themeColor="text1"/>
          <w:sz w:val="24"/>
          <w:highlight w:val="none"/>
          <w14:textFill>
            <w14:solidFill>
              <w14:schemeClr w14:val="tx1"/>
            </w14:solidFill>
          </w14:textFill>
        </w:rPr>
        <w:t>%；迟延履行的违约金计算数额达到前述最高限额之日起，甲方有权在要求乙方支付违约金的同时，书面通知乙方解除本合同；</w:t>
      </w:r>
    </w:p>
    <w:p>
      <w:pPr>
        <w:pStyle w:val="6"/>
        <w:ind w:left="0" w:firstLine="480" w:firstLineChars="200"/>
        <w:rPr>
          <w:rFonts w:hint="eastAsia" w:ascii="仿宋" w:eastAsia="仿宋" w:cs="仿宋"/>
          <w:b w:val="0"/>
          <w:bCs w:val="0"/>
          <w:color w:val="000000" w:themeColor="text1"/>
          <w:sz w:val="24"/>
          <w:szCs w:val="24"/>
          <w:highlight w:val="none"/>
          <w:lang w:val="en-US"/>
          <w14:textFill>
            <w14:solidFill>
              <w14:schemeClr w14:val="tx1"/>
            </w14:solidFill>
          </w14:textFill>
        </w:rPr>
      </w:pPr>
      <w:r>
        <w:rPr>
          <w:rFonts w:hint="eastAsia" w:ascii="仿宋" w:eastAsia="仿宋" w:cs="仿宋"/>
          <w:b w:val="0"/>
          <w:bCs w:val="0"/>
          <w:color w:val="000000" w:themeColor="text1"/>
          <w:sz w:val="24"/>
          <w:szCs w:val="24"/>
          <w:highlight w:val="none"/>
          <w:lang w:val="en-US"/>
          <w14:textFill>
            <w14:solidFill>
              <w14:schemeClr w14:val="tx1"/>
            </w14:solidFill>
          </w14:textFill>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eastAsia="仿宋" w:cs="仿宋"/>
          <w:b w:val="0"/>
          <w:bCs w:val="0"/>
          <w:color w:val="000000" w:themeColor="text1"/>
          <w:sz w:val="24"/>
          <w:szCs w:val="24"/>
          <w:highlight w:val="none"/>
          <w:u w:val="single"/>
          <w:lang w:val="en-US"/>
          <w14:textFill>
            <w14:solidFill>
              <w14:schemeClr w14:val="tx1"/>
            </w14:solidFill>
          </w14:textFill>
        </w:rPr>
        <w:t xml:space="preserve">  0.0</w:t>
      </w:r>
      <w:r>
        <w:rPr>
          <w:rFonts w:hint="eastAsia" w:ascii="仿宋" w:eastAsia="仿宋" w:cs="仿宋"/>
          <w:b w:val="0"/>
          <w:bCs w:val="0"/>
          <w:color w:val="000000" w:themeColor="text1"/>
          <w:sz w:val="24"/>
          <w:szCs w:val="24"/>
          <w:highlight w:val="none"/>
          <w:lang w:val="en-US"/>
          <w14:textFill>
            <w14:solidFill>
              <w14:schemeClr w14:val="tx1"/>
            </w14:solidFill>
          </w14:textFill>
        </w:rPr>
        <w:t xml:space="preserve">5（可根据情况修改） </w:t>
      </w:r>
      <w:r>
        <w:rPr>
          <w:rFonts w:hint="eastAsia" w:ascii="仿宋" w:eastAsia="仿宋" w:cs="仿宋"/>
          <w:b w:val="0"/>
          <w:bCs w:val="0"/>
          <w:color w:val="000000" w:themeColor="text1"/>
          <w:sz w:val="24"/>
          <w:szCs w:val="24"/>
          <w:highlight w:val="none"/>
          <w:u w:val="single"/>
          <w:lang w:val="en-US"/>
          <w14:textFill>
            <w14:solidFill>
              <w14:schemeClr w14:val="tx1"/>
            </w14:solidFill>
          </w14:textFill>
        </w:rPr>
        <w:t xml:space="preserve">  </w:t>
      </w:r>
      <w:r>
        <w:rPr>
          <w:rFonts w:hint="eastAsia" w:ascii="仿宋" w:eastAsia="仿宋" w:cs="仿宋"/>
          <w:b w:val="0"/>
          <w:bCs w:val="0"/>
          <w:color w:val="000000" w:themeColor="text1"/>
          <w:sz w:val="24"/>
          <w:szCs w:val="24"/>
          <w:highlight w:val="none"/>
          <w:lang w:val="en-US"/>
          <w14:textFill>
            <w14:solidFill>
              <w14:schemeClr w14:val="tx1"/>
            </w14:solidFill>
          </w14:textFill>
        </w:rPr>
        <w:t>%计算，最高限额为本合同总价的</w:t>
      </w:r>
      <w:r>
        <w:rPr>
          <w:rFonts w:hint="eastAsia" w:ascii="仿宋" w:eastAsia="仿宋" w:cs="仿宋"/>
          <w:b w:val="0"/>
          <w:bCs w:val="0"/>
          <w:color w:val="000000" w:themeColor="text1"/>
          <w:sz w:val="24"/>
          <w:szCs w:val="24"/>
          <w:highlight w:val="none"/>
          <w:u w:val="single"/>
          <w:lang w:val="en-US"/>
          <w14:textFill>
            <w14:solidFill>
              <w14:schemeClr w14:val="tx1"/>
            </w14:solidFill>
          </w14:textFill>
        </w:rPr>
        <w:t xml:space="preserve">  20  </w:t>
      </w:r>
      <w:r>
        <w:rPr>
          <w:rFonts w:hint="eastAsia" w:ascii="仿宋" w:eastAsia="仿宋" w:cs="仿宋"/>
          <w:b w:val="0"/>
          <w:bCs w:val="0"/>
          <w:color w:val="000000" w:themeColor="text1"/>
          <w:sz w:val="24"/>
          <w:szCs w:val="24"/>
          <w:highlight w:val="none"/>
          <w:lang w:val="en-US"/>
          <w14:textFill>
            <w14:solidFill>
              <w14:schemeClr w14:val="tx1"/>
            </w14:solidFill>
          </w14:textFill>
        </w:rPr>
        <w:t>%；迟延交付货物的违约金计算数额达到前述最高限额之日起，甲方有权在要求乙方支付违约金的同时，书面通知乙方解除本合同；</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000000" w:themeColor="text1"/>
          <w:sz w:val="24"/>
          <w:highlight w:val="none"/>
          <w:u w:val="single"/>
          <w14:textFill>
            <w14:solidFill>
              <w14:schemeClr w14:val="tx1"/>
            </w14:solidFill>
          </w14:textFill>
        </w:rPr>
        <w:t xml:space="preserve">   0.05   </w:t>
      </w:r>
      <w:r>
        <w:rPr>
          <w:rFonts w:hint="eastAsia" w:ascii="仿宋" w:hAnsi="仿宋" w:eastAsia="仿宋" w:cs="仿宋"/>
          <w:color w:val="000000" w:themeColor="text1"/>
          <w:sz w:val="24"/>
          <w:highlight w:val="none"/>
          <w14:textFill>
            <w14:solidFill>
              <w14:schemeClr w14:val="tx1"/>
            </w14:solidFill>
          </w14:textFill>
        </w:rPr>
        <w:t>%计算，最高限额为本合同总价的</w:t>
      </w:r>
      <w:r>
        <w:rPr>
          <w:rFonts w:hint="eastAsia" w:ascii="仿宋" w:hAnsi="仿宋" w:eastAsia="仿宋" w:cs="仿宋"/>
          <w:color w:val="000000" w:themeColor="text1"/>
          <w:sz w:val="24"/>
          <w:highlight w:val="none"/>
          <w:u w:val="single"/>
          <w14:textFill>
            <w14:solidFill>
              <w14:schemeClr w14:val="tx1"/>
            </w14:solidFill>
          </w14:textFill>
        </w:rPr>
        <w:t xml:space="preserve">   20</w:t>
      </w:r>
      <w:r>
        <w:rPr>
          <w:rFonts w:hint="eastAsia" w:ascii="仿宋" w:hAnsi="仿宋" w:eastAsia="仿宋" w:cs="仿宋"/>
          <w:color w:val="000000" w:themeColor="text1"/>
          <w:kern w:val="0"/>
          <w:sz w:val="24"/>
          <w:highlight w:val="none"/>
          <w:u w:val="single"/>
          <w14:textFill>
            <w14:solidFill>
              <w14:schemeClr w14:val="tx1"/>
            </w14:solidFill>
          </w14:textFill>
        </w:rPr>
        <w:t>（可根据情况修改）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%；迟延付款的违约金计算数额达到前述最高限额之日起，乙方有权在要求甲方支付违约金的同时，书面通知甲方解除本合同；</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bookmarkStart w:id="431" w:name="_Toc9497"/>
      <w:bookmarkStart w:id="432" w:name="_Toc32454"/>
      <w:bookmarkStart w:id="433" w:name="_Toc18683"/>
      <w:bookmarkStart w:id="434" w:name="_Toc26807"/>
      <w:bookmarkStart w:id="435" w:name="_Toc30329"/>
      <w:r>
        <w:rPr>
          <w:rFonts w:hint="eastAsia" w:ascii="仿宋" w:hAnsi="仿宋" w:eastAsia="仿宋" w:cs="仿宋"/>
          <w:color w:val="000000" w:themeColor="text1"/>
          <w:sz w:val="24"/>
          <w:highlight w:val="none"/>
          <w14:textFill>
            <w14:solidFill>
              <w14:schemeClr w14:val="tx1"/>
            </w14:solidFill>
          </w14:textFill>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1.8.7违约责任</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另有约定的，从其约定。</w:t>
      </w:r>
    </w:p>
    <w:bookmarkEnd w:id="431"/>
    <w:bookmarkEnd w:id="432"/>
    <w:bookmarkEnd w:id="433"/>
    <w:bookmarkEnd w:id="434"/>
    <w:bookmarkEnd w:id="435"/>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36" w:name="_Toc16021"/>
      <w:bookmarkStart w:id="437" w:name="_Toc15583"/>
      <w:bookmarkStart w:id="438" w:name="_Toc28375"/>
      <w:r>
        <w:rPr>
          <w:rFonts w:hint="eastAsia" w:ascii="仿宋" w:hAnsi="仿宋" w:eastAsia="仿宋" w:cs="仿宋"/>
          <w:b/>
          <w:color w:val="000000" w:themeColor="text1"/>
          <w:sz w:val="24"/>
          <w:highlight w:val="none"/>
          <w14:textFill>
            <w14:solidFill>
              <w14:schemeClr w14:val="tx1"/>
            </w14:solidFill>
          </w14:textFill>
        </w:rPr>
        <w:t>1.9合同争议的解决</w:t>
      </w:r>
      <w:bookmarkEnd w:id="436"/>
      <w:bookmarkEnd w:id="437"/>
      <w:bookmarkEnd w:id="438"/>
    </w:p>
    <w:p>
      <w:pPr>
        <w:spacing w:line="560" w:lineRule="exact"/>
        <w:ind w:left="-61" w:leftChars="-29" w:right="-420" w:rightChars="-200" w:firstLine="240" w:firstLineChars="1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条款规定的方式解决：</w:t>
      </w:r>
    </w:p>
    <w:p>
      <w:pPr>
        <w:spacing w:line="560" w:lineRule="exact"/>
        <w:ind w:left="-420" w:leftChars="-200" w:right="-420" w:rightChars="-200" w:firstLine="600" w:firstLineChars="2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1.9.1 将争议提交</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仲裁委员会依申请仲裁时其现行有效的仲裁规则裁决；</w:t>
      </w:r>
    </w:p>
    <w:p>
      <w:pPr>
        <w:spacing w:line="560" w:lineRule="exact"/>
        <w:ind w:left="-420" w:leftChars="-200" w:right="-420" w:rightChars="-200" w:firstLine="600" w:firstLineChars="2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1.9.2 向</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人民法院起诉。</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39" w:name="_Toc11173"/>
      <w:bookmarkStart w:id="440" w:name="_Toc7245"/>
      <w:bookmarkStart w:id="441" w:name="_Toc15322"/>
      <w:r>
        <w:rPr>
          <w:rFonts w:hint="eastAsia" w:ascii="仿宋" w:hAnsi="仿宋" w:eastAsia="仿宋" w:cs="仿宋"/>
          <w:b/>
          <w:color w:val="000000" w:themeColor="text1"/>
          <w:sz w:val="24"/>
          <w:highlight w:val="none"/>
          <w14:textFill>
            <w14:solidFill>
              <w14:schemeClr w14:val="tx1"/>
            </w14:solidFill>
          </w14:textFill>
        </w:rPr>
        <w:t>2.0 合同生效</w:t>
      </w:r>
      <w:bookmarkEnd w:id="439"/>
      <w:bookmarkEnd w:id="440"/>
      <w:bookmarkEnd w:id="441"/>
    </w:p>
    <w:p>
      <w:pPr>
        <w:spacing w:line="560" w:lineRule="exact"/>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本合同自双方当事人盖章签字时生效。</w:t>
      </w:r>
    </w:p>
    <w:p>
      <w:pPr>
        <w:autoSpaceDE w:val="0"/>
        <w:autoSpaceDN w:val="0"/>
        <w:spacing w:line="560" w:lineRule="exact"/>
        <w:rPr>
          <w:rFonts w:hint="eastAsia" w:ascii="仿宋" w:hAnsi="仿宋" w:eastAsia="仿宋" w:cs="仿宋"/>
          <w:color w:val="000000" w:themeColor="text1"/>
          <w:sz w:val="24"/>
          <w:highlight w:val="none"/>
          <w:lang w:val="zh-CN"/>
          <w14:textFill>
            <w14:solidFill>
              <w14:schemeClr w14:val="tx1"/>
            </w14:solidFill>
          </w14:textFill>
        </w:rPr>
      </w:pPr>
    </w:p>
    <w:p>
      <w:pPr>
        <w:autoSpaceDE w:val="0"/>
        <w:autoSpaceDN w:val="0"/>
        <w:spacing w:line="56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lang w:val="zh-CN"/>
          <w14:textFill>
            <w14:solidFill>
              <w14:schemeClr w14:val="tx1"/>
            </w14:solidFill>
          </w14:textFill>
        </w:rPr>
        <w:t>甲方</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b/>
          <w:color w:val="000000" w:themeColor="text1"/>
          <w:sz w:val="24"/>
          <w:highlight w:val="none"/>
          <w:lang w:val="zh-CN"/>
          <w14:textFill>
            <w14:solidFill>
              <w14:schemeClr w14:val="tx1"/>
            </w14:solidFill>
          </w14:textFill>
        </w:rPr>
        <w:t xml:space="preserve">      乙方</w:t>
      </w:r>
      <w:r>
        <w:rPr>
          <w:rFonts w:hint="eastAsia" w:ascii="仿宋" w:hAnsi="仿宋" w:eastAsia="仿宋" w:cs="仿宋"/>
          <w:color w:val="000000" w:themeColor="text1"/>
          <w:sz w:val="24"/>
          <w:highlight w:val="none"/>
          <w:lang w:val="zh-CN"/>
          <w14:textFill>
            <w14:solidFill>
              <w14:schemeClr w14:val="tx1"/>
            </w14:solidFill>
          </w14:textFill>
        </w:rPr>
        <w:t>：</w:t>
      </w:r>
    </w:p>
    <w:p>
      <w:pPr>
        <w:autoSpaceDE w:val="0"/>
        <w:autoSpaceDN w:val="0"/>
        <w:spacing w:line="56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统一社会信用代码：                        统一社会信用代码或身份证号码：</w:t>
      </w:r>
    </w:p>
    <w:p>
      <w:pPr>
        <w:autoSpaceDE w:val="0"/>
        <w:autoSpaceDN w:val="0"/>
        <w:spacing w:line="560" w:lineRule="exact"/>
        <w:rPr>
          <w:rFonts w:hint="eastAsia" w:ascii="仿宋" w:hAnsi="仿宋" w:eastAsia="仿宋" w:cs="仿宋"/>
          <w:color w:val="000000" w:themeColor="text1"/>
          <w:sz w:val="24"/>
          <w:highlight w:val="none"/>
          <w:lang w:val="zh-CN"/>
          <w14:textFill>
            <w14:solidFill>
              <w14:schemeClr w14:val="tx1"/>
            </w14:solidFill>
          </w14:textFill>
        </w:rPr>
      </w:pPr>
    </w:p>
    <w:p>
      <w:pPr>
        <w:autoSpaceDE w:val="0"/>
        <w:autoSpaceDN w:val="0"/>
        <w:spacing w:line="56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住所：                                   住所：</w:t>
      </w:r>
    </w:p>
    <w:p>
      <w:pPr>
        <w:autoSpaceDE w:val="0"/>
        <w:autoSpaceDN w:val="0"/>
        <w:spacing w:line="56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法定代表人或                             法定代表人或</w:t>
      </w:r>
    </w:p>
    <w:p>
      <w:pPr>
        <w:autoSpaceDE w:val="0"/>
        <w:autoSpaceDN w:val="0"/>
        <w:spacing w:line="56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授权代表（签字）：                       授权代表（签字）: </w:t>
      </w:r>
    </w:p>
    <w:p>
      <w:pPr>
        <w:autoSpaceDE w:val="0"/>
        <w:autoSpaceDN w:val="0"/>
        <w:spacing w:line="56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联系人：                                 联系人：</w:t>
      </w:r>
    </w:p>
    <w:p>
      <w:pPr>
        <w:autoSpaceDE w:val="0"/>
        <w:autoSpaceDN w:val="0"/>
        <w:spacing w:line="56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约定送达地址：                           约定送达地址：</w:t>
      </w:r>
    </w:p>
    <w:p>
      <w:pPr>
        <w:autoSpaceDE w:val="0"/>
        <w:autoSpaceDN w:val="0"/>
        <w:spacing w:line="56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邮政编码：                               邮政编码：</w:t>
      </w:r>
    </w:p>
    <w:p>
      <w:pPr>
        <w:autoSpaceDE w:val="0"/>
        <w:autoSpaceDN w:val="0"/>
        <w:spacing w:line="56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电话:                                    电话: </w:t>
      </w:r>
    </w:p>
    <w:p>
      <w:pPr>
        <w:autoSpaceDE w:val="0"/>
        <w:autoSpaceDN w:val="0"/>
        <w:spacing w:line="56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传真:                                    传真:</w:t>
      </w:r>
    </w:p>
    <w:p>
      <w:pPr>
        <w:autoSpaceDE w:val="0"/>
        <w:autoSpaceDN w:val="0"/>
        <w:spacing w:line="5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电子邮箱：                               电子邮箱：</w:t>
      </w:r>
    </w:p>
    <w:p>
      <w:pPr>
        <w:autoSpaceDE w:val="0"/>
        <w:autoSpaceDN w:val="0"/>
        <w:spacing w:line="5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开户银行：                               开户银行： </w:t>
      </w:r>
    </w:p>
    <w:p>
      <w:pPr>
        <w:autoSpaceDE w:val="0"/>
        <w:autoSpaceDN w:val="0"/>
        <w:spacing w:line="5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开户名称：                               开户名称： </w:t>
      </w:r>
    </w:p>
    <w:p>
      <w:pPr>
        <w:autoSpaceDE w:val="0"/>
        <w:autoSpaceDN w:val="0"/>
        <w:spacing w:line="5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开户账号：</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开户账号：</w:t>
      </w:r>
    </w:p>
    <w:p>
      <w:pPr>
        <w:widowControl/>
        <w:spacing w:line="560" w:lineRule="exact"/>
        <w:jc w:val="left"/>
        <w:rPr>
          <w:rFonts w:hint="eastAsia" w:ascii="仿宋" w:hAnsi="仿宋" w:eastAsia="仿宋" w:cs="仿宋"/>
          <w:b/>
          <w:color w:val="000000" w:themeColor="text1"/>
          <w:sz w:val="24"/>
          <w:highlight w:val="none"/>
          <w14:textFill>
            <w14:solidFill>
              <w14:schemeClr w14:val="tx1"/>
            </w14:solidFill>
          </w14:textFill>
        </w:rPr>
      </w:pPr>
    </w:p>
    <w:p>
      <w:pPr>
        <w:widowControl/>
        <w:adjustRightInd/>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br w:type="page"/>
      </w:r>
    </w:p>
    <w:p>
      <w:pPr>
        <w:pStyle w:val="703"/>
        <w:spacing w:line="560" w:lineRule="exact"/>
        <w:ind w:firstLine="482"/>
        <w:jc w:val="center"/>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第二部分 合同一般条款</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42" w:name="_Toc25079"/>
      <w:bookmarkStart w:id="443" w:name="_Toc31297"/>
      <w:bookmarkStart w:id="444" w:name="_Toc19680"/>
      <w:bookmarkStart w:id="445" w:name="_Toc5228"/>
      <w:bookmarkStart w:id="446" w:name="_Toc14021"/>
      <w:r>
        <w:rPr>
          <w:rFonts w:hint="eastAsia" w:ascii="仿宋" w:hAnsi="仿宋" w:eastAsia="仿宋" w:cs="仿宋"/>
          <w:b/>
          <w:color w:val="000000" w:themeColor="text1"/>
          <w:sz w:val="24"/>
          <w:highlight w:val="none"/>
          <w14:textFill>
            <w14:solidFill>
              <w14:schemeClr w14:val="tx1"/>
            </w14:solidFill>
          </w14:textFill>
        </w:rPr>
        <w:t>2.1 定义</w:t>
      </w:r>
      <w:bookmarkEnd w:id="442"/>
      <w:bookmarkEnd w:id="443"/>
      <w:bookmarkEnd w:id="444"/>
      <w:bookmarkEnd w:id="445"/>
      <w:bookmarkEnd w:id="446"/>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本合同中的下列词语应按以下内容进行解释：</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 “合同”系指采购人和中标或成交供应商签订的载明双方当事人所达成的协议，并包括所有的附件、附录和构成合同的其他文件。</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2.1.2 “合同价”系指根据合同约定，中标或成交供应商在完全履行合同义务后，采购人应支付给中标或成交供应商的价格。</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2.1.3 “服务”系指中标或成交供应商根据合同约定应向采购人履行的除货物和工程以外的其他政府采购对象，包括采购人自身需要的服务和向社会公众提供的公共服务。</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 “甲方”系指与中标或成交供应商签署合同的采购人；采购人委托采购代理机构代表其与乙方签订合同的，采购人的授权委托书作为合同附件。</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2.1.6 “现场”系指合同约定提供服务的地点。</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47" w:name="_Toc16752"/>
      <w:bookmarkStart w:id="448" w:name="_Toc3769"/>
      <w:bookmarkStart w:id="449" w:name="_Toc31402"/>
      <w:bookmarkStart w:id="450" w:name="_Toc23289"/>
      <w:bookmarkStart w:id="451" w:name="_Toc19539"/>
      <w:r>
        <w:rPr>
          <w:rFonts w:hint="eastAsia" w:ascii="仿宋" w:hAnsi="仿宋" w:eastAsia="仿宋" w:cs="仿宋"/>
          <w:b/>
          <w:color w:val="000000" w:themeColor="text1"/>
          <w:sz w:val="24"/>
          <w:highlight w:val="none"/>
          <w14:textFill>
            <w14:solidFill>
              <w14:schemeClr w14:val="tx1"/>
            </w14:solidFill>
          </w14:textFill>
        </w:rPr>
        <w:t>2.2 技术规范</w:t>
      </w:r>
      <w:bookmarkEnd w:id="447"/>
      <w:bookmarkEnd w:id="448"/>
      <w:bookmarkEnd w:id="449"/>
      <w:bookmarkEnd w:id="450"/>
      <w:bookmarkEnd w:id="451"/>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52" w:name="_Toc27945"/>
      <w:bookmarkStart w:id="453" w:name="_Toc13673"/>
      <w:bookmarkStart w:id="454" w:name="_Toc12412"/>
      <w:bookmarkStart w:id="455" w:name="_Toc4133"/>
      <w:bookmarkStart w:id="456" w:name="_Toc9161"/>
      <w:r>
        <w:rPr>
          <w:rFonts w:hint="eastAsia" w:ascii="仿宋" w:hAnsi="仿宋" w:eastAsia="仿宋" w:cs="仿宋"/>
          <w:b/>
          <w:color w:val="000000" w:themeColor="text1"/>
          <w:sz w:val="24"/>
          <w:highlight w:val="none"/>
          <w14:textFill>
            <w14:solidFill>
              <w14:schemeClr w14:val="tx1"/>
            </w14:solidFill>
          </w14:textFill>
        </w:rPr>
        <w:t>2.3 知识产权</w:t>
      </w:r>
      <w:bookmarkEnd w:id="452"/>
      <w:bookmarkEnd w:id="453"/>
      <w:bookmarkEnd w:id="454"/>
      <w:bookmarkEnd w:id="455"/>
      <w:bookmarkEnd w:id="456"/>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2.3.2 合同涉及技术成果的归属和收益的分成办法的，详见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pPr>
        <w:spacing w:line="56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2.4 履约检查和问题反馈</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2.4.1甲方有权在其认为必要时，对乙方是否能够按照合同约定提供服务进行履约检查，以确保乙方所提供的服务能够依约满足甲方之项目需求，但不得因履约检查妨碍乙方的正常工作，乙方应予积极配合；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2.4.2 合同履行期间，甲方有权将履行过程中出现的问题反馈给乙方，双方当事人应以书面形式约定需要完善和改进的内容。</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57" w:name="_Toc22011"/>
      <w:bookmarkStart w:id="458" w:name="_Toc31233"/>
      <w:bookmarkStart w:id="459" w:name="_Toc32670"/>
      <w:bookmarkStart w:id="460" w:name="_Toc15447"/>
      <w:bookmarkStart w:id="461" w:name="_Toc26555"/>
      <w:r>
        <w:rPr>
          <w:rFonts w:hint="eastAsia" w:ascii="仿宋" w:hAnsi="仿宋" w:eastAsia="仿宋" w:cs="仿宋"/>
          <w:b/>
          <w:color w:val="000000" w:themeColor="text1"/>
          <w:sz w:val="24"/>
          <w:highlight w:val="none"/>
          <w14:textFill>
            <w14:solidFill>
              <w14:schemeClr w14:val="tx1"/>
            </w14:solidFill>
          </w14:textFill>
        </w:rPr>
        <w:t>2.5 结算方式和付款条件</w:t>
      </w:r>
      <w:bookmarkEnd w:id="457"/>
      <w:bookmarkEnd w:id="458"/>
      <w:bookmarkEnd w:id="459"/>
      <w:bookmarkEnd w:id="460"/>
      <w:bookmarkEnd w:id="461"/>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62" w:name="_Toc16163"/>
      <w:bookmarkStart w:id="463" w:name="_Toc30507"/>
      <w:bookmarkStart w:id="464" w:name="_Toc13154"/>
      <w:bookmarkStart w:id="465" w:name="_Toc13467"/>
      <w:bookmarkStart w:id="466" w:name="_Toc18990"/>
      <w:r>
        <w:rPr>
          <w:rFonts w:hint="eastAsia" w:ascii="仿宋" w:hAnsi="仿宋" w:eastAsia="仿宋" w:cs="仿宋"/>
          <w:b/>
          <w:color w:val="000000" w:themeColor="text1"/>
          <w:sz w:val="24"/>
          <w:highlight w:val="none"/>
          <w14:textFill>
            <w14:solidFill>
              <w14:schemeClr w14:val="tx1"/>
            </w14:solidFill>
          </w14:textFill>
        </w:rPr>
        <w:t>2.6 技术资料和保密义务</w:t>
      </w:r>
      <w:bookmarkEnd w:id="462"/>
      <w:bookmarkEnd w:id="463"/>
      <w:bookmarkEnd w:id="464"/>
      <w:bookmarkEnd w:id="465"/>
      <w:bookmarkEnd w:id="466"/>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2.6.1 乙方有权依据合同约定和项目需要，向甲方了解有关情况，调阅有关资料等，甲方应予积极配合；</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2.6.2 乙方有义务妥善保管和保护由甲方提供的前款信息和资料等；</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67" w:name="_Toc19069"/>
      <w:r>
        <w:rPr>
          <w:rFonts w:hint="eastAsia" w:ascii="仿宋" w:hAnsi="仿宋" w:eastAsia="仿宋" w:cs="仿宋"/>
          <w:b/>
          <w:color w:val="000000" w:themeColor="text1"/>
          <w:sz w:val="24"/>
          <w:highlight w:val="none"/>
          <w14:textFill>
            <w14:solidFill>
              <w14:schemeClr w14:val="tx1"/>
            </w14:solidFill>
          </w14:textFill>
        </w:rPr>
        <w:t>2.7 质量保证</w:t>
      </w:r>
      <w:bookmarkEnd w:id="467"/>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2.7.1 乙方应建立和完善履行合同的内部质量保证体系，并提供相关内部规章制度给甲方，以便甲方进行监督检查；</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68" w:name="_Toc22267"/>
      <w:r>
        <w:rPr>
          <w:rFonts w:hint="eastAsia" w:ascii="仿宋" w:hAnsi="仿宋" w:eastAsia="仿宋" w:cs="仿宋"/>
          <w:b/>
          <w:color w:val="000000" w:themeColor="text1"/>
          <w:sz w:val="24"/>
          <w:highlight w:val="none"/>
          <w14:textFill>
            <w14:solidFill>
              <w14:schemeClr w14:val="tx1"/>
            </w14:solidFill>
          </w14:textFill>
        </w:rPr>
        <w:t>2.8 延迟履行</w:t>
      </w:r>
      <w:bookmarkEnd w:id="468"/>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69" w:name="_Toc10611"/>
      <w:r>
        <w:rPr>
          <w:rFonts w:hint="eastAsia" w:ascii="仿宋" w:hAnsi="仿宋" w:eastAsia="仿宋" w:cs="仿宋"/>
          <w:b/>
          <w:color w:val="000000" w:themeColor="text1"/>
          <w:sz w:val="24"/>
          <w:highlight w:val="none"/>
          <w14:textFill>
            <w14:solidFill>
              <w14:schemeClr w14:val="tx1"/>
            </w14:solidFill>
          </w14:textFill>
        </w:rPr>
        <w:t>2.9 合同变更</w:t>
      </w:r>
      <w:bookmarkEnd w:id="469"/>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70" w:name="_Toc42"/>
      <w:bookmarkStart w:id="471" w:name="_Toc26689"/>
      <w:bookmarkStart w:id="472" w:name="_Toc21830"/>
      <w:bookmarkStart w:id="473" w:name="_Toc10663"/>
      <w:bookmarkStart w:id="474" w:name="_Toc23368"/>
      <w:r>
        <w:rPr>
          <w:rFonts w:hint="eastAsia" w:ascii="仿宋" w:hAnsi="仿宋" w:eastAsia="仿宋" w:cs="仿宋"/>
          <w:b/>
          <w:color w:val="000000" w:themeColor="text1"/>
          <w:sz w:val="24"/>
          <w:highlight w:val="none"/>
          <w14:textFill>
            <w14:solidFill>
              <w14:schemeClr w14:val="tx1"/>
            </w14:solidFill>
          </w14:textFill>
        </w:rPr>
        <w:t>2.10 合同转让和分包</w:t>
      </w:r>
      <w:bookmarkEnd w:id="470"/>
      <w:bookmarkEnd w:id="471"/>
      <w:bookmarkEnd w:id="472"/>
      <w:bookmarkEnd w:id="473"/>
      <w:bookmarkEnd w:id="474"/>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75" w:name="_Toc32494"/>
      <w:bookmarkStart w:id="476" w:name="_Toc26633"/>
      <w:bookmarkStart w:id="477" w:name="_Toc14371"/>
      <w:bookmarkStart w:id="478" w:name="_Toc25571"/>
      <w:bookmarkStart w:id="479" w:name="_Toc4720"/>
      <w:r>
        <w:rPr>
          <w:rFonts w:hint="eastAsia" w:ascii="仿宋" w:hAnsi="仿宋" w:eastAsia="仿宋" w:cs="仿宋"/>
          <w:b/>
          <w:color w:val="000000" w:themeColor="text1"/>
          <w:sz w:val="24"/>
          <w:highlight w:val="none"/>
          <w14:textFill>
            <w14:solidFill>
              <w14:schemeClr w14:val="tx1"/>
            </w14:solidFill>
          </w14:textFill>
        </w:rPr>
        <w:t>2.11 不可抗力</w:t>
      </w:r>
      <w:bookmarkEnd w:id="475"/>
      <w:bookmarkEnd w:id="476"/>
      <w:bookmarkEnd w:id="477"/>
      <w:bookmarkEnd w:id="478"/>
      <w:bookmarkEnd w:id="479"/>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2.11.1如果任何一方遭遇法律规定的不可抗力，致使合同履行受阻时，履行合同的期限应予延长，延长的期限应相当于不可抗力所影响的时间；</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2.11.2 因不可抗力致使不能实现合同目的的，当事人可以解除合同；</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2.11.3 因不可抗力致使合同有变更必要的，双方当事人应在</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约定时间内以书面形式变更合同；</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2.11.4受不可抗力影响的一方在不可抗力发生后，应在</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约定时间内以书面形式通知对方当事人，并在</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约定时间内，将有关部门出具的证明文件送达对方当事人。</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80" w:name="_Toc23854"/>
      <w:bookmarkStart w:id="481" w:name="_Toc25783"/>
      <w:bookmarkStart w:id="482" w:name="_Toc24465"/>
      <w:bookmarkStart w:id="483" w:name="_Toc14115"/>
      <w:bookmarkStart w:id="484" w:name="_Toc3638"/>
      <w:r>
        <w:rPr>
          <w:rFonts w:hint="eastAsia" w:ascii="仿宋" w:hAnsi="仿宋" w:eastAsia="仿宋" w:cs="仿宋"/>
          <w:b/>
          <w:color w:val="000000" w:themeColor="text1"/>
          <w:sz w:val="24"/>
          <w:highlight w:val="none"/>
          <w14:textFill>
            <w14:solidFill>
              <w14:schemeClr w14:val="tx1"/>
            </w14:solidFill>
          </w14:textFill>
        </w:rPr>
        <w:t>2.12 税费</w:t>
      </w:r>
      <w:bookmarkEnd w:id="480"/>
      <w:bookmarkEnd w:id="481"/>
      <w:bookmarkEnd w:id="482"/>
      <w:bookmarkEnd w:id="483"/>
      <w:bookmarkEnd w:id="484"/>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与合同有关的一切税费，均按照中华人民共和国法律的相关规定缴纳。</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85" w:name="_Toc25525"/>
      <w:bookmarkStart w:id="486" w:name="_Toc30105"/>
      <w:bookmarkStart w:id="487" w:name="_Toc7315"/>
      <w:bookmarkStart w:id="488" w:name="_Toc14814"/>
      <w:bookmarkStart w:id="489" w:name="_Toc26883"/>
      <w:r>
        <w:rPr>
          <w:rFonts w:hint="eastAsia" w:ascii="仿宋" w:hAnsi="仿宋" w:eastAsia="仿宋" w:cs="仿宋"/>
          <w:b/>
          <w:color w:val="000000" w:themeColor="text1"/>
          <w:sz w:val="24"/>
          <w:highlight w:val="none"/>
          <w14:textFill>
            <w14:solidFill>
              <w14:schemeClr w14:val="tx1"/>
            </w14:solidFill>
          </w14:textFill>
        </w:rPr>
        <w:t>2.13 乙方破产</w:t>
      </w:r>
      <w:bookmarkEnd w:id="485"/>
      <w:bookmarkEnd w:id="486"/>
      <w:bookmarkEnd w:id="487"/>
      <w:bookmarkEnd w:id="488"/>
      <w:bookmarkEnd w:id="489"/>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90" w:name="_Toc23323"/>
      <w:bookmarkStart w:id="491" w:name="_Toc2016"/>
      <w:bookmarkStart w:id="492" w:name="_Toc1123"/>
      <w:r>
        <w:rPr>
          <w:rFonts w:hint="eastAsia" w:ascii="仿宋" w:hAnsi="仿宋" w:eastAsia="仿宋" w:cs="仿宋"/>
          <w:b/>
          <w:color w:val="000000" w:themeColor="text1"/>
          <w:sz w:val="24"/>
          <w:highlight w:val="none"/>
          <w14:textFill>
            <w14:solidFill>
              <w14:schemeClr w14:val="tx1"/>
            </w14:solidFill>
          </w14:textFill>
        </w:rPr>
        <w:t>2.14 合同中止、终止</w:t>
      </w:r>
      <w:bookmarkEnd w:id="490"/>
      <w:bookmarkEnd w:id="491"/>
      <w:bookmarkEnd w:id="492"/>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2.14.1 双方当事人不得擅自中止或者终止合同；</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93" w:name="_Toc1969"/>
      <w:bookmarkStart w:id="494" w:name="_Toc14525"/>
      <w:bookmarkStart w:id="495" w:name="_Toc17363"/>
      <w:r>
        <w:rPr>
          <w:rFonts w:hint="eastAsia" w:ascii="仿宋" w:hAnsi="仿宋" w:eastAsia="仿宋" w:cs="仿宋"/>
          <w:b/>
          <w:color w:val="000000" w:themeColor="text1"/>
          <w:sz w:val="24"/>
          <w:highlight w:val="none"/>
          <w14:textFill>
            <w14:solidFill>
              <w14:schemeClr w14:val="tx1"/>
            </w14:solidFill>
          </w14:textFill>
        </w:rPr>
        <w:t>2.15 检验和验收</w:t>
      </w:r>
      <w:bookmarkEnd w:id="493"/>
      <w:bookmarkEnd w:id="494"/>
      <w:bookmarkEnd w:id="495"/>
    </w:p>
    <w:p>
      <w:pPr>
        <w:tabs>
          <w:tab w:val="left" w:pos="360"/>
          <w:tab w:val="left" w:pos="540"/>
          <w:tab w:val="left" w:pos="1080"/>
        </w:tabs>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2.15.1 乙方按照</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的约定，定期提交服务报告，甲方按照</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的约定进行定期验收；</w:t>
      </w:r>
    </w:p>
    <w:p>
      <w:pPr>
        <w:tabs>
          <w:tab w:val="left" w:pos="360"/>
          <w:tab w:val="left" w:pos="540"/>
          <w:tab w:val="left" w:pos="1080"/>
        </w:tabs>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2.15.3 检验和验收标准、程序等具体内容以及前述验收书的效力详见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i/>
          <w:color w:val="000000" w:themeColor="text1"/>
          <w:sz w:val="24"/>
          <w:highlight w:val="none"/>
          <w14:textFill>
            <w14:solidFill>
              <w14:schemeClr w14:val="tx1"/>
            </w14:solidFill>
          </w14:textFill>
        </w:rPr>
        <w:t>。</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96" w:name="_Toc12666"/>
      <w:bookmarkStart w:id="497" w:name="_Toc25198"/>
      <w:bookmarkStart w:id="498" w:name="_Toc2308"/>
      <w:bookmarkStart w:id="499" w:name="_Toc9808"/>
      <w:bookmarkStart w:id="500" w:name="_Toc31892"/>
      <w:r>
        <w:rPr>
          <w:rFonts w:hint="eastAsia" w:ascii="仿宋" w:hAnsi="仿宋" w:eastAsia="仿宋" w:cs="仿宋"/>
          <w:b/>
          <w:color w:val="000000" w:themeColor="text1"/>
          <w:sz w:val="24"/>
          <w:highlight w:val="none"/>
          <w14:textFill>
            <w14:solidFill>
              <w14:schemeClr w14:val="tx1"/>
            </w14:solidFill>
          </w14:textFill>
        </w:rPr>
        <w:t>2.16 通知和送达</w:t>
      </w:r>
      <w:bookmarkEnd w:id="496"/>
      <w:bookmarkEnd w:id="497"/>
      <w:bookmarkEnd w:id="498"/>
      <w:bookmarkEnd w:id="499"/>
      <w:bookmarkEnd w:id="500"/>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bookmarkStart w:id="501" w:name="_Toc18401"/>
      <w:bookmarkStart w:id="502" w:name="_Toc27674"/>
      <w:r>
        <w:rPr>
          <w:rFonts w:hint="eastAsia" w:ascii="仿宋" w:hAnsi="仿宋" w:eastAsia="仿宋" w:cs="仿宋"/>
          <w:color w:val="000000" w:themeColor="text1"/>
          <w:sz w:val="24"/>
          <w:highlight w:val="none"/>
          <w14:textFill>
            <w14:solidFill>
              <w14:schemeClr w14:val="tx1"/>
            </w14:solidFill>
          </w14:textFill>
        </w:rPr>
        <w:t xml:space="preserve">2.17.1任何一方因履行合同而以合同第一部分尾部所列明的传真或电子邮件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发出的所有通知、文件、材料，均视为已向对方当事人送达；任何一方变更上述送达方式或者地址的，应于</w:t>
      </w:r>
      <w:r>
        <w:rPr>
          <w:rFonts w:hint="eastAsia" w:ascii="仿宋" w:hAnsi="仿宋" w:eastAsia="仿宋" w:cs="仿宋"/>
          <w:color w:val="000000" w:themeColor="text1"/>
          <w:sz w:val="24"/>
          <w:highlight w:val="none"/>
          <w:u w:val="single"/>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个工作日内书面通知对方当事人，在对方当事人收到有关变更通知之前，变更前的约定送达方式或者地址仍视为有效。</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01"/>
      <w:bookmarkEnd w:id="502"/>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503" w:name="_Toc5063"/>
      <w:bookmarkStart w:id="504" w:name="_Toc28906"/>
      <w:bookmarkStart w:id="505" w:name="_Toc20808"/>
      <w:bookmarkStart w:id="506" w:name="_Toc12254"/>
      <w:bookmarkStart w:id="507" w:name="_Toc27644"/>
      <w:r>
        <w:rPr>
          <w:rFonts w:hint="eastAsia" w:ascii="仿宋" w:hAnsi="仿宋" w:eastAsia="仿宋" w:cs="仿宋"/>
          <w:b/>
          <w:color w:val="000000" w:themeColor="text1"/>
          <w:sz w:val="24"/>
          <w:highlight w:val="none"/>
          <w14:textFill>
            <w14:solidFill>
              <w14:schemeClr w14:val="tx1"/>
            </w14:solidFill>
          </w14:textFill>
        </w:rPr>
        <w:t>2.17 合同使用的文字和适用的法律</w:t>
      </w:r>
      <w:bookmarkEnd w:id="503"/>
      <w:bookmarkEnd w:id="504"/>
      <w:bookmarkEnd w:id="505"/>
      <w:bookmarkEnd w:id="506"/>
      <w:bookmarkEnd w:id="507"/>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2.17.1 合同使用汉语书就、变更和解释；</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2.17.2 合同适用中华人民共和国法律。</w:t>
      </w:r>
    </w:p>
    <w:p>
      <w:pPr>
        <w:spacing w:line="56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508" w:name="_Toc18540"/>
      <w:bookmarkStart w:id="509" w:name="_Toc4355"/>
      <w:bookmarkStart w:id="510" w:name="_Toc30599"/>
      <w:r>
        <w:rPr>
          <w:rFonts w:hint="eastAsia" w:ascii="仿宋" w:hAnsi="仿宋" w:eastAsia="仿宋" w:cs="仿宋"/>
          <w:b/>
          <w:color w:val="000000" w:themeColor="text1"/>
          <w:sz w:val="24"/>
          <w:highlight w:val="none"/>
          <w14:textFill>
            <w14:solidFill>
              <w14:schemeClr w14:val="tx1"/>
            </w14:solidFill>
          </w14:textFill>
        </w:rPr>
        <w:t>2.18 计量单位</w:t>
      </w:r>
      <w:bookmarkEnd w:id="508"/>
      <w:bookmarkEnd w:id="509"/>
      <w:bookmarkEnd w:id="510"/>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除技术规范中另有规定外,合同的计量单位均使用国家法定计量单位。</w:t>
      </w:r>
    </w:p>
    <w:p>
      <w:pPr>
        <w:spacing w:line="56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2.19合同份数</w:t>
      </w:r>
    </w:p>
    <w:p>
      <w:pPr>
        <w:spacing w:line="56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合同份数按</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规定，每份均具有同等法律效力。</w:t>
      </w:r>
    </w:p>
    <w:p>
      <w:pPr>
        <w:spacing w:line="360" w:lineRule="auto"/>
        <w:jc w:val="center"/>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highlight w:val="none"/>
          <w14:textFill>
            <w14:solidFill>
              <w14:schemeClr w14:val="tx1"/>
            </w14:solidFill>
          </w14:textFill>
        </w:rPr>
        <w:br w:type="page"/>
      </w:r>
      <w:bookmarkStart w:id="511" w:name="_Toc331685784"/>
      <w:r>
        <w:rPr>
          <w:rFonts w:hint="eastAsia" w:ascii="仿宋" w:hAnsi="仿宋" w:eastAsia="仿宋" w:cs="仿宋"/>
          <w:b/>
          <w:color w:val="000000" w:themeColor="text1"/>
          <w:sz w:val="24"/>
          <w:highlight w:val="none"/>
          <w14:textFill>
            <w14:solidFill>
              <w14:schemeClr w14:val="tx1"/>
            </w14:solidFill>
          </w14:textFill>
        </w:rPr>
        <w:t xml:space="preserve"> </w:t>
      </w:r>
      <w:bookmarkEnd w:id="511"/>
      <w:r>
        <w:rPr>
          <w:rFonts w:hint="eastAsia" w:ascii="仿宋" w:hAnsi="仿宋" w:eastAsia="仿宋" w:cs="仿宋"/>
          <w:b/>
          <w:color w:val="000000" w:themeColor="text1"/>
          <w:sz w:val="24"/>
          <w:highlight w:val="none"/>
          <w14:textFill>
            <w14:solidFill>
              <w14:schemeClr w14:val="tx1"/>
            </w14:solidFill>
          </w14:textFill>
        </w:rPr>
        <w:t>第三部分  合同专用条款</w:t>
      </w:r>
    </w:p>
    <w:p>
      <w:pPr>
        <w:spacing w:line="560" w:lineRule="exact"/>
        <w:ind w:left="-420" w:leftChars="-200" w:right="-420" w:rightChars="-200"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条款号</w:t>
            </w:r>
          </w:p>
        </w:tc>
        <w:tc>
          <w:tcPr>
            <w:tcW w:w="8149" w:type="dxa"/>
            <w:vAlign w:val="center"/>
          </w:tcPr>
          <w:p>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1.3.2</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1.4.2</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1.5.1 </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1.5.2</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1.5.3 </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1.6.2</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1.7.1</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1.7.2</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1.7.3</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1.7.4.1</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1.7.4.2</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1.7.4.3</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1.8.7</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1.9.1</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1.9.2</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2.3.2</w:t>
            </w:r>
          </w:p>
        </w:tc>
        <w:tc>
          <w:tcPr>
            <w:tcW w:w="8149" w:type="dxa"/>
            <w:vAlign w:val="center"/>
          </w:tcPr>
          <w:p>
            <w:pPr>
              <w:spacing w:line="360" w:lineRule="auto"/>
              <w:ind w:left="-420" w:leftChars="-200" w:right="-420" w:rightChars="-200" w:firstLine="480" w:firstLineChars="200"/>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w:t>
            </w:r>
          </w:p>
        </w:tc>
        <w:tc>
          <w:tcPr>
            <w:tcW w:w="8149" w:type="dxa"/>
            <w:vAlign w:val="center"/>
          </w:tcPr>
          <w:p>
            <w:pPr>
              <w:spacing w:line="360" w:lineRule="auto"/>
              <w:ind w:left="-420" w:leftChars="-200" w:right="-420" w:rightChars="-200" w:firstLine="480" w:firstLineChars="200"/>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2.11.3</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2.11.4 </w:t>
            </w:r>
          </w:p>
        </w:tc>
        <w:tc>
          <w:tcPr>
            <w:tcW w:w="8149" w:type="dxa"/>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2.15.1</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2.15.3</w:t>
            </w:r>
          </w:p>
        </w:tc>
        <w:tc>
          <w:tcPr>
            <w:tcW w:w="8149" w:type="dxa"/>
            <w:vAlign w:val="center"/>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2.19</w:t>
            </w:r>
          </w:p>
        </w:tc>
        <w:tc>
          <w:tcPr>
            <w:tcW w:w="8149" w:type="dxa"/>
          </w:tcPr>
          <w:p>
            <w:pPr>
              <w:spacing w:line="360" w:lineRule="auto"/>
              <w:rPr>
                <w:rFonts w:hint="eastAsia" w:ascii="仿宋" w:hAnsi="仿宋" w:eastAsia="仿宋" w:cs="仿宋"/>
                <w:color w:val="000000" w:themeColor="text1"/>
                <w:sz w:val="24"/>
                <w:highlight w:val="none"/>
                <w14:textFill>
                  <w14:solidFill>
                    <w14:schemeClr w14:val="tx1"/>
                  </w14:solidFill>
                </w14:textFill>
              </w:rPr>
            </w:pPr>
          </w:p>
        </w:tc>
      </w:tr>
    </w:tbl>
    <w:p>
      <w:pPr>
        <w:spacing w:line="360" w:lineRule="auto"/>
        <w:ind w:left="-420" w:leftChars="-200" w:right="-420" w:rightChars="-200" w:firstLine="480" w:firstLineChars="200"/>
        <w:rPr>
          <w:rFonts w:hint="eastAsia" w:ascii="仿宋" w:hAnsi="仿宋" w:eastAsia="仿宋" w:cs="仿宋"/>
          <w:color w:val="000000" w:themeColor="text1"/>
          <w:sz w:val="24"/>
          <w:highlight w:val="none"/>
          <w14:textFill>
            <w14:solidFill>
              <w14:schemeClr w14:val="tx1"/>
            </w14:solidFill>
          </w14:textFill>
        </w:rPr>
      </w:pPr>
    </w:p>
    <w:p>
      <w:pPr>
        <w:spacing w:line="360" w:lineRule="auto"/>
        <w:ind w:left="-420" w:leftChars="-200" w:right="-420" w:rightChars="-200" w:firstLine="480" w:firstLineChars="200"/>
        <w:jc w:val="center"/>
        <w:outlineLvl w:val="0"/>
        <w:rPr>
          <w:rFonts w:hint="eastAsia" w:ascii="仿宋" w:hAnsi="仿宋" w:eastAsia="仿宋" w:cs="仿宋"/>
          <w:color w:val="000000" w:themeColor="text1"/>
          <w:sz w:val="24"/>
          <w:highlight w:val="none"/>
          <w14:textFill>
            <w14:solidFill>
              <w14:schemeClr w14:val="tx1"/>
            </w14:solidFill>
          </w14:textFill>
        </w:rPr>
      </w:pPr>
    </w:p>
    <w:p>
      <w:pPr>
        <w:widowControl/>
        <w:adjustRightInd/>
        <w:jc w:val="center"/>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第六部分</w:t>
      </w:r>
      <w:bookmarkEnd w:id="396"/>
      <w:r>
        <w:rPr>
          <w:rFonts w:hint="eastAsia" w:ascii="仿宋" w:hAnsi="仿宋" w:eastAsia="仿宋" w:cs="仿宋"/>
          <w:b/>
          <w:color w:val="000000" w:themeColor="text1"/>
          <w:sz w:val="36"/>
          <w:szCs w:val="20"/>
          <w:highlight w:val="none"/>
          <w14:textFill>
            <w14:solidFill>
              <w14:schemeClr w14:val="tx1"/>
            </w14:solidFill>
          </w14:textFill>
        </w:rPr>
        <w:t xml:space="preserve"> </w:t>
      </w:r>
      <w:bookmarkEnd w:id="397"/>
      <w:r>
        <w:rPr>
          <w:rFonts w:hint="eastAsia" w:ascii="仿宋" w:hAnsi="仿宋" w:eastAsia="仿宋" w:cs="仿宋"/>
          <w:b/>
          <w:color w:val="000000" w:themeColor="text1"/>
          <w:sz w:val="36"/>
          <w:szCs w:val="20"/>
          <w:highlight w:val="none"/>
          <w14:textFill>
            <w14:solidFill>
              <w14:schemeClr w14:val="tx1"/>
            </w14:solidFill>
          </w14:textFill>
        </w:rPr>
        <w:t>应提交的有关格式范例</w:t>
      </w:r>
    </w:p>
    <w:p>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资格文件部分</w:t>
      </w:r>
    </w:p>
    <w:p>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（1）符合参加政府采购活动应当具备的一般条件的承诺函……………（页码）</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（2）联合协议</w:t>
      </w:r>
      <w:r>
        <w:rPr>
          <w:rFonts w:hint="eastAsia" w:ascii="仿宋" w:hAnsi="仿宋" w:eastAsia="仿宋" w:cs="仿宋"/>
          <w:color w:val="000000" w:themeColor="text1"/>
          <w:sz w:val="24"/>
          <w:highlight w:val="none"/>
          <w14:textFill>
            <w14:solidFill>
              <w14:schemeClr w14:val="tx1"/>
            </w14:solidFill>
          </w14:textFill>
        </w:rPr>
        <w:t>………………………………………………………………（页码）</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（3）落实政府采购政策需满足的资格要求………………………………（页码）</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（4）本项目的特定资格要求………………………………………………（页码）</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br w:type="page"/>
      </w:r>
      <w:r>
        <w:rPr>
          <w:rFonts w:hint="eastAsia" w:ascii="仿宋" w:hAnsi="仿宋" w:eastAsia="仿宋" w:cs="仿宋"/>
          <w:b/>
          <w:color w:val="000000" w:themeColor="text1"/>
          <w:kern w:val="0"/>
          <w:sz w:val="32"/>
          <w:szCs w:val="32"/>
          <w:highlight w:val="none"/>
          <w14:textFill>
            <w14:solidFill>
              <w14:schemeClr w14:val="tx1"/>
            </w14:solidFill>
          </w14:textFill>
        </w:rPr>
        <w:t xml:space="preserve">  一、 符合参加政府采购活动应当具备的一般条件的承诺函</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我方参与（项目名称）【招标编号：（采购编号）】政府采购活动，郑重承诺：</w:t>
      </w:r>
    </w:p>
    <w:p>
      <w:pPr>
        <w:snapToGrid w:val="0"/>
        <w:spacing w:line="360" w:lineRule="auto"/>
        <w:ind w:firstLine="360" w:firstLineChars="1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（一）具备《中华人民共和国政府采购法》第二十二条第一款规定的条件：</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1、具有独立承担民事责任的能力；</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2、具有良好的商业信誉和健全的财务会计制度； </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3、具有履行合同所必需的设备和专业技术能力；</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4、有依法缴纳税收和社会保障资金的良好记录；</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5、参加政府采购活动前三年内，在经营活动中没有重大违法记录；</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6、具有法律、行政法规规定的其他条件。</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（三）不存在以下情况：</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投标人名称(电子签名)：</w:t>
      </w: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 xml:space="preserve">：  年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w:t>
      </w: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rPr>
          <w:rFonts w:hint="eastAsia" w:ascii="仿宋" w:hAnsi="仿宋" w:eastAsia="仿宋" w:cs="仿宋"/>
          <w:color w:val="000000" w:themeColor="text1"/>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widowControl/>
        <w:adjustRightInd/>
        <w:jc w:val="left"/>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pPr>
        <w:widowControl/>
        <w:spacing w:line="360" w:lineRule="auto"/>
        <w:ind w:firstLine="643" w:firstLineChars="20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二、联合协议（如果有）</w:t>
      </w:r>
    </w:p>
    <w:p>
      <w:pPr>
        <w:widowControl/>
        <w:spacing w:line="360" w:lineRule="auto"/>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[以联合体形式投标的，提供联合协议（附件5）；本项目不接受联合体投标或者投标人不以联合体形式投标的，则不需要提供）]</w:t>
      </w: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三、落实政府采购政策需满足的资格要求</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 xml:space="preserve">.专门面向中小企业，服务全部由符合政策要求的中小企业（或小微企业）承接的，提供相应的中小企业声明函（附件7）。 </w:t>
      </w:r>
    </w:p>
    <w:p>
      <w:pPr>
        <w:widowControl/>
        <w:spacing w:line="360" w:lineRule="auto"/>
        <w:ind w:firstLine="480"/>
        <w:jc w:val="left"/>
        <w:rPr>
          <w:rFonts w:hint="eastAsia" w:ascii="仿宋" w:hAnsi="仿宋" w:eastAsia="仿宋" w:cs="仿宋"/>
          <w:color w:val="000000" w:themeColor="text1"/>
          <w:sz w:val="24"/>
          <w:highlight w:val="none"/>
          <w14:textFill>
            <w14:solidFill>
              <w14:schemeClr w14:val="tx1"/>
            </w14:solidFill>
          </w14:textFill>
        </w:rPr>
      </w:pPr>
    </w:p>
    <w:p>
      <w:pPr>
        <w:widowControl/>
        <w:spacing w:line="360" w:lineRule="auto"/>
        <w:ind w:firstLine="472" w:firstLineChars="196"/>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B.</w:t>
      </w:r>
      <w:r>
        <w:rPr>
          <w:rFonts w:hint="eastAsia" w:ascii="仿宋" w:hAnsi="仿宋" w:eastAsia="仿宋" w:cs="仿宋"/>
          <w:color w:val="000000" w:themeColor="text1"/>
          <w:sz w:val="24"/>
          <w:highlight w:val="none"/>
          <w14:textFill>
            <w14:solidFill>
              <w14:schemeClr w14:val="tx1"/>
            </w14:solidFill>
          </w14:textFill>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000000" w:themeColor="text1"/>
          <w:spacing w:val="8"/>
          <w:kern w:val="0"/>
          <w:sz w:val="24"/>
          <w:highlight w:val="none"/>
          <w14:textFill>
            <w14:solidFill>
              <w14:schemeClr w14:val="tx1"/>
            </w14:solidFill>
          </w14:textFill>
        </w:rPr>
        <w:t>并相应达到了前述比例要求，</w:t>
      </w:r>
      <w:r>
        <w:rPr>
          <w:rFonts w:hint="eastAsia" w:ascii="仿宋" w:hAnsi="仿宋" w:eastAsia="仿宋" w:cs="仿宋"/>
          <w:color w:val="000000" w:themeColor="text1"/>
          <w:sz w:val="24"/>
          <w:highlight w:val="none"/>
          <w14:textFill>
            <w14:solidFill>
              <w14:schemeClr w14:val="tx1"/>
            </w14:solidFill>
          </w14:textFill>
        </w:rPr>
        <w:t>视同符合了资格条件，无需再与其他中小企业组成联合体参加政府采购活动，无需提供联合协议。</w:t>
      </w:r>
    </w:p>
    <w:p>
      <w:pPr>
        <w:snapToGrid w:val="0"/>
        <w:spacing w:before="50" w:after="50"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    </w:t>
      </w:r>
    </w:p>
    <w:p>
      <w:pPr>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C、</w:t>
      </w:r>
      <w:r>
        <w:rPr>
          <w:rFonts w:hint="eastAsia" w:ascii="仿宋" w:hAnsi="仿宋" w:eastAsia="仿宋" w:cs="仿宋"/>
          <w:color w:val="000000" w:themeColor="text1"/>
          <w:sz w:val="24"/>
          <w:highlight w:val="none"/>
          <w14:textFill>
            <w14:solidFill>
              <w14:schemeClr w14:val="tx1"/>
            </w14:solidFill>
          </w14:textFill>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000000" w:themeColor="text1"/>
          <w:spacing w:val="8"/>
          <w:kern w:val="0"/>
          <w:sz w:val="24"/>
          <w:highlight w:val="none"/>
          <w14:textFill>
            <w14:solidFill>
              <w14:schemeClr w14:val="tx1"/>
            </w14:solidFill>
          </w14:textFill>
        </w:rPr>
        <w:t>并相应达到了前述比例要求，</w:t>
      </w:r>
      <w:r>
        <w:rPr>
          <w:rFonts w:hint="eastAsia" w:ascii="仿宋" w:hAnsi="仿宋" w:eastAsia="仿宋" w:cs="仿宋"/>
          <w:color w:val="000000" w:themeColor="text1"/>
          <w:sz w:val="24"/>
          <w:highlight w:val="none"/>
          <w14:textFill>
            <w14:solidFill>
              <w14:schemeClr w14:val="tx1"/>
            </w14:solidFill>
          </w14:textFill>
        </w:rPr>
        <w:t>视同符合了资格条件，无需再向中小企业分包，无需提供分包意向协议。</w:t>
      </w:r>
    </w:p>
    <w:p>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四、本项目的特定资格要求</w:t>
      </w:r>
    </w:p>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（根据招标公告本项目的特定资格要求提供相应的材料；未要求的，无需提供）</w:t>
      </w:r>
    </w:p>
    <w:p>
      <w:pPr>
        <w:rPr>
          <w:rFonts w:hint="eastAsia" w:ascii="仿宋" w:hAnsi="仿宋" w:eastAsia="仿宋" w:cs="仿宋"/>
          <w:color w:val="000000" w:themeColor="text1"/>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widowControl/>
        <w:adjustRightInd/>
        <w:jc w:val="left"/>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br w:type="page"/>
      </w:r>
    </w:p>
    <w:p>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商务技术文件部分</w:t>
      </w:r>
    </w:p>
    <w:p>
      <w:pPr>
        <w:spacing w:line="360" w:lineRule="auto"/>
        <w:jc w:val="center"/>
        <w:outlineLvl w:val="0"/>
        <w:rPr>
          <w:rFonts w:hint="eastAsia" w:ascii="仿宋" w:hAnsi="仿宋" w:eastAsia="仿宋" w:cs="仿宋"/>
          <w:b/>
          <w:color w:val="000000" w:themeColor="text1"/>
          <w:kern w:val="0"/>
          <w:sz w:val="24"/>
          <w:highlight w:val="none"/>
          <w14:textFill>
            <w14:solidFill>
              <w14:schemeClr w14:val="tx1"/>
            </w14:solidFill>
          </w14:textFill>
        </w:rPr>
      </w:pPr>
    </w:p>
    <w:p>
      <w:pPr>
        <w:spacing w:line="360" w:lineRule="auto"/>
        <w:jc w:val="center"/>
        <w:outlineLvl w:val="0"/>
        <w:rPr>
          <w:rFonts w:hint="eastAsia"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目录</w:t>
      </w:r>
    </w:p>
    <w:p>
      <w:pPr>
        <w:snapToGrid w:val="0"/>
        <w:spacing w:line="360" w:lineRule="auto"/>
        <w:ind w:left="479" w:leftChars="228"/>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（1）投标函</w:t>
      </w:r>
      <w:r>
        <w:rPr>
          <w:rFonts w:hint="eastAsia" w:ascii="仿宋" w:hAnsi="仿宋" w:eastAsia="仿宋" w:cs="仿宋"/>
          <w:color w:val="000000" w:themeColor="text1"/>
          <w:highlight w:val="none"/>
          <w14:textFill>
            <w14:solidFill>
              <w14:schemeClr w14:val="tx1"/>
            </w14:solidFill>
          </w14:textFill>
        </w:rPr>
        <w:t>…………………………………………………………………………………（页码）</w:t>
      </w:r>
      <w:r>
        <w:rPr>
          <w:rFonts w:hint="eastAsia" w:ascii="仿宋" w:hAnsi="仿宋" w:eastAsia="仿宋" w:cs="仿宋"/>
          <w:color w:val="000000" w:themeColor="text1"/>
          <w:sz w:val="24"/>
          <w:highlight w:val="none"/>
          <w14:textFill>
            <w14:solidFill>
              <w14:schemeClr w14:val="tx1"/>
            </w14:solidFill>
          </w14:textFill>
        </w:rPr>
        <w:t>（2）授权委托书或法定代表人（单位负责人、自然人本人）身份证明</w:t>
      </w:r>
      <w:r>
        <w:rPr>
          <w:rFonts w:hint="eastAsia" w:ascii="仿宋" w:hAnsi="仿宋" w:eastAsia="仿宋" w:cs="仿宋"/>
          <w:color w:val="000000" w:themeColor="text1"/>
          <w:highlight w:val="none"/>
          <w14:textFill>
            <w14:solidFill>
              <w14:schemeClr w14:val="tx1"/>
            </w14:solidFill>
          </w14:textFill>
        </w:rPr>
        <w:t>………（页码）</w:t>
      </w:r>
    </w:p>
    <w:p>
      <w:pPr>
        <w:snapToGrid w:val="0"/>
        <w:spacing w:line="360" w:lineRule="auto"/>
        <w:ind w:left="479" w:leftChars="228"/>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（3）分包意向协议</w:t>
      </w:r>
      <w:r>
        <w:rPr>
          <w:rFonts w:hint="eastAsia" w:ascii="仿宋" w:hAnsi="仿宋" w:eastAsia="仿宋" w:cs="仿宋"/>
          <w:color w:val="000000" w:themeColor="text1"/>
          <w:highlight w:val="none"/>
          <w14:textFill>
            <w14:solidFill>
              <w14:schemeClr w14:val="tx1"/>
            </w14:solidFill>
          </w14:textFill>
        </w:rPr>
        <w:t>…………………………………………………………………………（页码）</w:t>
      </w:r>
    </w:p>
    <w:p>
      <w:pPr>
        <w:snapToGrid w:val="0"/>
        <w:spacing w:line="360" w:lineRule="auto"/>
        <w:ind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（4）符合性审查资料</w:t>
      </w:r>
      <w:r>
        <w:rPr>
          <w:rFonts w:hint="eastAsia" w:ascii="仿宋" w:hAnsi="仿宋" w:eastAsia="仿宋" w:cs="仿宋"/>
          <w:color w:val="000000" w:themeColor="text1"/>
          <w:highlight w:val="none"/>
          <w14:textFill>
            <w14:solidFill>
              <w14:schemeClr w14:val="tx1"/>
            </w14:solidFill>
          </w14:textFill>
        </w:rPr>
        <w:t>………………………………………………………………………（页码）</w:t>
      </w:r>
    </w:p>
    <w:p>
      <w:pPr>
        <w:snapToGrid w:val="0"/>
        <w:spacing w:line="360" w:lineRule="auto"/>
        <w:ind w:left="479" w:leftChars="228"/>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（5）评标标准相应的商务技术资料</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……………（页码）</w:t>
      </w:r>
      <w:r>
        <w:rPr>
          <w:rFonts w:hint="eastAsia" w:ascii="仿宋" w:hAnsi="仿宋" w:eastAsia="仿宋" w:cs="仿宋"/>
          <w:color w:val="000000" w:themeColor="text1"/>
          <w:sz w:val="24"/>
          <w:highlight w:val="none"/>
          <w14:textFill>
            <w14:solidFill>
              <w14:schemeClr w14:val="tx1"/>
            </w14:solidFill>
          </w14:textFill>
        </w:rPr>
        <w:t>（6）投标标的清单</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……………（页码）</w:t>
      </w:r>
      <w:r>
        <w:rPr>
          <w:rFonts w:hint="eastAsia" w:ascii="仿宋" w:hAnsi="仿宋" w:eastAsia="仿宋" w:cs="仿宋"/>
          <w:color w:val="000000" w:themeColor="text1"/>
          <w:sz w:val="24"/>
          <w:highlight w:val="none"/>
          <w14:textFill>
            <w14:solidFill>
              <w14:schemeClr w14:val="tx1"/>
            </w14:solidFill>
          </w14:textFill>
        </w:rPr>
        <w:t>（7）商务技术偏离表</w:t>
      </w:r>
      <w:r>
        <w:rPr>
          <w:rFonts w:hint="eastAsia" w:ascii="仿宋" w:hAnsi="仿宋" w:eastAsia="仿宋" w:cs="仿宋"/>
          <w:color w:val="000000" w:themeColor="text1"/>
          <w:highlight w:val="none"/>
          <w14:textFill>
            <w14:solidFill>
              <w14:schemeClr w14:val="tx1"/>
            </w14:solidFill>
          </w14:textFill>
        </w:rPr>
        <w:t>………………………………………………………………………（页码）</w:t>
      </w:r>
    </w:p>
    <w:p>
      <w:pPr>
        <w:snapToGrid w:val="0"/>
        <w:spacing w:line="360" w:lineRule="auto"/>
        <w:ind w:left="479" w:leftChars="228"/>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8</w:t>
      </w:r>
      <w:r>
        <w:rPr>
          <w:rFonts w:hint="eastAsia" w:ascii="仿宋" w:hAnsi="仿宋" w:eastAsia="仿宋" w:cs="仿宋"/>
          <w:color w:val="000000" w:themeColor="text1"/>
          <w:sz w:val="24"/>
          <w:highlight w:val="none"/>
          <w:lang w:val="zh-CN"/>
          <w14:textFill>
            <w14:solidFill>
              <w14:schemeClr w14:val="tx1"/>
            </w14:solidFill>
          </w14:textFill>
        </w:rPr>
        <w:t>）政府采购供应商廉洁自律承诺书</w:t>
      </w:r>
      <w:r>
        <w:rPr>
          <w:rFonts w:hint="eastAsia" w:ascii="仿宋" w:hAnsi="仿宋" w:eastAsia="仿宋" w:cs="仿宋"/>
          <w:color w:val="000000" w:themeColor="text1"/>
          <w:highlight w:val="none"/>
          <w14:textFill>
            <w14:solidFill>
              <w14:schemeClr w14:val="tx1"/>
            </w14:solidFill>
          </w14:textFill>
        </w:rPr>
        <w:t>…………………………………………………（页码）</w:t>
      </w:r>
    </w:p>
    <w:p>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pP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pPr>
        <w:widowControl/>
        <w:adjustRightInd/>
        <w:jc w:val="left"/>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pPr>
        <w:snapToGrid w:val="0"/>
        <w:spacing w:line="360" w:lineRule="auto"/>
        <w:jc w:val="center"/>
        <w:outlineLvl w:val="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一、投标</w:t>
      </w:r>
      <w:r>
        <w:rPr>
          <w:rFonts w:hint="eastAsia" w:ascii="仿宋" w:hAnsi="仿宋" w:eastAsia="仿宋" w:cs="仿宋"/>
          <w:b/>
          <w:color w:val="000000" w:themeColor="text1"/>
          <w:sz w:val="32"/>
          <w:szCs w:val="32"/>
          <w:highlight w:val="none"/>
          <w14:textFill>
            <w14:solidFill>
              <w14:schemeClr w14:val="tx1"/>
            </w14:solidFill>
          </w14:textFill>
        </w:rPr>
        <w:t>函</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我方参加你方组织的（项目名称）【招标编号：（采购编号）】招标的有关活动，并对此项目进行投标。为此：</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1、我方承诺投标有效期从提交投标文件的截止之日起</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天（不少于90天）</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本投标文件在投标有效期满之前均具有约束力。</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2、我方的投标文件包括以下内容：</w:t>
      </w:r>
    </w:p>
    <w:p>
      <w:pPr>
        <w:snapToGrid w:val="0"/>
        <w:spacing w:line="360" w:lineRule="auto"/>
        <w:ind w:left="210" w:leftChars="1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2.1资格文件：</w:t>
      </w:r>
    </w:p>
    <w:p>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2.1.1承诺函；</w:t>
      </w:r>
    </w:p>
    <w:p>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2.1.2</w:t>
      </w:r>
      <w:r>
        <w:rPr>
          <w:rFonts w:hint="eastAsia" w:ascii="仿宋" w:hAnsi="仿宋" w:eastAsia="仿宋" w:cs="仿宋"/>
          <w:snapToGrid w:val="0"/>
          <w:color w:val="000000" w:themeColor="text1"/>
          <w:kern w:val="28"/>
          <w:sz w:val="24"/>
          <w:szCs w:val="20"/>
          <w:highlight w:val="none"/>
          <w14:textFill>
            <w14:solidFill>
              <w14:schemeClr w14:val="tx1"/>
            </w14:solidFill>
          </w14:textFill>
        </w:rPr>
        <w:t>联合协议</w:t>
      </w:r>
      <w:bookmarkStart w:id="512" w:name="_Hlk101257010"/>
      <w:r>
        <w:rPr>
          <w:rFonts w:hint="eastAsia" w:ascii="仿宋" w:hAnsi="仿宋" w:eastAsia="仿宋" w:cs="仿宋"/>
          <w:color w:val="000000" w:themeColor="text1"/>
          <w:sz w:val="24"/>
          <w:highlight w:val="none"/>
          <w14:textFill>
            <w14:solidFill>
              <w14:schemeClr w14:val="tx1"/>
            </w14:solidFill>
          </w14:textFill>
        </w:rPr>
        <w:t>（如果有)</w:t>
      </w:r>
      <w:bookmarkEnd w:id="512"/>
      <w:r>
        <w:rPr>
          <w:rFonts w:hint="eastAsia" w:ascii="仿宋" w:hAnsi="仿宋" w:eastAsia="仿宋" w:cs="仿宋"/>
          <w:snapToGrid w:val="0"/>
          <w:color w:val="000000" w:themeColor="text1"/>
          <w:kern w:val="28"/>
          <w:sz w:val="24"/>
          <w:szCs w:val="20"/>
          <w:highlight w:val="none"/>
          <w14:textFill>
            <w14:solidFill>
              <w14:schemeClr w14:val="tx1"/>
            </w14:solidFill>
          </w14:textFill>
        </w:rPr>
        <w:t>；</w:t>
      </w:r>
    </w:p>
    <w:p>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2.1.3落实政府采购政策需满足的资格要求（如果有）；</w:t>
      </w:r>
    </w:p>
    <w:p>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2.1.4本项目的特定资格要求（如果有)。</w:t>
      </w:r>
    </w:p>
    <w:p>
      <w:pPr>
        <w:snapToGrid w:val="0"/>
        <w:spacing w:line="360" w:lineRule="auto"/>
        <w:ind w:left="210" w:leftChars="100" w:firstLine="480" w:firstLineChars="200"/>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商务技术</w:t>
      </w:r>
      <w:r>
        <w:rPr>
          <w:rFonts w:hint="eastAsia" w:ascii="仿宋" w:hAnsi="仿宋" w:eastAsia="仿宋" w:cs="仿宋"/>
          <w:color w:val="000000" w:themeColor="text1"/>
          <w:sz w:val="24"/>
          <w:highlight w:val="none"/>
          <w:lang w:val="zh-CN"/>
          <w14:textFill>
            <w14:solidFill>
              <w14:schemeClr w14:val="tx1"/>
            </w14:solidFill>
          </w14:textFill>
        </w:rPr>
        <w:t>文件：</w:t>
      </w:r>
    </w:p>
    <w:p>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2.2.1投标函；</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2.2.2授权委托书或法定代表人（单位负责人）身份证明；</w:t>
      </w:r>
    </w:p>
    <w:p>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2.2.3分包意向协议（如果有)；</w:t>
      </w:r>
    </w:p>
    <w:p>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2.2.4符合性审查资料；</w:t>
      </w:r>
    </w:p>
    <w:p>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2.2.5评标标准相应的商务技术资料；</w:t>
      </w:r>
    </w:p>
    <w:p>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2.2.6投标标的清单；</w:t>
      </w:r>
    </w:p>
    <w:p>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2.2.7商务技术偏离表；</w:t>
      </w:r>
    </w:p>
    <w:p>
      <w:pPr>
        <w:snapToGrid w:val="0"/>
        <w:spacing w:line="360" w:lineRule="auto"/>
        <w:ind w:left="420" w:leftChars="200" w:firstLine="480" w:firstLineChars="200"/>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8</w:t>
      </w:r>
      <w:r>
        <w:rPr>
          <w:rFonts w:hint="eastAsia" w:ascii="仿宋" w:hAnsi="仿宋" w:eastAsia="仿宋" w:cs="仿宋"/>
          <w:color w:val="000000" w:themeColor="text1"/>
          <w:sz w:val="24"/>
          <w:highlight w:val="none"/>
          <w:lang w:val="zh-CN"/>
          <w14:textFill>
            <w14:solidFill>
              <w14:schemeClr w14:val="tx1"/>
            </w14:solidFill>
          </w14:textFill>
        </w:rPr>
        <w:t>政府采购供应商廉洁自律承诺书；</w:t>
      </w:r>
    </w:p>
    <w:p>
      <w:pPr>
        <w:snapToGrid w:val="0"/>
        <w:spacing w:line="360" w:lineRule="auto"/>
        <w:ind w:left="210" w:leftChars="1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3报价文件</w:t>
      </w:r>
    </w:p>
    <w:p>
      <w:pPr>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2.3.1开标一览表（报价表）；</w:t>
      </w:r>
    </w:p>
    <w:p>
      <w:pPr>
        <w:spacing w:line="360" w:lineRule="auto"/>
        <w:ind w:left="420" w:leftChars="200"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2.3.2 报价情况说明（如果有）</w:t>
      </w:r>
    </w:p>
    <w:p>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2.3.2中小企业声明函（如果有）。</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3.我方承诺除商务技术偏离表列出的偏离外，我方响应招标文件的全部要求。对投标文件中材料的真实性、合法性负责，积极配合采购人、采购代理机构复核投标文件中的资料。</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4、如我方中标，我方承诺：</w:t>
      </w:r>
    </w:p>
    <w:p>
      <w:pPr>
        <w:snapToGrid w:val="0"/>
        <w:spacing w:line="360" w:lineRule="auto"/>
        <w:ind w:left="210" w:leftChars="1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4.1在收到中标通知书后，在中标通知书规定的期限内与你方签订合同； </w:t>
      </w:r>
    </w:p>
    <w:p>
      <w:pPr>
        <w:snapToGrid w:val="0"/>
        <w:spacing w:line="360" w:lineRule="auto"/>
        <w:ind w:left="210" w:leftChars="1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4.2在签订合同时不向你方提出附加条件； </w:t>
      </w:r>
    </w:p>
    <w:p>
      <w:pPr>
        <w:snapToGrid w:val="0"/>
        <w:spacing w:line="360" w:lineRule="auto"/>
        <w:ind w:left="210" w:leftChars="1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4.3按照招标文件要求提交履约保证金； </w:t>
      </w:r>
    </w:p>
    <w:p>
      <w:pPr>
        <w:snapToGrid w:val="0"/>
        <w:spacing w:line="360" w:lineRule="auto"/>
        <w:ind w:left="210" w:leftChars="1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4.4在合同约定的期限内完成合同规定的全部义务。 </w:t>
      </w:r>
    </w:p>
    <w:p>
      <w:pPr>
        <w:pStyle w:val="80"/>
        <w:spacing w:line="360" w:lineRule="auto"/>
        <w:ind w:firstLine="480"/>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14:textFill>
            <w14:solidFill>
              <w14:schemeClr w14:val="tx1"/>
            </w14:solidFill>
          </w14:textFill>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6、其他补充说明:</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pPr>
        <w:spacing w:line="360" w:lineRule="auto"/>
        <w:ind w:firstLine="3600" w:firstLineChars="1500"/>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3600" w:firstLineChars="15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投标人名称（电子签名）：                          </w:t>
      </w:r>
    </w:p>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pPr>
        <w:snapToGrid w:val="0"/>
        <w:spacing w:line="360" w:lineRule="auto"/>
        <w:ind w:left="420" w:leftChars="200" w:firstLine="4200" w:firstLineChars="1750"/>
        <w:rPr>
          <w:rFonts w:hint="eastAsia" w:ascii="仿宋" w:hAnsi="仿宋" w:eastAsia="仿宋" w:cs="仿宋"/>
          <w:color w:val="000000" w:themeColor="text1"/>
          <w:kern w:val="0"/>
          <w:sz w:val="24"/>
          <w:highlight w:val="none"/>
          <w:u w:val="single"/>
          <w14:textFill>
            <w14:solidFill>
              <w14:schemeClr w14:val="tx1"/>
            </w14:solidFill>
          </w14:textFill>
        </w:rPr>
      </w:pPr>
    </w:p>
    <w:p>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pPr>
        <w:snapToGrid w:val="0"/>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二、授权委托书或法定代表人（单位负责人、自然人本人）身份证明</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pPr>
        <w:snapToGrid w:val="0"/>
        <w:spacing w:line="360" w:lineRule="auto"/>
        <w:ind w:firstLine="2872" w:firstLineChars="894"/>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授权委托书（适用于非联合体投标）</w:t>
      </w:r>
      <w:r>
        <w:rPr>
          <w:rFonts w:hint="eastAsia" w:ascii="仿宋" w:hAnsi="仿宋" w:eastAsia="仿宋" w:cs="仿宋"/>
          <w:color w:val="000000" w:themeColor="text1"/>
          <w:highlight w:val="none"/>
          <w14:textFill>
            <w14:solidFill>
              <w14:schemeClr w14:val="tx1"/>
            </w14:solidFill>
          </w14:textFill>
        </w:rPr>
        <w:t xml:space="preserve">                               </w:t>
      </w: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pPr>
        <w:snapToGrid w:val="0"/>
        <w:spacing w:line="360" w:lineRule="auto"/>
        <w:ind w:firstLine="57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现</w:t>
      </w:r>
      <w:r>
        <w:rPr>
          <w:rFonts w:hint="eastAsia" w:ascii="仿宋" w:hAnsi="仿宋" w:eastAsia="仿宋" w:cs="仿宋"/>
          <w:color w:val="000000" w:themeColor="text1"/>
          <w:kern w:val="0"/>
          <w:sz w:val="24"/>
          <w:highlight w:val="none"/>
          <w:lang w:val="zh-CN"/>
          <w14:textFill>
            <w14:solidFill>
              <w14:schemeClr w14:val="tx1"/>
            </w14:solidFill>
          </w14:textFill>
        </w:rPr>
        <w:t>委托</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（姓名）为我方代理人（身份证号码：</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，手机：</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，所在单位：</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），以我方名义处理</w:t>
      </w:r>
      <w:r>
        <w:rPr>
          <w:rFonts w:hint="eastAsia" w:ascii="仿宋" w:hAnsi="仿宋" w:eastAsia="仿宋" w:cs="仿宋"/>
          <w:color w:val="000000" w:themeColor="text1"/>
          <w:sz w:val="24"/>
          <w:highlight w:val="none"/>
          <w14:textFill>
            <w14:solidFill>
              <w14:schemeClr w14:val="tx1"/>
            </w14:solidFill>
          </w14:textFill>
        </w:rPr>
        <w:t>（项目名称）【招标编号：（采购编号）】</w:t>
      </w:r>
      <w:r>
        <w:rPr>
          <w:rFonts w:hint="eastAsia" w:ascii="仿宋" w:hAnsi="仿宋" w:eastAsia="仿宋" w:cs="仿宋"/>
          <w:color w:val="000000" w:themeColor="text1"/>
          <w:kern w:val="0"/>
          <w:sz w:val="24"/>
          <w:highlight w:val="none"/>
          <w:lang w:val="zh-CN"/>
          <w14:textFill>
            <w14:solidFill>
              <w14:schemeClr w14:val="tx1"/>
            </w14:solidFill>
          </w14:textFill>
        </w:rPr>
        <w:t>政府采购投标的一切事项，其法律后果由我方承担。</w:t>
      </w: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委托期限</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自</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日起至</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日止。</w:t>
      </w: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特此告知。</w:t>
      </w: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投标人名称(电子签名)：</w:t>
      </w:r>
    </w:p>
    <w:p>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签发日期：  年  月   日</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 xml:space="preserve">      </w:t>
      </w:r>
      <w:r>
        <w:rPr>
          <w:rFonts w:hint="eastAsia" w:ascii="仿宋" w:hAnsi="仿宋" w:eastAsia="仿宋" w:cs="仿宋"/>
          <w:b/>
          <w:color w:val="000000" w:themeColor="text1"/>
          <w:kern w:val="0"/>
          <w:sz w:val="32"/>
          <w:szCs w:val="32"/>
          <w:highlight w:val="none"/>
          <w14:textFill>
            <w14:solidFill>
              <w14:schemeClr w14:val="tx1"/>
            </w14:solidFill>
          </w14:textFill>
        </w:rPr>
        <w:t xml:space="preserve"> </w:t>
      </w:r>
      <w:r>
        <w:rPr>
          <w:rFonts w:hint="eastAsia" w:ascii="仿宋" w:hAnsi="仿宋" w:eastAsia="仿宋" w:cs="仿宋"/>
          <w:b/>
          <w:color w:val="000000" w:themeColor="text1"/>
          <w:kern w:val="0"/>
          <w:sz w:val="32"/>
          <w:szCs w:val="32"/>
          <w:highlight w:val="none"/>
          <w:lang w:val="zh-CN"/>
          <w14:textFill>
            <w14:solidFill>
              <w14:schemeClr w14:val="tx1"/>
            </w14:solidFill>
          </w14:textFill>
        </w:rPr>
        <w:t>授权委托书（适用于联合体投标）</w:t>
      </w: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pPr>
        <w:snapToGrid w:val="0"/>
        <w:spacing w:line="360" w:lineRule="auto"/>
        <w:ind w:firstLine="57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现</w:t>
      </w:r>
      <w:r>
        <w:rPr>
          <w:rFonts w:hint="eastAsia" w:ascii="仿宋" w:hAnsi="仿宋" w:eastAsia="仿宋" w:cs="仿宋"/>
          <w:color w:val="000000" w:themeColor="text1"/>
          <w:kern w:val="0"/>
          <w:sz w:val="24"/>
          <w:highlight w:val="none"/>
          <w:lang w:val="zh-CN"/>
          <w14:textFill>
            <w14:solidFill>
              <w14:schemeClr w14:val="tx1"/>
            </w14:solidFill>
          </w14:textFill>
        </w:rPr>
        <w:t>委托</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（姓名）为我方代理人（身份证号码：</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，手机：</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，所在单位：</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），以我方名义处理</w:t>
      </w:r>
      <w:r>
        <w:rPr>
          <w:rFonts w:hint="eastAsia" w:ascii="仿宋" w:hAnsi="仿宋" w:eastAsia="仿宋" w:cs="仿宋"/>
          <w:color w:val="000000" w:themeColor="text1"/>
          <w:sz w:val="24"/>
          <w:highlight w:val="none"/>
          <w14:textFill>
            <w14:solidFill>
              <w14:schemeClr w14:val="tx1"/>
            </w14:solidFill>
          </w14:textFill>
        </w:rPr>
        <w:t>（项目名称）【招标编号：（采购编号）】</w:t>
      </w:r>
      <w:r>
        <w:rPr>
          <w:rFonts w:hint="eastAsia" w:ascii="仿宋" w:hAnsi="仿宋" w:eastAsia="仿宋" w:cs="仿宋"/>
          <w:color w:val="000000" w:themeColor="text1"/>
          <w:kern w:val="0"/>
          <w:sz w:val="24"/>
          <w:highlight w:val="none"/>
          <w:lang w:val="zh-CN"/>
          <w14:textFill>
            <w14:solidFill>
              <w14:schemeClr w14:val="tx1"/>
            </w14:solidFill>
          </w14:textFill>
        </w:rPr>
        <w:t>政府采购投标的一切事项，其法律后果由我方承担。</w:t>
      </w: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委托期限</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自</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日起至</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日止。</w:t>
      </w: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特此告知。</w:t>
      </w: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rPr>
          <w:rFonts w:hint="eastAsia" w:ascii="仿宋" w:hAnsi="仿宋" w:eastAsia="仿宋" w:cs="仿宋"/>
          <w:color w:val="000000" w:themeColor="text1"/>
          <w:highlight w:val="none"/>
          <w14:textFill>
            <w14:solidFill>
              <w14:schemeClr w14:val="tx1"/>
            </w14:solidFill>
          </w14:textFill>
        </w:rPr>
      </w:pPr>
    </w:p>
    <w:p>
      <w:pPr>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pPr>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pPr>
        <w:snapToGrid w:val="0"/>
        <w:spacing w:line="360" w:lineRule="auto"/>
        <w:ind w:firstLine="5760" w:firstLineChars="24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pPr>
        <w:autoSpaceDE w:val="0"/>
        <w:autoSpaceDN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法定代表人、单位负责人或自然人本人</w:t>
      </w:r>
      <w:r>
        <w:rPr>
          <w:rFonts w:hint="eastAsia" w:ascii="仿宋" w:hAnsi="仿宋" w:eastAsia="仿宋" w:cs="仿宋"/>
          <w:b/>
          <w:color w:val="000000" w:themeColor="text1"/>
          <w:sz w:val="30"/>
          <w:szCs w:val="30"/>
          <w:highlight w:val="none"/>
          <w14:textFill>
            <w14:solidFill>
              <w14:schemeClr w14:val="tx1"/>
            </w14:solidFill>
          </w14:textFill>
        </w:rPr>
        <w:t>的身份证明（适用于法定代表人、单位负责人或者自然人本人代表投标人参加投标）</w:t>
      </w:r>
    </w:p>
    <w:p>
      <w:pPr>
        <w:pStyle w:val="15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50"/>
              <w:adjustRightInd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正面：                                 反面：</w:t>
            </w:r>
          </w:p>
          <w:p>
            <w:pPr>
              <w:pStyle w:val="150"/>
              <w:adjustRightInd w:val="0"/>
              <w:spacing w:line="360" w:lineRule="auto"/>
              <w:rPr>
                <w:rFonts w:hint="eastAsia" w:ascii="仿宋" w:hAnsi="仿宋" w:eastAsia="仿宋" w:cs="仿宋"/>
                <w:bCs/>
                <w:color w:val="000000" w:themeColor="text1"/>
                <w:sz w:val="24"/>
                <w:highlight w:val="none"/>
                <w14:textFill>
                  <w14:solidFill>
                    <w14:schemeClr w14:val="tx1"/>
                  </w14:solidFill>
                </w14:textFill>
              </w:rPr>
            </w:pPr>
          </w:p>
        </w:tc>
      </w:tr>
    </w:tbl>
    <w:p>
      <w:pPr>
        <w:snapToGrid w:val="0"/>
        <w:spacing w:line="360" w:lineRule="auto"/>
        <w:ind w:firstLine="576"/>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pPr>
        <w:snapToGrid w:val="0"/>
        <w:spacing w:line="360" w:lineRule="auto"/>
        <w:ind w:firstLine="576"/>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投标人名称(电子签名)：                              </w:t>
      </w:r>
    </w:p>
    <w:p>
      <w:pPr>
        <w:spacing w:line="360" w:lineRule="auto"/>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rPr>
          <w:rFonts w:hint="eastAsia" w:ascii="仿宋" w:hAnsi="仿宋" w:eastAsia="仿宋" w:cs="仿宋"/>
          <w:b/>
          <w:color w:val="000000" w:themeColor="text1"/>
          <w:kern w:val="0"/>
          <w:sz w:val="32"/>
          <w:szCs w:val="32"/>
          <w:highlight w:val="none"/>
          <w14:textFill>
            <w14:solidFill>
              <w14:schemeClr w14:val="tx1"/>
            </w14:solidFill>
          </w14:textFill>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三、分包意向协议（如果有）</w:t>
      </w:r>
    </w:p>
    <w:p>
      <w:pPr>
        <w:widowControl/>
        <w:spacing w:line="360" w:lineRule="auto"/>
        <w:ind w:firstLine="120" w:firstLineChars="5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中标后以分包方式履行合同的，提供分包意向协议(附件6)；采购人不同意分包或者投标人中标后不以分包方式履行合同的，则不需要提供。</w:t>
      </w:r>
      <w:r>
        <w:rPr>
          <w:rFonts w:hint="eastAsia" w:ascii="仿宋" w:hAnsi="仿宋" w:eastAsia="仿宋" w:cs="仿宋"/>
          <w:color w:val="000000" w:themeColor="text1"/>
          <w:sz w:val="24"/>
          <w:highlight w:val="none"/>
          <w14:textFill>
            <w14:solidFill>
              <w14:schemeClr w14:val="tx1"/>
            </w14:solidFill>
          </w14:textFill>
        </w:rPr>
        <w:t>]</w:t>
      </w: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四、符合性审查资料</w:t>
      </w: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4991" w:type="dxa"/>
            <w:vAlign w:val="center"/>
          </w:tcPr>
          <w:p>
            <w:pPr>
              <w:snapToGrid w:val="0"/>
              <w:spacing w:line="240" w:lineRule="atLeas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实质性要求</w:t>
            </w:r>
          </w:p>
        </w:tc>
        <w:tc>
          <w:tcPr>
            <w:tcW w:w="2551" w:type="dxa"/>
            <w:vAlign w:val="center"/>
          </w:tcPr>
          <w:p>
            <w:pPr>
              <w:snapToGrid w:val="0"/>
              <w:spacing w:line="240" w:lineRule="atLeas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需要提供的符合性审查资料</w:t>
            </w:r>
          </w:p>
        </w:tc>
        <w:tc>
          <w:tcPr>
            <w:tcW w:w="1418" w:type="dxa"/>
            <w:vAlign w:val="center"/>
          </w:tcPr>
          <w:p>
            <w:pPr>
              <w:snapToGrid w:val="0"/>
              <w:spacing w:line="240" w:lineRule="atLeas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投标文件中的</w:t>
            </w:r>
          </w:p>
          <w:p>
            <w:pPr>
              <w:snapToGrid w:val="0"/>
              <w:spacing w:line="240" w:lineRule="atLeas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4991" w:type="dxa"/>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投标文件按照招标文件要求签署、盖章。</w:t>
            </w:r>
          </w:p>
        </w:tc>
        <w:tc>
          <w:tcPr>
            <w:tcW w:w="2551" w:type="dxa"/>
            <w:vAlign w:val="center"/>
          </w:tcPr>
          <w:p>
            <w:pP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需要使用电子签名或者签字盖章的投标文件的组成部分</w:t>
            </w:r>
          </w:p>
        </w:tc>
        <w:tc>
          <w:tcPr>
            <w:tcW w:w="1418" w:type="dxa"/>
          </w:tcPr>
          <w:p>
            <w:pPr>
              <w:rPr>
                <w:rFonts w:hint="eastAsia" w:ascii="仿宋" w:hAnsi="仿宋" w:eastAsia="仿宋" w:cs="仿宋"/>
                <w:color w:val="000000" w:themeColor="text1"/>
                <w:sz w:val="24"/>
                <w:highlight w:val="none"/>
                <w14:textFill>
                  <w14:solidFill>
                    <w14:schemeClr w14:val="tx1"/>
                  </w14:solidFill>
                </w14:textFill>
              </w:rPr>
            </w:pPr>
          </w:p>
          <w:p>
            <w:pP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见投标文件</w:t>
            </w:r>
          </w:p>
          <w:p>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4991" w:type="dxa"/>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投标文件中承诺的投标有效期不少于招标文件中载明的投标有效期。</w:t>
            </w:r>
          </w:p>
        </w:tc>
        <w:tc>
          <w:tcPr>
            <w:tcW w:w="2551" w:type="dxa"/>
            <w:vAlign w:val="center"/>
          </w:tcPr>
          <w:p>
            <w:pP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投标函</w:t>
            </w:r>
          </w:p>
        </w:tc>
        <w:tc>
          <w:tcPr>
            <w:tcW w:w="1418" w:type="dxa"/>
          </w:tcPr>
          <w:p>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见投标文件第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4991" w:type="dxa"/>
          </w:tcPr>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投标文件满足招标文件的其它实质性要求。</w:t>
            </w:r>
          </w:p>
        </w:tc>
        <w:tc>
          <w:tcPr>
            <w:tcW w:w="2551" w:type="dxa"/>
            <w:vAlign w:val="center"/>
          </w:tcPr>
          <w:p>
            <w:pP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招标文件其它实质性要求相应的材料（“▲” 系指实质性要求条款，招标文件无其它实质性要求的，无需提供）</w:t>
            </w:r>
          </w:p>
        </w:tc>
        <w:tc>
          <w:tcPr>
            <w:tcW w:w="1418" w:type="dxa"/>
          </w:tcPr>
          <w:p>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见投标文件第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bl>
    <w:p>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 xml:space="preserve">            </w:t>
      </w: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color w:val="auto"/>
          <w:highlight w:val="none"/>
          <w:shd w:val="clear" w:color="auto" w:fill="FFFF00"/>
        </w:rPr>
      </w:pPr>
      <w:r>
        <w:rPr>
          <w:rFonts w:hint="eastAsia" w:ascii="仿宋" w:hAnsi="仿宋" w:eastAsia="仿宋" w:cs="仿宋"/>
          <w:b/>
          <w:color w:val="auto"/>
          <w:kern w:val="0"/>
          <w:sz w:val="32"/>
          <w:szCs w:val="32"/>
          <w:highlight w:val="none"/>
          <w:shd w:val="clear" w:color="auto" w:fill="FFFF00"/>
        </w:rPr>
        <w:t>五、评标标准相应的商务技术资料</w:t>
      </w:r>
    </w:p>
    <w:p>
      <w:pPr>
        <w:snapToGrid w:val="0"/>
        <w:spacing w:line="360" w:lineRule="auto"/>
        <w:jc w:val="left"/>
        <w:rPr>
          <w:rFonts w:hint="eastAsia" w:ascii="仿宋" w:hAnsi="仿宋" w:eastAsia="仿宋" w:cs="仿宋"/>
          <w:b/>
          <w:color w:val="auto"/>
          <w:sz w:val="24"/>
          <w:highlight w:val="none"/>
          <w:shd w:val="clear" w:color="auto" w:fill="FFFF00"/>
        </w:rPr>
      </w:pPr>
      <w:r>
        <w:rPr>
          <w:rFonts w:hint="eastAsia" w:ascii="仿宋" w:hAnsi="仿宋" w:eastAsia="仿宋" w:cs="仿宋"/>
          <w:b/>
          <w:color w:val="auto"/>
          <w:sz w:val="24"/>
          <w:highlight w:val="none"/>
          <w:shd w:val="clear" w:color="auto" w:fill="FFFF00"/>
        </w:rPr>
        <w:t>（按招标文件第四部分评标办法前附表中“投标文件中评标标准相应的商务技术资料目录”提供资料。）</w:t>
      </w: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ind w:firstLine="2891" w:firstLineChars="900"/>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备注（如果有）</w:t>
            </w:r>
          </w:p>
          <w:p>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bl>
    <w:p>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序号</w:t>
            </w:r>
          </w:p>
        </w:tc>
        <w:tc>
          <w:tcPr>
            <w:tcW w:w="3683" w:type="dxa"/>
          </w:tcPr>
          <w:p>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招标文件章节及具体内容</w:t>
            </w:r>
          </w:p>
        </w:tc>
        <w:tc>
          <w:tcPr>
            <w:tcW w:w="3546" w:type="dxa"/>
          </w:tcPr>
          <w:p>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投标文件章节及具体内容</w:t>
            </w:r>
          </w:p>
        </w:tc>
        <w:tc>
          <w:tcPr>
            <w:tcW w:w="1276" w:type="dxa"/>
          </w:tcPr>
          <w:p>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p>
        </w:tc>
        <w:tc>
          <w:tcPr>
            <w:tcW w:w="3683" w:type="dxa"/>
          </w:tcPr>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tcPr>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tcPr>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p>
        </w:tc>
        <w:tc>
          <w:tcPr>
            <w:tcW w:w="3683" w:type="dxa"/>
          </w:tcPr>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tcPr>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tcPr>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p>
        </w:tc>
        <w:tc>
          <w:tcPr>
            <w:tcW w:w="3683" w:type="dxa"/>
          </w:tcPr>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tcPr>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tcPr>
          <w:p>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bl>
    <w:p>
      <w:pPr>
        <w:spacing w:line="360" w:lineRule="auto"/>
        <w:jc w:val="left"/>
        <w:rPr>
          <w:rFonts w:hint="eastAsia" w:ascii="仿宋" w:hAnsi="仿宋" w:eastAsia="仿宋" w:cs="仿宋"/>
          <w:color w:val="000000" w:themeColor="text1"/>
          <w:kern w:val="0"/>
          <w:sz w:val="24"/>
          <w:highlight w:val="none"/>
          <w14:textFill>
            <w14:solidFill>
              <w14:schemeClr w14:val="tx1"/>
            </w14:solidFill>
          </w14:textFill>
        </w:rPr>
      </w:pPr>
    </w:p>
    <w:p>
      <w:pPr>
        <w:spacing w:line="360" w:lineRule="auto"/>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1、投标人保证：除商务技术偏离表列出的偏离外，投标人响应招标文件的全部要求</w:t>
      </w:r>
    </w:p>
    <w:p>
      <w:pPr>
        <w:spacing w:line="360" w:lineRule="auto"/>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2.本表格所反映的偏离情况与“符合性审查资料”、“评标标准相应的商务技术资料”不一致的，以“符合性审查资料”、“评标标准相应的商务技术资料”为准。</w:t>
      </w:r>
    </w:p>
    <w:p>
      <w:pPr>
        <w:spacing w:line="360" w:lineRule="auto"/>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3.投标人须保证：除商务技术偏离表列出的偏离外，投标人响应招标文件的全部非实质性要求。</w:t>
      </w:r>
    </w:p>
    <w:p>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pPr>
        <w:ind w:firstLine="1911" w:firstLineChars="595"/>
        <w:rPr>
          <w:rFonts w:hint="eastAsia" w:ascii="仿宋" w:hAnsi="仿宋" w:eastAsia="仿宋" w:cs="仿宋"/>
          <w:b/>
          <w:bCs/>
          <w:color w:val="000000" w:themeColor="text1"/>
          <w:sz w:val="32"/>
          <w:szCs w:val="32"/>
          <w:highlight w:val="none"/>
          <w14:textFill>
            <w14:solidFill>
              <w14:schemeClr w14:val="tx1"/>
            </w14:solidFill>
          </w14:textFill>
        </w:rPr>
      </w:pPr>
    </w:p>
    <w:p>
      <w:pPr>
        <w:ind w:firstLine="1911" w:firstLineChars="595"/>
        <w:rPr>
          <w:rFonts w:hint="eastAsia" w:ascii="仿宋" w:hAnsi="仿宋" w:eastAsia="仿宋" w:cs="仿宋"/>
          <w:b/>
          <w:bCs/>
          <w:color w:val="000000" w:themeColor="text1"/>
          <w:sz w:val="32"/>
          <w:szCs w:val="32"/>
          <w:highlight w:val="none"/>
          <w14:textFill>
            <w14:solidFill>
              <w14:schemeClr w14:val="tx1"/>
            </w14:solidFill>
          </w14:textFill>
        </w:rPr>
      </w:pPr>
    </w:p>
    <w:p>
      <w:pPr>
        <w:ind w:firstLine="1911" w:firstLineChars="595"/>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八</w:t>
      </w:r>
      <w:r>
        <w:rPr>
          <w:rFonts w:hint="eastAsia" w:ascii="仿宋" w:hAnsi="仿宋" w:eastAsia="仿宋" w:cs="仿宋"/>
          <w:b/>
          <w:color w:val="000000" w:themeColor="text1"/>
          <w:kern w:val="0"/>
          <w:sz w:val="32"/>
          <w:szCs w:val="32"/>
          <w:highlight w:val="none"/>
          <w14:textFill>
            <w14:solidFill>
              <w14:schemeClr w14:val="tx1"/>
            </w14:solidFill>
          </w14:textFill>
        </w:rPr>
        <w:t>、</w:t>
      </w:r>
      <w:r>
        <w:rPr>
          <w:rFonts w:hint="eastAsia" w:ascii="仿宋" w:hAnsi="仿宋" w:eastAsia="仿宋" w:cs="仿宋"/>
          <w:b/>
          <w:color w:val="000000" w:themeColor="text1"/>
          <w:kern w:val="0"/>
          <w:sz w:val="32"/>
          <w:szCs w:val="32"/>
          <w:highlight w:val="none"/>
          <w:lang w:val="zh-CN"/>
          <w14:textFill>
            <w14:solidFill>
              <w14:schemeClr w14:val="tx1"/>
            </w14:solidFill>
          </w14:textFill>
        </w:rPr>
        <w:t>政府采购供应商廉洁自律承诺书</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p>
    <w:p>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（采购人）、（采购代理机构）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我单位响应你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四、不为项目有关人员及部门出国（境）、旅游等提供方便；</w:t>
      </w:r>
    </w:p>
    <w:p>
      <w:pPr>
        <w:autoSpaceDE w:val="0"/>
        <w:autoSpaceDN w:val="0"/>
        <w:spacing w:line="360" w:lineRule="auto"/>
        <w:ind w:left="481" w:leftChars="229"/>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五、不为项目有关人员个人装修住房、婚丧嫁娶、配偶子女工作安排等提供</w:t>
      </w:r>
    </w:p>
    <w:p>
      <w:pPr>
        <w:autoSpaceDE w:val="0"/>
        <w:autoSpaceDN w:val="0"/>
        <w:spacing w:line="360" w:lineRule="auto"/>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好处；</w:t>
      </w:r>
    </w:p>
    <w:p>
      <w:pPr>
        <w:autoSpaceDE w:val="0"/>
        <w:autoSpaceDN w:val="0"/>
        <w:spacing w:line="360" w:lineRule="auto"/>
        <w:ind w:left="481" w:leftChars="229"/>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六、严格遵守《</w:t>
      </w:r>
      <w:r>
        <w:rPr>
          <w:rFonts w:hint="eastAsia" w:ascii="仿宋" w:hAnsi="仿宋" w:eastAsia="仿宋" w:cs="仿宋"/>
          <w:color w:val="000000" w:themeColor="text1"/>
          <w:sz w:val="24"/>
          <w:highlight w:val="none"/>
          <w:lang w:val="zh-CN"/>
          <w14:textFill>
            <w14:solidFill>
              <w14:schemeClr w14:val="tx1"/>
            </w14:solidFill>
          </w14:textFill>
        </w:rPr>
        <w:t>中华人民共和国</w:t>
      </w:r>
      <w:r>
        <w:rPr>
          <w:rFonts w:hint="eastAsia" w:ascii="仿宋" w:hAnsi="仿宋" w:eastAsia="仿宋" w:cs="仿宋"/>
          <w:color w:val="000000" w:themeColor="text1"/>
          <w:kern w:val="0"/>
          <w:sz w:val="24"/>
          <w:highlight w:val="none"/>
          <w:lang w:val="zh-CN"/>
          <w14:textFill>
            <w14:solidFill>
              <w14:schemeClr w14:val="tx1"/>
            </w14:solidFill>
          </w14:textFill>
        </w:rPr>
        <w:t>政府采购法》《</w:t>
      </w:r>
      <w:r>
        <w:rPr>
          <w:rFonts w:hint="eastAsia" w:ascii="仿宋" w:hAnsi="仿宋" w:eastAsia="仿宋" w:cs="仿宋"/>
          <w:color w:val="000000" w:themeColor="text1"/>
          <w:sz w:val="24"/>
          <w:highlight w:val="none"/>
          <w:lang w:val="zh-CN"/>
          <w14:textFill>
            <w14:solidFill>
              <w14:schemeClr w14:val="tx1"/>
            </w14:solidFill>
          </w14:textFill>
        </w:rPr>
        <w:t>中华人民共和国</w:t>
      </w:r>
      <w:r>
        <w:rPr>
          <w:rFonts w:hint="eastAsia" w:ascii="仿宋" w:hAnsi="仿宋" w:eastAsia="仿宋" w:cs="仿宋"/>
          <w:color w:val="000000" w:themeColor="text1"/>
          <w:kern w:val="0"/>
          <w:sz w:val="24"/>
          <w:highlight w:val="none"/>
          <w:lang w:val="zh-CN"/>
          <w14:textFill>
            <w14:solidFill>
              <w14:schemeClr w14:val="tx1"/>
            </w14:solidFill>
          </w14:textFill>
        </w:rPr>
        <w:t>招标投标</w:t>
      </w:r>
    </w:p>
    <w:p>
      <w:pPr>
        <w:autoSpaceDE w:val="0"/>
        <w:autoSpaceDN w:val="0"/>
        <w:spacing w:line="360" w:lineRule="auto"/>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法》</w:t>
      </w:r>
      <w:r>
        <w:rPr>
          <w:rFonts w:hint="eastAsia" w:ascii="仿宋" w:hAnsi="仿宋" w:eastAsia="仿宋" w:cs="仿宋"/>
          <w:color w:val="000000" w:themeColor="text1"/>
          <w:sz w:val="24"/>
          <w:highlight w:val="none"/>
          <w:lang w:val="zh-CN"/>
          <w14:textFill>
            <w14:solidFill>
              <w14:schemeClr w14:val="tx1"/>
            </w14:solidFill>
          </w14:textFill>
        </w:rPr>
        <w:t>《中华人民共和国民法典》</w:t>
      </w:r>
      <w:r>
        <w:rPr>
          <w:rFonts w:hint="eastAsia" w:ascii="仿宋" w:hAnsi="仿宋" w:eastAsia="仿宋" w:cs="仿宋"/>
          <w:color w:val="000000" w:themeColor="text1"/>
          <w:kern w:val="0"/>
          <w:sz w:val="24"/>
          <w:highlight w:val="none"/>
          <w:lang w:val="zh-CN"/>
          <w14:textFill>
            <w14:solidFill>
              <w14:schemeClr w14:val="tx1"/>
            </w14:solidFill>
          </w14:textFill>
        </w:rPr>
        <w:t xml:space="preserve">等法律法规，诚实守信，合法经营，坚决抵制各种违法违纪行为。 </w:t>
      </w:r>
    </w:p>
    <w:p>
      <w:pPr>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如违反上述承诺，你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pPr>
        <w:autoSpaceDE w:val="0"/>
        <w:autoSpaceDN w:val="0"/>
        <w:spacing w:line="360" w:lineRule="auto"/>
        <w:ind w:left="2"/>
        <w:jc w:val="left"/>
        <w:rPr>
          <w:rFonts w:hint="eastAsia" w:ascii="仿宋" w:hAnsi="仿宋" w:eastAsia="仿宋" w:cs="仿宋"/>
          <w:color w:val="000000" w:themeColor="text1"/>
          <w:kern w:val="0"/>
          <w:sz w:val="24"/>
          <w:highlight w:val="none"/>
          <w:lang w:val="zh-CN"/>
          <w14:textFill>
            <w14:solidFill>
              <w14:schemeClr w14:val="tx1"/>
            </w14:solidFill>
          </w14:textFill>
        </w:rPr>
      </w:pPr>
    </w:p>
    <w:p>
      <w:pPr>
        <w:autoSpaceDE w:val="0"/>
        <w:autoSpaceDN w:val="0"/>
        <w:spacing w:line="360" w:lineRule="auto"/>
        <w:ind w:left="2"/>
        <w:jc w:val="left"/>
        <w:rPr>
          <w:rFonts w:hint="eastAsia" w:ascii="仿宋" w:hAnsi="仿宋" w:eastAsia="仿宋" w:cs="仿宋"/>
          <w:color w:val="000000" w:themeColor="text1"/>
          <w:kern w:val="0"/>
          <w:sz w:val="24"/>
          <w:highlight w:val="none"/>
          <w:lang w:val="zh-CN"/>
          <w14:textFill>
            <w14:solidFill>
              <w14:schemeClr w14:val="tx1"/>
            </w14:solidFill>
          </w14:textFill>
        </w:rPr>
      </w:pPr>
    </w:p>
    <w:p>
      <w:pPr>
        <w:autoSpaceDE w:val="0"/>
        <w:autoSpaceDN w:val="0"/>
        <w:spacing w:line="360" w:lineRule="auto"/>
        <w:ind w:left="2"/>
        <w:jc w:val="left"/>
        <w:rPr>
          <w:rFonts w:hint="eastAsia" w:ascii="仿宋" w:hAnsi="仿宋" w:eastAsia="仿宋" w:cs="仿宋"/>
          <w:color w:val="000000" w:themeColor="text1"/>
          <w:kern w:val="0"/>
          <w:sz w:val="24"/>
          <w:highlight w:val="none"/>
          <w:lang w:val="zh-CN"/>
          <w14:textFill>
            <w14:solidFill>
              <w14:schemeClr w14:val="tx1"/>
            </w14:solidFill>
          </w14:textFill>
        </w:rPr>
      </w:pPr>
    </w:p>
    <w:p>
      <w:pPr>
        <w:autoSpaceDE w:val="0"/>
        <w:autoSpaceDN w:val="0"/>
        <w:spacing w:line="360" w:lineRule="auto"/>
        <w:ind w:left="2" w:leftChars="1" w:right="1120" w:firstLine="4560" w:firstLineChars="19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投标人名称（</w:t>
      </w:r>
      <w:r>
        <w:rPr>
          <w:rFonts w:hint="eastAsia" w:ascii="仿宋" w:hAnsi="仿宋" w:eastAsia="仿宋" w:cs="仿宋"/>
          <w:color w:val="000000" w:themeColor="text1"/>
          <w:sz w:val="24"/>
          <w:highlight w:val="none"/>
          <w14:textFill>
            <w14:solidFill>
              <w14:schemeClr w14:val="tx1"/>
            </w14:solidFill>
          </w14:textFill>
        </w:rPr>
        <w:t>电子签名</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pPr>
        <w:spacing w:line="360" w:lineRule="auto"/>
        <w:ind w:left="4620" w:leftChars="2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 xml:space="preserve">   年   月   日</w:t>
      </w:r>
    </w:p>
    <w:p>
      <w:pPr>
        <w:spacing w:line="360" w:lineRule="auto"/>
        <w:jc w:val="center"/>
        <w:rPr>
          <w:rFonts w:hint="eastAsia" w:ascii="仿宋" w:hAnsi="仿宋" w:eastAsia="仿宋" w:cs="仿宋"/>
          <w:b/>
          <w:bCs/>
          <w:color w:val="000000" w:themeColor="text1"/>
          <w:sz w:val="24"/>
          <w:highlight w:val="none"/>
          <w14:textFill>
            <w14:solidFill>
              <w14:schemeClr w14:val="tx1"/>
            </w14:solidFill>
          </w14:textFill>
        </w:rPr>
      </w:pPr>
    </w:p>
    <w:p>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pPr>
        <w:spacing w:line="360" w:lineRule="auto"/>
        <w:jc w:val="center"/>
        <w:rPr>
          <w:rFonts w:hint="eastAsia" w:ascii="仿宋" w:hAnsi="仿宋" w:eastAsia="仿宋" w:cs="仿宋"/>
          <w:b/>
          <w:bCs/>
          <w:color w:val="000000" w:themeColor="text1"/>
          <w:sz w:val="24"/>
          <w:highlight w:val="none"/>
          <w14:textFill>
            <w14:solidFill>
              <w14:schemeClr w14:val="tx1"/>
            </w14:solidFill>
          </w14:textFill>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报价文件部分</w:t>
      </w:r>
    </w:p>
    <w:p>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pPr>
        <w:numPr>
          <w:ilvl w:val="0"/>
          <w:numId w:val="3"/>
        </w:num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开标一览表（报价表）………………………………………………………（页码）</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（2）中小企业声明函………………………………………………………………（页码）</w:t>
      </w:r>
    </w:p>
    <w:p>
      <w:pPr>
        <w:pStyle w:val="81"/>
        <w:rPr>
          <w:rFonts w:hint="eastAsia" w:ascii="仿宋" w:hAnsi="仿宋" w:eastAsia="仿宋" w:cs="仿宋"/>
          <w:color w:val="000000" w:themeColor="text1"/>
          <w:highlight w:val="none"/>
          <w14:textFill>
            <w14:solidFill>
              <w14:schemeClr w14:val="tx1"/>
            </w14:solidFill>
          </w14:textFill>
        </w:rPr>
      </w:pPr>
    </w:p>
    <w:p>
      <w:pPr>
        <w:pStyle w:val="81"/>
        <w:rPr>
          <w:rFonts w:hint="eastAsia" w:ascii="仿宋" w:hAnsi="仿宋" w:eastAsia="仿宋" w:cs="仿宋"/>
          <w:color w:val="000000" w:themeColor="text1"/>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pPr>
        <w:pStyle w:val="694"/>
        <w:keepNext w:val="0"/>
        <w:pageBreakBefore w:val="0"/>
        <w:tabs>
          <w:tab w:val="clear" w:pos="720"/>
        </w:tabs>
        <w:snapToGrid w:val="0"/>
        <w:spacing w:before="120" w:after="120"/>
        <w:ind w:firstLine="643"/>
        <w:outlineLvl w:val="9"/>
        <w:rPr>
          <w:rFonts w:hint="eastAsia" w:ascii="仿宋" w:hAnsi="仿宋" w:eastAsia="仿宋" w:cs="仿宋"/>
          <w:color w:val="000000" w:themeColor="text1"/>
          <w:kern w:val="2"/>
          <w:sz w:val="32"/>
          <w:szCs w:val="32"/>
          <w:highlight w:val="none"/>
          <w14:textFill>
            <w14:solidFill>
              <w14:schemeClr w14:val="tx1"/>
            </w14:solidFill>
          </w14:textFill>
        </w:rPr>
        <w:sectPr>
          <w:headerReference r:id="rId18" w:type="first"/>
          <w:footerReference r:id="rId20" w:type="first"/>
          <w:headerReference r:id="rId17" w:type="default"/>
          <w:footerReference r:id="rId19" w:type="default"/>
          <w:pgSz w:w="11906" w:h="16838"/>
          <w:pgMar w:top="1276" w:right="1418" w:bottom="1247" w:left="1418" w:header="851" w:footer="992" w:gutter="0"/>
          <w:cols w:space="720" w:num="1"/>
          <w:titlePg/>
          <w:docGrid w:linePitch="312" w:charSpace="0"/>
        </w:sectPr>
      </w:pPr>
    </w:p>
    <w:p>
      <w:pPr>
        <w:pStyle w:val="694"/>
        <w:tabs>
          <w:tab w:val="clear" w:pos="720"/>
        </w:tabs>
        <w:snapToGrid w:val="0"/>
        <w:spacing w:before="120" w:after="120"/>
        <w:ind w:firstLine="643"/>
        <w:outlineLvl w:val="9"/>
        <w:rPr>
          <w:rFonts w:hint="eastAsia" w:ascii="仿宋" w:hAnsi="仿宋" w:eastAsia="仿宋" w:cs="宋体"/>
          <w:color w:val="auto"/>
          <w:kern w:val="2"/>
          <w:sz w:val="32"/>
          <w:szCs w:val="32"/>
          <w:highlight w:val="none"/>
          <w:lang w:eastAsia="zh-CN"/>
        </w:rPr>
      </w:pPr>
      <w:r>
        <w:rPr>
          <w:rFonts w:hint="eastAsia" w:ascii="仿宋" w:hAnsi="仿宋" w:eastAsia="仿宋" w:cs="宋体"/>
          <w:color w:val="auto"/>
          <w:kern w:val="2"/>
          <w:sz w:val="32"/>
          <w:szCs w:val="32"/>
          <w:highlight w:val="none"/>
        </w:rPr>
        <w:t>一、开标一览表（报价表）</w:t>
      </w:r>
      <w:r>
        <w:rPr>
          <w:rFonts w:hint="eastAsia" w:ascii="仿宋" w:hAnsi="仿宋" w:eastAsia="仿宋" w:cs="宋体"/>
          <w:color w:val="auto"/>
          <w:kern w:val="2"/>
          <w:sz w:val="32"/>
          <w:szCs w:val="32"/>
          <w:highlight w:val="none"/>
          <w:lang w:eastAsia="zh-CN"/>
        </w:rPr>
        <w:t>（</w:t>
      </w:r>
      <w:r>
        <w:rPr>
          <w:rFonts w:hint="eastAsia" w:ascii="仿宋" w:hAnsi="仿宋" w:eastAsia="仿宋" w:cs="宋体"/>
          <w:color w:val="auto"/>
          <w:kern w:val="2"/>
          <w:sz w:val="32"/>
          <w:szCs w:val="32"/>
          <w:highlight w:val="none"/>
          <w:lang w:val="en-US" w:eastAsia="zh-CN"/>
        </w:rPr>
        <w:t>标项一</w:t>
      </w:r>
      <w:r>
        <w:rPr>
          <w:rFonts w:hint="eastAsia" w:ascii="仿宋" w:hAnsi="仿宋" w:eastAsia="仿宋" w:cs="宋体"/>
          <w:color w:val="auto"/>
          <w:kern w:val="2"/>
          <w:sz w:val="32"/>
          <w:szCs w:val="32"/>
          <w:highlight w:val="none"/>
          <w:lang w:eastAsia="zh-CN"/>
        </w:rPr>
        <w:t>）</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（采购人）、（采购代理机构）：</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按你方招标文件要求，我们，本投标文件签字方，谨此向你方发出要约如下：如你方接受本投标，我方承诺按照如下开标一览表（报价表）的价格完成（项目名称）【招标编号：（采购编号）】的实施。</w:t>
      </w:r>
    </w:p>
    <w:p>
      <w:pPr>
        <w:spacing w:line="360" w:lineRule="auto"/>
        <w:jc w:val="center"/>
        <w:rPr>
          <w:rFonts w:hint="eastAsia" w:ascii="仿宋" w:hAnsi="仿宋" w:eastAsia="仿宋" w:cs="宋体"/>
          <w:b/>
          <w:color w:val="auto"/>
          <w:kern w:val="0"/>
          <w:sz w:val="24"/>
          <w:highlight w:val="none"/>
          <w:lang w:val="zh-CN"/>
        </w:rPr>
      </w:pPr>
      <w:r>
        <w:rPr>
          <w:rFonts w:hint="eastAsia" w:ascii="仿宋" w:hAnsi="仿宋" w:eastAsia="仿宋" w:cs="宋体"/>
          <w:b/>
          <w:color w:val="auto"/>
          <w:kern w:val="0"/>
          <w:sz w:val="24"/>
          <w:highlight w:val="none"/>
          <w:lang w:val="zh-CN"/>
        </w:rPr>
        <w:t>开标一览表（报价表）(单位均为人民币元)</w:t>
      </w:r>
    </w:p>
    <w:tbl>
      <w:tblPr>
        <w:tblStyle w:val="63"/>
        <w:tblW w:w="15814"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87"/>
        <w:gridCol w:w="2654"/>
        <w:gridCol w:w="2484"/>
        <w:gridCol w:w="2475"/>
        <w:gridCol w:w="7314"/>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9" w:hRule="atLeast"/>
          <w:tblHeader/>
          <w:jc w:val="center"/>
        </w:trPr>
        <w:tc>
          <w:tcPr>
            <w:tcW w:w="887" w:type="dxa"/>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序号</w:t>
            </w:r>
          </w:p>
        </w:tc>
        <w:tc>
          <w:tcPr>
            <w:tcW w:w="2654" w:type="dxa"/>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项目名称</w:t>
            </w:r>
          </w:p>
        </w:tc>
        <w:tc>
          <w:tcPr>
            <w:tcW w:w="2484"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线路内容</w:t>
            </w:r>
          </w:p>
        </w:tc>
        <w:tc>
          <w:tcPr>
            <w:tcW w:w="2475"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服务期</w:t>
            </w:r>
          </w:p>
        </w:tc>
        <w:tc>
          <w:tcPr>
            <w:tcW w:w="7314"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单价</w:t>
            </w:r>
            <w:r>
              <w:rPr>
                <w:rFonts w:hint="eastAsia" w:ascii="仿宋" w:hAnsi="仿宋" w:eastAsia="仿宋" w:cs="宋体"/>
                <w:color w:val="auto"/>
                <w:kern w:val="0"/>
                <w:sz w:val="24"/>
                <w:highlight w:val="none"/>
                <w:lang w:val="en-US" w:eastAsia="zh-CN"/>
              </w:rPr>
              <w:t>（含大交通）</w:t>
            </w:r>
          </w:p>
          <w:p>
            <w:pPr>
              <w:snapToGrid w:val="0"/>
              <w:spacing w:line="360" w:lineRule="auto"/>
              <w:ind w:firstLine="482"/>
              <w:rPr>
                <w:rFonts w:hint="eastAsia" w:ascii="仿宋" w:hAnsi="仿宋" w:eastAsia="仿宋" w:cs="宋体"/>
                <w:color w:val="auto"/>
                <w:kern w:val="0"/>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63" w:hRule="atLeast"/>
          <w:jc w:val="center"/>
        </w:trPr>
        <w:tc>
          <w:tcPr>
            <w:tcW w:w="887" w:type="dxa"/>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1</w:t>
            </w:r>
          </w:p>
        </w:tc>
        <w:tc>
          <w:tcPr>
            <w:tcW w:w="2654" w:type="dxa"/>
            <w:vMerge w:val="restart"/>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zh-CN" w:eastAsia="zh-CN"/>
              </w:rPr>
              <w:t>五常街道工会疗休养项目</w:t>
            </w:r>
            <w:r>
              <w:rPr>
                <w:rFonts w:hint="eastAsia" w:ascii="仿宋" w:hAnsi="仿宋" w:eastAsia="仿宋" w:cs="宋体"/>
                <w:color w:val="auto"/>
                <w:kern w:val="0"/>
                <w:sz w:val="24"/>
                <w:highlight w:val="none"/>
                <w:lang w:val="zh-CN"/>
              </w:rPr>
              <w:t>(标项</w:t>
            </w:r>
            <w:r>
              <w:rPr>
                <w:rFonts w:hint="eastAsia" w:ascii="仿宋" w:hAnsi="仿宋" w:eastAsia="仿宋" w:cs="宋体"/>
                <w:color w:val="auto"/>
                <w:kern w:val="0"/>
                <w:sz w:val="24"/>
                <w:highlight w:val="none"/>
                <w:lang w:val="en-US" w:eastAsia="zh-CN"/>
              </w:rPr>
              <w:t>一</w:t>
            </w:r>
            <w:r>
              <w:rPr>
                <w:rFonts w:hint="eastAsia" w:ascii="仿宋" w:hAnsi="仿宋" w:eastAsia="仿宋" w:cs="宋体"/>
                <w:color w:val="auto"/>
                <w:kern w:val="0"/>
                <w:sz w:val="24"/>
                <w:highlight w:val="none"/>
                <w:lang w:val="zh-CN"/>
              </w:rPr>
              <w:t>)</w:t>
            </w:r>
          </w:p>
        </w:tc>
        <w:tc>
          <w:tcPr>
            <w:tcW w:w="2484" w:type="dxa"/>
            <w:tcBorders>
              <w:left w:val="single" w:color="auto" w:sz="4" w:space="0"/>
              <w:right w:val="single" w:color="auto" w:sz="4" w:space="0"/>
            </w:tcBorders>
            <w:vAlign w:val="center"/>
          </w:tcPr>
          <w:p>
            <w:pPr>
              <w:snapToGrid w:val="0"/>
              <w:spacing w:line="360" w:lineRule="auto"/>
              <w:rPr>
                <w:rFonts w:hint="default" w:ascii="仿宋" w:hAnsi="仿宋" w:eastAsia="仿宋" w:cs="宋体"/>
                <w:color w:val="auto"/>
                <w:kern w:val="0"/>
                <w:sz w:val="24"/>
                <w:highlight w:val="none"/>
                <w:lang w:val="en-US"/>
              </w:rPr>
            </w:pPr>
            <w:r>
              <w:rPr>
                <w:rFonts w:hint="eastAsia" w:ascii="仿宋" w:hAnsi="仿宋" w:eastAsia="仿宋" w:cs="宋体"/>
                <w:color w:val="auto"/>
                <w:kern w:val="0"/>
                <w:sz w:val="24"/>
                <w:highlight w:val="none"/>
                <w:lang w:val="en-US" w:eastAsia="zh-CN"/>
              </w:rPr>
              <w:t>嵊泗列岛5日游</w:t>
            </w:r>
          </w:p>
        </w:tc>
        <w:tc>
          <w:tcPr>
            <w:tcW w:w="2475" w:type="dxa"/>
            <w:vMerge w:val="restart"/>
            <w:tcBorders>
              <w:left w:val="single" w:color="auto" w:sz="4" w:space="0"/>
              <w:right w:val="single" w:color="auto" w:sz="4" w:space="0"/>
            </w:tcBorders>
            <w:vAlign w:val="center"/>
          </w:tcPr>
          <w:p>
            <w:pPr>
              <w:snapToGrid w:val="0"/>
              <w:spacing w:line="360" w:lineRule="auto"/>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响应招标文件要求</w:t>
            </w:r>
          </w:p>
        </w:tc>
        <w:tc>
          <w:tcPr>
            <w:tcW w:w="7314"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元/人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63" w:hRule="atLeast"/>
          <w:jc w:val="center"/>
        </w:trPr>
        <w:tc>
          <w:tcPr>
            <w:tcW w:w="887" w:type="dxa"/>
            <w:tcBorders>
              <w:right w:val="single" w:color="auto" w:sz="4" w:space="0"/>
            </w:tcBorders>
            <w:vAlign w:val="center"/>
          </w:tcPr>
          <w:p>
            <w:pPr>
              <w:snapToGrid w:val="0"/>
              <w:spacing w:line="360" w:lineRule="auto"/>
              <w:ind w:firstLine="482"/>
              <w:rPr>
                <w:rFonts w:hint="default"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2</w:t>
            </w:r>
          </w:p>
        </w:tc>
        <w:tc>
          <w:tcPr>
            <w:tcW w:w="2654" w:type="dxa"/>
            <w:vMerge w:val="continue"/>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eastAsia="zh-CN"/>
              </w:rPr>
            </w:pPr>
          </w:p>
        </w:tc>
        <w:tc>
          <w:tcPr>
            <w:tcW w:w="2484" w:type="dxa"/>
            <w:tcBorders>
              <w:left w:val="single" w:color="auto" w:sz="4" w:space="0"/>
              <w:right w:val="single" w:color="auto" w:sz="4" w:space="0"/>
            </w:tcBorders>
            <w:vAlign w:val="center"/>
          </w:tcPr>
          <w:p>
            <w:pPr>
              <w:snapToGrid w:val="0"/>
              <w:spacing w:line="360" w:lineRule="auto"/>
              <w:rPr>
                <w:rFonts w:hint="default"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恩施咸丰5日游</w:t>
            </w:r>
          </w:p>
        </w:tc>
        <w:tc>
          <w:tcPr>
            <w:tcW w:w="2475" w:type="dxa"/>
            <w:vMerge w:val="continue"/>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p>
        </w:tc>
        <w:tc>
          <w:tcPr>
            <w:tcW w:w="7314" w:type="dxa"/>
            <w:tcBorders>
              <w:left w:val="single" w:color="auto" w:sz="4" w:space="0"/>
              <w:right w:val="single" w:color="auto" w:sz="4" w:space="0"/>
            </w:tcBorders>
            <w:vAlign w:val="center"/>
          </w:tcPr>
          <w:p>
            <w:pPr>
              <w:snapToGrid w:val="0"/>
              <w:spacing w:line="360" w:lineRule="auto"/>
              <w:ind w:firstLine="482"/>
              <w:rPr>
                <w:rFonts w:hint="default"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元/人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390" w:hRule="atLeast"/>
          <w:jc w:val="center"/>
        </w:trPr>
        <w:tc>
          <w:tcPr>
            <w:tcW w:w="3541" w:type="dxa"/>
            <w:gridSpan w:val="2"/>
            <w:tcBorders>
              <w:right w:val="single" w:color="auto" w:sz="4" w:space="0"/>
            </w:tcBorders>
            <w:vAlign w:val="center"/>
          </w:tcPr>
          <w:p>
            <w:pPr>
              <w:snapToGrid w:val="0"/>
              <w:spacing w:line="360" w:lineRule="auto"/>
              <w:ind w:firstLine="482"/>
              <w:rPr>
                <w:rFonts w:hint="default" w:ascii="仿宋" w:hAnsi="仿宋" w:eastAsia="仿宋" w:cs="宋体"/>
                <w:color w:val="auto"/>
                <w:kern w:val="0"/>
                <w:sz w:val="24"/>
                <w:highlight w:val="none"/>
                <w:lang w:val="en-US"/>
              </w:rPr>
            </w:pPr>
            <w:r>
              <w:rPr>
                <w:rFonts w:hint="eastAsia" w:ascii="仿宋" w:hAnsi="仿宋" w:eastAsia="仿宋" w:cs="宋体"/>
                <w:color w:val="auto"/>
                <w:kern w:val="0"/>
                <w:sz w:val="24"/>
                <w:highlight w:val="none"/>
                <w:lang w:val="en-US" w:eastAsia="zh-CN"/>
              </w:rPr>
              <w:t>单价合计=序号1+序号2</w:t>
            </w:r>
          </w:p>
        </w:tc>
        <w:tc>
          <w:tcPr>
            <w:tcW w:w="12273" w:type="dxa"/>
            <w:gridSpan w:val="3"/>
            <w:tcBorders>
              <w:lef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 xml:space="preserve">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6" w:hRule="atLeast"/>
          <w:jc w:val="center"/>
        </w:trPr>
        <w:tc>
          <w:tcPr>
            <w:tcW w:w="3541" w:type="dxa"/>
            <w:gridSpan w:val="2"/>
            <w:tcBorders>
              <w:right w:val="single" w:color="auto" w:sz="4" w:space="0"/>
            </w:tcBorders>
            <w:vAlign w:val="center"/>
          </w:tcPr>
          <w:p>
            <w:pPr>
              <w:snapToGrid w:val="0"/>
              <w:spacing w:line="360" w:lineRule="auto"/>
              <w:ind w:firstLine="482"/>
              <w:rPr>
                <w:rFonts w:hint="default"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备注</w:t>
            </w:r>
          </w:p>
        </w:tc>
        <w:tc>
          <w:tcPr>
            <w:tcW w:w="12273" w:type="dxa"/>
            <w:gridSpan w:val="3"/>
            <w:tcBorders>
              <w:left w:val="single" w:color="auto" w:sz="4" w:space="0"/>
            </w:tcBorders>
            <w:vAlign w:val="center"/>
          </w:tcPr>
          <w:p>
            <w:pPr>
              <w:snapToGrid w:val="0"/>
              <w:spacing w:line="360" w:lineRule="auto"/>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序号1：因出行人员个人原因产生的额外费用均由出行人员自行承担。</w:t>
            </w:r>
          </w:p>
          <w:p>
            <w:pPr>
              <w:snapToGrid w:val="0"/>
              <w:spacing w:line="360" w:lineRule="auto"/>
              <w:rPr>
                <w:rFonts w:hint="default"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序号2：该线路由采购人另支付交通补贴2000元/人，超出部分不管是否含大交通费均由出行人员自行与旅行社结算，此费用不包含在投标报价中；其他因出行人员个人原因产生的额外费用均由出行人员自行承担；飞机起飞时间须为上午8时-12时。</w:t>
            </w:r>
          </w:p>
        </w:tc>
      </w:tr>
    </w:tbl>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注：1、投标人需按本表格式填写，否则视为投标文件含有采购人不能接受的附加条件，投标无效。</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2、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投标无效；采购内容未包含在《开标一览表（报价表）》名称栏中，投标人不能作出合理解释的，视为投标文件含有采购人不能接受的附加条件的，投标无效。</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4、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napToGrid w:val="0"/>
        <w:spacing w:line="360" w:lineRule="auto"/>
        <w:ind w:firstLine="482"/>
        <w:jc w:val="right"/>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投标人（或联合体牵头人）名称(电子签名)：</w:t>
      </w:r>
    </w:p>
    <w:p>
      <w:pPr>
        <w:snapToGrid w:val="0"/>
        <w:spacing w:line="360" w:lineRule="auto"/>
        <w:ind w:firstLine="482"/>
        <w:jc w:val="right"/>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日期：   年   月   日</w:t>
      </w:r>
    </w:p>
    <w:p>
      <w:pPr>
        <w:pStyle w:val="694"/>
        <w:tabs>
          <w:tab w:val="clear" w:pos="720"/>
        </w:tabs>
        <w:snapToGrid w:val="0"/>
        <w:spacing w:before="120" w:after="120"/>
        <w:ind w:firstLine="643"/>
        <w:outlineLvl w:val="9"/>
        <w:rPr>
          <w:rFonts w:ascii="仿宋" w:hAnsi="仿宋" w:eastAsia="仿宋" w:cs="宋体"/>
          <w:color w:val="auto"/>
          <w:kern w:val="2"/>
          <w:sz w:val="32"/>
          <w:szCs w:val="32"/>
          <w:highlight w:val="none"/>
        </w:rPr>
        <w:sectPr>
          <w:pgSz w:w="16838" w:h="11905" w:orient="landscape"/>
          <w:pgMar w:top="1077" w:right="680" w:bottom="1077" w:left="471" w:header="851" w:footer="992" w:gutter="0"/>
          <w:cols w:space="0" w:num="1"/>
          <w:titlePg/>
          <w:rtlGutter w:val="0"/>
          <w:docGrid w:linePitch="312" w:charSpace="0"/>
        </w:sectPr>
      </w:pPr>
    </w:p>
    <w:p>
      <w:pPr>
        <w:pStyle w:val="694"/>
        <w:tabs>
          <w:tab w:val="clear" w:pos="720"/>
        </w:tabs>
        <w:snapToGrid w:val="0"/>
        <w:spacing w:before="120" w:after="120"/>
        <w:ind w:firstLine="643"/>
        <w:outlineLvl w:val="9"/>
        <w:rPr>
          <w:rFonts w:hint="eastAsia" w:ascii="仿宋" w:hAnsi="仿宋" w:eastAsia="仿宋" w:cs="宋体"/>
          <w:color w:val="auto"/>
          <w:kern w:val="2"/>
          <w:sz w:val="32"/>
          <w:szCs w:val="32"/>
          <w:highlight w:val="none"/>
          <w:lang w:eastAsia="zh-CN"/>
        </w:rPr>
      </w:pPr>
      <w:r>
        <w:rPr>
          <w:rFonts w:hint="eastAsia" w:ascii="仿宋" w:hAnsi="仿宋" w:eastAsia="仿宋" w:cs="宋体"/>
          <w:color w:val="auto"/>
          <w:kern w:val="2"/>
          <w:sz w:val="32"/>
          <w:szCs w:val="32"/>
          <w:highlight w:val="none"/>
        </w:rPr>
        <w:t>一、开标一览表（报价表）</w:t>
      </w:r>
      <w:r>
        <w:rPr>
          <w:rFonts w:hint="eastAsia" w:ascii="仿宋" w:hAnsi="仿宋" w:eastAsia="仿宋" w:cs="宋体"/>
          <w:color w:val="auto"/>
          <w:kern w:val="2"/>
          <w:sz w:val="32"/>
          <w:szCs w:val="32"/>
          <w:highlight w:val="none"/>
          <w:lang w:eastAsia="zh-CN"/>
        </w:rPr>
        <w:t>（</w:t>
      </w:r>
      <w:r>
        <w:rPr>
          <w:rFonts w:hint="eastAsia" w:ascii="仿宋" w:hAnsi="仿宋" w:eastAsia="仿宋" w:cs="宋体"/>
          <w:color w:val="auto"/>
          <w:kern w:val="2"/>
          <w:sz w:val="32"/>
          <w:szCs w:val="32"/>
          <w:highlight w:val="none"/>
          <w:lang w:val="en-US" w:eastAsia="zh-CN"/>
        </w:rPr>
        <w:t>标项二</w:t>
      </w:r>
      <w:r>
        <w:rPr>
          <w:rFonts w:hint="eastAsia" w:ascii="仿宋" w:hAnsi="仿宋" w:eastAsia="仿宋" w:cs="宋体"/>
          <w:color w:val="auto"/>
          <w:kern w:val="2"/>
          <w:sz w:val="32"/>
          <w:szCs w:val="32"/>
          <w:highlight w:val="none"/>
          <w:lang w:eastAsia="zh-CN"/>
        </w:rPr>
        <w:t>）</w:t>
      </w:r>
    </w:p>
    <w:p>
      <w:pPr>
        <w:snapToGrid w:val="0"/>
        <w:spacing w:line="360" w:lineRule="auto"/>
        <w:rPr>
          <w:rFonts w:ascii="仿宋" w:hAnsi="仿宋" w:eastAsia="仿宋" w:cs="宋体"/>
          <w:color w:val="auto"/>
          <w:kern w:val="0"/>
          <w:sz w:val="24"/>
          <w:highlight w:val="none"/>
        </w:rPr>
      </w:pPr>
      <w:r>
        <w:rPr>
          <w:rFonts w:hint="eastAsia" w:ascii="仿宋" w:hAnsi="仿宋" w:eastAsia="仿宋" w:cs="宋体"/>
          <w:color w:val="auto"/>
          <w:sz w:val="24"/>
          <w:highlight w:val="none"/>
        </w:rPr>
        <w:t>（采购人）、（采购代理机构）</w:t>
      </w:r>
      <w:r>
        <w:rPr>
          <w:rFonts w:hint="eastAsia" w:ascii="仿宋" w:hAnsi="仿宋" w:eastAsia="仿宋" w:cs="宋体"/>
          <w:color w:val="auto"/>
          <w:kern w:val="0"/>
          <w:sz w:val="24"/>
          <w:highlight w:val="none"/>
          <w:lang w:val="zh-CN"/>
        </w:rPr>
        <w:t>：</w:t>
      </w:r>
    </w:p>
    <w:p>
      <w:pPr>
        <w:snapToGrid w:val="0"/>
        <w:spacing w:line="360" w:lineRule="auto"/>
        <w:ind w:firstLine="482"/>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宋体"/>
          <w:color w:val="auto"/>
          <w:sz w:val="24"/>
          <w:highlight w:val="none"/>
        </w:rPr>
        <w:t>（项目名称）</w:t>
      </w:r>
      <w:r>
        <w:rPr>
          <w:rFonts w:hint="eastAsia" w:ascii="仿宋" w:hAnsi="仿宋" w:eastAsia="仿宋" w:cs="宋体"/>
          <w:color w:val="auto"/>
          <w:kern w:val="0"/>
          <w:sz w:val="24"/>
          <w:highlight w:val="none"/>
          <w:lang w:val="zh-CN"/>
        </w:rPr>
        <w:t>【招标编号：</w:t>
      </w:r>
      <w:r>
        <w:rPr>
          <w:rFonts w:hint="eastAsia" w:ascii="仿宋" w:hAnsi="仿宋" w:eastAsia="仿宋" w:cs="宋体"/>
          <w:color w:val="auto"/>
          <w:sz w:val="24"/>
          <w:highlight w:val="none"/>
        </w:rPr>
        <w:t>（采购编号）】的实施</w:t>
      </w:r>
      <w:r>
        <w:rPr>
          <w:rFonts w:hint="eastAsia" w:ascii="仿宋" w:hAnsi="仿宋" w:eastAsia="仿宋" w:cs="宋体"/>
          <w:color w:val="auto"/>
          <w:kern w:val="0"/>
          <w:sz w:val="24"/>
          <w:highlight w:val="none"/>
          <w:lang w:val="zh-CN"/>
        </w:rPr>
        <w:t>。</w:t>
      </w:r>
    </w:p>
    <w:p>
      <w:pPr>
        <w:spacing w:line="360" w:lineRule="auto"/>
        <w:jc w:val="center"/>
        <w:rPr>
          <w:rFonts w:hint="eastAsia" w:ascii="仿宋" w:hAnsi="仿宋" w:eastAsia="仿宋" w:cs="宋体"/>
          <w:b/>
          <w:color w:val="auto"/>
          <w:kern w:val="0"/>
          <w:sz w:val="24"/>
          <w:highlight w:val="none"/>
          <w:lang w:val="zh-CN"/>
        </w:rPr>
      </w:pPr>
      <w:r>
        <w:rPr>
          <w:rFonts w:hint="eastAsia" w:ascii="仿宋" w:hAnsi="仿宋" w:eastAsia="仿宋" w:cs="宋体"/>
          <w:b/>
          <w:color w:val="auto"/>
          <w:kern w:val="0"/>
          <w:sz w:val="24"/>
          <w:highlight w:val="none"/>
          <w:lang w:val="zh-CN"/>
        </w:rPr>
        <w:t>开标一览表（报价表）(单位均为人民币元)</w:t>
      </w:r>
    </w:p>
    <w:tbl>
      <w:tblPr>
        <w:tblStyle w:val="63"/>
        <w:tblW w:w="1555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87"/>
        <w:gridCol w:w="4439"/>
        <w:gridCol w:w="2202"/>
        <w:gridCol w:w="2563"/>
        <w:gridCol w:w="5467"/>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9" w:hRule="atLeast"/>
          <w:tblHeader/>
          <w:jc w:val="center"/>
        </w:trPr>
        <w:tc>
          <w:tcPr>
            <w:tcW w:w="887" w:type="dxa"/>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序号</w:t>
            </w:r>
          </w:p>
        </w:tc>
        <w:tc>
          <w:tcPr>
            <w:tcW w:w="4439" w:type="dxa"/>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项目名称</w:t>
            </w:r>
          </w:p>
        </w:tc>
        <w:tc>
          <w:tcPr>
            <w:tcW w:w="2202"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线路内容</w:t>
            </w:r>
          </w:p>
        </w:tc>
        <w:tc>
          <w:tcPr>
            <w:tcW w:w="2563"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服务期</w:t>
            </w:r>
          </w:p>
        </w:tc>
        <w:tc>
          <w:tcPr>
            <w:tcW w:w="5467"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单价</w:t>
            </w:r>
            <w:r>
              <w:rPr>
                <w:rFonts w:hint="eastAsia" w:ascii="仿宋" w:hAnsi="仿宋" w:eastAsia="仿宋" w:cs="宋体"/>
                <w:color w:val="auto"/>
                <w:kern w:val="0"/>
                <w:sz w:val="24"/>
                <w:highlight w:val="none"/>
                <w:lang w:val="zh-CN" w:eastAsia="zh-CN"/>
              </w:rPr>
              <w:t>（</w:t>
            </w:r>
            <w:r>
              <w:rPr>
                <w:rFonts w:hint="eastAsia" w:ascii="仿宋" w:hAnsi="仿宋" w:eastAsia="仿宋" w:cs="宋体"/>
                <w:color w:val="auto"/>
                <w:kern w:val="0"/>
                <w:sz w:val="24"/>
                <w:highlight w:val="none"/>
                <w:lang w:val="en-US" w:eastAsia="zh-CN"/>
              </w:rPr>
              <w:t>元/人</w:t>
            </w:r>
            <w:r>
              <w:rPr>
                <w:rFonts w:hint="eastAsia" w:ascii="仿宋" w:hAnsi="仿宋" w:eastAsia="仿宋" w:cs="宋体"/>
                <w:color w:val="auto"/>
                <w:kern w:val="0"/>
                <w:sz w:val="24"/>
                <w:highlight w:val="none"/>
                <w:lang w:val="zh-CN" w:eastAsia="zh-CN"/>
              </w:rPr>
              <w:t>）</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63" w:hRule="atLeast"/>
          <w:jc w:val="center"/>
        </w:trPr>
        <w:tc>
          <w:tcPr>
            <w:tcW w:w="887" w:type="dxa"/>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1</w:t>
            </w:r>
          </w:p>
        </w:tc>
        <w:tc>
          <w:tcPr>
            <w:tcW w:w="4439" w:type="dxa"/>
            <w:tcBorders>
              <w:right w:val="single" w:color="auto" w:sz="4" w:space="0"/>
            </w:tcBorders>
            <w:vAlign w:val="center"/>
          </w:tcPr>
          <w:p>
            <w:pPr>
              <w:snapToGrid w:val="0"/>
              <w:spacing w:line="360" w:lineRule="auto"/>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zh-CN" w:eastAsia="zh-CN"/>
              </w:rPr>
              <w:t>五常街道工会疗休养项目</w:t>
            </w:r>
            <w:r>
              <w:rPr>
                <w:rFonts w:hint="eastAsia" w:ascii="仿宋" w:hAnsi="仿宋" w:eastAsia="仿宋" w:cs="宋体"/>
                <w:color w:val="auto"/>
                <w:kern w:val="0"/>
                <w:sz w:val="24"/>
                <w:highlight w:val="none"/>
                <w:lang w:val="zh-CN"/>
              </w:rPr>
              <w:t>(标项</w:t>
            </w:r>
            <w:r>
              <w:rPr>
                <w:rFonts w:hint="eastAsia" w:ascii="仿宋" w:hAnsi="仿宋" w:eastAsia="仿宋" w:cs="宋体"/>
                <w:color w:val="auto"/>
                <w:kern w:val="0"/>
                <w:sz w:val="24"/>
                <w:highlight w:val="none"/>
                <w:lang w:val="en-US" w:eastAsia="zh-CN"/>
              </w:rPr>
              <w:t>二</w:t>
            </w:r>
            <w:r>
              <w:rPr>
                <w:rFonts w:hint="eastAsia" w:ascii="仿宋" w:hAnsi="仿宋" w:eastAsia="仿宋" w:cs="宋体"/>
                <w:color w:val="auto"/>
                <w:kern w:val="0"/>
                <w:sz w:val="24"/>
                <w:highlight w:val="none"/>
                <w:lang w:val="zh-CN"/>
              </w:rPr>
              <w:t>)</w:t>
            </w:r>
          </w:p>
        </w:tc>
        <w:tc>
          <w:tcPr>
            <w:tcW w:w="2202" w:type="dxa"/>
            <w:tcBorders>
              <w:left w:val="single" w:color="auto" w:sz="4" w:space="0"/>
              <w:right w:val="single" w:color="auto" w:sz="4" w:space="0"/>
            </w:tcBorders>
            <w:vAlign w:val="center"/>
          </w:tcPr>
          <w:p>
            <w:pPr>
              <w:snapToGrid w:val="0"/>
              <w:spacing w:line="360" w:lineRule="auto"/>
              <w:rPr>
                <w:rFonts w:hint="default" w:ascii="仿宋" w:hAnsi="仿宋" w:eastAsia="仿宋" w:cs="宋体"/>
                <w:color w:val="auto"/>
                <w:kern w:val="0"/>
                <w:sz w:val="24"/>
                <w:highlight w:val="none"/>
                <w:lang w:val="en-US"/>
              </w:rPr>
            </w:pPr>
            <w:r>
              <w:rPr>
                <w:rFonts w:hint="eastAsia" w:ascii="仿宋" w:hAnsi="仿宋" w:eastAsia="仿宋" w:cs="宋体"/>
                <w:color w:val="auto"/>
                <w:kern w:val="0"/>
                <w:sz w:val="24"/>
                <w:highlight w:val="none"/>
                <w:lang w:val="en-US" w:eastAsia="zh-CN"/>
              </w:rPr>
              <w:t>新昌、嵊州5日游</w:t>
            </w:r>
          </w:p>
        </w:tc>
        <w:tc>
          <w:tcPr>
            <w:tcW w:w="2563" w:type="dxa"/>
            <w:tcBorders>
              <w:left w:val="single" w:color="auto" w:sz="4" w:space="0"/>
              <w:right w:val="single" w:color="auto" w:sz="4" w:space="0"/>
            </w:tcBorders>
            <w:vAlign w:val="center"/>
          </w:tcPr>
          <w:p>
            <w:pPr>
              <w:snapToGrid w:val="0"/>
              <w:spacing w:line="360" w:lineRule="auto"/>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响应招标文件要求</w:t>
            </w:r>
          </w:p>
        </w:tc>
        <w:tc>
          <w:tcPr>
            <w:tcW w:w="5467"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元/人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390" w:hRule="atLeast"/>
          <w:jc w:val="center"/>
        </w:trPr>
        <w:tc>
          <w:tcPr>
            <w:tcW w:w="5326" w:type="dxa"/>
            <w:gridSpan w:val="2"/>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rPr>
            </w:pPr>
            <w:r>
              <w:rPr>
                <w:rFonts w:hint="eastAsia" w:ascii="仿宋" w:hAnsi="仿宋" w:eastAsia="仿宋" w:cs="宋体"/>
                <w:color w:val="auto"/>
                <w:kern w:val="0"/>
                <w:sz w:val="24"/>
                <w:highlight w:val="none"/>
                <w:lang w:val="en-US" w:eastAsia="zh-CN"/>
              </w:rPr>
              <w:t xml:space="preserve">单价合计 </w:t>
            </w:r>
          </w:p>
        </w:tc>
        <w:tc>
          <w:tcPr>
            <w:tcW w:w="10232" w:type="dxa"/>
            <w:gridSpan w:val="3"/>
            <w:tcBorders>
              <w:lef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 xml:space="preserve">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6" w:hRule="atLeast"/>
          <w:jc w:val="center"/>
        </w:trPr>
        <w:tc>
          <w:tcPr>
            <w:tcW w:w="5326" w:type="dxa"/>
            <w:gridSpan w:val="2"/>
            <w:tcBorders>
              <w:right w:val="single" w:color="auto" w:sz="4" w:space="0"/>
            </w:tcBorders>
            <w:vAlign w:val="center"/>
          </w:tcPr>
          <w:p>
            <w:pPr>
              <w:snapToGrid w:val="0"/>
              <w:spacing w:line="360" w:lineRule="auto"/>
              <w:ind w:firstLine="482"/>
              <w:rPr>
                <w:rFonts w:hint="default"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备注</w:t>
            </w:r>
          </w:p>
        </w:tc>
        <w:tc>
          <w:tcPr>
            <w:tcW w:w="10232" w:type="dxa"/>
            <w:gridSpan w:val="3"/>
            <w:tcBorders>
              <w:lef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en-US" w:eastAsia="zh-CN"/>
              </w:rPr>
              <w:t>因出行人员个人原因产生的额外费用均由出行人员自行承担。</w:t>
            </w:r>
          </w:p>
        </w:tc>
      </w:tr>
    </w:tbl>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注：1、投标人需按本表格式填写，否则视为投标文件含有采购人不能接受的附加条件，投标无效。</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2、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投标无效；采购内容未包含在《开标一览表（报价表）》名称栏中，投标人不能作出合理解释的，视为投标文件含有采购人不能接受的附加条件的，投标无效。</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4、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napToGrid w:val="0"/>
        <w:spacing w:line="360" w:lineRule="auto"/>
        <w:ind w:firstLine="482"/>
        <w:jc w:val="right"/>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投标人（或联合体牵头人）名称(电子签名)：</w:t>
      </w:r>
    </w:p>
    <w:p>
      <w:pPr>
        <w:snapToGrid w:val="0"/>
        <w:spacing w:line="360" w:lineRule="auto"/>
        <w:ind w:firstLine="482"/>
        <w:jc w:val="right"/>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日期：   年   月   日</w:t>
      </w:r>
    </w:p>
    <w:p>
      <w:pPr>
        <w:pStyle w:val="694"/>
        <w:tabs>
          <w:tab w:val="clear" w:pos="720"/>
        </w:tabs>
        <w:snapToGrid w:val="0"/>
        <w:spacing w:before="120" w:after="120"/>
        <w:ind w:firstLine="643"/>
        <w:outlineLvl w:val="9"/>
        <w:rPr>
          <w:rFonts w:ascii="仿宋" w:hAnsi="仿宋" w:eastAsia="仿宋" w:cs="宋体"/>
          <w:color w:val="auto"/>
          <w:kern w:val="2"/>
          <w:sz w:val="32"/>
          <w:szCs w:val="32"/>
          <w:highlight w:val="none"/>
        </w:rPr>
        <w:sectPr>
          <w:pgSz w:w="16838" w:h="11905" w:orient="landscape"/>
          <w:pgMar w:top="1077" w:right="680" w:bottom="1077" w:left="471" w:header="851" w:footer="992" w:gutter="0"/>
          <w:cols w:space="0" w:num="1"/>
          <w:titlePg/>
          <w:rtlGutter w:val="0"/>
          <w:docGrid w:linePitch="312" w:charSpace="0"/>
        </w:sectPr>
      </w:pPr>
    </w:p>
    <w:p>
      <w:pPr>
        <w:pStyle w:val="694"/>
        <w:tabs>
          <w:tab w:val="clear" w:pos="720"/>
        </w:tabs>
        <w:snapToGrid w:val="0"/>
        <w:spacing w:before="120" w:after="120"/>
        <w:ind w:firstLine="643"/>
        <w:outlineLvl w:val="9"/>
        <w:rPr>
          <w:rFonts w:hint="eastAsia" w:ascii="仿宋" w:hAnsi="仿宋" w:eastAsia="仿宋" w:cs="宋体"/>
          <w:color w:val="auto"/>
          <w:kern w:val="2"/>
          <w:sz w:val="32"/>
          <w:szCs w:val="32"/>
          <w:highlight w:val="none"/>
          <w:lang w:eastAsia="zh-CN"/>
        </w:rPr>
      </w:pPr>
      <w:r>
        <w:rPr>
          <w:rFonts w:hint="eastAsia" w:ascii="仿宋" w:hAnsi="仿宋" w:eastAsia="仿宋" w:cs="宋体"/>
          <w:color w:val="auto"/>
          <w:kern w:val="2"/>
          <w:sz w:val="32"/>
          <w:szCs w:val="32"/>
          <w:highlight w:val="none"/>
        </w:rPr>
        <w:t>一、开标一览表（报价表）</w:t>
      </w:r>
      <w:r>
        <w:rPr>
          <w:rFonts w:hint="eastAsia" w:ascii="仿宋" w:hAnsi="仿宋" w:eastAsia="仿宋" w:cs="宋体"/>
          <w:color w:val="auto"/>
          <w:kern w:val="2"/>
          <w:sz w:val="32"/>
          <w:szCs w:val="32"/>
          <w:highlight w:val="none"/>
          <w:lang w:eastAsia="zh-CN"/>
        </w:rPr>
        <w:t>（</w:t>
      </w:r>
      <w:r>
        <w:rPr>
          <w:rFonts w:hint="eastAsia" w:ascii="仿宋" w:hAnsi="仿宋" w:eastAsia="仿宋" w:cs="宋体"/>
          <w:color w:val="auto"/>
          <w:kern w:val="2"/>
          <w:sz w:val="32"/>
          <w:szCs w:val="32"/>
          <w:highlight w:val="none"/>
          <w:lang w:val="en-US" w:eastAsia="zh-CN"/>
        </w:rPr>
        <w:t>标项三</w:t>
      </w:r>
      <w:r>
        <w:rPr>
          <w:rFonts w:hint="eastAsia" w:ascii="仿宋" w:hAnsi="仿宋" w:eastAsia="仿宋" w:cs="宋体"/>
          <w:color w:val="auto"/>
          <w:kern w:val="2"/>
          <w:sz w:val="32"/>
          <w:szCs w:val="32"/>
          <w:highlight w:val="none"/>
          <w:lang w:eastAsia="zh-CN"/>
        </w:rPr>
        <w:t>）</w:t>
      </w:r>
    </w:p>
    <w:p>
      <w:pPr>
        <w:snapToGrid w:val="0"/>
        <w:spacing w:line="360" w:lineRule="auto"/>
        <w:rPr>
          <w:rFonts w:ascii="仿宋" w:hAnsi="仿宋" w:eastAsia="仿宋" w:cs="宋体"/>
          <w:color w:val="auto"/>
          <w:kern w:val="0"/>
          <w:sz w:val="24"/>
          <w:highlight w:val="none"/>
        </w:rPr>
      </w:pPr>
      <w:r>
        <w:rPr>
          <w:rFonts w:hint="eastAsia" w:ascii="仿宋" w:hAnsi="仿宋" w:eastAsia="仿宋" w:cs="宋体"/>
          <w:color w:val="auto"/>
          <w:sz w:val="24"/>
          <w:highlight w:val="none"/>
        </w:rPr>
        <w:t>（采购人）、（采购代理机构）</w:t>
      </w:r>
      <w:r>
        <w:rPr>
          <w:rFonts w:hint="eastAsia" w:ascii="仿宋" w:hAnsi="仿宋" w:eastAsia="仿宋" w:cs="宋体"/>
          <w:color w:val="auto"/>
          <w:kern w:val="0"/>
          <w:sz w:val="24"/>
          <w:highlight w:val="none"/>
          <w:lang w:val="zh-CN"/>
        </w:rPr>
        <w:t>：</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宋体"/>
          <w:color w:val="auto"/>
          <w:sz w:val="24"/>
          <w:highlight w:val="none"/>
        </w:rPr>
        <w:t>（项目名称）</w:t>
      </w:r>
      <w:r>
        <w:rPr>
          <w:rFonts w:hint="eastAsia" w:ascii="仿宋" w:hAnsi="仿宋" w:eastAsia="仿宋" w:cs="宋体"/>
          <w:color w:val="auto"/>
          <w:kern w:val="0"/>
          <w:sz w:val="24"/>
          <w:highlight w:val="none"/>
          <w:lang w:val="zh-CN"/>
        </w:rPr>
        <w:t>【招标编号：（采购编号）】的实施。</w:t>
      </w:r>
    </w:p>
    <w:p>
      <w:pPr>
        <w:spacing w:line="360" w:lineRule="auto"/>
        <w:jc w:val="center"/>
        <w:rPr>
          <w:rFonts w:hint="eastAsia" w:ascii="仿宋" w:hAnsi="仿宋" w:eastAsia="仿宋" w:cs="宋体"/>
          <w:b/>
          <w:color w:val="auto"/>
          <w:kern w:val="0"/>
          <w:sz w:val="24"/>
          <w:highlight w:val="none"/>
          <w:lang w:val="zh-CN"/>
        </w:rPr>
      </w:pPr>
      <w:r>
        <w:rPr>
          <w:rFonts w:hint="eastAsia" w:ascii="仿宋" w:hAnsi="仿宋" w:eastAsia="仿宋" w:cs="宋体"/>
          <w:b/>
          <w:color w:val="auto"/>
          <w:kern w:val="0"/>
          <w:sz w:val="24"/>
          <w:highlight w:val="none"/>
          <w:lang w:val="zh-CN"/>
        </w:rPr>
        <w:t>开标一览表（报价表）(单位均为人民币元)</w:t>
      </w:r>
    </w:p>
    <w:tbl>
      <w:tblPr>
        <w:tblStyle w:val="63"/>
        <w:tblW w:w="1555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87"/>
        <w:gridCol w:w="4439"/>
        <w:gridCol w:w="2202"/>
        <w:gridCol w:w="2563"/>
        <w:gridCol w:w="5467"/>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9" w:hRule="atLeast"/>
          <w:tblHeader/>
          <w:jc w:val="center"/>
        </w:trPr>
        <w:tc>
          <w:tcPr>
            <w:tcW w:w="887" w:type="dxa"/>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序号</w:t>
            </w:r>
          </w:p>
        </w:tc>
        <w:tc>
          <w:tcPr>
            <w:tcW w:w="4439" w:type="dxa"/>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项目名称</w:t>
            </w:r>
          </w:p>
        </w:tc>
        <w:tc>
          <w:tcPr>
            <w:tcW w:w="2202"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线路内容</w:t>
            </w:r>
          </w:p>
        </w:tc>
        <w:tc>
          <w:tcPr>
            <w:tcW w:w="2563"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服务期</w:t>
            </w:r>
          </w:p>
        </w:tc>
        <w:tc>
          <w:tcPr>
            <w:tcW w:w="5467"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单价</w:t>
            </w:r>
            <w:r>
              <w:rPr>
                <w:rFonts w:hint="eastAsia" w:ascii="仿宋" w:hAnsi="仿宋" w:eastAsia="仿宋" w:cs="宋体"/>
                <w:color w:val="auto"/>
                <w:kern w:val="0"/>
                <w:sz w:val="24"/>
                <w:highlight w:val="none"/>
                <w:lang w:val="zh-CN" w:eastAsia="zh-CN"/>
              </w:rPr>
              <w:t>（</w:t>
            </w:r>
            <w:r>
              <w:rPr>
                <w:rFonts w:hint="eastAsia" w:ascii="仿宋" w:hAnsi="仿宋" w:eastAsia="仿宋" w:cs="宋体"/>
                <w:color w:val="auto"/>
                <w:kern w:val="0"/>
                <w:sz w:val="24"/>
                <w:highlight w:val="none"/>
                <w:lang w:val="en-US" w:eastAsia="zh-CN"/>
              </w:rPr>
              <w:t>元/人</w:t>
            </w:r>
            <w:r>
              <w:rPr>
                <w:rFonts w:hint="eastAsia" w:ascii="仿宋" w:hAnsi="仿宋" w:eastAsia="仿宋" w:cs="宋体"/>
                <w:color w:val="auto"/>
                <w:kern w:val="0"/>
                <w:sz w:val="24"/>
                <w:highlight w:val="none"/>
                <w:lang w:val="zh-CN" w:eastAsia="zh-CN"/>
              </w:rPr>
              <w:t>）</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63" w:hRule="atLeast"/>
          <w:jc w:val="center"/>
        </w:trPr>
        <w:tc>
          <w:tcPr>
            <w:tcW w:w="887" w:type="dxa"/>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1</w:t>
            </w:r>
          </w:p>
        </w:tc>
        <w:tc>
          <w:tcPr>
            <w:tcW w:w="4439" w:type="dxa"/>
            <w:tcBorders>
              <w:right w:val="single" w:color="auto" w:sz="4" w:space="0"/>
            </w:tcBorders>
            <w:vAlign w:val="center"/>
          </w:tcPr>
          <w:p>
            <w:pPr>
              <w:snapToGrid w:val="0"/>
              <w:spacing w:line="360" w:lineRule="auto"/>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zh-CN" w:eastAsia="zh-CN"/>
              </w:rPr>
              <w:t>五常街道工会疗休养项目</w:t>
            </w:r>
            <w:r>
              <w:rPr>
                <w:rFonts w:hint="eastAsia" w:ascii="仿宋" w:hAnsi="仿宋" w:eastAsia="仿宋" w:cs="宋体"/>
                <w:color w:val="auto"/>
                <w:kern w:val="0"/>
                <w:sz w:val="24"/>
                <w:highlight w:val="none"/>
                <w:lang w:val="zh-CN"/>
              </w:rPr>
              <w:t>(标项</w:t>
            </w:r>
            <w:r>
              <w:rPr>
                <w:rFonts w:hint="eastAsia" w:ascii="仿宋" w:hAnsi="仿宋" w:eastAsia="仿宋" w:cs="宋体"/>
                <w:color w:val="auto"/>
                <w:kern w:val="0"/>
                <w:sz w:val="24"/>
                <w:highlight w:val="none"/>
                <w:lang w:val="en-US" w:eastAsia="zh-CN"/>
              </w:rPr>
              <w:t>三</w:t>
            </w:r>
            <w:r>
              <w:rPr>
                <w:rFonts w:hint="eastAsia" w:ascii="仿宋" w:hAnsi="仿宋" w:eastAsia="仿宋" w:cs="宋体"/>
                <w:color w:val="auto"/>
                <w:kern w:val="0"/>
                <w:sz w:val="24"/>
                <w:highlight w:val="none"/>
                <w:lang w:val="zh-CN"/>
              </w:rPr>
              <w:t>)</w:t>
            </w:r>
          </w:p>
        </w:tc>
        <w:tc>
          <w:tcPr>
            <w:tcW w:w="2202" w:type="dxa"/>
            <w:tcBorders>
              <w:left w:val="single" w:color="auto" w:sz="4" w:space="0"/>
              <w:right w:val="single" w:color="auto" w:sz="4" w:space="0"/>
            </w:tcBorders>
            <w:vAlign w:val="center"/>
          </w:tcPr>
          <w:p>
            <w:pPr>
              <w:snapToGrid w:val="0"/>
              <w:spacing w:line="360" w:lineRule="auto"/>
              <w:rPr>
                <w:rFonts w:hint="default" w:ascii="仿宋" w:hAnsi="仿宋" w:eastAsia="仿宋" w:cs="宋体"/>
                <w:color w:val="auto"/>
                <w:kern w:val="0"/>
                <w:sz w:val="24"/>
                <w:highlight w:val="none"/>
                <w:lang w:val="en-US"/>
              </w:rPr>
            </w:pPr>
            <w:r>
              <w:rPr>
                <w:rFonts w:hint="eastAsia" w:ascii="仿宋" w:hAnsi="仿宋" w:eastAsia="仿宋" w:cs="宋体"/>
                <w:color w:val="auto"/>
                <w:kern w:val="0"/>
                <w:sz w:val="24"/>
                <w:highlight w:val="none"/>
                <w:lang w:val="en-US" w:eastAsia="zh-CN"/>
              </w:rPr>
              <w:t>丽水缙云、云和、松阳5日游</w:t>
            </w:r>
          </w:p>
        </w:tc>
        <w:tc>
          <w:tcPr>
            <w:tcW w:w="2563" w:type="dxa"/>
            <w:tcBorders>
              <w:left w:val="single" w:color="auto" w:sz="4" w:space="0"/>
              <w:right w:val="single" w:color="auto" w:sz="4" w:space="0"/>
            </w:tcBorders>
            <w:vAlign w:val="center"/>
          </w:tcPr>
          <w:p>
            <w:pPr>
              <w:snapToGrid w:val="0"/>
              <w:spacing w:line="360" w:lineRule="auto"/>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响应招标文件要求</w:t>
            </w:r>
          </w:p>
        </w:tc>
        <w:tc>
          <w:tcPr>
            <w:tcW w:w="5467" w:type="dxa"/>
            <w:tcBorders>
              <w:left w:val="single" w:color="auto" w:sz="4" w:space="0"/>
              <w:right w:val="single" w:color="auto" w:sz="4" w:space="0"/>
            </w:tcBorders>
            <w:vAlign w:val="center"/>
          </w:tcPr>
          <w:p>
            <w:pPr>
              <w:snapToGrid w:val="0"/>
              <w:spacing w:line="360" w:lineRule="auto"/>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元/人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390" w:hRule="atLeast"/>
          <w:jc w:val="center"/>
        </w:trPr>
        <w:tc>
          <w:tcPr>
            <w:tcW w:w="5326" w:type="dxa"/>
            <w:gridSpan w:val="2"/>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rPr>
            </w:pPr>
            <w:r>
              <w:rPr>
                <w:rFonts w:hint="eastAsia" w:ascii="仿宋" w:hAnsi="仿宋" w:eastAsia="仿宋" w:cs="宋体"/>
                <w:color w:val="auto"/>
                <w:kern w:val="0"/>
                <w:sz w:val="24"/>
                <w:highlight w:val="none"/>
                <w:lang w:val="en-US" w:eastAsia="zh-CN"/>
              </w:rPr>
              <w:t>单价合计</w:t>
            </w:r>
          </w:p>
        </w:tc>
        <w:tc>
          <w:tcPr>
            <w:tcW w:w="10232" w:type="dxa"/>
            <w:gridSpan w:val="3"/>
            <w:tcBorders>
              <w:lef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 xml:space="preserve">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6" w:hRule="atLeast"/>
          <w:jc w:val="center"/>
        </w:trPr>
        <w:tc>
          <w:tcPr>
            <w:tcW w:w="5326" w:type="dxa"/>
            <w:gridSpan w:val="2"/>
            <w:tcBorders>
              <w:right w:val="single" w:color="auto" w:sz="4" w:space="0"/>
            </w:tcBorders>
            <w:vAlign w:val="center"/>
          </w:tcPr>
          <w:p>
            <w:pPr>
              <w:snapToGrid w:val="0"/>
              <w:spacing w:line="360" w:lineRule="auto"/>
              <w:ind w:firstLine="482"/>
              <w:rPr>
                <w:rFonts w:hint="default"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备注</w:t>
            </w:r>
          </w:p>
        </w:tc>
        <w:tc>
          <w:tcPr>
            <w:tcW w:w="10232" w:type="dxa"/>
            <w:gridSpan w:val="3"/>
            <w:tcBorders>
              <w:lef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en-US" w:eastAsia="zh-CN"/>
              </w:rPr>
              <w:t>因出行人员个人原因产生的额外费用均由出行人员自行承担。</w:t>
            </w:r>
          </w:p>
        </w:tc>
      </w:tr>
    </w:tbl>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注：1、投标人需按本表格式填写，否则视为投标文件含有采购人不能接受的附加条件，投标无效。</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2、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投标无效；采购内容未包含在《开标一览表（报价表）》名称栏中，投标人不能作出合理解释的，视为投标文件含有采购人不能接受的附加条件的，投标无效。</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4、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napToGrid w:val="0"/>
        <w:spacing w:line="360" w:lineRule="auto"/>
        <w:ind w:firstLine="482"/>
        <w:jc w:val="right"/>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投标人（或联合体牵头人）名称(电子签名)：</w:t>
      </w:r>
    </w:p>
    <w:p>
      <w:pPr>
        <w:snapToGrid w:val="0"/>
        <w:spacing w:line="360" w:lineRule="auto"/>
        <w:ind w:firstLine="482"/>
        <w:jc w:val="right"/>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日期：   年   月   日</w:t>
      </w:r>
    </w:p>
    <w:p>
      <w:pPr>
        <w:pStyle w:val="694"/>
        <w:tabs>
          <w:tab w:val="clear" w:pos="720"/>
        </w:tabs>
        <w:snapToGrid w:val="0"/>
        <w:spacing w:before="120" w:after="120"/>
        <w:ind w:firstLine="643"/>
        <w:outlineLvl w:val="9"/>
        <w:rPr>
          <w:rFonts w:hint="eastAsia" w:ascii="仿宋" w:hAnsi="仿宋" w:eastAsia="仿宋" w:cs="宋体"/>
          <w:color w:val="auto"/>
          <w:kern w:val="2"/>
          <w:sz w:val="32"/>
          <w:szCs w:val="32"/>
          <w:highlight w:val="none"/>
          <w:lang w:eastAsia="zh-CN"/>
        </w:rPr>
      </w:pPr>
      <w:r>
        <w:rPr>
          <w:rFonts w:hint="eastAsia" w:ascii="仿宋" w:hAnsi="仿宋" w:eastAsia="仿宋" w:cs="宋体"/>
          <w:color w:val="auto"/>
          <w:kern w:val="2"/>
          <w:sz w:val="32"/>
          <w:szCs w:val="32"/>
          <w:highlight w:val="none"/>
        </w:rPr>
        <w:t>一、开标一览表（报价表）</w:t>
      </w:r>
      <w:r>
        <w:rPr>
          <w:rFonts w:hint="eastAsia" w:ascii="仿宋" w:hAnsi="仿宋" w:eastAsia="仿宋" w:cs="宋体"/>
          <w:color w:val="auto"/>
          <w:kern w:val="2"/>
          <w:sz w:val="32"/>
          <w:szCs w:val="32"/>
          <w:highlight w:val="none"/>
          <w:lang w:eastAsia="zh-CN"/>
        </w:rPr>
        <w:t>（</w:t>
      </w:r>
      <w:r>
        <w:rPr>
          <w:rFonts w:hint="eastAsia" w:ascii="仿宋" w:hAnsi="仿宋" w:eastAsia="仿宋" w:cs="宋体"/>
          <w:color w:val="auto"/>
          <w:kern w:val="2"/>
          <w:sz w:val="32"/>
          <w:szCs w:val="32"/>
          <w:highlight w:val="none"/>
          <w:lang w:val="en-US" w:eastAsia="zh-CN"/>
        </w:rPr>
        <w:t>标项四</w:t>
      </w:r>
      <w:r>
        <w:rPr>
          <w:rFonts w:hint="eastAsia" w:ascii="仿宋" w:hAnsi="仿宋" w:eastAsia="仿宋" w:cs="宋体"/>
          <w:color w:val="auto"/>
          <w:kern w:val="2"/>
          <w:sz w:val="32"/>
          <w:szCs w:val="32"/>
          <w:highlight w:val="none"/>
          <w:lang w:eastAsia="zh-CN"/>
        </w:rPr>
        <w:t>）</w:t>
      </w:r>
    </w:p>
    <w:p>
      <w:pPr>
        <w:snapToGrid w:val="0"/>
        <w:spacing w:line="360" w:lineRule="auto"/>
        <w:rPr>
          <w:rFonts w:ascii="仿宋" w:hAnsi="仿宋" w:eastAsia="仿宋" w:cs="宋体"/>
          <w:color w:val="auto"/>
          <w:kern w:val="0"/>
          <w:sz w:val="24"/>
          <w:highlight w:val="none"/>
        </w:rPr>
      </w:pPr>
      <w:r>
        <w:rPr>
          <w:rFonts w:hint="eastAsia" w:ascii="仿宋" w:hAnsi="仿宋" w:eastAsia="仿宋" w:cs="宋体"/>
          <w:color w:val="auto"/>
          <w:sz w:val="24"/>
          <w:highlight w:val="none"/>
        </w:rPr>
        <w:t>（采购人）、（采购代理机构）</w:t>
      </w:r>
      <w:r>
        <w:rPr>
          <w:rFonts w:hint="eastAsia" w:ascii="仿宋" w:hAnsi="仿宋" w:eastAsia="仿宋" w:cs="宋体"/>
          <w:color w:val="auto"/>
          <w:kern w:val="0"/>
          <w:sz w:val="24"/>
          <w:highlight w:val="none"/>
          <w:lang w:val="zh-CN"/>
        </w:rPr>
        <w:t>：</w:t>
      </w:r>
    </w:p>
    <w:p>
      <w:pPr>
        <w:snapToGrid w:val="0"/>
        <w:spacing w:line="360" w:lineRule="auto"/>
        <w:ind w:firstLine="482"/>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宋体"/>
          <w:color w:val="auto"/>
          <w:sz w:val="24"/>
          <w:highlight w:val="none"/>
        </w:rPr>
        <w:t>（项目名称）</w:t>
      </w:r>
      <w:r>
        <w:rPr>
          <w:rFonts w:hint="eastAsia" w:ascii="仿宋" w:hAnsi="仿宋" w:eastAsia="仿宋" w:cs="宋体"/>
          <w:color w:val="auto"/>
          <w:kern w:val="0"/>
          <w:sz w:val="24"/>
          <w:highlight w:val="none"/>
          <w:lang w:val="zh-CN"/>
        </w:rPr>
        <w:t>【招标编号：</w:t>
      </w:r>
      <w:r>
        <w:rPr>
          <w:rFonts w:hint="eastAsia" w:ascii="仿宋" w:hAnsi="仿宋" w:eastAsia="仿宋" w:cs="宋体"/>
          <w:color w:val="auto"/>
          <w:sz w:val="24"/>
          <w:highlight w:val="none"/>
        </w:rPr>
        <w:t>（采购编号）】的实施</w:t>
      </w:r>
      <w:r>
        <w:rPr>
          <w:rFonts w:hint="eastAsia" w:ascii="仿宋" w:hAnsi="仿宋" w:eastAsia="仿宋" w:cs="宋体"/>
          <w:color w:val="auto"/>
          <w:kern w:val="0"/>
          <w:sz w:val="24"/>
          <w:highlight w:val="none"/>
          <w:lang w:val="zh-CN"/>
        </w:rPr>
        <w:t>。</w:t>
      </w:r>
    </w:p>
    <w:p>
      <w:pPr>
        <w:spacing w:line="360" w:lineRule="auto"/>
        <w:jc w:val="center"/>
        <w:rPr>
          <w:rFonts w:hint="eastAsia" w:ascii="仿宋" w:hAnsi="仿宋" w:eastAsia="仿宋" w:cs="宋体"/>
          <w:b/>
          <w:color w:val="auto"/>
          <w:kern w:val="0"/>
          <w:sz w:val="24"/>
          <w:highlight w:val="none"/>
          <w:lang w:val="zh-CN"/>
        </w:rPr>
      </w:pPr>
      <w:r>
        <w:rPr>
          <w:rFonts w:hint="eastAsia" w:ascii="仿宋" w:hAnsi="仿宋" w:eastAsia="仿宋" w:cs="宋体"/>
          <w:b/>
          <w:color w:val="auto"/>
          <w:kern w:val="0"/>
          <w:sz w:val="24"/>
          <w:highlight w:val="none"/>
          <w:lang w:val="zh-CN"/>
        </w:rPr>
        <w:t>开标一览表（报价表）(单位均为人民币元)</w:t>
      </w:r>
    </w:p>
    <w:tbl>
      <w:tblPr>
        <w:tblStyle w:val="63"/>
        <w:tblW w:w="15922"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87"/>
        <w:gridCol w:w="2654"/>
        <w:gridCol w:w="3116"/>
        <w:gridCol w:w="2411"/>
        <w:gridCol w:w="6854"/>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9" w:hRule="atLeast"/>
          <w:tblHeader/>
          <w:jc w:val="center"/>
        </w:trPr>
        <w:tc>
          <w:tcPr>
            <w:tcW w:w="887" w:type="dxa"/>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序号</w:t>
            </w:r>
          </w:p>
        </w:tc>
        <w:tc>
          <w:tcPr>
            <w:tcW w:w="2654" w:type="dxa"/>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项目名称</w:t>
            </w:r>
          </w:p>
        </w:tc>
        <w:tc>
          <w:tcPr>
            <w:tcW w:w="3116"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线路内容</w:t>
            </w:r>
          </w:p>
        </w:tc>
        <w:tc>
          <w:tcPr>
            <w:tcW w:w="2411"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服务期</w:t>
            </w:r>
          </w:p>
        </w:tc>
        <w:tc>
          <w:tcPr>
            <w:tcW w:w="6854"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单价</w:t>
            </w:r>
            <w:r>
              <w:rPr>
                <w:rFonts w:hint="eastAsia" w:ascii="仿宋" w:hAnsi="仿宋" w:eastAsia="仿宋" w:cs="宋体"/>
                <w:color w:val="auto"/>
                <w:kern w:val="0"/>
                <w:sz w:val="24"/>
                <w:highlight w:val="none"/>
                <w:lang w:val="en-US" w:eastAsia="zh-CN"/>
              </w:rPr>
              <w:t>（含大交通）</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63" w:hRule="atLeast"/>
          <w:jc w:val="center"/>
        </w:trPr>
        <w:tc>
          <w:tcPr>
            <w:tcW w:w="887" w:type="dxa"/>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1</w:t>
            </w:r>
          </w:p>
        </w:tc>
        <w:tc>
          <w:tcPr>
            <w:tcW w:w="2654" w:type="dxa"/>
            <w:vMerge w:val="restart"/>
            <w:tcBorders>
              <w:right w:val="single" w:color="auto" w:sz="4" w:space="0"/>
            </w:tcBorders>
            <w:vAlign w:val="center"/>
          </w:tcPr>
          <w:p>
            <w:pPr>
              <w:snapToGrid w:val="0"/>
              <w:spacing w:line="360" w:lineRule="auto"/>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zh-CN" w:eastAsia="zh-CN"/>
              </w:rPr>
              <w:t>五常街道工会疗休养项目</w:t>
            </w:r>
            <w:r>
              <w:rPr>
                <w:rFonts w:hint="eastAsia" w:ascii="仿宋" w:hAnsi="仿宋" w:eastAsia="仿宋" w:cs="宋体"/>
                <w:color w:val="auto"/>
                <w:kern w:val="0"/>
                <w:sz w:val="24"/>
                <w:highlight w:val="none"/>
                <w:lang w:val="zh-CN"/>
              </w:rPr>
              <w:t>(标项</w:t>
            </w:r>
            <w:r>
              <w:rPr>
                <w:rFonts w:hint="eastAsia" w:ascii="仿宋" w:hAnsi="仿宋" w:eastAsia="仿宋" w:cs="宋体"/>
                <w:color w:val="auto"/>
                <w:kern w:val="0"/>
                <w:sz w:val="24"/>
                <w:highlight w:val="none"/>
                <w:lang w:val="en-US" w:eastAsia="zh-CN"/>
              </w:rPr>
              <w:t>四</w:t>
            </w:r>
            <w:r>
              <w:rPr>
                <w:rFonts w:hint="eastAsia" w:ascii="仿宋" w:hAnsi="仿宋" w:eastAsia="仿宋" w:cs="宋体"/>
                <w:color w:val="auto"/>
                <w:kern w:val="0"/>
                <w:sz w:val="24"/>
                <w:highlight w:val="none"/>
                <w:lang w:val="zh-CN"/>
              </w:rPr>
              <w:t>)</w:t>
            </w:r>
          </w:p>
        </w:tc>
        <w:tc>
          <w:tcPr>
            <w:tcW w:w="3116" w:type="dxa"/>
            <w:tcBorders>
              <w:left w:val="single" w:color="auto" w:sz="4" w:space="0"/>
              <w:right w:val="single" w:color="auto" w:sz="4" w:space="0"/>
            </w:tcBorders>
            <w:vAlign w:val="center"/>
          </w:tcPr>
          <w:p>
            <w:pPr>
              <w:snapToGrid w:val="0"/>
              <w:spacing w:line="360" w:lineRule="auto"/>
              <w:rPr>
                <w:rFonts w:hint="default" w:ascii="仿宋" w:hAnsi="仿宋" w:eastAsia="仿宋" w:cs="宋体"/>
                <w:color w:val="auto"/>
                <w:kern w:val="0"/>
                <w:sz w:val="24"/>
                <w:highlight w:val="none"/>
                <w:lang w:val="en-US"/>
              </w:rPr>
            </w:pPr>
            <w:r>
              <w:rPr>
                <w:rFonts w:hint="eastAsia" w:ascii="仿宋" w:hAnsi="仿宋" w:eastAsia="仿宋" w:cs="宋体"/>
                <w:color w:val="auto"/>
                <w:kern w:val="0"/>
                <w:sz w:val="24"/>
                <w:highlight w:val="none"/>
                <w:lang w:val="en-US" w:eastAsia="zh-CN"/>
              </w:rPr>
              <w:t>千岛湖5日游</w:t>
            </w:r>
          </w:p>
        </w:tc>
        <w:tc>
          <w:tcPr>
            <w:tcW w:w="2411" w:type="dxa"/>
            <w:vMerge w:val="restart"/>
            <w:tcBorders>
              <w:left w:val="single" w:color="auto" w:sz="4" w:space="0"/>
              <w:right w:val="single" w:color="auto" w:sz="4" w:space="0"/>
            </w:tcBorders>
            <w:vAlign w:val="center"/>
          </w:tcPr>
          <w:p>
            <w:pPr>
              <w:snapToGrid w:val="0"/>
              <w:spacing w:line="360" w:lineRule="auto"/>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响应招标文件要求</w:t>
            </w:r>
          </w:p>
        </w:tc>
        <w:tc>
          <w:tcPr>
            <w:tcW w:w="6854"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元/人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63" w:hRule="atLeast"/>
          <w:jc w:val="center"/>
        </w:trPr>
        <w:tc>
          <w:tcPr>
            <w:tcW w:w="887" w:type="dxa"/>
            <w:tcBorders>
              <w:right w:val="single" w:color="auto" w:sz="4" w:space="0"/>
            </w:tcBorders>
            <w:vAlign w:val="center"/>
          </w:tcPr>
          <w:p>
            <w:pPr>
              <w:snapToGrid w:val="0"/>
              <w:spacing w:line="360" w:lineRule="auto"/>
              <w:ind w:firstLine="482"/>
              <w:rPr>
                <w:rFonts w:hint="default"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2</w:t>
            </w:r>
          </w:p>
        </w:tc>
        <w:tc>
          <w:tcPr>
            <w:tcW w:w="2654" w:type="dxa"/>
            <w:vMerge w:val="continue"/>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eastAsia="zh-CN"/>
              </w:rPr>
            </w:pPr>
          </w:p>
        </w:tc>
        <w:tc>
          <w:tcPr>
            <w:tcW w:w="3116" w:type="dxa"/>
            <w:tcBorders>
              <w:left w:val="single" w:color="auto" w:sz="4" w:space="0"/>
              <w:right w:val="single" w:color="auto" w:sz="4" w:space="0"/>
            </w:tcBorders>
            <w:vAlign w:val="center"/>
          </w:tcPr>
          <w:p>
            <w:pPr>
              <w:snapToGrid w:val="0"/>
              <w:spacing w:line="360" w:lineRule="auto"/>
              <w:rPr>
                <w:rFonts w:hint="default"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四川广元、九寨沟5日游</w:t>
            </w:r>
          </w:p>
        </w:tc>
        <w:tc>
          <w:tcPr>
            <w:tcW w:w="2411" w:type="dxa"/>
            <w:vMerge w:val="continue"/>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p>
        </w:tc>
        <w:tc>
          <w:tcPr>
            <w:tcW w:w="6854"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元/人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390" w:hRule="atLeast"/>
          <w:jc w:val="center"/>
        </w:trPr>
        <w:tc>
          <w:tcPr>
            <w:tcW w:w="3541" w:type="dxa"/>
            <w:gridSpan w:val="2"/>
            <w:tcBorders>
              <w:right w:val="single" w:color="auto" w:sz="4" w:space="0"/>
            </w:tcBorders>
            <w:vAlign w:val="center"/>
          </w:tcPr>
          <w:p>
            <w:pPr>
              <w:snapToGrid w:val="0"/>
              <w:spacing w:line="360" w:lineRule="auto"/>
              <w:ind w:firstLine="482"/>
              <w:rPr>
                <w:rFonts w:hint="default" w:ascii="仿宋" w:hAnsi="仿宋" w:eastAsia="仿宋" w:cs="宋体"/>
                <w:color w:val="auto"/>
                <w:kern w:val="0"/>
                <w:sz w:val="24"/>
                <w:highlight w:val="none"/>
                <w:lang w:val="en-US"/>
              </w:rPr>
            </w:pPr>
            <w:r>
              <w:rPr>
                <w:rFonts w:hint="eastAsia" w:ascii="仿宋" w:hAnsi="仿宋" w:eastAsia="仿宋" w:cs="宋体"/>
                <w:color w:val="auto"/>
                <w:kern w:val="0"/>
                <w:sz w:val="24"/>
                <w:highlight w:val="none"/>
                <w:lang w:val="en-US" w:eastAsia="zh-CN"/>
              </w:rPr>
              <w:t>单价合计=序号1+序号2</w:t>
            </w:r>
          </w:p>
        </w:tc>
        <w:tc>
          <w:tcPr>
            <w:tcW w:w="12381" w:type="dxa"/>
            <w:gridSpan w:val="3"/>
            <w:tcBorders>
              <w:lef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 xml:space="preserve">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6" w:hRule="atLeast"/>
          <w:jc w:val="center"/>
        </w:trPr>
        <w:tc>
          <w:tcPr>
            <w:tcW w:w="3541" w:type="dxa"/>
            <w:gridSpan w:val="2"/>
            <w:tcBorders>
              <w:right w:val="single" w:color="auto" w:sz="4" w:space="0"/>
            </w:tcBorders>
            <w:vAlign w:val="center"/>
          </w:tcPr>
          <w:p>
            <w:pPr>
              <w:snapToGrid w:val="0"/>
              <w:spacing w:line="360" w:lineRule="auto"/>
              <w:ind w:firstLine="482"/>
              <w:rPr>
                <w:rFonts w:hint="default"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备注</w:t>
            </w:r>
          </w:p>
        </w:tc>
        <w:tc>
          <w:tcPr>
            <w:tcW w:w="12381" w:type="dxa"/>
            <w:gridSpan w:val="3"/>
            <w:tcBorders>
              <w:left w:val="single" w:color="auto" w:sz="4" w:space="0"/>
            </w:tcBorders>
            <w:vAlign w:val="center"/>
          </w:tcPr>
          <w:p>
            <w:pPr>
              <w:snapToGrid w:val="0"/>
              <w:spacing w:line="360" w:lineRule="auto"/>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序号1：因出行人员个人原因产生的额外费用均由出行人员自行承担。</w:t>
            </w:r>
          </w:p>
          <w:p>
            <w:pPr>
              <w:snapToGrid w:val="0"/>
              <w:spacing w:line="360" w:lineRule="auto"/>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序号2：该线路由采购人另支付交通补贴2000元/人，超出部分不管是否含大交通费均由出行人员自行与旅行社结算，此费用不包含在投标报价中；其他因出行人员个人原因产生的额外费用均由出行人员自行承担；飞机起飞时间须为上午8时-12时。</w:t>
            </w:r>
          </w:p>
        </w:tc>
      </w:tr>
    </w:tbl>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注：1、投标人需按本表格式填写，否则视为投标文件含有采购人不能接受的附加条件，投标无效。</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2、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投标无效；采购内容未包含在《开标一览表（报价表）》名称栏中，投标人不能作出合理解释的，视为投标文件含有采购人不能接受的附加条件的，投标无效。</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4、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napToGrid w:val="0"/>
        <w:spacing w:line="360" w:lineRule="auto"/>
        <w:ind w:firstLine="482"/>
        <w:jc w:val="right"/>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投标人（或联合体牵头人）名称(电子签名)：</w:t>
      </w:r>
    </w:p>
    <w:p>
      <w:pPr>
        <w:snapToGrid w:val="0"/>
        <w:spacing w:line="360" w:lineRule="auto"/>
        <w:ind w:firstLine="482"/>
        <w:jc w:val="right"/>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日期：   年   月   日</w:t>
      </w:r>
    </w:p>
    <w:p>
      <w:pPr>
        <w:pStyle w:val="694"/>
        <w:tabs>
          <w:tab w:val="clear" w:pos="720"/>
        </w:tabs>
        <w:snapToGrid w:val="0"/>
        <w:spacing w:before="120" w:after="120"/>
        <w:ind w:firstLine="643"/>
        <w:outlineLvl w:val="9"/>
        <w:rPr>
          <w:rFonts w:hint="eastAsia" w:ascii="仿宋" w:hAnsi="仿宋" w:eastAsia="仿宋" w:cs="宋体"/>
          <w:color w:val="auto"/>
          <w:kern w:val="2"/>
          <w:sz w:val="32"/>
          <w:szCs w:val="32"/>
          <w:highlight w:val="none"/>
          <w:lang w:eastAsia="zh-CN"/>
        </w:rPr>
      </w:pPr>
      <w:r>
        <w:rPr>
          <w:rFonts w:hint="eastAsia" w:ascii="仿宋" w:hAnsi="仿宋" w:eastAsia="仿宋" w:cs="宋体"/>
          <w:color w:val="auto"/>
          <w:kern w:val="2"/>
          <w:sz w:val="32"/>
          <w:szCs w:val="32"/>
          <w:highlight w:val="none"/>
        </w:rPr>
        <w:t>一、开标一览表（报价表）</w:t>
      </w:r>
      <w:r>
        <w:rPr>
          <w:rFonts w:hint="eastAsia" w:ascii="仿宋" w:hAnsi="仿宋" w:eastAsia="仿宋" w:cs="宋体"/>
          <w:color w:val="auto"/>
          <w:kern w:val="2"/>
          <w:sz w:val="32"/>
          <w:szCs w:val="32"/>
          <w:highlight w:val="none"/>
          <w:lang w:eastAsia="zh-CN"/>
        </w:rPr>
        <w:t>（</w:t>
      </w:r>
      <w:r>
        <w:rPr>
          <w:rFonts w:hint="eastAsia" w:ascii="仿宋" w:hAnsi="仿宋" w:eastAsia="仿宋" w:cs="宋体"/>
          <w:color w:val="auto"/>
          <w:kern w:val="2"/>
          <w:sz w:val="32"/>
          <w:szCs w:val="32"/>
          <w:highlight w:val="none"/>
          <w:lang w:val="en-US" w:eastAsia="zh-CN"/>
        </w:rPr>
        <w:t>标项五</w:t>
      </w:r>
      <w:r>
        <w:rPr>
          <w:rFonts w:hint="eastAsia" w:ascii="仿宋" w:hAnsi="仿宋" w:eastAsia="仿宋" w:cs="宋体"/>
          <w:color w:val="auto"/>
          <w:kern w:val="2"/>
          <w:sz w:val="32"/>
          <w:szCs w:val="32"/>
          <w:highlight w:val="none"/>
          <w:lang w:eastAsia="zh-CN"/>
        </w:rPr>
        <w:t>）</w:t>
      </w:r>
    </w:p>
    <w:p>
      <w:pPr>
        <w:snapToGrid w:val="0"/>
        <w:spacing w:line="360" w:lineRule="auto"/>
        <w:rPr>
          <w:rFonts w:ascii="仿宋" w:hAnsi="仿宋" w:eastAsia="仿宋" w:cs="宋体"/>
          <w:color w:val="auto"/>
          <w:kern w:val="0"/>
          <w:sz w:val="24"/>
          <w:highlight w:val="none"/>
        </w:rPr>
      </w:pPr>
      <w:r>
        <w:rPr>
          <w:rFonts w:hint="eastAsia" w:ascii="仿宋" w:hAnsi="仿宋" w:eastAsia="仿宋" w:cs="宋体"/>
          <w:color w:val="auto"/>
          <w:sz w:val="24"/>
          <w:highlight w:val="none"/>
        </w:rPr>
        <w:t>（采购人）、（采购代理机构）</w:t>
      </w:r>
      <w:r>
        <w:rPr>
          <w:rFonts w:hint="eastAsia" w:ascii="仿宋" w:hAnsi="仿宋" w:eastAsia="仿宋" w:cs="宋体"/>
          <w:color w:val="auto"/>
          <w:kern w:val="0"/>
          <w:sz w:val="24"/>
          <w:highlight w:val="none"/>
          <w:lang w:val="zh-CN"/>
        </w:rPr>
        <w:t>：</w:t>
      </w:r>
    </w:p>
    <w:p>
      <w:pPr>
        <w:snapToGrid w:val="0"/>
        <w:spacing w:line="360" w:lineRule="auto"/>
        <w:ind w:firstLine="482"/>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宋体"/>
          <w:color w:val="auto"/>
          <w:sz w:val="24"/>
          <w:highlight w:val="none"/>
        </w:rPr>
        <w:t>（项目名称）</w:t>
      </w:r>
      <w:r>
        <w:rPr>
          <w:rFonts w:hint="eastAsia" w:ascii="仿宋" w:hAnsi="仿宋" w:eastAsia="仿宋" w:cs="宋体"/>
          <w:color w:val="auto"/>
          <w:kern w:val="0"/>
          <w:sz w:val="24"/>
          <w:highlight w:val="none"/>
          <w:lang w:val="zh-CN"/>
        </w:rPr>
        <w:t>【招标编号：</w:t>
      </w:r>
      <w:r>
        <w:rPr>
          <w:rFonts w:hint="eastAsia" w:ascii="仿宋" w:hAnsi="仿宋" w:eastAsia="仿宋" w:cs="宋体"/>
          <w:color w:val="auto"/>
          <w:sz w:val="24"/>
          <w:highlight w:val="none"/>
        </w:rPr>
        <w:t>（采购编号）】的实施</w:t>
      </w:r>
      <w:r>
        <w:rPr>
          <w:rFonts w:hint="eastAsia" w:ascii="仿宋" w:hAnsi="仿宋" w:eastAsia="仿宋" w:cs="宋体"/>
          <w:color w:val="auto"/>
          <w:kern w:val="0"/>
          <w:sz w:val="24"/>
          <w:highlight w:val="none"/>
          <w:lang w:val="zh-CN"/>
        </w:rPr>
        <w:t>。</w:t>
      </w:r>
    </w:p>
    <w:p>
      <w:pPr>
        <w:spacing w:line="360" w:lineRule="auto"/>
        <w:jc w:val="center"/>
        <w:rPr>
          <w:rFonts w:ascii="仿宋" w:hAnsi="仿宋" w:eastAsia="仿宋" w:cs="宋体"/>
          <w:b/>
          <w:color w:val="auto"/>
          <w:kern w:val="0"/>
          <w:sz w:val="24"/>
          <w:highlight w:val="none"/>
          <w:lang w:val="zh-CN"/>
        </w:rPr>
      </w:pPr>
      <w:r>
        <w:rPr>
          <w:rFonts w:hint="eastAsia" w:ascii="仿宋" w:hAnsi="仿宋" w:eastAsia="仿宋" w:cs="宋体"/>
          <w:b/>
          <w:color w:val="auto"/>
          <w:kern w:val="0"/>
          <w:sz w:val="24"/>
          <w:highlight w:val="none"/>
          <w:lang w:val="zh-CN"/>
        </w:rPr>
        <w:t>开标一览表（报价表）(单位均为人民币元)</w:t>
      </w:r>
    </w:p>
    <w:tbl>
      <w:tblPr>
        <w:tblStyle w:val="63"/>
        <w:tblW w:w="15432"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87"/>
        <w:gridCol w:w="2654"/>
        <w:gridCol w:w="4800"/>
        <w:gridCol w:w="3139"/>
        <w:gridCol w:w="3952"/>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9" w:hRule="atLeast"/>
          <w:tblHeader/>
          <w:jc w:val="center"/>
        </w:trPr>
        <w:tc>
          <w:tcPr>
            <w:tcW w:w="887" w:type="dxa"/>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序号</w:t>
            </w:r>
          </w:p>
        </w:tc>
        <w:tc>
          <w:tcPr>
            <w:tcW w:w="2654" w:type="dxa"/>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项目名称</w:t>
            </w:r>
          </w:p>
        </w:tc>
        <w:tc>
          <w:tcPr>
            <w:tcW w:w="4800"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线路内容</w:t>
            </w:r>
          </w:p>
        </w:tc>
        <w:tc>
          <w:tcPr>
            <w:tcW w:w="3139"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服务期</w:t>
            </w:r>
          </w:p>
        </w:tc>
        <w:tc>
          <w:tcPr>
            <w:tcW w:w="3952" w:type="dxa"/>
            <w:tcBorders>
              <w:left w:val="single" w:color="auto" w:sz="4" w:space="0"/>
              <w:right w:val="single" w:color="auto" w:sz="4" w:space="0"/>
            </w:tcBorders>
            <w:vAlign w:val="center"/>
          </w:tcPr>
          <w:p>
            <w:pPr>
              <w:snapToGrid w:val="0"/>
              <w:spacing w:line="360" w:lineRule="auto"/>
              <w:ind w:firstLine="482"/>
              <w:rPr>
                <w:rFonts w:hint="default"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zh-CN"/>
              </w:rPr>
              <w:t>单价</w:t>
            </w:r>
            <w:r>
              <w:rPr>
                <w:rFonts w:hint="eastAsia" w:ascii="仿宋" w:hAnsi="仿宋" w:eastAsia="仿宋" w:cs="宋体"/>
                <w:color w:val="auto"/>
                <w:kern w:val="0"/>
                <w:sz w:val="24"/>
                <w:highlight w:val="none"/>
                <w:lang w:val="en-US" w:eastAsia="zh-CN"/>
              </w:rPr>
              <w:t>（含大交通）</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902" w:hRule="atLeast"/>
          <w:jc w:val="center"/>
        </w:trPr>
        <w:tc>
          <w:tcPr>
            <w:tcW w:w="887" w:type="dxa"/>
            <w:tcBorders>
              <w:right w:val="single" w:color="auto" w:sz="4" w:space="0"/>
            </w:tcBorders>
            <w:vAlign w:val="center"/>
          </w:tcPr>
          <w:p>
            <w:pPr>
              <w:snapToGrid w:val="0"/>
              <w:spacing w:line="360" w:lineRule="auto"/>
              <w:ind w:firstLine="482"/>
              <w:rPr>
                <w:rFonts w:hint="default"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1</w:t>
            </w:r>
          </w:p>
        </w:tc>
        <w:tc>
          <w:tcPr>
            <w:tcW w:w="2654" w:type="dxa"/>
            <w:tcBorders>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zh-CN" w:eastAsia="zh-CN"/>
              </w:rPr>
              <w:t>五常街道工会疗休养项目</w:t>
            </w:r>
            <w:r>
              <w:rPr>
                <w:rFonts w:hint="eastAsia" w:ascii="仿宋" w:hAnsi="仿宋" w:eastAsia="仿宋" w:cs="宋体"/>
                <w:color w:val="auto"/>
                <w:kern w:val="0"/>
                <w:sz w:val="24"/>
                <w:highlight w:val="none"/>
                <w:lang w:val="zh-CN"/>
              </w:rPr>
              <w:t>(标项</w:t>
            </w:r>
            <w:r>
              <w:rPr>
                <w:rFonts w:hint="eastAsia" w:ascii="仿宋" w:hAnsi="仿宋" w:eastAsia="仿宋" w:cs="宋体"/>
                <w:color w:val="auto"/>
                <w:kern w:val="0"/>
                <w:sz w:val="24"/>
                <w:highlight w:val="none"/>
                <w:lang w:val="en-US" w:eastAsia="zh-CN"/>
              </w:rPr>
              <w:t>五</w:t>
            </w:r>
            <w:r>
              <w:rPr>
                <w:rFonts w:hint="eastAsia" w:ascii="仿宋" w:hAnsi="仿宋" w:eastAsia="仿宋" w:cs="宋体"/>
                <w:color w:val="auto"/>
                <w:kern w:val="0"/>
                <w:sz w:val="24"/>
                <w:highlight w:val="none"/>
                <w:lang w:val="zh-CN"/>
              </w:rPr>
              <w:t>)</w:t>
            </w:r>
          </w:p>
        </w:tc>
        <w:tc>
          <w:tcPr>
            <w:tcW w:w="4800" w:type="dxa"/>
            <w:tcBorders>
              <w:left w:val="single" w:color="auto" w:sz="4" w:space="0"/>
              <w:right w:val="single" w:color="auto" w:sz="4" w:space="0"/>
            </w:tcBorders>
            <w:vAlign w:val="center"/>
          </w:tcPr>
          <w:p>
            <w:pPr>
              <w:snapToGrid w:val="0"/>
              <w:spacing w:line="360" w:lineRule="auto"/>
              <w:rPr>
                <w:rFonts w:hint="default"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长春、长白山5日游</w:t>
            </w:r>
          </w:p>
        </w:tc>
        <w:tc>
          <w:tcPr>
            <w:tcW w:w="3139"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响应招标文件要求</w:t>
            </w:r>
          </w:p>
        </w:tc>
        <w:tc>
          <w:tcPr>
            <w:tcW w:w="3952" w:type="dxa"/>
            <w:tcBorders>
              <w:left w:val="single" w:color="auto" w:sz="4" w:space="0"/>
              <w:righ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元/人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390" w:hRule="atLeast"/>
          <w:jc w:val="center"/>
        </w:trPr>
        <w:tc>
          <w:tcPr>
            <w:tcW w:w="3541" w:type="dxa"/>
            <w:gridSpan w:val="2"/>
            <w:tcBorders>
              <w:right w:val="single" w:color="auto" w:sz="4" w:space="0"/>
            </w:tcBorders>
            <w:vAlign w:val="center"/>
          </w:tcPr>
          <w:p>
            <w:pPr>
              <w:snapToGrid w:val="0"/>
              <w:spacing w:line="360" w:lineRule="auto"/>
              <w:ind w:firstLine="482"/>
              <w:jc w:val="center"/>
              <w:rPr>
                <w:rFonts w:hint="default" w:ascii="仿宋" w:hAnsi="仿宋" w:eastAsia="仿宋" w:cs="宋体"/>
                <w:color w:val="auto"/>
                <w:kern w:val="0"/>
                <w:sz w:val="24"/>
                <w:highlight w:val="none"/>
                <w:lang w:val="en-US"/>
              </w:rPr>
            </w:pPr>
            <w:r>
              <w:rPr>
                <w:rFonts w:hint="eastAsia" w:ascii="仿宋" w:hAnsi="仿宋" w:eastAsia="仿宋" w:cs="宋体"/>
                <w:color w:val="auto"/>
                <w:kern w:val="0"/>
                <w:sz w:val="24"/>
                <w:highlight w:val="none"/>
                <w:lang w:val="en-US" w:eastAsia="zh-CN"/>
              </w:rPr>
              <w:t>单价合计</w:t>
            </w:r>
          </w:p>
        </w:tc>
        <w:tc>
          <w:tcPr>
            <w:tcW w:w="11891" w:type="dxa"/>
            <w:gridSpan w:val="3"/>
            <w:tcBorders>
              <w:left w:val="single" w:color="auto" w:sz="4" w:space="0"/>
            </w:tcBorders>
            <w:vAlign w:val="center"/>
          </w:tcPr>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 xml:space="preserve">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6" w:hRule="atLeast"/>
          <w:jc w:val="center"/>
        </w:trPr>
        <w:tc>
          <w:tcPr>
            <w:tcW w:w="3541" w:type="dxa"/>
            <w:gridSpan w:val="2"/>
            <w:tcBorders>
              <w:right w:val="single" w:color="auto" w:sz="4" w:space="0"/>
            </w:tcBorders>
            <w:vAlign w:val="center"/>
          </w:tcPr>
          <w:p>
            <w:pPr>
              <w:snapToGrid w:val="0"/>
              <w:spacing w:line="360" w:lineRule="auto"/>
              <w:ind w:firstLine="482"/>
              <w:rPr>
                <w:rFonts w:hint="default"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备注</w:t>
            </w:r>
          </w:p>
        </w:tc>
        <w:tc>
          <w:tcPr>
            <w:tcW w:w="11891" w:type="dxa"/>
            <w:gridSpan w:val="3"/>
            <w:tcBorders>
              <w:left w:val="single" w:color="auto" w:sz="4" w:space="0"/>
            </w:tcBorders>
            <w:vAlign w:val="center"/>
          </w:tcPr>
          <w:p>
            <w:pPr>
              <w:snapToGrid w:val="0"/>
              <w:spacing w:line="360" w:lineRule="auto"/>
              <w:rPr>
                <w:rFonts w:hint="eastAsia" w:ascii="仿宋" w:hAnsi="仿宋" w:eastAsia="仿宋" w:cs="宋体"/>
                <w:color w:val="auto"/>
                <w:kern w:val="0"/>
                <w:sz w:val="24"/>
                <w:highlight w:val="none"/>
                <w:lang w:val="en-US" w:eastAsia="zh-CN"/>
              </w:rPr>
            </w:pPr>
            <w:r>
              <w:rPr>
                <w:rFonts w:hint="eastAsia" w:ascii="仿宋" w:hAnsi="仿宋" w:eastAsia="仿宋" w:cs="宋体"/>
                <w:color w:val="auto"/>
                <w:kern w:val="0"/>
                <w:sz w:val="24"/>
                <w:highlight w:val="none"/>
                <w:lang w:val="en-US" w:eastAsia="zh-CN"/>
              </w:rPr>
              <w:t>该线路由采购人另支付交通补贴2000元/人，超出部分不管是否含大交通费均由出行人员自行与旅行社结算，此费用不包含在投标报价中；其他因出行人员个人原因产生的额外费用均由出行人员自行承担；飞机起飞时间须为上午8时-12时。</w:t>
            </w:r>
          </w:p>
        </w:tc>
      </w:tr>
    </w:tbl>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注：1、投标人需按本表格式填写，否则视为投标文件含有采购人不能接受的附加条件，投标无效。</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2、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投标无效；采购内容未包含在《开标一览表（报价表）》名称栏中，投标人不能作出合理解释的，视为投标文件含有采购人不能接受的附加条件的，投标无效。</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pPr>
        <w:snapToGrid w:val="0"/>
        <w:spacing w:line="360" w:lineRule="auto"/>
        <w:ind w:firstLine="482"/>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4、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napToGrid w:val="0"/>
        <w:spacing w:line="360" w:lineRule="auto"/>
        <w:ind w:firstLine="482"/>
        <w:jc w:val="right"/>
        <w:rPr>
          <w:rFonts w:hint="eastAsia"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投标人（或联合体牵头人）名称(电子签名)：</w:t>
      </w:r>
    </w:p>
    <w:p>
      <w:pPr>
        <w:snapToGrid w:val="0"/>
        <w:spacing w:line="360" w:lineRule="auto"/>
        <w:ind w:firstLine="482"/>
        <w:jc w:val="right"/>
        <w:rPr>
          <w:rFonts w:hint="eastAsia" w:ascii="仿宋" w:hAnsi="仿宋" w:eastAsia="仿宋" w:cs="宋体"/>
          <w:color w:val="auto"/>
          <w:kern w:val="2"/>
          <w:sz w:val="32"/>
          <w:szCs w:val="32"/>
          <w:highlight w:val="none"/>
        </w:rPr>
        <w:sectPr>
          <w:headerReference r:id="rId22" w:type="first"/>
          <w:footerReference r:id="rId25" w:type="first"/>
          <w:headerReference r:id="rId21" w:type="default"/>
          <w:footerReference r:id="rId23" w:type="default"/>
          <w:footerReference r:id="rId24" w:type="even"/>
          <w:pgSz w:w="16838" w:h="11905" w:orient="landscape"/>
          <w:pgMar w:top="1134" w:right="680" w:bottom="1134" w:left="471" w:header="851" w:footer="992" w:gutter="0"/>
          <w:cols w:space="0" w:num="1"/>
          <w:titlePg/>
          <w:rtlGutter w:val="0"/>
          <w:docGrid w:linePitch="312" w:charSpace="0"/>
        </w:sectPr>
      </w:pPr>
      <w:r>
        <w:rPr>
          <w:rFonts w:hint="eastAsia" w:ascii="仿宋" w:hAnsi="仿宋" w:eastAsia="仿宋" w:cs="宋体"/>
          <w:color w:val="auto"/>
          <w:kern w:val="0"/>
          <w:sz w:val="24"/>
          <w:highlight w:val="none"/>
          <w:lang w:val="zh-CN"/>
        </w:rPr>
        <w:t>日期：   年   月   日</w:t>
      </w:r>
    </w:p>
    <w:p>
      <w:pPr>
        <w:pStyle w:val="694"/>
        <w:keepNext w:val="0"/>
        <w:pageBreakBefore w:val="0"/>
        <w:tabs>
          <w:tab w:val="clear" w:pos="720"/>
        </w:tabs>
        <w:snapToGrid w:val="0"/>
        <w:spacing w:before="120" w:after="120"/>
        <w:jc w:val="both"/>
        <w:outlineLvl w:val="9"/>
        <w:rPr>
          <w:rFonts w:hint="eastAsia" w:ascii="仿宋" w:hAnsi="仿宋" w:eastAsia="仿宋" w:cs="仿宋"/>
          <w:color w:val="000000" w:themeColor="text1"/>
          <w:kern w:val="2"/>
          <w:sz w:val="32"/>
          <w:szCs w:val="32"/>
          <w:highlight w:val="none"/>
          <w14:textFill>
            <w14:solidFill>
              <w14:schemeClr w14:val="tx1"/>
            </w14:solidFill>
          </w14:textFill>
        </w:rPr>
      </w:pPr>
    </w:p>
    <w:p>
      <w:pPr>
        <w:pStyle w:val="694"/>
        <w:keepNext w:val="0"/>
        <w:pageBreakBefore w:val="0"/>
        <w:tabs>
          <w:tab w:val="clear" w:pos="720"/>
        </w:tabs>
        <w:snapToGrid w:val="0"/>
        <w:spacing w:before="120" w:after="120"/>
        <w:ind w:firstLine="643"/>
        <w:outlineLvl w:val="9"/>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二、</w:t>
      </w:r>
      <w:r>
        <w:rPr>
          <w:rFonts w:hint="eastAsia" w:ascii="仿宋" w:hAnsi="仿宋" w:eastAsia="仿宋" w:cs="仿宋"/>
          <w:color w:val="000000" w:themeColor="text1"/>
          <w:sz w:val="32"/>
          <w:szCs w:val="32"/>
          <w:highlight w:val="none"/>
          <w14:textFill>
            <w14:solidFill>
              <w14:schemeClr w14:val="tx1"/>
            </w14:solidFill>
          </w14:textFill>
        </w:rPr>
        <w:t>中小企业声明函（如果有）</w:t>
      </w:r>
    </w:p>
    <w:p>
      <w:pPr>
        <w:widowControl/>
        <w:spacing w:line="360" w:lineRule="auto"/>
        <w:ind w:firstLine="120" w:firstLineChars="5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pStyle w:val="81"/>
        <w:ind w:firstLine="482"/>
        <w:rPr>
          <w:rFonts w:hint="eastAsia" w:ascii="仿宋" w:hAnsi="仿宋" w:eastAsia="仿宋" w:cs="仿宋"/>
          <w:b/>
          <w:color w:val="000000" w:themeColor="text1"/>
          <w:sz w:val="24"/>
          <w:highlight w:val="none"/>
          <w14:textFill>
            <w14:solidFill>
              <w14:schemeClr w14:val="tx1"/>
            </w14:solidFill>
          </w14:textFill>
        </w:rPr>
      </w:pPr>
    </w:p>
    <w:p>
      <w:pPr>
        <w:pStyle w:val="81"/>
        <w:ind w:firstLine="482"/>
        <w:rPr>
          <w:rFonts w:hint="eastAsia" w:ascii="仿宋" w:hAnsi="仿宋" w:eastAsia="仿宋" w:cs="仿宋"/>
          <w:b/>
          <w:color w:val="000000" w:themeColor="text1"/>
          <w:sz w:val="24"/>
          <w:highlight w:val="none"/>
          <w14:textFill>
            <w14:solidFill>
              <w14:schemeClr w14:val="tx1"/>
            </w14:solidFill>
          </w14:textFill>
        </w:rPr>
      </w:pPr>
    </w:p>
    <w:p>
      <w:pPr>
        <w:pStyle w:val="694"/>
        <w:keepNext w:val="0"/>
        <w:pageBreakBefore w:val="0"/>
        <w:tabs>
          <w:tab w:val="clear" w:pos="720"/>
        </w:tabs>
        <w:snapToGrid w:val="0"/>
        <w:spacing w:before="120" w:after="120"/>
        <w:ind w:firstLine="643"/>
        <w:outlineLvl w:val="9"/>
        <w:rPr>
          <w:rFonts w:hint="eastAsia" w:ascii="仿宋" w:hAnsi="仿宋" w:eastAsia="仿宋" w:cs="仿宋"/>
          <w:b w:val="0"/>
          <w:color w:val="000000" w:themeColor="text1"/>
          <w:sz w:val="32"/>
          <w:szCs w:val="32"/>
          <w:highlight w:val="none"/>
          <w14:textFill>
            <w14:solidFill>
              <w14:schemeClr w14:val="tx1"/>
            </w14:solidFill>
          </w14:textFill>
        </w:rPr>
      </w:pPr>
    </w:p>
    <w:p>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pPr>
        <w:pStyle w:val="5"/>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附件</w:t>
      </w:r>
    </w:p>
    <w:p>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附件1：</w:t>
      </w:r>
    </w:p>
    <w:p>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bookmarkStart w:id="513" w:name="OLE_LINK14"/>
      <w:bookmarkStart w:id="514" w:name="OLE_LINK13"/>
      <w:r>
        <w:rPr>
          <w:rFonts w:hint="eastAsia" w:ascii="仿宋" w:hAnsi="仿宋" w:eastAsia="仿宋" w:cs="仿宋"/>
          <w:b/>
          <w:color w:val="000000" w:themeColor="text1"/>
          <w:spacing w:val="6"/>
          <w:sz w:val="32"/>
          <w:szCs w:val="32"/>
          <w:highlight w:val="none"/>
          <w14:textFill>
            <w14:solidFill>
              <w14:schemeClr w14:val="tx1"/>
            </w14:solidFill>
          </w14:textFill>
        </w:rPr>
        <w:t>残疾人福利性单位声明函</w:t>
      </w:r>
    </w:p>
    <w:bookmarkEnd w:id="513"/>
    <w:bookmarkEnd w:id="514"/>
    <w:p>
      <w:pPr>
        <w:spacing w:line="360" w:lineRule="auto"/>
        <w:rPr>
          <w:rFonts w:hint="eastAsia" w:ascii="仿宋" w:hAnsi="仿宋" w:eastAsia="仿宋" w:cs="仿宋"/>
          <w:b/>
          <w:color w:val="000000" w:themeColor="text1"/>
          <w:spacing w:val="6"/>
          <w:sz w:val="30"/>
          <w:szCs w:val="30"/>
          <w:highlight w:val="none"/>
          <w14:textFill>
            <w14:solidFill>
              <w14:schemeClr w14:val="tx1"/>
            </w14:solidFill>
          </w14:textFill>
        </w:rPr>
      </w:pP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000000" w:themeColor="text1"/>
          <w:sz w:val="24"/>
          <w:highlight w:val="none"/>
          <w:u w:val="single"/>
          <w14:textFill>
            <w14:solidFill>
              <w14:schemeClr w14:val="tx1"/>
            </w14:solidFill>
          </w14:textFill>
        </w:rPr>
        <w:t>(采购人)</w:t>
      </w:r>
      <w:r>
        <w:rPr>
          <w:rFonts w:hint="eastAsia" w:ascii="仿宋" w:hAnsi="仿宋" w:eastAsia="仿宋" w:cs="仿宋"/>
          <w:color w:val="000000" w:themeColor="text1"/>
          <w:sz w:val="24"/>
          <w:highlight w:val="none"/>
          <w14:textFill>
            <w14:solidFill>
              <w14:schemeClr w14:val="tx1"/>
            </w14:solidFill>
          </w14:textFill>
        </w:rPr>
        <w:t>_单位的_</w:t>
      </w:r>
      <w:r>
        <w:rPr>
          <w:rFonts w:hint="eastAsia" w:ascii="仿宋" w:hAnsi="仿宋" w:eastAsia="仿宋" w:cs="仿宋"/>
          <w:color w:val="000000" w:themeColor="text1"/>
          <w:sz w:val="24"/>
          <w:highlight w:val="none"/>
          <w:u w:val="single"/>
          <w14:textFill>
            <w14:solidFill>
              <w14:schemeClr w14:val="tx1"/>
            </w14:solidFill>
          </w14:textFill>
        </w:rPr>
        <w:t>（项目名称）</w:t>
      </w:r>
      <w:r>
        <w:rPr>
          <w:rFonts w:hint="eastAsia" w:ascii="仿宋" w:hAnsi="仿宋" w:eastAsia="仿宋" w:cs="仿宋"/>
          <w:color w:val="000000" w:themeColor="text1"/>
          <w:sz w:val="24"/>
          <w:highlight w:val="none"/>
          <w14:textFill>
            <w14:solidFill>
              <w14:schemeClr w14:val="tx1"/>
            </w14:solidFill>
          </w14:textFill>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本单位对上述声明的真实性负责。如有虚假，将依法承担相应责任。</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pPr>
        <w:tabs>
          <w:tab w:val="left" w:pos="4860"/>
        </w:tabs>
        <w:spacing w:line="360" w:lineRule="auto"/>
        <w:ind w:right="1560" w:firstLine="480" w:firstLineChars="20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投标人名称（电子签名）</w:t>
      </w:r>
      <w:r>
        <w:rPr>
          <w:rFonts w:hint="eastAsia" w:ascii="仿宋" w:hAnsi="仿宋" w:eastAsia="仿宋" w:cs="仿宋"/>
          <w:color w:val="000000" w:themeColor="text1"/>
          <w:sz w:val="24"/>
          <w:highlight w:val="none"/>
          <w14:textFill>
            <w14:solidFill>
              <w14:schemeClr w14:val="tx1"/>
            </w14:solidFill>
          </w14:textFill>
        </w:rPr>
        <w:t>：</w:t>
      </w:r>
    </w:p>
    <w:p>
      <w:pPr>
        <w:tabs>
          <w:tab w:val="left" w:pos="4860"/>
        </w:tabs>
        <w:spacing w:line="360" w:lineRule="auto"/>
        <w:ind w:right="1560" w:firstLine="480" w:firstLineChars="20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  期：</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420" w:firstLineChars="200"/>
        <w:rPr>
          <w:rFonts w:hint="eastAsia" w:ascii="仿宋" w:hAnsi="仿宋" w:eastAsia="仿宋" w:cs="仿宋"/>
          <w:color w:val="000000" w:themeColor="text1"/>
          <w:highlight w:val="none"/>
          <w14:textFill>
            <w14:solidFill>
              <w14:schemeClr w14:val="tx1"/>
            </w14:solidFill>
          </w14:textFill>
        </w:rPr>
      </w:pPr>
    </w:p>
    <w:p>
      <w:pPr>
        <w:spacing w:line="360" w:lineRule="auto"/>
        <w:ind w:firstLine="420" w:firstLineChars="200"/>
        <w:rPr>
          <w:rFonts w:hint="eastAsia" w:ascii="仿宋" w:hAnsi="仿宋" w:eastAsia="仿宋" w:cs="仿宋"/>
          <w:color w:val="000000" w:themeColor="text1"/>
          <w:highlight w:val="none"/>
          <w14:textFill>
            <w14:solidFill>
              <w14:schemeClr w14:val="tx1"/>
            </w14:solidFill>
          </w14:textFill>
        </w:rPr>
      </w:pPr>
    </w:p>
    <w:p>
      <w:pPr>
        <w:spacing w:line="360" w:lineRule="auto"/>
        <w:ind w:firstLine="420" w:firstLineChars="200"/>
        <w:rPr>
          <w:rFonts w:hint="eastAsia" w:ascii="仿宋" w:hAnsi="仿宋" w:eastAsia="仿宋" w:cs="仿宋"/>
          <w:color w:val="000000" w:themeColor="text1"/>
          <w:highlight w:val="none"/>
          <w14:textFill>
            <w14:solidFill>
              <w14:schemeClr w14:val="tx1"/>
            </w14:solidFill>
          </w14:textFill>
        </w:rPr>
      </w:pPr>
    </w:p>
    <w:p>
      <w:pPr>
        <w:spacing w:line="360" w:lineRule="auto"/>
        <w:ind w:firstLine="420" w:firstLineChars="200"/>
        <w:rPr>
          <w:rFonts w:hint="eastAsia" w:ascii="仿宋" w:hAnsi="仿宋" w:eastAsia="仿宋" w:cs="仿宋"/>
          <w:color w:val="000000" w:themeColor="text1"/>
          <w:highlight w:val="none"/>
          <w14:textFill>
            <w14:solidFill>
              <w14:schemeClr w14:val="tx1"/>
            </w14:solidFill>
          </w14:textFill>
        </w:rPr>
      </w:pPr>
    </w:p>
    <w:p>
      <w:pPr>
        <w:spacing w:line="360" w:lineRule="auto"/>
        <w:rPr>
          <w:rFonts w:hint="eastAsia" w:ascii="仿宋" w:hAnsi="仿宋" w:eastAsia="仿宋" w:cs="仿宋"/>
          <w:b/>
          <w:color w:val="000000" w:themeColor="text1"/>
          <w:sz w:val="24"/>
          <w:highlight w:val="none"/>
          <w14:textFill>
            <w14:solidFill>
              <w14:schemeClr w14:val="tx1"/>
            </w14:solidFill>
          </w14:textFill>
        </w:rPr>
      </w:pPr>
    </w:p>
    <w:p>
      <w:pPr>
        <w:spacing w:line="360" w:lineRule="auto"/>
        <w:rPr>
          <w:rFonts w:hint="eastAsia" w:ascii="仿宋" w:hAnsi="仿宋" w:eastAsia="仿宋" w:cs="仿宋"/>
          <w:b/>
          <w:color w:val="000000" w:themeColor="text1"/>
          <w:sz w:val="24"/>
          <w:highlight w:val="none"/>
          <w14:textFill>
            <w14:solidFill>
              <w14:schemeClr w14:val="tx1"/>
            </w14:solidFill>
          </w14:textFill>
        </w:rPr>
      </w:pPr>
    </w:p>
    <w:p>
      <w:pPr>
        <w:spacing w:line="360" w:lineRule="auto"/>
        <w:rPr>
          <w:rFonts w:hint="eastAsia" w:ascii="仿宋" w:hAnsi="仿宋" w:eastAsia="仿宋" w:cs="仿宋"/>
          <w:b/>
          <w:color w:val="000000" w:themeColor="text1"/>
          <w:sz w:val="24"/>
          <w:highlight w:val="none"/>
          <w14:textFill>
            <w14:solidFill>
              <w14:schemeClr w14:val="tx1"/>
            </w14:solidFill>
          </w14:textFill>
        </w:rPr>
      </w:pPr>
    </w:p>
    <w:p>
      <w:pPr>
        <w:spacing w:line="360" w:lineRule="auto"/>
        <w:rPr>
          <w:rFonts w:hint="eastAsia" w:ascii="仿宋" w:hAnsi="仿宋" w:eastAsia="仿宋" w:cs="仿宋"/>
          <w:b/>
          <w:color w:val="000000" w:themeColor="text1"/>
          <w:sz w:val="24"/>
          <w:highlight w:val="none"/>
          <w14:textFill>
            <w14:solidFill>
              <w14:schemeClr w14:val="tx1"/>
            </w14:solidFill>
          </w14:textFill>
        </w:rPr>
      </w:pPr>
    </w:p>
    <w:p>
      <w:pPr>
        <w:spacing w:line="360" w:lineRule="auto"/>
        <w:rPr>
          <w:rFonts w:hint="eastAsia" w:ascii="仿宋" w:hAnsi="仿宋" w:eastAsia="仿宋" w:cs="仿宋"/>
          <w:b/>
          <w:color w:val="000000" w:themeColor="text1"/>
          <w:sz w:val="24"/>
          <w:highlight w:val="none"/>
          <w14:textFill>
            <w14:solidFill>
              <w14:schemeClr w14:val="tx1"/>
            </w14:solidFill>
          </w14:textFill>
        </w:rPr>
      </w:pPr>
    </w:p>
    <w:p>
      <w:pPr>
        <w:spacing w:line="360" w:lineRule="auto"/>
        <w:rPr>
          <w:rFonts w:hint="eastAsia" w:ascii="仿宋" w:hAnsi="仿宋" w:eastAsia="仿宋" w:cs="仿宋"/>
          <w:b/>
          <w:color w:val="000000" w:themeColor="text1"/>
          <w:sz w:val="24"/>
          <w:highlight w:val="none"/>
          <w14:textFill>
            <w14:solidFill>
              <w14:schemeClr w14:val="tx1"/>
            </w14:solidFill>
          </w14:textFill>
        </w:rPr>
      </w:pPr>
    </w:p>
    <w:p>
      <w:pPr>
        <w:spacing w:line="360" w:lineRule="auto"/>
        <w:rPr>
          <w:rFonts w:hint="eastAsia" w:ascii="仿宋" w:hAnsi="仿宋" w:eastAsia="仿宋" w:cs="仿宋"/>
          <w:b/>
          <w:color w:val="000000" w:themeColor="text1"/>
          <w:sz w:val="24"/>
          <w:highlight w:val="none"/>
          <w14:textFill>
            <w14:solidFill>
              <w14:schemeClr w14:val="tx1"/>
            </w14:solidFill>
          </w14:textFill>
        </w:rPr>
      </w:pPr>
    </w:p>
    <w:p>
      <w:pPr>
        <w:spacing w:line="360" w:lineRule="auto"/>
        <w:rPr>
          <w:rFonts w:hint="eastAsia" w:ascii="仿宋" w:hAnsi="仿宋" w:eastAsia="仿宋" w:cs="仿宋"/>
          <w:b/>
          <w:color w:val="000000" w:themeColor="text1"/>
          <w:sz w:val="24"/>
          <w:highlight w:val="none"/>
          <w14:textFill>
            <w14:solidFill>
              <w14:schemeClr w14:val="tx1"/>
            </w14:solidFill>
          </w14:textFill>
        </w:rPr>
      </w:pPr>
    </w:p>
    <w:p>
      <w:pPr>
        <w:spacing w:line="360" w:lineRule="auto"/>
        <w:rPr>
          <w:rFonts w:hint="eastAsia" w:ascii="仿宋" w:hAnsi="仿宋" w:eastAsia="仿宋" w:cs="仿宋"/>
          <w:b/>
          <w:color w:val="000000" w:themeColor="text1"/>
          <w:sz w:val="24"/>
          <w:highlight w:val="none"/>
          <w14:textFill>
            <w14:solidFill>
              <w14:schemeClr w14:val="tx1"/>
            </w14:solidFill>
          </w14:textFill>
        </w:rPr>
      </w:pPr>
    </w:p>
    <w:p>
      <w:pPr>
        <w:spacing w:line="360" w:lineRule="auto"/>
        <w:jc w:val="left"/>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附件2：质疑函范本及制作说明</w:t>
      </w:r>
    </w:p>
    <w:p>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质疑函范本</w:t>
      </w:r>
    </w:p>
    <w:p>
      <w:pPr>
        <w:snapToGrid w:val="0"/>
        <w:spacing w:before="240" w:beforeLines="100"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一、质疑供应商基本信息</w:t>
      </w:r>
    </w:p>
    <w:p>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地址： </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二、质疑项目基本情况</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采购文件获取日期：</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三、质疑事项具体内容</w:t>
      </w:r>
    </w:p>
    <w:p>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质疑事项2</w:t>
      </w:r>
    </w:p>
    <w:p>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pPr>
        <w:snapToGrid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四、与质疑事项相关的质疑请求</w:t>
      </w:r>
    </w:p>
    <w:p>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pPr>
        <w:spacing w:line="360" w:lineRule="auto"/>
        <w:jc w:val="center"/>
        <w:rPr>
          <w:rFonts w:hint="eastAsia" w:ascii="仿宋" w:hAnsi="仿宋" w:eastAsia="仿宋" w:cs="仿宋"/>
          <w:b/>
          <w:bCs/>
          <w:color w:val="000000" w:themeColor="text1"/>
          <w:sz w:val="24"/>
          <w:highlight w:val="none"/>
          <w14:textFill>
            <w14:solidFill>
              <w14:schemeClr w14:val="tx1"/>
            </w14:solidFill>
          </w14:textFill>
        </w:rPr>
      </w:pPr>
    </w:p>
    <w:p>
      <w:pPr>
        <w:spacing w:line="360" w:lineRule="auto"/>
        <w:rPr>
          <w:rFonts w:hint="eastAsia" w:ascii="仿宋" w:hAnsi="仿宋" w:eastAsia="仿宋" w:cs="仿宋"/>
          <w:b/>
          <w:color w:val="000000" w:themeColor="text1"/>
          <w:sz w:val="24"/>
          <w:highlight w:val="none"/>
          <w14:textFill>
            <w14:solidFill>
              <w14:schemeClr w14:val="tx1"/>
            </w14:solidFill>
          </w14:textFill>
        </w:rPr>
      </w:pPr>
    </w:p>
    <w:p>
      <w:pPr>
        <w:spacing w:line="360" w:lineRule="auto"/>
        <w:rPr>
          <w:rFonts w:hint="eastAsia" w:ascii="仿宋" w:hAnsi="仿宋" w:eastAsia="仿宋" w:cs="仿宋"/>
          <w:b/>
          <w:color w:val="000000" w:themeColor="text1"/>
          <w:sz w:val="24"/>
          <w:highlight w:val="none"/>
          <w14:textFill>
            <w14:solidFill>
              <w14:schemeClr w14:val="tx1"/>
            </w14:solidFill>
          </w14:textFill>
        </w:rPr>
      </w:pPr>
    </w:p>
    <w:p>
      <w:pPr>
        <w:spacing w:line="360" w:lineRule="auto"/>
        <w:rPr>
          <w:rFonts w:hint="eastAsia" w:ascii="仿宋" w:hAnsi="仿宋" w:eastAsia="仿宋" w:cs="仿宋"/>
          <w:b/>
          <w:color w:val="000000" w:themeColor="text1"/>
          <w:sz w:val="24"/>
          <w:highlight w:val="none"/>
          <w14:textFill>
            <w14:solidFill>
              <w14:schemeClr w14:val="tx1"/>
            </w14:solidFill>
          </w14:textFill>
        </w:rPr>
      </w:pPr>
    </w:p>
    <w:p>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质疑函制作说明：</w:t>
      </w:r>
    </w:p>
    <w:p>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1.供应商提出质疑时，应提交质疑函和必要的证明材料。</w:t>
      </w:r>
    </w:p>
    <w:p>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仿宋" w:hAnsi="仿宋" w:eastAsia="仿宋" w:cs="仿宋"/>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3.质疑供应商若对项目的某一分包进行质疑，质疑函中应列明具体分包号。</w:t>
      </w:r>
    </w:p>
    <w:p>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4.质疑函的质疑事项应具体、明确，并有必要的事实依据和法律依据。</w:t>
      </w:r>
    </w:p>
    <w:p>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5.质疑函的质疑请求应与质疑事项相关。</w:t>
      </w:r>
    </w:p>
    <w:p>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仿宋" w:hAnsi="仿宋" w:eastAsia="仿宋" w:cs="仿宋"/>
          <w:color w:val="000000" w:themeColor="text1"/>
          <w:sz w:val="30"/>
          <w:szCs w:val="30"/>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left"/>
        <w:rPr>
          <w:rFonts w:hint="eastAsia"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left"/>
        <w:rPr>
          <w:rFonts w:hint="eastAsia"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left"/>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附件3：投诉书范本及制作说明</w:t>
      </w:r>
    </w:p>
    <w:p>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投诉书范本</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一、投诉相关主体基本情况</w:t>
      </w:r>
    </w:p>
    <w:p>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tabs>
          <w:tab w:val="left" w:pos="6510"/>
        </w:tabs>
        <w:spacing w:line="360" w:lineRule="auto"/>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法定代表人/主要负责人：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pPr>
        <w:tabs>
          <w:tab w:val="left" w:pos="6510"/>
        </w:tabs>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被投诉人1：</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被投诉人2</w:t>
      </w:r>
    </w:p>
    <w:p>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相关供应商：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二、投诉项目基本情况</w:t>
      </w:r>
    </w:p>
    <w:p>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代理机构名称：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采购结果公告: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三、质疑基本情况</w:t>
      </w:r>
    </w:p>
    <w:p>
      <w:pPr>
        <w:spacing w:line="360" w:lineRule="auto"/>
        <w:ind w:firstLine="480" w:firstLineChars="20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日,向</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提出质疑，质疑事项为：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pPr>
        <w:spacing w:line="360" w:lineRule="auto"/>
        <w:ind w:firstLine="360" w:firstLineChars="1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采购人/代理机构</w:t>
      </w:r>
      <w:r>
        <w:rPr>
          <w:rFonts w:hint="eastAsia" w:ascii="仿宋" w:hAnsi="仿宋" w:eastAsia="仿宋" w:cs="仿宋"/>
          <w:color w:val="000000" w:themeColor="text1"/>
          <w:sz w:val="24"/>
          <w:highlight w:val="none"/>
          <w14:textFill>
            <w14:solidFill>
              <w14:schemeClr w14:val="tx1"/>
            </w14:solidFill>
          </w14:textFill>
        </w:rPr>
        <w:t>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日,就质疑事项作出了答复/没有在法定期限内作出答复。</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四、投诉事项具体内容</w:t>
      </w:r>
    </w:p>
    <w:p>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 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投诉事项2</w:t>
      </w:r>
    </w:p>
    <w:p>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五、与投诉事项相关的投诉请求</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pPr>
        <w:spacing w:line="360" w:lineRule="auto"/>
        <w:rPr>
          <w:rFonts w:hint="eastAsia" w:ascii="仿宋" w:hAnsi="仿宋" w:eastAsia="仿宋" w:cs="仿宋"/>
          <w:b/>
          <w:color w:val="000000" w:themeColor="text1"/>
          <w:sz w:val="24"/>
          <w:highlight w:val="none"/>
          <w14:textFill>
            <w14:solidFill>
              <w14:schemeClr w14:val="tx1"/>
            </w14:solidFill>
          </w14:textFill>
        </w:rPr>
      </w:pPr>
    </w:p>
    <w:p>
      <w:pPr>
        <w:spacing w:line="360" w:lineRule="auto"/>
        <w:rPr>
          <w:rFonts w:hint="eastAsia" w:ascii="仿宋" w:hAnsi="仿宋" w:eastAsia="仿宋" w:cs="仿宋"/>
          <w:b/>
          <w:color w:val="000000" w:themeColor="text1"/>
          <w:sz w:val="24"/>
          <w:highlight w:val="none"/>
          <w14:textFill>
            <w14:solidFill>
              <w14:schemeClr w14:val="tx1"/>
            </w14:solidFill>
          </w14:textFill>
        </w:rPr>
      </w:pPr>
    </w:p>
    <w:p>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投诉书制作说明：</w:t>
      </w:r>
    </w:p>
    <w:p>
      <w:pPr>
        <w:widowControl/>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仿宋" w:hAnsi="仿宋" w:eastAsia="仿宋" w:cs="仿宋"/>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3.投诉人若对项目的某一分包进行投诉，投诉书应列明具体分包号。</w:t>
      </w:r>
    </w:p>
    <w:p>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4.投诉书应简要列明质疑事项，质疑函、质疑答复等作为附件材料提供。</w:t>
      </w:r>
    </w:p>
    <w:p>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5.投诉书的投诉事项应具体、明确，并有必要的事实依据和法律依据。</w:t>
      </w:r>
    </w:p>
    <w:p>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6.投诉书的投诉请求应与投诉事项相关。</w:t>
      </w:r>
    </w:p>
    <w:p>
      <w:pPr>
        <w:widowControl/>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仿宋" w:hAnsi="仿宋" w:eastAsia="仿宋" w:cs="仿宋"/>
          <w:b/>
          <w:color w:val="000000" w:themeColor="text1"/>
          <w:sz w:val="24"/>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附件4：</w:t>
      </w:r>
      <w:r>
        <w:rPr>
          <w:rFonts w:hint="eastAsia" w:ascii="仿宋" w:hAnsi="仿宋" w:eastAsia="仿宋" w:cs="仿宋"/>
          <w:b/>
          <w:bCs/>
          <w:color w:val="000000" w:themeColor="text1"/>
          <w:sz w:val="32"/>
          <w:szCs w:val="32"/>
          <w:highlight w:val="none"/>
          <w14:textFill>
            <w14:solidFill>
              <w14:schemeClr w14:val="tx1"/>
            </w14:solidFill>
          </w14:textFill>
        </w:rPr>
        <w:t>业务专用章使用说明函</w:t>
      </w:r>
    </w:p>
    <w:p>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p>
    <w:p>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（采购人）、（采购代理机构）：</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我方</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(投标人全称)是中华人民共和国依法登记注册的合法企业，</w:t>
      </w:r>
      <w:r>
        <w:rPr>
          <w:rFonts w:hint="eastAsia" w:ascii="仿宋" w:hAnsi="仿宋" w:eastAsia="仿宋" w:cs="仿宋"/>
          <w:bCs/>
          <w:color w:val="000000" w:themeColor="text1"/>
          <w:sz w:val="24"/>
          <w:highlight w:val="none"/>
          <w14:textFill>
            <w14:solidFill>
              <w14:schemeClr w14:val="tx1"/>
            </w14:solidFill>
          </w14:textFill>
        </w:rPr>
        <w:t>在参加</w:t>
      </w:r>
      <w:r>
        <w:rPr>
          <w:rFonts w:hint="eastAsia" w:ascii="仿宋" w:hAnsi="仿宋" w:eastAsia="仿宋" w:cs="仿宋"/>
          <w:color w:val="000000" w:themeColor="text1"/>
          <w:sz w:val="24"/>
          <w:highlight w:val="none"/>
          <w14:textFill>
            <w14:solidFill>
              <w14:schemeClr w14:val="tx1"/>
            </w14:solidFill>
          </w14:textFill>
        </w:rPr>
        <w:t>你方组织的（项目名称）【招标编号：（采购编号）】</w:t>
      </w:r>
      <w:r>
        <w:rPr>
          <w:rFonts w:hint="eastAsia" w:ascii="仿宋" w:hAnsi="仿宋" w:eastAsia="仿宋" w:cs="仿宋"/>
          <w:bCs/>
          <w:color w:val="000000" w:themeColor="text1"/>
          <w:sz w:val="24"/>
          <w:highlight w:val="none"/>
          <w14:textFill>
            <w14:solidFill>
              <w14:schemeClr w14:val="tx1"/>
            </w14:solidFill>
          </w14:textFill>
        </w:rPr>
        <w:t>投标活动中作如下说明：</w:t>
      </w:r>
      <w:r>
        <w:rPr>
          <w:rFonts w:hint="eastAsia" w:ascii="仿宋" w:hAnsi="仿宋" w:eastAsia="仿宋" w:cs="仿宋"/>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特此说明。</w:t>
      </w:r>
    </w:p>
    <w:p>
      <w:pPr>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pPr>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pPr>
        <w:spacing w:line="360" w:lineRule="auto"/>
        <w:ind w:right="480" w:firstLine="4080" w:firstLineChars="17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投标单位（法定名称章）：</w:t>
      </w:r>
    </w:p>
    <w:p>
      <w:pPr>
        <w:ind w:right="1440" w:firstLine="494"/>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pP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附：</w:t>
      </w:r>
    </w:p>
    <w:p>
      <w:pPr>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000000" w:themeColor="text1"/>
          <w:sz w:val="24"/>
          <w:highlight w:val="none"/>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000000" w:themeColor="text1"/>
          <w:sz w:val="24"/>
          <w:highlight w:val="none"/>
          <w14:textFill>
            <w14:solidFill>
              <w14:schemeClr w14:val="tx1"/>
            </w14:solidFill>
          </w14:textFill>
        </w:rPr>
        <w:t>投标单位法定名称章（印模）                投标单位“XX专用章”（印模）</w:t>
      </w: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附件5：</w:t>
      </w:r>
      <w:r>
        <w:rPr>
          <w:rFonts w:hint="eastAsia" w:ascii="仿宋" w:hAnsi="仿宋" w:eastAsia="仿宋" w:cs="仿宋"/>
          <w:b/>
          <w:color w:val="000000" w:themeColor="text1"/>
          <w:kern w:val="0"/>
          <w:sz w:val="32"/>
          <w:szCs w:val="32"/>
          <w:highlight w:val="none"/>
          <w:lang w:val="zh-CN"/>
          <w14:textFill>
            <w14:solidFill>
              <w14:schemeClr w14:val="tx1"/>
            </w14:solidFill>
          </w14:textFill>
        </w:rPr>
        <w:t>联合协议</w:t>
      </w:r>
    </w:p>
    <w:p>
      <w:pPr>
        <w:widowControl/>
        <w:spacing w:line="360" w:lineRule="auto"/>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（以联合体形式投标的，提供联合协议；本项目不接受联合体投标或者投标人不以联合体形式投标的，则不需要提供）</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（联合体所有成员名称）</w:t>
      </w:r>
      <w:r>
        <w:rPr>
          <w:rFonts w:hint="eastAsia" w:ascii="仿宋" w:hAnsi="仿宋" w:eastAsia="仿宋" w:cs="仿宋"/>
          <w:color w:val="000000" w:themeColor="text1"/>
          <w:kern w:val="0"/>
          <w:sz w:val="24"/>
          <w:highlight w:val="none"/>
          <w14:textFill>
            <w14:solidFill>
              <w14:schemeClr w14:val="tx1"/>
            </w14:solidFill>
          </w14:textFill>
        </w:rPr>
        <w:t>自愿</w:t>
      </w:r>
      <w:r>
        <w:rPr>
          <w:rFonts w:hint="eastAsia" w:ascii="仿宋" w:hAnsi="仿宋" w:eastAsia="仿宋" w:cs="仿宋"/>
          <w:color w:val="000000" w:themeColor="text1"/>
          <w:kern w:val="0"/>
          <w:sz w:val="24"/>
          <w:highlight w:val="none"/>
          <w:lang w:val="zh-CN"/>
          <w14:textFill>
            <w14:solidFill>
              <w14:schemeClr w14:val="tx1"/>
            </w14:solidFill>
          </w14:textFill>
        </w:rPr>
        <w:t>组成一个联合体，以一个投标人的身份</w:t>
      </w:r>
      <w:r>
        <w:rPr>
          <w:rFonts w:hint="eastAsia" w:ascii="仿宋" w:hAnsi="仿宋" w:eastAsia="仿宋" w:cs="仿宋"/>
          <w:color w:val="000000" w:themeColor="text1"/>
          <w:kern w:val="0"/>
          <w:sz w:val="24"/>
          <w:highlight w:val="none"/>
          <w14:textFill>
            <w14:solidFill>
              <w14:schemeClr w14:val="tx1"/>
            </w14:solidFill>
          </w14:textFill>
        </w:rPr>
        <w:t>参加</w:t>
      </w:r>
      <w:r>
        <w:rPr>
          <w:rFonts w:hint="eastAsia" w:ascii="仿宋" w:hAnsi="仿宋" w:eastAsia="仿宋" w:cs="仿宋"/>
          <w:color w:val="000000" w:themeColor="text1"/>
          <w:sz w:val="24"/>
          <w:highlight w:val="none"/>
          <w14:textFill>
            <w14:solidFill>
              <w14:schemeClr w14:val="tx1"/>
            </w14:solidFill>
          </w14:textFill>
        </w:rPr>
        <w:t>（项目名称）【招标编号：（采购编号）】</w:t>
      </w:r>
      <w:r>
        <w:rPr>
          <w:rFonts w:hint="eastAsia" w:ascii="仿宋" w:hAnsi="仿宋" w:eastAsia="仿宋" w:cs="仿宋"/>
          <w:color w:val="000000" w:themeColor="text1"/>
          <w:kern w:val="0"/>
          <w:sz w:val="24"/>
          <w:highlight w:val="none"/>
          <w:lang w:val="zh-CN"/>
          <w14:textFill>
            <w14:solidFill>
              <w14:schemeClr w14:val="tx1"/>
            </w14:solidFill>
          </w14:textFill>
        </w:rPr>
        <w:t xml:space="preserve">投标。 </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一、各方一致决定，</w:t>
      </w:r>
      <w:r>
        <w:rPr>
          <w:rFonts w:hint="eastAsia" w:ascii="仿宋" w:hAnsi="仿宋" w:eastAsia="仿宋" w:cs="仿宋"/>
          <w:color w:val="000000" w:themeColor="text1"/>
          <w:kern w:val="0"/>
          <w:sz w:val="24"/>
          <w:highlight w:val="none"/>
          <w:u w:val="single"/>
          <w14:textFill>
            <w14:solidFill>
              <w14:schemeClr w14:val="tx1"/>
            </w14:solidFill>
          </w14:textFill>
        </w:rPr>
        <w:t>（某联合体成员名称）</w:t>
      </w:r>
      <w:r>
        <w:rPr>
          <w:rFonts w:hint="eastAsia" w:ascii="仿宋" w:hAnsi="仿宋" w:eastAsia="仿宋" w:cs="仿宋"/>
          <w:color w:val="000000" w:themeColor="text1"/>
          <w:kern w:val="0"/>
          <w:sz w:val="24"/>
          <w:highlight w:val="none"/>
          <w14:textFill>
            <w14:solidFill>
              <w14:schemeClr w14:val="tx1"/>
            </w14:solidFill>
          </w14:textFill>
        </w:rPr>
        <w:t>为联合体</w:t>
      </w:r>
      <w:r>
        <w:rPr>
          <w:rFonts w:hint="eastAsia" w:ascii="仿宋" w:hAnsi="仿宋" w:eastAsia="仿宋" w:cs="仿宋"/>
          <w:color w:val="000000" w:themeColor="text1"/>
          <w:kern w:val="0"/>
          <w:sz w:val="24"/>
          <w:highlight w:val="none"/>
          <w:lang w:val="zh-CN"/>
          <w14:textFill>
            <w14:solidFill>
              <w14:schemeClr w14:val="tx1"/>
            </w14:solidFill>
          </w14:textFill>
        </w:rPr>
        <w:t>牵头人</w:t>
      </w:r>
      <w:r>
        <w:rPr>
          <w:rFonts w:hint="eastAsia" w:ascii="仿宋" w:hAnsi="仿宋" w:eastAsia="仿宋" w:cs="仿宋"/>
          <w:color w:val="000000" w:themeColor="text1"/>
          <w:sz w:val="24"/>
          <w:highlight w:val="none"/>
          <w14:textFill>
            <w14:solidFill>
              <w14:schemeClr w14:val="tx1"/>
            </w14:solidFill>
          </w14:textFill>
        </w:rPr>
        <w:t>，代表所有联合体成员负责投标和合同实施阶段的主办、协调工作</w:t>
      </w:r>
      <w:r>
        <w:rPr>
          <w:rFonts w:hint="eastAsia" w:ascii="仿宋" w:hAnsi="仿宋" w:eastAsia="仿宋" w:cs="仿宋"/>
          <w:color w:val="000000" w:themeColor="text1"/>
          <w:kern w:val="0"/>
          <w:sz w:val="24"/>
          <w:highlight w:val="none"/>
          <w:lang w:val="zh-CN"/>
          <w14:textFill>
            <w14:solidFill>
              <w14:schemeClr w14:val="tx1"/>
            </w14:solidFill>
          </w14:textFill>
        </w:rPr>
        <w:t>。</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二、</w:t>
      </w:r>
      <w:r>
        <w:rPr>
          <w:rFonts w:hint="eastAsia" w:ascii="仿宋" w:hAnsi="仿宋" w:eastAsia="仿宋" w:cs="仿宋"/>
          <w:color w:val="000000" w:themeColor="text1"/>
          <w:sz w:val="24"/>
          <w:highlight w:val="none"/>
          <w14:textFill>
            <w14:solidFill>
              <w14:schemeClr w14:val="tx1"/>
            </w14:solidFill>
          </w14:textFill>
        </w:rPr>
        <w:t>所有联合体成员各方签署授权书，授权书载明的</w:t>
      </w:r>
      <w:r>
        <w:rPr>
          <w:rFonts w:hint="eastAsia" w:ascii="仿宋" w:hAnsi="仿宋" w:eastAsia="仿宋" w:cs="仿宋"/>
          <w:color w:val="000000" w:themeColor="text1"/>
          <w:kern w:val="0"/>
          <w:sz w:val="24"/>
          <w:highlight w:val="none"/>
          <w:lang w:val="zh-CN"/>
          <w14:textFill>
            <w14:solidFill>
              <w14:schemeClr w14:val="tx1"/>
            </w14:solidFill>
          </w14:textFill>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三、本次联合投标中，分工如下：</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（联合体成员1）</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（联合体成员2）</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四、联合体成员中小企业合同份额。</w:t>
      </w:r>
    </w:p>
    <w:p>
      <w:pPr>
        <w:snapToGrid w:val="0"/>
        <w:spacing w:line="360" w:lineRule="auto"/>
        <w:ind w:firstLine="576"/>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w:t>
      </w:r>
      <w:bookmarkStart w:id="515" w:name="_Hlk101131882"/>
      <w:r>
        <w:rPr>
          <w:rFonts w:hint="eastAsia" w:ascii="仿宋" w:hAnsi="仿宋" w:eastAsia="仿宋" w:cs="仿宋"/>
          <w:color w:val="000000" w:themeColor="text1"/>
          <w:kern w:val="0"/>
          <w:sz w:val="24"/>
          <w:highlight w:val="none"/>
          <w:u w:val="single"/>
          <w14:textFill>
            <w14:solidFill>
              <w14:schemeClr w14:val="tx1"/>
            </w14:solidFill>
          </w14:textFill>
        </w:rPr>
        <w:t>联合体成员X,……</w:t>
      </w:r>
      <w:bookmarkEnd w:id="515"/>
      <w:r>
        <w:rPr>
          <w:rFonts w:hint="eastAsia" w:ascii="仿宋" w:hAnsi="仿宋" w:eastAsia="仿宋" w:cs="仿宋"/>
          <w:color w:val="000000" w:themeColor="text1"/>
          <w:kern w:val="0"/>
          <w:sz w:val="24"/>
          <w:highlight w:val="none"/>
          <w:u w:val="singl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提供的服务由小微企业承接，其合同份额占到合同总金额</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%以上</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w:t>
      </w:r>
      <w:bookmarkStart w:id="516" w:name="_Hlk101133598"/>
      <w:r>
        <w:rPr>
          <w:rFonts w:hint="eastAsia" w:ascii="仿宋" w:hAnsi="仿宋" w:eastAsia="仿宋" w:cs="仿宋"/>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000000" w:themeColor="text1"/>
          <w:sz w:val="24"/>
          <w:highlight w:val="none"/>
          <w14:textFill>
            <w14:solidFill>
              <w14:schemeClr w14:val="tx1"/>
            </w14:solidFill>
          </w14:textFill>
        </w:rPr>
        <w:t>拟享受以上价格扣除政策的，填写有关内容。</w:t>
      </w:r>
      <w:bookmarkEnd w:id="516"/>
      <w:r>
        <w:rPr>
          <w:rFonts w:hint="eastAsia" w:ascii="仿宋" w:hAnsi="仿宋" w:eastAsia="仿宋" w:cs="仿宋"/>
          <w:b/>
          <w:color w:val="000000" w:themeColor="text1"/>
          <w:kern w:val="0"/>
          <w:sz w:val="24"/>
          <w:highlight w:val="none"/>
          <w:lang w:val="zh-CN"/>
          <w14:textFill>
            <w14:solidFill>
              <w14:schemeClr w14:val="tx1"/>
            </w14:solidFill>
          </w14:textFill>
        </w:rPr>
        <w:t>）</w:t>
      </w:r>
    </w:p>
    <w:p>
      <w:pPr>
        <w:spacing w:line="360" w:lineRule="auto"/>
        <w:ind w:firstLine="480" w:firstLineChars="200"/>
        <w:rPr>
          <w:rFonts w:hint="eastAsia" w:ascii="仿宋" w:hAnsi="仿宋" w:eastAsia="仿宋" w:cs="仿宋"/>
          <w:b/>
          <w:bCs/>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bookmarkStart w:id="517" w:name="_Hlk101133173"/>
      <w:r>
        <w:rPr>
          <w:rFonts w:hint="eastAsia" w:ascii="仿宋" w:hAnsi="仿宋" w:eastAsia="仿宋" w:cs="仿宋"/>
          <w:color w:val="000000" w:themeColor="text1"/>
          <w:sz w:val="24"/>
          <w:highlight w:val="none"/>
          <w14:textFill>
            <w14:solidFill>
              <w14:schemeClr w14:val="tx1"/>
            </w14:solidFill>
          </w14:textFill>
        </w:rPr>
        <w:t>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000000" w:themeColor="text1"/>
          <w:kern w:val="0"/>
          <w:sz w:val="24"/>
          <w:highlight w:val="none"/>
          <w:lang w:val="zh-CN"/>
          <w14:textFill>
            <w14:solidFill>
              <w14:schemeClr w14:val="tx1"/>
            </w14:solidFill>
          </w14:textFill>
        </w:rPr>
        <w:t>）</w:t>
      </w:r>
      <w:bookmarkEnd w:id="517"/>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五、如果中标，</w:t>
      </w:r>
      <w:r>
        <w:rPr>
          <w:rFonts w:hint="eastAsia" w:ascii="仿宋" w:hAnsi="仿宋" w:eastAsia="仿宋" w:cs="仿宋"/>
          <w:color w:val="000000" w:themeColor="text1"/>
          <w:sz w:val="24"/>
          <w:highlight w:val="none"/>
          <w14:textFill>
            <w14:solidFill>
              <w14:schemeClr w14:val="tx1"/>
            </w14:solidFill>
          </w14:textFill>
        </w:rPr>
        <w:t>联合体各成员方共同与采购人签订合同，并就采购合同约定的事项对采购人承担连带责任。</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六、有关本次联合投标的其他事宜：</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3、本协议提交采购人、采购代理机构后，联合体各方不得以任何形式对上述内容进行修改或撤销。</w:t>
      </w:r>
    </w:p>
    <w:p>
      <w:pPr>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pPr>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pPr>
        <w:snapToGrid w:val="0"/>
        <w:spacing w:line="360" w:lineRule="auto"/>
        <w:ind w:right="960"/>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pPr>
        <w:snapToGrid w:val="0"/>
        <w:spacing w:line="360" w:lineRule="auto"/>
        <w:jc w:val="righ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  年  月   日</w:t>
      </w:r>
    </w:p>
    <w:p>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snapToGrid w:val="0"/>
        <w:spacing w:line="360" w:lineRule="auto"/>
        <w:ind w:firstLine="3666" w:firstLineChars="1100"/>
        <w:rPr>
          <w:rFonts w:hint="eastAsia" w:ascii="仿宋" w:hAnsi="仿宋" w:eastAsia="仿宋" w:cs="仿宋"/>
          <w:b/>
          <w:color w:val="000000" w:themeColor="text1"/>
          <w:spacing w:val="6"/>
          <w:sz w:val="32"/>
          <w:szCs w:val="32"/>
          <w:highlight w:val="none"/>
          <w14:textFill>
            <w14:solidFill>
              <w14:schemeClr w14:val="tx1"/>
            </w14:solidFill>
          </w14:textFill>
        </w:rPr>
      </w:pPr>
    </w:p>
    <w:p>
      <w:pPr>
        <w:widowControl/>
        <w:adjustRightInd/>
        <w:jc w:val="left"/>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br w:type="page"/>
      </w:r>
    </w:p>
    <w:p>
      <w:pPr>
        <w:snapToGrid w:val="0"/>
        <w:spacing w:line="360" w:lineRule="auto"/>
        <w:ind w:firstLine="3666" w:firstLineChars="1100"/>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附件6：</w:t>
      </w:r>
      <w:r>
        <w:rPr>
          <w:rFonts w:hint="eastAsia" w:ascii="仿宋" w:hAnsi="仿宋" w:eastAsia="仿宋" w:cs="仿宋"/>
          <w:b/>
          <w:color w:val="000000" w:themeColor="text1"/>
          <w:kern w:val="0"/>
          <w:sz w:val="32"/>
          <w:szCs w:val="32"/>
          <w:highlight w:val="none"/>
          <w14:textFill>
            <w14:solidFill>
              <w14:schemeClr w14:val="tx1"/>
            </w14:solidFill>
          </w14:textFill>
        </w:rPr>
        <w:t>分包意向协议</w:t>
      </w:r>
    </w:p>
    <w:p>
      <w:pPr>
        <w:widowControl/>
        <w:spacing w:line="360" w:lineRule="auto"/>
        <w:ind w:firstLine="120" w:firstLineChars="5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中标后以分包方式履行合同的，提供分包意向协议；采购人不同意分包或者投标人中标后不以分包方式履行合同的，则不需要提供。</w:t>
      </w:r>
      <w:r>
        <w:rPr>
          <w:rFonts w:hint="eastAsia" w:ascii="仿宋" w:hAnsi="仿宋" w:eastAsia="仿宋" w:cs="仿宋"/>
          <w:color w:val="000000" w:themeColor="text1"/>
          <w:sz w:val="24"/>
          <w:highlight w:val="none"/>
          <w14:textFill>
            <w14:solidFill>
              <w14:schemeClr w14:val="tx1"/>
            </w14:solidFill>
          </w14:textFill>
        </w:rPr>
        <w:t>）</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（投标人名称）</w:t>
      </w:r>
      <w:r>
        <w:rPr>
          <w:rFonts w:hint="eastAsia" w:ascii="仿宋" w:hAnsi="仿宋" w:eastAsia="仿宋" w:cs="仿宋"/>
          <w:color w:val="000000" w:themeColor="text1"/>
          <w:kern w:val="0"/>
          <w:sz w:val="24"/>
          <w:highlight w:val="none"/>
          <w:lang w:val="zh-CN"/>
          <w14:textFill>
            <w14:solidFill>
              <w14:schemeClr w14:val="tx1"/>
            </w14:solidFill>
          </w14:textFill>
        </w:rPr>
        <w:t>若成为</w:t>
      </w:r>
      <w:r>
        <w:rPr>
          <w:rFonts w:hint="eastAsia" w:ascii="仿宋" w:hAnsi="仿宋" w:eastAsia="仿宋" w:cs="仿宋"/>
          <w:color w:val="000000" w:themeColor="text1"/>
          <w:sz w:val="24"/>
          <w:highlight w:val="none"/>
          <w14:textFill>
            <w14:solidFill>
              <w14:schemeClr w14:val="tx1"/>
            </w14:solidFill>
          </w14:textFill>
        </w:rPr>
        <w:t>（项目名称）【招标编号：（采购编号）】</w:t>
      </w:r>
      <w:r>
        <w:rPr>
          <w:rFonts w:hint="eastAsia" w:ascii="仿宋" w:hAnsi="仿宋" w:eastAsia="仿宋" w:cs="仿宋"/>
          <w:color w:val="000000" w:themeColor="text1"/>
          <w:kern w:val="0"/>
          <w:sz w:val="24"/>
          <w:highlight w:val="none"/>
          <w:lang w:val="zh-CN"/>
          <w14:textFill>
            <w14:solidFill>
              <w14:schemeClr w14:val="tx1"/>
            </w14:solidFill>
          </w14:textFill>
        </w:rPr>
        <w:t>的中标供应商，将依法采取分包方式履行合同。</w:t>
      </w:r>
      <w:r>
        <w:rPr>
          <w:rFonts w:hint="eastAsia" w:ascii="仿宋" w:hAnsi="仿宋" w:eastAsia="仿宋" w:cs="仿宋"/>
          <w:color w:val="000000" w:themeColor="text1"/>
          <w:kern w:val="0"/>
          <w:sz w:val="24"/>
          <w:highlight w:val="none"/>
          <w:u w:val="single"/>
          <w14:textFill>
            <w14:solidFill>
              <w14:schemeClr w14:val="tx1"/>
            </w14:solidFill>
          </w14:textFill>
        </w:rPr>
        <w:t>（投标人名称）</w:t>
      </w:r>
      <w:r>
        <w:rPr>
          <w:rFonts w:hint="eastAsia" w:ascii="仿宋" w:hAnsi="仿宋" w:eastAsia="仿宋" w:cs="仿宋"/>
          <w:color w:val="000000" w:themeColor="text1"/>
          <w:kern w:val="0"/>
          <w:sz w:val="24"/>
          <w:highlight w:val="none"/>
          <w14:textFill>
            <w14:solidFill>
              <w14:schemeClr w14:val="tx1"/>
            </w14:solidFill>
          </w14:textFill>
        </w:rPr>
        <w:t>与</w:t>
      </w:r>
      <w:r>
        <w:rPr>
          <w:rFonts w:hint="eastAsia" w:ascii="仿宋" w:hAnsi="仿宋" w:eastAsia="仿宋" w:cs="仿宋"/>
          <w:color w:val="000000" w:themeColor="text1"/>
          <w:kern w:val="0"/>
          <w:sz w:val="24"/>
          <w:highlight w:val="none"/>
          <w:u w:val="single"/>
          <w14:textFill>
            <w14:solidFill>
              <w14:schemeClr w14:val="tx1"/>
            </w14:solidFill>
          </w14:textFill>
        </w:rPr>
        <w:t>（所有分包供应商名称）</w:t>
      </w:r>
      <w:r>
        <w:rPr>
          <w:rFonts w:hint="eastAsia" w:ascii="仿宋" w:hAnsi="仿宋" w:eastAsia="仿宋" w:cs="仿宋"/>
          <w:color w:val="000000" w:themeColor="text1"/>
          <w:kern w:val="0"/>
          <w:sz w:val="24"/>
          <w:highlight w:val="none"/>
          <w14:textFill>
            <w14:solidFill>
              <w14:schemeClr w14:val="tx1"/>
            </w14:solidFill>
          </w14:textFill>
        </w:rPr>
        <w:t>达成分包意向协议</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一、分包标的及数量</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（投标人名称）</w:t>
      </w:r>
      <w:r>
        <w:rPr>
          <w:rFonts w:hint="eastAsia" w:ascii="仿宋" w:hAnsi="仿宋" w:eastAsia="仿宋" w:cs="仿宋"/>
          <w:color w:val="000000" w:themeColor="text1"/>
          <w:kern w:val="0"/>
          <w:sz w:val="24"/>
          <w:highlight w:val="none"/>
          <w:lang w:val="zh-CN"/>
          <w14:textFill>
            <w14:solidFill>
              <w14:schemeClr w14:val="tx1"/>
            </w14:solidFill>
          </w14:textFill>
        </w:rPr>
        <w:t>将</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14:textFill>
            <w14:solidFill>
              <w14:schemeClr w14:val="tx1"/>
            </w14:solidFill>
          </w14:textFill>
        </w:rPr>
        <w:t xml:space="preserve"> XX工作内容   </w:t>
      </w:r>
      <w:r>
        <w:rPr>
          <w:rFonts w:hint="eastAsia" w:ascii="仿宋" w:hAnsi="仿宋" w:eastAsia="仿宋" w:cs="仿宋"/>
          <w:color w:val="000000" w:themeColor="text1"/>
          <w:sz w:val="24"/>
          <w:highlight w:val="none"/>
          <w14:textFill>
            <w14:solidFill>
              <w14:schemeClr w14:val="tx1"/>
            </w14:solidFill>
          </w14:textFill>
        </w:rPr>
        <w:t>分包给</w:t>
      </w:r>
      <w:r>
        <w:rPr>
          <w:rFonts w:hint="eastAsia" w:ascii="仿宋" w:hAnsi="仿宋" w:eastAsia="仿宋" w:cs="仿宋"/>
          <w:color w:val="000000" w:themeColor="text1"/>
          <w:kern w:val="0"/>
          <w:sz w:val="24"/>
          <w:highlight w:val="none"/>
          <w:u w:val="single"/>
          <w14:textFill>
            <w14:solidFill>
              <w14:schemeClr w14:val="tx1"/>
            </w14:solidFill>
          </w14:textFill>
        </w:rPr>
        <w:t>（分包供应商1名称）</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u w:val="single"/>
          <w14:textFill>
            <w14:solidFill>
              <w14:schemeClr w14:val="tx1"/>
            </w14:solidFill>
          </w14:textFill>
        </w:rPr>
        <w:t>（分包供应商2名称），</w:t>
      </w:r>
      <w:r>
        <w:rPr>
          <w:rFonts w:hint="eastAsia" w:ascii="仿宋" w:hAnsi="仿宋" w:eastAsia="仿宋" w:cs="仿宋"/>
          <w:color w:val="000000" w:themeColor="text1"/>
          <w:kern w:val="0"/>
          <w:sz w:val="24"/>
          <w:highlight w:val="none"/>
          <w:lang w:val="zh-CN"/>
          <w14:textFill>
            <w14:solidFill>
              <w14:schemeClr w14:val="tx1"/>
            </w14:solidFill>
          </w14:textFill>
        </w:rPr>
        <w:t>具备承</w:t>
      </w:r>
      <w:r>
        <w:rPr>
          <w:rFonts w:hint="eastAsia" w:ascii="仿宋" w:hAnsi="仿宋" w:eastAsia="仿宋" w:cs="仿宋"/>
          <w:color w:val="000000" w:themeColor="text1"/>
          <w:kern w:val="0"/>
          <w:sz w:val="24"/>
          <w:highlight w:val="none"/>
          <w14:textFill>
            <w14:solidFill>
              <w14:schemeClr w14:val="tx1"/>
            </w14:solidFill>
          </w14:textFill>
        </w:rPr>
        <w:t>担</w:t>
      </w:r>
      <w:r>
        <w:rPr>
          <w:rFonts w:hint="eastAsia" w:ascii="仿宋" w:hAnsi="仿宋" w:eastAsia="仿宋" w:cs="仿宋"/>
          <w:color w:val="000000" w:themeColor="text1"/>
          <w:kern w:val="0"/>
          <w:sz w:val="24"/>
          <w:highlight w:val="none"/>
          <w:u w:val="single"/>
          <w:lang w:val="zh-CN"/>
          <w14:textFill>
            <w14:solidFill>
              <w14:schemeClr w14:val="tx1"/>
            </w14:solidFill>
          </w14:textFill>
        </w:rPr>
        <w:t>XX工作内容</w:t>
      </w:r>
      <w:r>
        <w:rPr>
          <w:rFonts w:hint="eastAsia" w:ascii="仿宋" w:hAnsi="仿宋" w:eastAsia="仿宋" w:cs="仿宋"/>
          <w:color w:val="000000" w:themeColor="text1"/>
          <w:kern w:val="0"/>
          <w:sz w:val="24"/>
          <w:highlight w:val="none"/>
          <w:lang w:val="zh-CN"/>
          <w14:textFill>
            <w14:solidFill>
              <w14:schemeClr w14:val="tx1"/>
            </w14:solidFill>
          </w14:textFill>
        </w:rPr>
        <w:t>相应资质条件且不得再次分包；</w:t>
      </w:r>
    </w:p>
    <w:p>
      <w:pPr>
        <w:pStyle w:val="6"/>
        <w:ind w:left="664" w:leftChars="316" w:firstLine="229" w:firstLineChars="95"/>
        <w:rPr>
          <w:rFonts w:hint="eastAsia" w:ascii="仿宋" w:eastAsia="仿宋" w:cs="仿宋"/>
          <w:color w:val="000000" w:themeColor="text1"/>
          <w:kern w:val="0"/>
          <w:sz w:val="24"/>
          <w:szCs w:val="24"/>
          <w:highlight w:val="none"/>
          <w14:textFill>
            <w14:solidFill>
              <w14:schemeClr w14:val="tx1"/>
            </w14:solidFill>
          </w14:textFill>
        </w:rPr>
      </w:pPr>
      <w:r>
        <w:rPr>
          <w:rFonts w:hint="eastAsia" w:ascii="仿宋" w:eastAsia="仿宋" w:cs="仿宋"/>
          <w:color w:val="000000" w:themeColor="text1"/>
          <w:kern w:val="0"/>
          <w:sz w:val="24"/>
          <w:szCs w:val="24"/>
          <w:highlight w:val="none"/>
          <w14:textFill>
            <w14:solidFill>
              <w14:schemeClr w14:val="tx1"/>
            </w14:solidFill>
          </w14:textFill>
        </w:rPr>
        <w:t>……</w:t>
      </w:r>
    </w:p>
    <w:p>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zh-CN"/>
          <w14:textFill>
            <w14:solidFill>
              <w14:schemeClr w14:val="tx1"/>
            </w14:solidFill>
          </w14:textFill>
        </w:rPr>
        <w:t xml:space="preserve"> </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二、分包供应商中小企业合同份额</w:t>
      </w:r>
    </w:p>
    <w:p>
      <w:pPr>
        <w:snapToGrid w:val="0"/>
        <w:spacing w:line="360" w:lineRule="auto"/>
        <w:ind w:firstLine="576"/>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（分包供应商X,……）提供的服务全部由小微企业承接，</w:t>
      </w:r>
      <w:r>
        <w:rPr>
          <w:rFonts w:hint="eastAsia" w:ascii="仿宋" w:hAnsi="仿宋" w:eastAsia="仿宋" w:cs="仿宋"/>
          <w:color w:val="000000" w:themeColor="text1"/>
          <w:kern w:val="0"/>
          <w:sz w:val="24"/>
          <w:highlight w:val="none"/>
          <w14:textFill>
            <w14:solidFill>
              <w14:schemeClr w14:val="tx1"/>
            </w14:solidFill>
          </w14:textFill>
        </w:rPr>
        <w:t>其合同份额占到合同总金额</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%以上</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000000" w:themeColor="text1"/>
          <w:sz w:val="24"/>
          <w:highlight w:val="none"/>
          <w14:textFill>
            <w14:solidFill>
              <w14:schemeClr w14:val="tx1"/>
            </w14:solidFill>
          </w14:textFill>
        </w:rPr>
        <w:t>拟享受以上价格扣除政策的，填写有关内容。</w:t>
      </w:r>
      <w:r>
        <w:rPr>
          <w:rFonts w:hint="eastAsia" w:ascii="仿宋" w:hAnsi="仿宋" w:eastAsia="仿宋" w:cs="仿宋"/>
          <w:b/>
          <w:color w:val="000000" w:themeColor="text1"/>
          <w:kern w:val="0"/>
          <w:sz w:val="24"/>
          <w:highlight w:val="none"/>
          <w:lang w:val="zh-CN"/>
          <w14:textFill>
            <w14:solidFill>
              <w14:schemeClr w14:val="tx1"/>
            </w14:solidFill>
          </w14:textFill>
        </w:rPr>
        <w:t>）</w:t>
      </w:r>
    </w:p>
    <w:p>
      <w:pPr>
        <w:spacing w:line="360" w:lineRule="auto"/>
        <w:ind w:firstLine="480" w:firstLineChars="200"/>
        <w:rPr>
          <w:rFonts w:hint="eastAsia" w:ascii="仿宋" w:hAnsi="仿宋" w:eastAsia="仿宋" w:cs="仿宋"/>
          <w:b/>
          <w:bCs/>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要求合同分包形式参加的项目或采购包，供应商按招标文件第一部分招标公告申请人的资格要求中规定的</w:t>
      </w:r>
      <w:r>
        <w:rPr>
          <w:rFonts w:hint="eastAsia" w:ascii="仿宋" w:hAnsi="仿宋" w:eastAsia="仿宋" w:cs="仿宋"/>
          <w:b/>
          <w:color w:val="000000" w:themeColor="text1"/>
          <w:kern w:val="0"/>
          <w:sz w:val="24"/>
          <w:highlight w:val="none"/>
          <w:lang w:val="zh-CN"/>
          <w14:textFill>
            <w14:solidFill>
              <w14:schemeClr w14:val="tx1"/>
            </w14:solidFill>
          </w14:textFill>
        </w:rPr>
        <w:t>分包意向协议</w:t>
      </w:r>
      <w:r>
        <w:rPr>
          <w:rFonts w:hint="eastAsia" w:ascii="仿宋" w:hAnsi="仿宋" w:eastAsia="仿宋" w:cs="仿宋"/>
          <w:b/>
          <w:bCs/>
          <w:color w:val="000000" w:themeColor="text1"/>
          <w:sz w:val="24"/>
          <w:highlight w:val="none"/>
          <w14:textFill>
            <w14:solidFill>
              <w14:schemeClr w14:val="tx1"/>
            </w14:solidFill>
          </w14:textFill>
        </w:rPr>
        <w:t>中中小企业、小微企业合同金额应当达到的比例要求填写。</w:t>
      </w:r>
      <w:r>
        <w:rPr>
          <w:rFonts w:hint="eastAsia" w:ascii="仿宋" w:hAnsi="仿宋" w:eastAsia="仿宋" w:cs="仿宋"/>
          <w:b/>
          <w:bCs/>
          <w:color w:val="000000" w:themeColor="text1"/>
          <w:kern w:val="0"/>
          <w:sz w:val="24"/>
          <w:highlight w:val="none"/>
          <w:lang w:val="zh-CN"/>
          <w14:textFill>
            <w14:solidFill>
              <w14:schemeClr w14:val="tx1"/>
            </w14:solidFill>
          </w14:textFill>
        </w:rPr>
        <w:t>）</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三、分包工作履行期限、地点、方式</w:t>
      </w:r>
    </w:p>
    <w:p>
      <w:pPr>
        <w:snapToGrid w:val="0"/>
        <w:spacing w:line="360" w:lineRule="auto"/>
        <w:ind w:firstLine="576"/>
        <w:rPr>
          <w:rFonts w:hint="eastAsia" w:ascii="仿宋" w:hAnsi="仿宋" w:eastAsia="仿宋" w:cs="仿宋"/>
          <w:color w:val="000000" w:themeColor="text1"/>
          <w:highlight w:val="none"/>
          <w:u w:val="single"/>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四、质量</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五、价款或者报酬</w:t>
      </w:r>
    </w:p>
    <w:p>
      <w:pPr>
        <w:snapToGrid w:val="0"/>
        <w:spacing w:line="360" w:lineRule="auto"/>
        <w:ind w:left="573" w:leftChars="273"/>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pPr>
        <w:snapToGrid w:val="0"/>
        <w:spacing w:line="360" w:lineRule="auto"/>
        <w:ind w:left="573" w:leftChars="273"/>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六、违约责任</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七、争议解决的办法</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八、其他</w:t>
      </w:r>
    </w:p>
    <w:p>
      <w:pPr>
        <w:snapToGrid w:val="0"/>
        <w:spacing w:line="360" w:lineRule="auto"/>
        <w:ind w:left="5758" w:leftChars="342" w:hanging="5040" w:hanging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 xml:space="preserve">  。                                           投标人名称(电子签名)：</w:t>
      </w:r>
    </w:p>
    <w:p>
      <w:pPr>
        <w:snapToGrid w:val="0"/>
        <w:spacing w:line="360" w:lineRule="auto"/>
        <w:jc w:val="righ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分包供应商名称(电子签名/公章)：</w:t>
      </w:r>
    </w:p>
    <w:p>
      <w:pPr>
        <w:snapToGrid w:val="0"/>
        <w:spacing w:line="360" w:lineRule="auto"/>
        <w:ind w:firstLine="5760" w:firstLineChars="24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pPr>
        <w:snapToGrid w:val="0"/>
        <w:spacing w:line="360" w:lineRule="auto"/>
        <w:ind w:left="5758" w:leftChars="342" w:hanging="5040" w:hanging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pPr>
        <w:spacing w:line="360" w:lineRule="auto"/>
        <w:jc w:val="left"/>
        <w:outlineLvl w:val="0"/>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附件7：中小企业声明函</w:t>
      </w:r>
    </w:p>
    <w:p>
      <w:pPr>
        <w:spacing w:line="360" w:lineRule="auto"/>
        <w:jc w:val="center"/>
        <w:rPr>
          <w:rFonts w:hint="eastAsia" w:ascii="仿宋" w:hAnsi="仿宋" w:eastAsia="仿宋" w:cs="仿宋"/>
          <w:color w:val="000000" w:themeColor="text1"/>
          <w:sz w:val="24"/>
          <w:highlight w:val="none"/>
          <w:u w:val="single"/>
          <w14:textFill>
            <w14:solidFill>
              <w14:schemeClr w14:val="tx1"/>
            </w14:solidFill>
          </w14:textFill>
        </w:rPr>
      </w:pPr>
    </w:p>
    <w:p>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中小企业声明函（服务）</w:t>
      </w:r>
    </w:p>
    <w:p>
      <w:pPr>
        <w:spacing w:line="360" w:lineRule="auto"/>
        <w:ind w:firstLine="360" w:firstLineChars="15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仿宋" w:hAnsi="仿宋" w:eastAsia="仿宋" w:cs="仿宋"/>
          <w:color w:val="000000" w:themeColor="text1"/>
          <w:sz w:val="24"/>
          <w:highlight w:val="none"/>
          <w:u w:val="single"/>
          <w14:textFill>
            <w14:solidFill>
              <w14:schemeClr w14:val="tx1"/>
            </w14:solidFill>
          </w14:textFill>
        </w:rPr>
        <w:t xml:space="preserve">（采购人） </w:t>
      </w:r>
      <w:r>
        <w:rPr>
          <w:rFonts w:hint="eastAsia" w:ascii="仿宋" w:hAnsi="仿宋" w:eastAsia="仿宋" w:cs="仿宋"/>
          <w:color w:val="000000" w:themeColor="text1"/>
          <w:sz w:val="24"/>
          <w:highlight w:val="none"/>
          <w14:textFill>
            <w14:solidFill>
              <w14:schemeClr w14:val="tx1"/>
            </w14:solidFill>
          </w14:textFill>
        </w:rPr>
        <w:t>的</w:t>
      </w:r>
      <w:r>
        <w:rPr>
          <w:rFonts w:hint="eastAsia" w:ascii="仿宋" w:hAnsi="仿宋" w:eastAsia="仿宋" w:cs="仿宋"/>
          <w:color w:val="000000" w:themeColor="text1"/>
          <w:sz w:val="24"/>
          <w:highlight w:val="none"/>
          <w:u w:val="single"/>
          <w14:textFill>
            <w14:solidFill>
              <w14:schemeClr w14:val="tx1"/>
            </w14:solidFill>
          </w14:textFill>
        </w:rPr>
        <w:t xml:space="preserve"> （项目名称） </w:t>
      </w:r>
      <w:r>
        <w:rPr>
          <w:rFonts w:hint="eastAsia" w:ascii="仿宋" w:hAnsi="仿宋" w:eastAsia="仿宋" w:cs="仿宋"/>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（标的名称）</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color w:val="000000" w:themeColor="text1"/>
          <w:sz w:val="24"/>
          <w:highlight w:val="none"/>
          <w:u w:val="single"/>
          <w14:textFill>
            <w14:solidFill>
              <w14:schemeClr w14:val="tx1"/>
            </w14:solidFill>
          </w14:textFill>
        </w:rPr>
        <w:t xml:space="preserve"> （采购文件中明确的所属行业）</w:t>
      </w:r>
      <w:r>
        <w:rPr>
          <w:rFonts w:hint="eastAsia" w:ascii="仿宋" w:hAnsi="仿宋" w:eastAsia="仿宋" w:cs="仿宋"/>
          <w:color w:val="000000" w:themeColor="text1"/>
          <w:sz w:val="24"/>
          <w:highlight w:val="none"/>
          <w14:textFill>
            <w14:solidFill>
              <w14:schemeClr w14:val="tx1"/>
            </w14:solidFill>
          </w14:textFill>
        </w:rPr>
        <w:t xml:space="preserve"> ；承建（承接）企业为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 </w:t>
      </w:r>
      <w:r>
        <w:rPr>
          <w:rFonts w:hint="eastAsia" w:ascii="仿宋" w:hAnsi="仿宋" w:eastAsia="仿宋" w:cs="仿宋"/>
          <w:color w:val="000000" w:themeColor="text1"/>
          <w:sz w:val="24"/>
          <w:highlight w:val="none"/>
          <w14:textFill>
            <w14:solidFill>
              <w14:schemeClr w14:val="tx1"/>
            </w14:solidFill>
          </w14:textFill>
        </w:rPr>
        <w:t>；</w:t>
      </w:r>
    </w:p>
    <w:p>
      <w:pPr>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u w:val="single"/>
          <w14:textFill>
            <w14:solidFill>
              <w14:schemeClr w14:val="tx1"/>
            </w14:solidFill>
          </w14:textFill>
        </w:rPr>
        <w:t xml:space="preserve"> （标的名称），</w:t>
      </w:r>
      <w:r>
        <w:rPr>
          <w:rFonts w:hint="eastAsia" w:ascii="仿宋" w:hAnsi="仿宋" w:eastAsia="仿宋" w:cs="仿宋"/>
          <w:color w:val="000000" w:themeColor="text1"/>
          <w:sz w:val="24"/>
          <w:highlight w:val="none"/>
          <w14:textFill>
            <w14:solidFill>
              <w14:schemeClr w14:val="tx1"/>
            </w14:solidFill>
          </w14:textFill>
        </w:rPr>
        <w:t xml:space="preserve">属于 </w:t>
      </w:r>
      <w:r>
        <w:rPr>
          <w:rFonts w:hint="eastAsia" w:ascii="仿宋" w:hAnsi="仿宋" w:eastAsia="仿宋" w:cs="仿宋"/>
          <w:color w:val="000000" w:themeColor="text1"/>
          <w:sz w:val="24"/>
          <w:highlight w:val="none"/>
          <w:u w:val="single"/>
          <w14:textFill>
            <w14:solidFill>
              <w14:schemeClr w14:val="tx1"/>
            </w14:solidFill>
          </w14:textFill>
        </w:rPr>
        <w:t xml:space="preserve">（采购文件中明确的所属行业） </w:t>
      </w:r>
      <w:r>
        <w:rPr>
          <w:rFonts w:hint="eastAsia" w:ascii="仿宋" w:hAnsi="仿宋" w:eastAsia="仿宋" w:cs="仿宋"/>
          <w:color w:val="000000" w:themeColor="text1"/>
          <w:sz w:val="24"/>
          <w:highlight w:val="none"/>
          <w14:textFill>
            <w14:solidFill>
              <w14:schemeClr w14:val="tx1"/>
            </w14:solidFill>
          </w14:textFill>
        </w:rPr>
        <w:t xml:space="preserve">；承建（承接）企业为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（中型企业、小型企业、微型企业） </w:t>
      </w:r>
      <w:r>
        <w:rPr>
          <w:rFonts w:hint="eastAsia" w:ascii="仿宋" w:hAnsi="仿宋" w:eastAsia="仿宋" w:cs="仿宋"/>
          <w:color w:val="000000" w:themeColor="text1"/>
          <w:sz w:val="24"/>
          <w:highlight w:val="none"/>
          <w14:textFill>
            <w14:solidFill>
              <w14:schemeClr w14:val="tx1"/>
            </w14:solidFill>
          </w14:textFill>
        </w:rPr>
        <w:t>；</w:t>
      </w:r>
    </w:p>
    <w:p>
      <w:pPr>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pPr>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本企业对上述声明内容的真实性负责。如有虚假，将依法承担相应责任。</w:t>
      </w:r>
    </w:p>
    <w:p>
      <w:pPr>
        <w:spacing w:line="360" w:lineRule="auto"/>
        <w:ind w:right="1760"/>
        <w:jc w:val="righ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投标人名称（电子签名）：</w:t>
      </w:r>
    </w:p>
    <w:p>
      <w:pPr>
        <w:spacing w:line="360" w:lineRule="auto"/>
        <w:ind w:right="1120" w:firstLine="4680" w:firstLineChars="19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 期：</w:t>
      </w:r>
    </w:p>
    <w:p>
      <w:pPr>
        <w:spacing w:line="360" w:lineRule="auto"/>
        <w:ind w:firstLine="310" w:firstLineChars="147"/>
        <w:jc w:val="left"/>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从业人员、营业收入、资产总额填报上一年度数据，无上一年度数据的新成立企业可不填报。</w:t>
      </w:r>
    </w:p>
    <w:p>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p>
    <w:p>
      <w:pPr>
        <w:pStyle w:val="3"/>
        <w:ind w:firstLine="0"/>
        <w:rPr>
          <w:rFonts w:hint="eastAsia" w:ascii="仿宋" w:hAnsi="仿宋" w:eastAsia="仿宋" w:cs="仿宋"/>
          <w:b/>
          <w:color w:val="000000" w:themeColor="text1"/>
          <w:sz w:val="36"/>
          <w:highlight w:val="none"/>
          <w:lang w:val="en-US"/>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pPr>
        <w:pStyle w:val="3"/>
        <w:ind w:firstLine="0"/>
        <w:rPr>
          <w:rFonts w:hint="eastAsia" w:ascii="仿宋" w:hAnsi="仿宋" w:eastAsia="仿宋" w:cs="仿宋"/>
          <w:b/>
          <w:color w:val="000000" w:themeColor="text1"/>
          <w:sz w:val="36"/>
          <w:highlight w:val="none"/>
          <w:lang w:val="en-US"/>
          <w14:textFill>
            <w14:solidFill>
              <w14:schemeClr w14:val="tx1"/>
            </w14:solidFill>
          </w14:textFill>
        </w:rPr>
      </w:pPr>
    </w:p>
    <w:p>
      <w:pPr>
        <w:pStyle w:val="3"/>
        <w:ind w:firstLine="0"/>
        <w:rPr>
          <w:rFonts w:hint="eastAsia" w:ascii="仿宋" w:hAnsi="仿宋" w:eastAsia="仿宋" w:cs="仿宋"/>
          <w:b/>
          <w:color w:val="000000" w:themeColor="text1"/>
          <w:sz w:val="36"/>
          <w:highlight w:val="none"/>
          <w:lang w:val="en-US"/>
          <w14:textFill>
            <w14:solidFill>
              <w14:schemeClr w14:val="tx1"/>
            </w14:solidFill>
          </w14:textFill>
        </w:rPr>
      </w:pPr>
    </w:p>
    <w:p>
      <w:pPr>
        <w:pStyle w:val="3"/>
        <w:ind w:firstLine="0"/>
        <w:rPr>
          <w:rFonts w:hint="eastAsia" w:ascii="仿宋" w:hAnsi="仿宋" w:eastAsia="仿宋" w:cs="仿宋"/>
          <w:b/>
          <w:color w:val="000000" w:themeColor="text1"/>
          <w:sz w:val="36"/>
          <w:highlight w:val="none"/>
          <w:lang w:val="en-US"/>
          <w14:textFill>
            <w14:solidFill>
              <w14:schemeClr w14:val="tx1"/>
            </w14:solidFill>
          </w14:textFill>
        </w:rPr>
      </w:pPr>
      <w:r>
        <w:rPr>
          <w:rFonts w:hint="eastAsia" w:ascii="仿宋" w:hAnsi="仿宋" w:eastAsia="仿宋" w:cs="仿宋"/>
          <w:b/>
          <w:color w:val="000000" w:themeColor="text1"/>
          <w:sz w:val="36"/>
          <w:highlight w:val="none"/>
          <w:lang w:val="en-US"/>
          <w14:textFill>
            <w14:solidFill>
              <w14:schemeClr w14:val="tx1"/>
            </w14:solidFill>
          </w14:textFill>
        </w:rPr>
        <w:t>附件8：</w:t>
      </w:r>
    </w:p>
    <w:p>
      <w:pPr>
        <w:pStyle w:val="3"/>
        <w:ind w:firstLine="0"/>
        <w:jc w:val="center"/>
        <w:rPr>
          <w:rFonts w:hint="eastAsia" w:ascii="仿宋" w:hAnsi="仿宋" w:eastAsia="仿宋" w:cs="仿宋"/>
          <w:b/>
          <w:color w:val="000000" w:themeColor="text1"/>
          <w:sz w:val="36"/>
          <w:highlight w:val="none"/>
          <w:lang w:val="en-US"/>
          <w14:textFill>
            <w14:solidFill>
              <w14:schemeClr w14:val="tx1"/>
            </w14:solidFill>
          </w14:textFill>
        </w:rPr>
      </w:pPr>
      <w:r>
        <w:rPr>
          <w:rFonts w:hint="eastAsia" w:ascii="仿宋" w:hAnsi="仿宋" w:eastAsia="仿宋" w:cs="仿宋"/>
          <w:b/>
          <w:color w:val="000000" w:themeColor="text1"/>
          <w:sz w:val="36"/>
          <w:highlight w:val="none"/>
          <w:lang w:val="en-US"/>
          <w14:textFill>
            <w14:solidFill>
              <w14:schemeClr w14:val="tx1"/>
            </w14:solidFill>
          </w14:textFill>
        </w:rPr>
        <w:t>中小企业划型标准规定</w:t>
      </w:r>
    </w:p>
    <w:p>
      <w:pPr>
        <w:pStyle w:val="966"/>
        <w:spacing w:line="360" w:lineRule="auto"/>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注：工业和信息化部组织开发了中小企业规模类型自测小程序，并于2020年2月27日上线运行，在国务院客户端和工业和信息化部网站上均有链接（http://202.106.120.146/baosong/appweb/orgScale.html），广大中小企业和各类社会机构填写企业所属的行业和指标数据自动生成企业规模类型测试结果。</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一、根据《中华人民共和国中小企业促进法》和《</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"https://www.shui5.cn/article/47/26142.html" </w:instrText>
      </w:r>
      <w:r>
        <w:rPr>
          <w:color w:val="000000" w:themeColor="text1"/>
          <w:highlight w:val="none"/>
          <w14:textFill>
            <w14:solidFill>
              <w14:schemeClr w14:val="tx1"/>
            </w14:solidFill>
          </w14:textFill>
        </w:rPr>
        <w:fldChar w:fldCharType="separate"/>
      </w:r>
      <w:r>
        <w:rPr>
          <w:rFonts w:hint="eastAsia" w:ascii="仿宋" w:hAnsi="仿宋" w:eastAsia="仿宋" w:cs="仿宋"/>
          <w:color w:val="000000" w:themeColor="text1"/>
          <w:spacing w:val="6"/>
          <w:szCs w:val="21"/>
          <w:highlight w:val="none"/>
          <w14:textFill>
            <w14:solidFill>
              <w14:schemeClr w14:val="tx1"/>
            </w14:solidFill>
          </w14:textFill>
        </w:rPr>
        <w:t>国务院关于进一步促进中小企业发展的若干意见</w:t>
      </w:r>
      <w:r>
        <w:rPr>
          <w:rFonts w:hint="eastAsia" w:ascii="仿宋" w:hAnsi="仿宋" w:eastAsia="仿宋" w:cs="仿宋"/>
          <w:color w:val="000000" w:themeColor="text1"/>
          <w:spacing w:val="6"/>
          <w:szCs w:val="21"/>
          <w:highlight w:val="none"/>
          <w14:textFill>
            <w14:solidFill>
              <w14:schemeClr w14:val="tx1"/>
            </w14:solidFill>
          </w14:textFill>
        </w:rPr>
        <w:fldChar w:fldCharType="end"/>
      </w:r>
      <w:r>
        <w:rPr>
          <w:rFonts w:hint="eastAsia" w:ascii="仿宋" w:hAnsi="仿宋" w:eastAsia="仿宋" w:cs="仿宋"/>
          <w:color w:val="000000" w:themeColor="text1"/>
          <w:spacing w:val="6"/>
          <w:szCs w:val="21"/>
          <w:highlight w:val="none"/>
          <w14:textFill>
            <w14:solidFill>
              <w14:schemeClr w14:val="tx1"/>
            </w14:solidFill>
          </w14:textFill>
        </w:rPr>
        <w:t>》（</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"https://www.shui5.cn/article/47/26142.html" </w:instrText>
      </w:r>
      <w:r>
        <w:rPr>
          <w:color w:val="000000" w:themeColor="text1"/>
          <w:highlight w:val="none"/>
          <w14:textFill>
            <w14:solidFill>
              <w14:schemeClr w14:val="tx1"/>
            </w14:solidFill>
          </w14:textFill>
        </w:rPr>
        <w:fldChar w:fldCharType="separate"/>
      </w:r>
      <w:r>
        <w:rPr>
          <w:rFonts w:hint="eastAsia" w:ascii="仿宋" w:hAnsi="仿宋" w:eastAsia="仿宋" w:cs="仿宋"/>
          <w:color w:val="000000" w:themeColor="text1"/>
          <w:spacing w:val="6"/>
          <w:szCs w:val="21"/>
          <w:highlight w:val="none"/>
          <w14:textFill>
            <w14:solidFill>
              <w14:schemeClr w14:val="tx1"/>
            </w14:solidFill>
          </w14:textFill>
        </w:rPr>
        <w:t>国发〔2009〕36号</w:t>
      </w:r>
      <w:r>
        <w:rPr>
          <w:rFonts w:hint="eastAsia" w:ascii="仿宋" w:hAnsi="仿宋" w:eastAsia="仿宋" w:cs="仿宋"/>
          <w:color w:val="000000" w:themeColor="text1"/>
          <w:spacing w:val="6"/>
          <w:szCs w:val="21"/>
          <w:highlight w:val="none"/>
          <w14:textFill>
            <w14:solidFill>
              <w14:schemeClr w14:val="tx1"/>
            </w14:solidFill>
          </w14:textFill>
        </w:rPr>
        <w:fldChar w:fldCharType="end"/>
      </w:r>
      <w:r>
        <w:rPr>
          <w:rFonts w:hint="eastAsia" w:ascii="仿宋" w:hAnsi="仿宋" w:eastAsia="仿宋" w:cs="仿宋"/>
          <w:color w:val="000000" w:themeColor="text1"/>
          <w:spacing w:val="6"/>
          <w:szCs w:val="21"/>
          <w:highlight w:val="none"/>
          <w14:textFill>
            <w14:solidFill>
              <w14:schemeClr w14:val="tx1"/>
            </w14:solidFill>
          </w14:textFill>
        </w:rPr>
        <w:t>)，制定本规定。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二、中小企业划分为中型、小型、微型三种类型，具体标准根据企业从业人员、营业收入、资产总额等指标，结合行业特点制定。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三、本规定适用的行业包括：农、林、牧、渔业，工业（包括采矿业，制造业，电力、热力、燃气及水生产和供应业），建筑业，批发业，零售业，交通运输业（不含铁路运输业），仓储业，邮政业，住宿业，餐饮业，信息传输业（包括电信、互联网和相关服务），属于租赁和商务服务业，房地产开发经营，物业管理，租赁和商务服务业，其他未列明行业（包括科学研究和技术服务业，水利、环境和公共设施管理业，居民服务、修理和其他服务业，社会工作，文化、体育和娱乐业等）。</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四、各行业划型标准为：</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　　（一）农、林、牧、渔业。营业收入20000万元以下的为中小微型企业。其中，营业收入500万元及以上的为中型企业，营业收入50万元及以上的为小型企业，营业收入50万元以下的为微型企业。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pStyle w:val="3"/>
        <w:rPr>
          <w:rFonts w:hint="eastAsia" w:ascii="仿宋" w:hAnsi="仿宋" w:eastAsia="仿宋" w:cs="仿宋"/>
          <w:b/>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6"/>
          <w:sz w:val="21"/>
          <w:szCs w:val="21"/>
          <w:highlight w:val="none"/>
          <w14:textFill>
            <w14:solidFill>
              <w14:schemeClr w14:val="tx1"/>
            </w14:solidFill>
          </w14:textFill>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（十六）其他未列明行业。从业人员300人以下的为中小微型企业。其中，从业人员100人及以上的为中型企业；从业人员10人及以上的为小型企业；从业人员10人以下的为微型企业。</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五、企业类型的划分以统计部门的统计数据为依据。</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六、本规定适用于在中华人民共和国境内依法设立的各类所有制和各种组织形式的企业。个体工商户和本规定以外的行业，参照本规定进行划型。</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七、本规定的中型企业标准上限即为大型企业标准的下限，国家统计部门据此制定大中小微型企业的统计分类。国务院有关部门据此进行相关数据分析，不得制定与本规定不一致的企业划型标准。</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八、本规定由工业和信息化部、国家统计局会同有关部门根据《国民经济行业分类》修订情况和企业发展变化情况适时修订。</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九、本规定由工业和信息化部、国家统计局会同有关部门负责解释。</w:t>
      </w:r>
    </w:p>
    <w:p>
      <w:pPr>
        <w:pStyle w:val="966"/>
        <w:adjustRightInd w:val="0"/>
        <w:spacing w:line="360" w:lineRule="auto"/>
        <w:ind w:firstLine="444" w:firstLineChars="200"/>
        <w:jc w:val="both"/>
        <w:rPr>
          <w:rFonts w:hint="eastAsia" w:ascii="仿宋" w:hAnsi="仿宋" w:eastAsia="仿宋" w:cs="仿宋"/>
          <w:color w:val="000000" w:themeColor="text1"/>
          <w:spacing w:val="6"/>
          <w:szCs w:val="21"/>
          <w:highlight w:val="none"/>
          <w14:textFill>
            <w14:solidFill>
              <w14:schemeClr w14:val="tx1"/>
            </w14:solidFill>
          </w14:textFill>
        </w:rPr>
      </w:pPr>
      <w:r>
        <w:rPr>
          <w:rFonts w:hint="eastAsia" w:ascii="仿宋" w:hAnsi="仿宋" w:eastAsia="仿宋" w:cs="仿宋"/>
          <w:color w:val="000000" w:themeColor="text1"/>
          <w:spacing w:val="6"/>
          <w:szCs w:val="21"/>
          <w:highlight w:val="none"/>
          <w14:textFill>
            <w14:solidFill>
              <w14:schemeClr w14:val="tx1"/>
            </w14:solidFill>
          </w14:textFill>
        </w:rPr>
        <w:t>十、本规定自发布之日起执行，原国家经贸委、原国家计委、财政部和国家统计局2003年颁布的《</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"https://www.shui5.cn/article/df/24263.html" </w:instrText>
      </w:r>
      <w:r>
        <w:rPr>
          <w:color w:val="000000" w:themeColor="text1"/>
          <w:highlight w:val="none"/>
          <w14:textFill>
            <w14:solidFill>
              <w14:schemeClr w14:val="tx1"/>
            </w14:solidFill>
          </w14:textFill>
        </w:rPr>
        <w:fldChar w:fldCharType="separate"/>
      </w:r>
      <w:r>
        <w:rPr>
          <w:rFonts w:hint="eastAsia" w:ascii="仿宋" w:hAnsi="仿宋" w:eastAsia="仿宋" w:cs="仿宋"/>
          <w:color w:val="000000" w:themeColor="text1"/>
          <w:spacing w:val="6"/>
          <w:szCs w:val="21"/>
          <w:highlight w:val="none"/>
          <w14:textFill>
            <w14:solidFill>
              <w14:schemeClr w14:val="tx1"/>
            </w14:solidFill>
          </w14:textFill>
        </w:rPr>
        <w:t>中小企业标准暂行规定</w:t>
      </w:r>
      <w:r>
        <w:rPr>
          <w:rFonts w:hint="eastAsia" w:ascii="仿宋" w:hAnsi="仿宋" w:eastAsia="仿宋" w:cs="仿宋"/>
          <w:color w:val="000000" w:themeColor="text1"/>
          <w:spacing w:val="6"/>
          <w:szCs w:val="21"/>
          <w:highlight w:val="none"/>
          <w14:textFill>
            <w14:solidFill>
              <w14:schemeClr w14:val="tx1"/>
            </w14:solidFill>
          </w14:textFill>
        </w:rPr>
        <w:fldChar w:fldCharType="end"/>
      </w:r>
      <w:r>
        <w:rPr>
          <w:rFonts w:hint="eastAsia" w:ascii="仿宋" w:hAnsi="仿宋" w:eastAsia="仿宋" w:cs="仿宋"/>
          <w:color w:val="000000" w:themeColor="text1"/>
          <w:spacing w:val="6"/>
          <w:szCs w:val="21"/>
          <w:highlight w:val="none"/>
          <w14:textFill>
            <w14:solidFill>
              <w14:schemeClr w14:val="tx1"/>
            </w14:solidFill>
          </w14:textFill>
        </w:rPr>
        <w:t>》</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"https://www.shui5.cn/article/df/24263.html" </w:instrText>
      </w:r>
      <w:r>
        <w:rPr>
          <w:color w:val="000000" w:themeColor="text1"/>
          <w:highlight w:val="none"/>
          <w14:textFill>
            <w14:solidFill>
              <w14:schemeClr w14:val="tx1"/>
            </w14:solidFill>
          </w14:textFill>
        </w:rPr>
        <w:fldChar w:fldCharType="separate"/>
      </w:r>
      <w:r>
        <w:rPr>
          <w:rFonts w:hint="eastAsia" w:ascii="仿宋" w:hAnsi="仿宋" w:eastAsia="仿宋" w:cs="仿宋"/>
          <w:color w:val="000000" w:themeColor="text1"/>
          <w:spacing w:val="6"/>
          <w:szCs w:val="21"/>
          <w:highlight w:val="none"/>
          <w14:textFill>
            <w14:solidFill>
              <w14:schemeClr w14:val="tx1"/>
            </w14:solidFill>
          </w14:textFill>
        </w:rPr>
        <w:t>国经贸中小企[2003]143号</w:t>
      </w:r>
      <w:r>
        <w:rPr>
          <w:rFonts w:hint="eastAsia" w:ascii="仿宋" w:hAnsi="仿宋" w:eastAsia="仿宋" w:cs="仿宋"/>
          <w:color w:val="000000" w:themeColor="text1"/>
          <w:spacing w:val="6"/>
          <w:szCs w:val="21"/>
          <w:highlight w:val="none"/>
          <w14:textFill>
            <w14:solidFill>
              <w14:schemeClr w14:val="tx1"/>
            </w14:solidFill>
          </w14:textFill>
        </w:rPr>
        <w:fldChar w:fldCharType="end"/>
      </w:r>
      <w:r>
        <w:rPr>
          <w:rFonts w:hint="eastAsia" w:ascii="仿宋" w:hAnsi="仿宋" w:eastAsia="仿宋" w:cs="仿宋"/>
          <w:color w:val="000000" w:themeColor="text1"/>
          <w:spacing w:val="6"/>
          <w:szCs w:val="21"/>
          <w:highlight w:val="none"/>
          <w14:textFill>
            <w14:solidFill>
              <w14:schemeClr w14:val="tx1"/>
            </w14:solidFill>
          </w14:textFill>
        </w:rPr>
        <w:t>同时废止。</w:t>
      </w:r>
    </w:p>
    <w:p>
      <w:pPr>
        <w:pStyle w:val="6"/>
        <w:rPr>
          <w:rFonts w:hint="eastAsia" w:ascii="仿宋" w:eastAsia="仿宋" w:cs="仿宋"/>
          <w:color w:val="000000" w:themeColor="text1"/>
          <w:highlight w:val="none"/>
          <w:lang w:val="en-US"/>
          <w14:textFill>
            <w14:solidFill>
              <w14:schemeClr w14:val="tx1"/>
            </w14:solidFill>
          </w14:textFill>
        </w:rPr>
      </w:pPr>
    </w:p>
    <w:p>
      <w:pPr>
        <w:spacing w:line="360" w:lineRule="auto"/>
        <w:ind w:right="420"/>
        <w:rPr>
          <w:rFonts w:hint="eastAsia" w:ascii="仿宋" w:hAnsi="仿宋" w:eastAsia="仿宋" w:cs="仿宋"/>
          <w:color w:val="000000" w:themeColor="text1"/>
          <w:highlight w:val="none"/>
          <w14:textFill>
            <w14:solidFill>
              <w14:schemeClr w14:val="tx1"/>
            </w14:solidFill>
          </w14:textFill>
        </w:rPr>
      </w:pPr>
    </w:p>
    <w:p>
      <w:pPr>
        <w:spacing w:line="360" w:lineRule="auto"/>
        <w:rPr>
          <w:rFonts w:hint="eastAsia" w:ascii="仿宋" w:hAnsi="仿宋" w:eastAsia="仿宋" w:cs="仿宋"/>
          <w:bCs/>
          <w:color w:val="000000" w:themeColor="text1"/>
          <w:sz w:val="24"/>
          <w:highlight w:val="none"/>
          <w14:textFill>
            <w14:solidFill>
              <w14:schemeClr w14:val="tx1"/>
            </w14:solidFill>
          </w14:textFill>
        </w:rPr>
      </w:pPr>
    </w:p>
    <w:sectPr>
      <w:headerReference r:id="rId27" w:type="first"/>
      <w:footerReference r:id="rId30" w:type="first"/>
      <w:headerReference r:id="rId26" w:type="default"/>
      <w:footerReference r:id="rId28" w:type="default"/>
      <w:footerReference r:id="rId29"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楷体">
    <w:altName w:val="楷体_GB2312"/>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DejaVu Math TeX Gyre"/>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auto"/>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Times New Roman"/>
    <w:panose1 w:val="020B0604020202020204"/>
    <w:charset w:val="00"/>
    <w:family w:val="roman"/>
    <w:pitch w:val="default"/>
    <w:sig w:usb0="00000000" w:usb1="00000000" w:usb2="00000000" w:usb3="00000000" w:csb0="00000001" w:csb1="00000000"/>
  </w:font>
  <w:font w:name="Helvetica">
    <w:altName w:val="Arial"/>
    <w:panose1 w:val="020B0604020202020204"/>
    <w:charset w:val="00"/>
    <w:family w:val="auto"/>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NumberOnly"/>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10" w:usb3="00000000" w:csb0="00040000" w:csb1="00000000"/>
  </w:font>
  <w:font w:name="Segoe Print">
    <w:panose1 w:val="02000600000000000000"/>
    <w:charset w:val="00"/>
    <w:family w:val="auto"/>
    <w:pitch w:val="default"/>
    <w:sig w:usb0="0000028F" w:usb1="00000000" w:usb2="00000000" w:usb3="00000000" w:csb0="2000009F" w:csb1="47010000"/>
  </w:font>
  <w:font w:name="DejaVu Math TeX Gyre">
    <w:panose1 w:val="02000503000000000000"/>
    <w:charset w:val="00"/>
    <w:family w:val="auto"/>
    <w:pitch w:val="default"/>
    <w:sig w:usb0="A10000EF" w:usb1="4201F9EE" w:usb2="02000000" w:usb3="00000000" w:csb0="60000193" w:csb1="0DD40000"/>
  </w:font>
  <w:font w:name="NumberOnly">
    <w:panose1 w:val="020B0500000000000000"/>
    <w:charset w:val="00"/>
    <w:family w:val="auto"/>
    <w:pitch w:val="default"/>
    <w:sig w:usb0="8000002F" w:usb1="10000048" w:usb2="00000000" w:usb3="00000000" w:csb0="0000011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3"/>
      </w:rPr>
    </w:pPr>
    <w:r>
      <w:fldChar w:fldCharType="begin"/>
    </w:r>
    <w:r>
      <w:rPr>
        <w:rStyle w:val="73"/>
      </w:rPr>
      <w:instrText xml:space="preserve">PAGE  </w:instrText>
    </w:r>
    <w:r>
      <w:fldChar w:fldCharType="end"/>
    </w:r>
  </w:p>
  <w:p>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宋体"/>
        <w:sz w:val="21"/>
        <w:szCs w:val="21"/>
      </w:rPr>
    </w:pPr>
    <w:r>
      <w:rPr>
        <w:rFonts w:ascii="宋体" w:hAnsi="宋体"/>
        <w:sz w:val="21"/>
        <w:szCs w:val="21"/>
      </w:rPr>
      <w:fldChar w:fldCharType="begin"/>
    </w:r>
    <w:r>
      <w:rPr>
        <w:rFonts w:ascii="宋体" w:hAnsi="宋体"/>
        <w:sz w:val="21"/>
        <w:szCs w:val="21"/>
      </w:rPr>
      <w:instrText xml:space="preserve">PAGE   \* MERGEFORMAT</w:instrText>
    </w:r>
    <w:r>
      <w:rPr>
        <w:rFonts w:ascii="宋体" w:hAnsi="宋体"/>
        <w:sz w:val="21"/>
        <w:szCs w:val="21"/>
      </w:rPr>
      <w:fldChar w:fldCharType="separate"/>
    </w:r>
    <w:r>
      <w:rPr>
        <w:rFonts w:ascii="宋体" w:hAnsi="宋体"/>
        <w:sz w:val="21"/>
        <w:szCs w:val="21"/>
        <w:lang w:val="zh-CN"/>
      </w:rPr>
      <w:t>9</w:t>
    </w:r>
    <w:r>
      <w:rPr>
        <w:rFonts w:ascii="宋体" w:hAnsi="宋体"/>
        <w:sz w:val="21"/>
        <w:szCs w:val="21"/>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3"/>
      </w:rPr>
    </w:pPr>
    <w:r>
      <w:fldChar w:fldCharType="begin"/>
    </w:r>
    <w:r>
      <w:rPr>
        <w:rStyle w:val="73"/>
      </w:rPr>
      <w:instrText xml:space="preserve">PAGE  </w:instrText>
    </w:r>
    <w:r>
      <w:fldChar w:fldCharType="end"/>
    </w:r>
  </w:p>
  <w:p>
    <w:pPr>
      <w:pStyle w:val="42"/>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3"/>
      </w:rPr>
    </w:pPr>
    <w:r>
      <w:fldChar w:fldCharType="begin"/>
    </w:r>
    <w:r>
      <w:rPr>
        <w:rStyle w:val="73"/>
      </w:rPr>
      <w:instrText xml:space="preserve">PAGE  </w:instrText>
    </w:r>
    <w:r>
      <w:fldChar w:fldCharType="end"/>
    </w:r>
  </w:p>
  <w:p>
    <w:pPr>
      <w:pStyle w:val="42"/>
      <w:ind w:right="360"/>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8" w:name="_Toc164085800"/>
    <w:bookmarkStart w:id="519" w:name="_Toc131845147"/>
    <w:bookmarkStart w:id="520" w:name="_Toc91899912"/>
    <w:bookmarkStart w:id="521" w:name="_Toc36110187"/>
    <w:r>
      <w:rPr>
        <w:rFonts w:hint="eastAsia" w:ascii="仿宋_GB2312" w:eastAsia="仿宋_GB2312"/>
        <w:kern w:val="0"/>
        <w:szCs w:val="21"/>
      </w:rPr>
      <w:t xml:space="preserve"> 页</w:t>
    </w:r>
    <w:bookmarkEnd w:id="518"/>
    <w:bookmarkEnd w:id="519"/>
    <w:bookmarkEnd w:id="520"/>
    <w:bookmarkEnd w:id="521"/>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4"/>
      </w:pBdr>
      <w:jc w:val="right"/>
    </w:pPr>
    <w:r>
      <w:t></w:t>
    </w:r>
    <w:r>
      <w:rPr>
        <w:rFonts w:hint="eastAsia"/>
      </w:rPr>
      <w:t xml:space="preserve">             </w:t>
    </w:r>
    <w:r>
      <w:t>杭州市政府采购公开招标文件</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rPr>
        <w:rFonts w:ascii="仿宋_GB2312" w:eastAsia="仿宋_GB2312"/>
        <w:b/>
        <w:i/>
        <w:u w:val="single"/>
      </w:rPr>
    </w:pPr>
    <w:r>
      <w:t></w:t>
    </w:r>
    <w:r>
      <w:rPr>
        <w:rFonts w:hint="eastAsia"/>
      </w:rPr>
      <w:t xml:space="preserve">                                                  </w:t>
    </w:r>
    <w:r>
      <w:t xml:space="preserve">             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r>
      <w:rPr>
        <w:rFonts w:hint="eastAsia"/>
      </w:rPr>
      <w:t xml:space="preserve">         </w:t>
    </w:r>
  </w:p>
  <w:p>
    <w:pPr>
      <w:pStyle w:val="43"/>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iCs/>
        <w:u w:val="single"/>
      </w:rPr>
    </w:pP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suff w:val="nothing"/>
      <w:lvlText w:val="（%1）"/>
      <w:lvlJc w:val="left"/>
      <w:rPr>
        <w:rFonts w:cs="Times New Roman"/>
      </w:rPr>
    </w:lvl>
  </w:abstractNum>
  <w:abstractNum w:abstractNumId="1">
    <w:nsid w:val="0A528798"/>
    <w:multiLevelType w:val="singleLevel"/>
    <w:tmpl w:val="0A528798"/>
    <w:lvl w:ilvl="0" w:tentative="0">
      <w:start w:val="4"/>
      <w:numFmt w:val="decimal"/>
      <w:lvlText w:val="%1."/>
      <w:lvlJc w:val="left"/>
      <w:pPr>
        <w:tabs>
          <w:tab w:val="left" w:pos="312"/>
        </w:tabs>
      </w:pPr>
    </w:lvl>
  </w:abstractNum>
  <w:abstractNum w:abstractNumId="2">
    <w:nsid w:val="41892D21"/>
    <w:multiLevelType w:val="singleLevel"/>
    <w:tmpl w:val="41892D21"/>
    <w:lvl w:ilvl="0" w:tentative="0">
      <w:start w:val="1"/>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JkMTk3YmMxOTE1YjU0MjAxYjQ0ODQ1ZTVjMWQwNTk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307"/>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693"/>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B7"/>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394"/>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0218"/>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56757"/>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B1482C"/>
    <w:rsid w:val="03B156BA"/>
    <w:rsid w:val="03BE2506"/>
    <w:rsid w:val="03DD35E4"/>
    <w:rsid w:val="04076900"/>
    <w:rsid w:val="041A5A3B"/>
    <w:rsid w:val="042311BA"/>
    <w:rsid w:val="042B157A"/>
    <w:rsid w:val="048F763B"/>
    <w:rsid w:val="049F330E"/>
    <w:rsid w:val="04A14584"/>
    <w:rsid w:val="04AA775C"/>
    <w:rsid w:val="04AF1889"/>
    <w:rsid w:val="04F66F48"/>
    <w:rsid w:val="05251E14"/>
    <w:rsid w:val="05271156"/>
    <w:rsid w:val="05A16594"/>
    <w:rsid w:val="05A7762D"/>
    <w:rsid w:val="05A831F6"/>
    <w:rsid w:val="060E5941"/>
    <w:rsid w:val="06110FAF"/>
    <w:rsid w:val="06493CA7"/>
    <w:rsid w:val="065A6178"/>
    <w:rsid w:val="066F1CF3"/>
    <w:rsid w:val="06930BB8"/>
    <w:rsid w:val="07245D42"/>
    <w:rsid w:val="07264C62"/>
    <w:rsid w:val="072E6CF9"/>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7C0C70"/>
    <w:rsid w:val="098353B5"/>
    <w:rsid w:val="09851FB1"/>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3B16D4"/>
    <w:rsid w:val="0C571A41"/>
    <w:rsid w:val="0C5C1171"/>
    <w:rsid w:val="0C5E1CBC"/>
    <w:rsid w:val="0C615B50"/>
    <w:rsid w:val="0C8445DA"/>
    <w:rsid w:val="0C87121B"/>
    <w:rsid w:val="0C8D313A"/>
    <w:rsid w:val="0CC007F7"/>
    <w:rsid w:val="0CC617AC"/>
    <w:rsid w:val="0CE618DF"/>
    <w:rsid w:val="0CFE707A"/>
    <w:rsid w:val="0D063BDA"/>
    <w:rsid w:val="0D08375F"/>
    <w:rsid w:val="0D184CFB"/>
    <w:rsid w:val="0D4A7419"/>
    <w:rsid w:val="0D6004FB"/>
    <w:rsid w:val="0D827401"/>
    <w:rsid w:val="0D84094E"/>
    <w:rsid w:val="0D8A00E9"/>
    <w:rsid w:val="0D8D589E"/>
    <w:rsid w:val="0DA01C73"/>
    <w:rsid w:val="0DC67C8B"/>
    <w:rsid w:val="0DD63300"/>
    <w:rsid w:val="0DF50604"/>
    <w:rsid w:val="0DF702FE"/>
    <w:rsid w:val="0E060E51"/>
    <w:rsid w:val="0E5604B2"/>
    <w:rsid w:val="0E6D5D79"/>
    <w:rsid w:val="0E7C7188"/>
    <w:rsid w:val="0E9D0089"/>
    <w:rsid w:val="0EB803EE"/>
    <w:rsid w:val="0EEA470B"/>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B93A57"/>
    <w:rsid w:val="10C26171"/>
    <w:rsid w:val="10F33360"/>
    <w:rsid w:val="10FC16EA"/>
    <w:rsid w:val="110F1D40"/>
    <w:rsid w:val="1122342A"/>
    <w:rsid w:val="11266F33"/>
    <w:rsid w:val="114A5A57"/>
    <w:rsid w:val="118963A1"/>
    <w:rsid w:val="11C6522A"/>
    <w:rsid w:val="11E104CC"/>
    <w:rsid w:val="11E20309"/>
    <w:rsid w:val="12255233"/>
    <w:rsid w:val="124F64A1"/>
    <w:rsid w:val="12530213"/>
    <w:rsid w:val="127723A9"/>
    <w:rsid w:val="12862074"/>
    <w:rsid w:val="12883966"/>
    <w:rsid w:val="129E45B4"/>
    <w:rsid w:val="12D81596"/>
    <w:rsid w:val="13072A44"/>
    <w:rsid w:val="135F4BE2"/>
    <w:rsid w:val="139B1A0A"/>
    <w:rsid w:val="139D25C7"/>
    <w:rsid w:val="13BF3CE4"/>
    <w:rsid w:val="14090E81"/>
    <w:rsid w:val="141008D8"/>
    <w:rsid w:val="14125FE6"/>
    <w:rsid w:val="146D271E"/>
    <w:rsid w:val="14982588"/>
    <w:rsid w:val="149A5AD9"/>
    <w:rsid w:val="14A7619D"/>
    <w:rsid w:val="150536C3"/>
    <w:rsid w:val="150C1963"/>
    <w:rsid w:val="151447A0"/>
    <w:rsid w:val="151B366C"/>
    <w:rsid w:val="154A6454"/>
    <w:rsid w:val="1565422D"/>
    <w:rsid w:val="15762120"/>
    <w:rsid w:val="15DC6B96"/>
    <w:rsid w:val="16580C41"/>
    <w:rsid w:val="16A8729C"/>
    <w:rsid w:val="16AD0D71"/>
    <w:rsid w:val="16B33777"/>
    <w:rsid w:val="16BC70A7"/>
    <w:rsid w:val="16C6339E"/>
    <w:rsid w:val="171F4A71"/>
    <w:rsid w:val="172F2D79"/>
    <w:rsid w:val="17557BEF"/>
    <w:rsid w:val="17D349C1"/>
    <w:rsid w:val="180D7094"/>
    <w:rsid w:val="18233697"/>
    <w:rsid w:val="1830729E"/>
    <w:rsid w:val="1870062C"/>
    <w:rsid w:val="18817102"/>
    <w:rsid w:val="18830A15"/>
    <w:rsid w:val="18852B28"/>
    <w:rsid w:val="188B5321"/>
    <w:rsid w:val="19932372"/>
    <w:rsid w:val="19A20DD5"/>
    <w:rsid w:val="19AE03F1"/>
    <w:rsid w:val="1A071A03"/>
    <w:rsid w:val="1A121FB4"/>
    <w:rsid w:val="1A1F16AE"/>
    <w:rsid w:val="1A3B5C77"/>
    <w:rsid w:val="1A762EAD"/>
    <w:rsid w:val="1A8F17E2"/>
    <w:rsid w:val="1A984BAD"/>
    <w:rsid w:val="1AB8220E"/>
    <w:rsid w:val="1AE4166C"/>
    <w:rsid w:val="1AF06CFB"/>
    <w:rsid w:val="1AF11B8D"/>
    <w:rsid w:val="1B11359C"/>
    <w:rsid w:val="1B2A271F"/>
    <w:rsid w:val="1B530544"/>
    <w:rsid w:val="1B713184"/>
    <w:rsid w:val="1BA209CF"/>
    <w:rsid w:val="1BB4777D"/>
    <w:rsid w:val="1BCC25E6"/>
    <w:rsid w:val="1BD75AB8"/>
    <w:rsid w:val="1C0459C2"/>
    <w:rsid w:val="1C1B3B4A"/>
    <w:rsid w:val="1C88086E"/>
    <w:rsid w:val="1CCE26B8"/>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6C22E0"/>
    <w:rsid w:val="1FD52DD5"/>
    <w:rsid w:val="1FE868A9"/>
    <w:rsid w:val="20034907"/>
    <w:rsid w:val="20173E4B"/>
    <w:rsid w:val="204E48BC"/>
    <w:rsid w:val="208921B3"/>
    <w:rsid w:val="20973DEB"/>
    <w:rsid w:val="20B26522"/>
    <w:rsid w:val="20B44310"/>
    <w:rsid w:val="211116EB"/>
    <w:rsid w:val="21194492"/>
    <w:rsid w:val="21463165"/>
    <w:rsid w:val="216133FC"/>
    <w:rsid w:val="21D56769"/>
    <w:rsid w:val="21E52EF3"/>
    <w:rsid w:val="21FB5D7B"/>
    <w:rsid w:val="22015E94"/>
    <w:rsid w:val="220B1C3D"/>
    <w:rsid w:val="221D1D20"/>
    <w:rsid w:val="22334A87"/>
    <w:rsid w:val="226D06CE"/>
    <w:rsid w:val="2297028F"/>
    <w:rsid w:val="22BE6801"/>
    <w:rsid w:val="233500BF"/>
    <w:rsid w:val="23377FF7"/>
    <w:rsid w:val="236B425F"/>
    <w:rsid w:val="23836192"/>
    <w:rsid w:val="23901F29"/>
    <w:rsid w:val="239C0061"/>
    <w:rsid w:val="23B908A4"/>
    <w:rsid w:val="23E95BEF"/>
    <w:rsid w:val="23FD0064"/>
    <w:rsid w:val="245375B0"/>
    <w:rsid w:val="24642C0A"/>
    <w:rsid w:val="247E5AFB"/>
    <w:rsid w:val="24B22173"/>
    <w:rsid w:val="24B95AD9"/>
    <w:rsid w:val="24BE24DA"/>
    <w:rsid w:val="24CF5825"/>
    <w:rsid w:val="24D663E6"/>
    <w:rsid w:val="24D77F2B"/>
    <w:rsid w:val="25447333"/>
    <w:rsid w:val="258B00E2"/>
    <w:rsid w:val="25A917A6"/>
    <w:rsid w:val="25BE27CC"/>
    <w:rsid w:val="25F74A5C"/>
    <w:rsid w:val="2628662C"/>
    <w:rsid w:val="262D45DE"/>
    <w:rsid w:val="26871DC8"/>
    <w:rsid w:val="26A53EF9"/>
    <w:rsid w:val="26A94201"/>
    <w:rsid w:val="26AC274F"/>
    <w:rsid w:val="27044A29"/>
    <w:rsid w:val="27157848"/>
    <w:rsid w:val="271D34C8"/>
    <w:rsid w:val="272A3289"/>
    <w:rsid w:val="276142BF"/>
    <w:rsid w:val="27783712"/>
    <w:rsid w:val="27907362"/>
    <w:rsid w:val="27F6423A"/>
    <w:rsid w:val="28333E1D"/>
    <w:rsid w:val="28454BD6"/>
    <w:rsid w:val="28455253"/>
    <w:rsid w:val="28551971"/>
    <w:rsid w:val="285B1C53"/>
    <w:rsid w:val="289F7086"/>
    <w:rsid w:val="28C32028"/>
    <w:rsid w:val="28CC490F"/>
    <w:rsid w:val="28DE40AA"/>
    <w:rsid w:val="29345E77"/>
    <w:rsid w:val="294C65AD"/>
    <w:rsid w:val="29806583"/>
    <w:rsid w:val="298B3C4C"/>
    <w:rsid w:val="29910213"/>
    <w:rsid w:val="29EF3645"/>
    <w:rsid w:val="29F26D24"/>
    <w:rsid w:val="2A08014A"/>
    <w:rsid w:val="2A10387A"/>
    <w:rsid w:val="2A15033F"/>
    <w:rsid w:val="2A1662C1"/>
    <w:rsid w:val="2A1C7367"/>
    <w:rsid w:val="2A2815FA"/>
    <w:rsid w:val="2A2B785B"/>
    <w:rsid w:val="2A6D6092"/>
    <w:rsid w:val="2A7D76B4"/>
    <w:rsid w:val="2B2C2533"/>
    <w:rsid w:val="2B437463"/>
    <w:rsid w:val="2B4E03C5"/>
    <w:rsid w:val="2B7807EE"/>
    <w:rsid w:val="2BA50BF7"/>
    <w:rsid w:val="2BBF00EC"/>
    <w:rsid w:val="2BC37CFD"/>
    <w:rsid w:val="2BD5237F"/>
    <w:rsid w:val="2BE536CE"/>
    <w:rsid w:val="2BE758D9"/>
    <w:rsid w:val="2C09049E"/>
    <w:rsid w:val="2C0A653C"/>
    <w:rsid w:val="2C191F85"/>
    <w:rsid w:val="2CE82D6F"/>
    <w:rsid w:val="2D343236"/>
    <w:rsid w:val="2D855D5C"/>
    <w:rsid w:val="2DD15014"/>
    <w:rsid w:val="2DE7182C"/>
    <w:rsid w:val="2DF72DE4"/>
    <w:rsid w:val="2E0220AF"/>
    <w:rsid w:val="2E47471E"/>
    <w:rsid w:val="2E4B082A"/>
    <w:rsid w:val="2E5D4E86"/>
    <w:rsid w:val="2E5D790B"/>
    <w:rsid w:val="2E9A3C18"/>
    <w:rsid w:val="2EB47DC4"/>
    <w:rsid w:val="2EBB0FEE"/>
    <w:rsid w:val="2EC0226E"/>
    <w:rsid w:val="2EC63002"/>
    <w:rsid w:val="2F0A6B38"/>
    <w:rsid w:val="2F946CCB"/>
    <w:rsid w:val="2FB02D3D"/>
    <w:rsid w:val="2FD25781"/>
    <w:rsid w:val="2FDC745C"/>
    <w:rsid w:val="2FFD7934"/>
    <w:rsid w:val="30733ACD"/>
    <w:rsid w:val="308C3862"/>
    <w:rsid w:val="309379D8"/>
    <w:rsid w:val="30A270F7"/>
    <w:rsid w:val="30DF1478"/>
    <w:rsid w:val="30EC586F"/>
    <w:rsid w:val="30F473C2"/>
    <w:rsid w:val="310402C4"/>
    <w:rsid w:val="314550B7"/>
    <w:rsid w:val="31770D3F"/>
    <w:rsid w:val="319C6071"/>
    <w:rsid w:val="31AC537E"/>
    <w:rsid w:val="31E3679B"/>
    <w:rsid w:val="31E57E30"/>
    <w:rsid w:val="31E732FD"/>
    <w:rsid w:val="32517576"/>
    <w:rsid w:val="32BE5C2C"/>
    <w:rsid w:val="32E113A7"/>
    <w:rsid w:val="32FB6478"/>
    <w:rsid w:val="33263B3F"/>
    <w:rsid w:val="336963EB"/>
    <w:rsid w:val="33816EEB"/>
    <w:rsid w:val="33DA26A9"/>
    <w:rsid w:val="33EB55CD"/>
    <w:rsid w:val="33EC4C02"/>
    <w:rsid w:val="340D2360"/>
    <w:rsid w:val="3410665D"/>
    <w:rsid w:val="34211214"/>
    <w:rsid w:val="342E63AB"/>
    <w:rsid w:val="344A535B"/>
    <w:rsid w:val="34950E68"/>
    <w:rsid w:val="34986E94"/>
    <w:rsid w:val="34AF62C9"/>
    <w:rsid w:val="34CB4388"/>
    <w:rsid w:val="34E2693E"/>
    <w:rsid w:val="34FA6E12"/>
    <w:rsid w:val="354D7158"/>
    <w:rsid w:val="358D5588"/>
    <w:rsid w:val="363A3B40"/>
    <w:rsid w:val="365302AE"/>
    <w:rsid w:val="36607A0A"/>
    <w:rsid w:val="366B06C5"/>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B67D95"/>
    <w:rsid w:val="39FC5695"/>
    <w:rsid w:val="3A006D8E"/>
    <w:rsid w:val="3A3651E5"/>
    <w:rsid w:val="3A744481"/>
    <w:rsid w:val="3A8C7BEF"/>
    <w:rsid w:val="3A906246"/>
    <w:rsid w:val="3B2349B7"/>
    <w:rsid w:val="3B616CFF"/>
    <w:rsid w:val="3B6259F6"/>
    <w:rsid w:val="3B976654"/>
    <w:rsid w:val="3BC01EFC"/>
    <w:rsid w:val="3BC70A6E"/>
    <w:rsid w:val="3BCA786A"/>
    <w:rsid w:val="3BD31E2F"/>
    <w:rsid w:val="3BF15831"/>
    <w:rsid w:val="3C105946"/>
    <w:rsid w:val="3C471448"/>
    <w:rsid w:val="3C5F759A"/>
    <w:rsid w:val="3C6C525A"/>
    <w:rsid w:val="3CA264DE"/>
    <w:rsid w:val="3CB95A3A"/>
    <w:rsid w:val="3CCE23CB"/>
    <w:rsid w:val="3CD17D17"/>
    <w:rsid w:val="3D31661F"/>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FEE8B2"/>
    <w:rsid w:val="3F060E16"/>
    <w:rsid w:val="3F1D1096"/>
    <w:rsid w:val="3F2F0234"/>
    <w:rsid w:val="3F6363FE"/>
    <w:rsid w:val="3F756B8F"/>
    <w:rsid w:val="3F95482B"/>
    <w:rsid w:val="4019356B"/>
    <w:rsid w:val="40592157"/>
    <w:rsid w:val="406E1CAE"/>
    <w:rsid w:val="40A0133A"/>
    <w:rsid w:val="40C31A53"/>
    <w:rsid w:val="40FF545D"/>
    <w:rsid w:val="410067C8"/>
    <w:rsid w:val="413018E3"/>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7C12B74"/>
    <w:rsid w:val="47E15700"/>
    <w:rsid w:val="4809698F"/>
    <w:rsid w:val="480A0199"/>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5194D"/>
    <w:rsid w:val="4A064FA0"/>
    <w:rsid w:val="4A16615C"/>
    <w:rsid w:val="4A4424D7"/>
    <w:rsid w:val="4AB82D0F"/>
    <w:rsid w:val="4AEB7664"/>
    <w:rsid w:val="4AFD7C19"/>
    <w:rsid w:val="4B0567D1"/>
    <w:rsid w:val="4B1650A7"/>
    <w:rsid w:val="4B236AAE"/>
    <w:rsid w:val="4B65492A"/>
    <w:rsid w:val="4B707271"/>
    <w:rsid w:val="4B9739F7"/>
    <w:rsid w:val="4BA4499E"/>
    <w:rsid w:val="4BEE2503"/>
    <w:rsid w:val="4C245A30"/>
    <w:rsid w:val="4CB6685F"/>
    <w:rsid w:val="4CC367FE"/>
    <w:rsid w:val="4D077F3C"/>
    <w:rsid w:val="4D123355"/>
    <w:rsid w:val="4D2A3B31"/>
    <w:rsid w:val="4D312C52"/>
    <w:rsid w:val="4D905305"/>
    <w:rsid w:val="4D964A72"/>
    <w:rsid w:val="4D9C1254"/>
    <w:rsid w:val="4E4162BF"/>
    <w:rsid w:val="4E5959D6"/>
    <w:rsid w:val="4E793892"/>
    <w:rsid w:val="4E800872"/>
    <w:rsid w:val="4E870C2B"/>
    <w:rsid w:val="4EC569ED"/>
    <w:rsid w:val="4ED50EA1"/>
    <w:rsid w:val="4EEC050C"/>
    <w:rsid w:val="4F104EC3"/>
    <w:rsid w:val="4F47354A"/>
    <w:rsid w:val="4F6D4A83"/>
    <w:rsid w:val="4F911C54"/>
    <w:rsid w:val="4FDFA8DE"/>
    <w:rsid w:val="4FE625E0"/>
    <w:rsid w:val="5021480F"/>
    <w:rsid w:val="50962ECB"/>
    <w:rsid w:val="50A42E38"/>
    <w:rsid w:val="50A4577F"/>
    <w:rsid w:val="50B73D1F"/>
    <w:rsid w:val="50BD5BC9"/>
    <w:rsid w:val="50C11EEE"/>
    <w:rsid w:val="50E97CFC"/>
    <w:rsid w:val="50FA4028"/>
    <w:rsid w:val="510D65B7"/>
    <w:rsid w:val="511157AB"/>
    <w:rsid w:val="5142540C"/>
    <w:rsid w:val="51651A9E"/>
    <w:rsid w:val="518832C8"/>
    <w:rsid w:val="519D2B12"/>
    <w:rsid w:val="519D3C50"/>
    <w:rsid w:val="51A0432A"/>
    <w:rsid w:val="51A86090"/>
    <w:rsid w:val="51B7396D"/>
    <w:rsid w:val="52281131"/>
    <w:rsid w:val="522E4CC3"/>
    <w:rsid w:val="5244713B"/>
    <w:rsid w:val="52615633"/>
    <w:rsid w:val="526F4DE4"/>
    <w:rsid w:val="52977FD4"/>
    <w:rsid w:val="52A25790"/>
    <w:rsid w:val="52A96B6F"/>
    <w:rsid w:val="52B45975"/>
    <w:rsid w:val="52D94AA4"/>
    <w:rsid w:val="52EA3A62"/>
    <w:rsid w:val="52F50BB8"/>
    <w:rsid w:val="52F8337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6879BF"/>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7DBC8FC"/>
    <w:rsid w:val="583B7DB8"/>
    <w:rsid w:val="58917D2F"/>
    <w:rsid w:val="5894085C"/>
    <w:rsid w:val="58AE4F0C"/>
    <w:rsid w:val="58B85899"/>
    <w:rsid w:val="58E363A9"/>
    <w:rsid w:val="595E1678"/>
    <w:rsid w:val="596D5BD4"/>
    <w:rsid w:val="597E3DD8"/>
    <w:rsid w:val="59F80043"/>
    <w:rsid w:val="5A09252F"/>
    <w:rsid w:val="5A0B2778"/>
    <w:rsid w:val="5A2A7C7B"/>
    <w:rsid w:val="5A316315"/>
    <w:rsid w:val="5A3E2560"/>
    <w:rsid w:val="5A5D3B6E"/>
    <w:rsid w:val="5A637A76"/>
    <w:rsid w:val="5A6D33BA"/>
    <w:rsid w:val="5A792B1F"/>
    <w:rsid w:val="5A874767"/>
    <w:rsid w:val="5AA85BE2"/>
    <w:rsid w:val="5AAD6F28"/>
    <w:rsid w:val="5AD63A24"/>
    <w:rsid w:val="5B2E1A1D"/>
    <w:rsid w:val="5B843A1C"/>
    <w:rsid w:val="5B873E3F"/>
    <w:rsid w:val="5BDC57A4"/>
    <w:rsid w:val="5C02690E"/>
    <w:rsid w:val="5C196DA7"/>
    <w:rsid w:val="5C2A048C"/>
    <w:rsid w:val="5C5B2E7B"/>
    <w:rsid w:val="5C80234E"/>
    <w:rsid w:val="5C8A680C"/>
    <w:rsid w:val="5CFB7791"/>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1F471A"/>
    <w:rsid w:val="5F3A3602"/>
    <w:rsid w:val="5F45733B"/>
    <w:rsid w:val="5F6277C6"/>
    <w:rsid w:val="5F6D0B1D"/>
    <w:rsid w:val="5F8D0B82"/>
    <w:rsid w:val="5FBB58B6"/>
    <w:rsid w:val="5FCC5339"/>
    <w:rsid w:val="5FE34A5B"/>
    <w:rsid w:val="5FFE1E36"/>
    <w:rsid w:val="60097D62"/>
    <w:rsid w:val="60136207"/>
    <w:rsid w:val="60232584"/>
    <w:rsid w:val="607330CE"/>
    <w:rsid w:val="60825176"/>
    <w:rsid w:val="609B3E1E"/>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4E81601"/>
    <w:rsid w:val="653C3090"/>
    <w:rsid w:val="65854376"/>
    <w:rsid w:val="658767BE"/>
    <w:rsid w:val="65885AA9"/>
    <w:rsid w:val="65892531"/>
    <w:rsid w:val="65AA1B7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165BE"/>
    <w:rsid w:val="687C10C9"/>
    <w:rsid w:val="68840C16"/>
    <w:rsid w:val="68872541"/>
    <w:rsid w:val="68876EFB"/>
    <w:rsid w:val="68884654"/>
    <w:rsid w:val="689F444F"/>
    <w:rsid w:val="68B96DBB"/>
    <w:rsid w:val="68CA2805"/>
    <w:rsid w:val="68E937A3"/>
    <w:rsid w:val="691664E5"/>
    <w:rsid w:val="693E15D3"/>
    <w:rsid w:val="694A61EF"/>
    <w:rsid w:val="69627681"/>
    <w:rsid w:val="6977531D"/>
    <w:rsid w:val="69CC2BFF"/>
    <w:rsid w:val="69FD55B8"/>
    <w:rsid w:val="6A0B1C62"/>
    <w:rsid w:val="6A2406C8"/>
    <w:rsid w:val="6ADE0BD1"/>
    <w:rsid w:val="6AE74F44"/>
    <w:rsid w:val="6AE96859"/>
    <w:rsid w:val="6B147746"/>
    <w:rsid w:val="6B216042"/>
    <w:rsid w:val="6B24787C"/>
    <w:rsid w:val="6B573233"/>
    <w:rsid w:val="6B5B6274"/>
    <w:rsid w:val="6B935D53"/>
    <w:rsid w:val="6BCF0383"/>
    <w:rsid w:val="6BD13D03"/>
    <w:rsid w:val="6C196F71"/>
    <w:rsid w:val="6C226FCB"/>
    <w:rsid w:val="6C31226F"/>
    <w:rsid w:val="6C552F0B"/>
    <w:rsid w:val="6C8C67B7"/>
    <w:rsid w:val="6C9D744C"/>
    <w:rsid w:val="6D167928"/>
    <w:rsid w:val="6D172E3C"/>
    <w:rsid w:val="6D26299B"/>
    <w:rsid w:val="6D3A6406"/>
    <w:rsid w:val="6D4772EC"/>
    <w:rsid w:val="6D9078AF"/>
    <w:rsid w:val="6DAA3FEF"/>
    <w:rsid w:val="6DC0172B"/>
    <w:rsid w:val="6DCB690C"/>
    <w:rsid w:val="6DD41A5B"/>
    <w:rsid w:val="6DD718AC"/>
    <w:rsid w:val="6DF43C2E"/>
    <w:rsid w:val="6DF51CA3"/>
    <w:rsid w:val="6E8335BD"/>
    <w:rsid w:val="6E8E12EF"/>
    <w:rsid w:val="6E972936"/>
    <w:rsid w:val="6ED446C5"/>
    <w:rsid w:val="6EFE9A18"/>
    <w:rsid w:val="6F2A7D94"/>
    <w:rsid w:val="6F8331F1"/>
    <w:rsid w:val="6FAE1A09"/>
    <w:rsid w:val="6FBC0A02"/>
    <w:rsid w:val="6FD75BF8"/>
    <w:rsid w:val="6FF5109D"/>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665E76"/>
    <w:rsid w:val="736C4BF7"/>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9832DD"/>
    <w:rsid w:val="76C47329"/>
    <w:rsid w:val="76C87133"/>
    <w:rsid w:val="76CD08D5"/>
    <w:rsid w:val="76DB4B92"/>
    <w:rsid w:val="76EF15E2"/>
    <w:rsid w:val="76FD013A"/>
    <w:rsid w:val="77052AA4"/>
    <w:rsid w:val="77136511"/>
    <w:rsid w:val="77340A39"/>
    <w:rsid w:val="77351FD0"/>
    <w:rsid w:val="77472422"/>
    <w:rsid w:val="777F31F2"/>
    <w:rsid w:val="77D1700D"/>
    <w:rsid w:val="77DA92F3"/>
    <w:rsid w:val="77EC04CC"/>
    <w:rsid w:val="77F80746"/>
    <w:rsid w:val="77FB1817"/>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4C120C"/>
    <w:rsid w:val="7A534B63"/>
    <w:rsid w:val="7A615382"/>
    <w:rsid w:val="7A67303B"/>
    <w:rsid w:val="7AAB1D04"/>
    <w:rsid w:val="7ABA4368"/>
    <w:rsid w:val="7AD05746"/>
    <w:rsid w:val="7B1B2457"/>
    <w:rsid w:val="7B257FFD"/>
    <w:rsid w:val="7B273D20"/>
    <w:rsid w:val="7B343476"/>
    <w:rsid w:val="7B5A2978"/>
    <w:rsid w:val="7B5A7E4C"/>
    <w:rsid w:val="7B667AF9"/>
    <w:rsid w:val="7B7468F8"/>
    <w:rsid w:val="7BA9702E"/>
    <w:rsid w:val="7BD855AF"/>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14B22"/>
    <w:rsid w:val="7DE60973"/>
    <w:rsid w:val="7DEF0916"/>
    <w:rsid w:val="7E1E5218"/>
    <w:rsid w:val="7E3F1927"/>
    <w:rsid w:val="7E9A4E1F"/>
    <w:rsid w:val="7EA7723A"/>
    <w:rsid w:val="7EE7E5A3"/>
    <w:rsid w:val="7EF56FBB"/>
    <w:rsid w:val="7F0768EB"/>
    <w:rsid w:val="7F143BEC"/>
    <w:rsid w:val="7F5CF809"/>
    <w:rsid w:val="7F715AF2"/>
    <w:rsid w:val="7F886E69"/>
    <w:rsid w:val="7FAEEC09"/>
    <w:rsid w:val="7FAF34B7"/>
    <w:rsid w:val="BB7FA927"/>
    <w:rsid w:val="D69BA3FE"/>
    <w:rsid w:val="E7EBE7DF"/>
    <w:rsid w:val="EBF627E4"/>
    <w:rsid w:val="EDDF8196"/>
    <w:rsid w:val="F3BD354C"/>
    <w:rsid w:val="F5E91CB1"/>
    <w:rsid w:val="F5FFD31F"/>
    <w:rsid w:val="F7FB2703"/>
    <w:rsid w:val="FB71B730"/>
    <w:rsid w:val="FBFF8F3C"/>
    <w:rsid w:val="FECE559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4"/>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8"/>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9">
    <w:name w:val="heading 4"/>
    <w:basedOn w:val="1"/>
    <w:next w:val="1"/>
    <w:link w:val="328"/>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0">
    <w:name w:val="heading 5"/>
    <w:basedOn w:val="1"/>
    <w:next w:val="1"/>
    <w:link w:val="294"/>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148"/>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2">
    <w:name w:val="heading 7"/>
    <w:basedOn w:val="1"/>
    <w:next w:val="1"/>
    <w:link w:val="308"/>
    <w:autoRedefine/>
    <w:qFormat/>
    <w:uiPriority w:val="0"/>
    <w:pPr>
      <w:keepNext/>
      <w:keepLines/>
      <w:tabs>
        <w:tab w:val="left" w:pos="1296"/>
      </w:tabs>
      <w:spacing w:before="240" w:after="64" w:line="320" w:lineRule="auto"/>
      <w:ind w:left="1296" w:hanging="1296"/>
      <w:outlineLvl w:val="6"/>
    </w:pPr>
    <w:rPr>
      <w:b/>
      <w:bCs/>
      <w:sz w:val="24"/>
    </w:rPr>
  </w:style>
  <w:style w:type="paragraph" w:styleId="13">
    <w:name w:val="heading 8"/>
    <w:basedOn w:val="1"/>
    <w:next w:val="1"/>
    <w:link w:val="359"/>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4">
    <w:name w:val="heading 9"/>
    <w:basedOn w:val="1"/>
    <w:next w:val="1"/>
    <w:link w:val="183"/>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3"/>
    <w:link w:val="431"/>
    <w:autoRedefine/>
    <w:qFormat/>
    <w:uiPriority w:val="0"/>
    <w:pPr>
      <w:autoSpaceDE w:val="0"/>
      <w:autoSpaceDN w:val="0"/>
      <w:spacing w:line="360" w:lineRule="auto"/>
    </w:pPr>
    <w:rPr>
      <w:rFonts w:ascii="宋体" w:hAnsi="Arial" w:cs="Arial"/>
      <w:snapToGrid w:val="0"/>
      <w:sz w:val="24"/>
      <w:szCs w:val="21"/>
      <w:lang w:val="zh-CN"/>
    </w:rPr>
  </w:style>
  <w:style w:type="paragraph" w:styleId="3">
    <w:name w:val="Body Text First Indent"/>
    <w:basedOn w:val="2"/>
    <w:next w:val="4"/>
    <w:link w:val="322"/>
    <w:autoRedefine/>
    <w:qFormat/>
    <w:uiPriority w:val="0"/>
    <w:pPr>
      <w:ind w:firstLine="420"/>
    </w:pPr>
    <w:rPr>
      <w:rFonts w:hAnsi="Calibri" w:cs="Times New Roman"/>
      <w:snapToGrid/>
      <w:szCs w:val="20"/>
    </w:rPr>
  </w:style>
  <w:style w:type="paragraph" w:styleId="4">
    <w:name w:val="toc 6"/>
    <w:basedOn w:val="1"/>
    <w:next w:val="1"/>
    <w:autoRedefine/>
    <w:qFormat/>
    <w:uiPriority w:val="0"/>
    <w:pPr>
      <w:ind w:left="2100" w:leftChars="1000"/>
    </w:pPr>
  </w:style>
  <w:style w:type="paragraph" w:styleId="8">
    <w:name w:val="Normal Indent"/>
    <w:basedOn w:val="1"/>
    <w:next w:val="1"/>
    <w:link w:val="194"/>
    <w:autoRedefine/>
    <w:qFormat/>
    <w:uiPriority w:val="0"/>
    <w:pPr>
      <w:widowControl/>
      <w:snapToGrid w:val="0"/>
      <w:spacing w:line="480" w:lineRule="exact"/>
      <w:ind w:firstLine="567"/>
    </w:pPr>
    <w:rPr>
      <w:rFonts w:ascii="宋体"/>
      <w:snapToGrid w:val="0"/>
      <w:color w:val="000000"/>
      <w:kern w:val="28"/>
      <w:sz w:val="28"/>
      <w:szCs w:val="20"/>
    </w:rPr>
  </w:style>
  <w:style w:type="paragraph" w:styleId="15">
    <w:name w:val="toc 7"/>
    <w:basedOn w:val="1"/>
    <w:next w:val="1"/>
    <w:autoRedefine/>
    <w:qFormat/>
    <w:uiPriority w:val="0"/>
    <w:pPr>
      <w:ind w:left="2520" w:leftChars="1200"/>
    </w:pPr>
  </w:style>
  <w:style w:type="paragraph" w:styleId="16">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7">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9">
    <w:name w:val="caption"/>
    <w:basedOn w:val="1"/>
    <w:next w:val="1"/>
    <w:link w:val="230"/>
    <w:autoRedefine/>
    <w:qFormat/>
    <w:uiPriority w:val="0"/>
    <w:rPr>
      <w:b/>
      <w:sz w:val="28"/>
      <w:szCs w:val="20"/>
    </w:rPr>
  </w:style>
  <w:style w:type="paragraph" w:styleId="20">
    <w:name w:val="index 5"/>
    <w:basedOn w:val="1"/>
    <w:next w:val="1"/>
    <w:autoRedefine/>
    <w:qFormat/>
    <w:uiPriority w:val="0"/>
    <w:pPr>
      <w:adjustRightInd/>
      <w:ind w:left="800" w:leftChars="800" w:firstLine="200" w:firstLineChars="200"/>
    </w:pPr>
  </w:style>
  <w:style w:type="paragraph" w:styleId="21">
    <w:name w:val="Document Map"/>
    <w:basedOn w:val="1"/>
    <w:link w:val="203"/>
    <w:autoRedefine/>
    <w:qFormat/>
    <w:uiPriority w:val="0"/>
    <w:pPr>
      <w:shd w:val="clear" w:color="auto" w:fill="000080"/>
    </w:pPr>
  </w:style>
  <w:style w:type="paragraph" w:styleId="22">
    <w:name w:val="annotation text"/>
    <w:basedOn w:val="1"/>
    <w:link w:val="345"/>
    <w:autoRedefine/>
    <w:qFormat/>
    <w:uiPriority w:val="99"/>
    <w:pPr>
      <w:jc w:val="left"/>
    </w:pPr>
  </w:style>
  <w:style w:type="paragraph" w:styleId="23">
    <w:name w:val="Salutation"/>
    <w:basedOn w:val="1"/>
    <w:next w:val="1"/>
    <w:link w:val="299"/>
    <w:autoRedefine/>
    <w:qFormat/>
    <w:uiPriority w:val="0"/>
    <w:rPr>
      <w:rFonts w:ascii="仿宋_GB2312" w:eastAsia="仿宋_GB2312"/>
      <w:sz w:val="28"/>
      <w:szCs w:val="20"/>
    </w:rPr>
  </w:style>
  <w:style w:type="paragraph" w:styleId="24">
    <w:name w:val="Body Text 3"/>
    <w:basedOn w:val="1"/>
    <w:link w:val="331"/>
    <w:autoRedefine/>
    <w:qFormat/>
    <w:uiPriority w:val="0"/>
    <w:pPr>
      <w:jc w:val="center"/>
    </w:pPr>
    <w:rPr>
      <w:szCs w:val="20"/>
    </w:rPr>
  </w:style>
  <w:style w:type="paragraph" w:styleId="25">
    <w:name w:val="List Bullet 3"/>
    <w:basedOn w:val="1"/>
    <w:autoRedefine/>
    <w:unhideWhenUsed/>
    <w:qFormat/>
    <w:uiPriority w:val="0"/>
    <w:pPr>
      <w:snapToGrid w:val="0"/>
      <w:spacing w:line="360" w:lineRule="auto"/>
      <w:ind w:left="360" w:right="238" w:hanging="360"/>
      <w:contextualSpacing/>
    </w:pPr>
    <w:rPr>
      <w:sz w:val="24"/>
    </w:rPr>
  </w:style>
  <w:style w:type="paragraph" w:styleId="26">
    <w:name w:val="Body Text Indent"/>
    <w:basedOn w:val="1"/>
    <w:next w:val="27"/>
    <w:link w:val="266"/>
    <w:autoRedefine/>
    <w:qFormat/>
    <w:uiPriority w:val="0"/>
    <w:pPr>
      <w:spacing w:line="480" w:lineRule="exact"/>
      <w:ind w:firstLine="480" w:firstLineChars="200"/>
    </w:pPr>
    <w:rPr>
      <w:rFonts w:ascii="宋体" w:hAnsi="宋体"/>
      <w:sz w:val="24"/>
    </w:rPr>
  </w:style>
  <w:style w:type="paragraph" w:styleId="27">
    <w:name w:val="envelope return"/>
    <w:basedOn w:val="1"/>
    <w:autoRedefine/>
    <w:qFormat/>
    <w:uiPriority w:val="0"/>
    <w:pPr>
      <w:snapToGrid w:val="0"/>
    </w:pPr>
    <w:rPr>
      <w:rFonts w:ascii="Arial" w:hAnsi="Arial"/>
    </w:rPr>
  </w:style>
  <w:style w:type="paragraph" w:styleId="28">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0"/>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6"/>
    <w:autoRedefine/>
    <w:qFormat/>
    <w:uiPriority w:val="0"/>
    <w:rPr>
      <w:rFonts w:ascii="宋体" w:hAnsi="Courier New" w:cs="Arial"/>
      <w:snapToGrid w:val="0"/>
      <w:szCs w:val="21"/>
    </w:rPr>
  </w:style>
  <w:style w:type="paragraph" w:styleId="36">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autoRedefine/>
    <w:qFormat/>
    <w:uiPriority w:val="0"/>
    <w:pPr>
      <w:ind w:left="2940" w:leftChars="1400"/>
    </w:pPr>
  </w:style>
  <w:style w:type="paragraph" w:styleId="38">
    <w:name w:val="Date"/>
    <w:basedOn w:val="1"/>
    <w:next w:val="1"/>
    <w:link w:val="182"/>
    <w:autoRedefine/>
    <w:qFormat/>
    <w:uiPriority w:val="0"/>
    <w:pPr>
      <w:ind w:left="100" w:leftChars="2500"/>
    </w:pPr>
    <w:rPr>
      <w:rFonts w:ascii="宋体"/>
      <w:sz w:val="24"/>
      <w:szCs w:val="21"/>
      <w:lang w:val="zh-CN"/>
    </w:rPr>
  </w:style>
  <w:style w:type="paragraph" w:styleId="39">
    <w:name w:val="Body Text Indent 2"/>
    <w:basedOn w:val="1"/>
    <w:link w:val="309"/>
    <w:autoRedefine/>
    <w:qFormat/>
    <w:uiPriority w:val="0"/>
    <w:pPr>
      <w:spacing w:line="360" w:lineRule="auto"/>
      <w:ind w:firstLine="601"/>
      <w:textAlignment w:val="baseline"/>
    </w:pPr>
    <w:rPr>
      <w:rFonts w:ascii="宋体"/>
      <w:kern w:val="0"/>
      <w:sz w:val="28"/>
      <w:szCs w:val="20"/>
    </w:rPr>
  </w:style>
  <w:style w:type="paragraph" w:styleId="40">
    <w:name w:val="endnote text"/>
    <w:basedOn w:val="1"/>
    <w:link w:val="933"/>
    <w:autoRedefine/>
    <w:qFormat/>
    <w:uiPriority w:val="0"/>
    <w:rPr>
      <w:lang w:val="zh-CN"/>
    </w:rPr>
  </w:style>
  <w:style w:type="paragraph" w:styleId="41">
    <w:name w:val="Balloon Text"/>
    <w:basedOn w:val="1"/>
    <w:link w:val="189"/>
    <w:autoRedefine/>
    <w:qFormat/>
    <w:uiPriority w:val="0"/>
    <w:rPr>
      <w:sz w:val="18"/>
      <w:szCs w:val="18"/>
    </w:rPr>
  </w:style>
  <w:style w:type="paragraph" w:styleId="42">
    <w:name w:val="footer"/>
    <w:basedOn w:val="1"/>
    <w:link w:val="384"/>
    <w:autoRedefine/>
    <w:qFormat/>
    <w:uiPriority w:val="99"/>
    <w:pPr>
      <w:tabs>
        <w:tab w:val="center" w:pos="4153"/>
        <w:tab w:val="right" w:pos="8306"/>
      </w:tabs>
      <w:snapToGrid w:val="0"/>
      <w:jc w:val="left"/>
    </w:pPr>
    <w:rPr>
      <w:sz w:val="18"/>
      <w:szCs w:val="18"/>
    </w:rPr>
  </w:style>
  <w:style w:type="paragraph" w:styleId="43">
    <w:name w:val="header"/>
    <w:basedOn w:val="1"/>
    <w:link w:val="393"/>
    <w:autoRedefine/>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6"/>
    <w:autoRedefine/>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autoRedefine/>
    <w:qFormat/>
    <w:uiPriority w:val="0"/>
  </w:style>
  <w:style w:type="paragraph" w:styleId="46">
    <w:name w:val="toc 4"/>
    <w:basedOn w:val="1"/>
    <w:next w:val="1"/>
    <w:autoRedefine/>
    <w:qFormat/>
    <w:uiPriority w:val="0"/>
    <w:pPr>
      <w:ind w:left="1260" w:leftChars="600"/>
    </w:pPr>
  </w:style>
  <w:style w:type="paragraph" w:styleId="47">
    <w:name w:val="index heading"/>
    <w:basedOn w:val="1"/>
    <w:next w:val="48"/>
    <w:autoRedefine/>
    <w:qFormat/>
    <w:uiPriority w:val="0"/>
    <w:pPr>
      <w:adjustRightInd/>
      <w:ind w:firstLine="200" w:firstLineChars="200"/>
    </w:pPr>
  </w:style>
  <w:style w:type="paragraph" w:styleId="48">
    <w:name w:val="index 1"/>
    <w:basedOn w:val="1"/>
    <w:next w:val="1"/>
    <w:autoRedefine/>
    <w:qFormat/>
    <w:uiPriority w:val="0"/>
    <w:pPr>
      <w:adjustRightInd/>
      <w:spacing w:line="360" w:lineRule="auto"/>
      <w:ind w:firstLine="200" w:firstLineChars="200"/>
      <w:jc w:val="center"/>
    </w:pPr>
    <w:rPr>
      <w:sz w:val="24"/>
      <w:szCs w:val="20"/>
    </w:rPr>
  </w:style>
  <w:style w:type="paragraph" w:styleId="49">
    <w:name w:val="Subtitle"/>
    <w:link w:val="134"/>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autoRedefine/>
    <w:qFormat/>
    <w:uiPriority w:val="0"/>
    <w:pPr>
      <w:tabs>
        <w:tab w:val="left" w:pos="902"/>
      </w:tabs>
      <w:adjustRightInd/>
      <w:spacing w:line="400" w:lineRule="exact"/>
      <w:ind w:left="902" w:hanging="420"/>
    </w:pPr>
    <w:rPr>
      <w:sz w:val="24"/>
      <w:szCs w:val="20"/>
    </w:rPr>
  </w:style>
  <w:style w:type="paragraph" w:styleId="51">
    <w:name w:val="List"/>
    <w:basedOn w:val="1"/>
    <w:autoRedefine/>
    <w:qFormat/>
    <w:uiPriority w:val="0"/>
    <w:pPr>
      <w:ind w:left="200" w:hanging="200" w:hangingChars="200"/>
    </w:pPr>
  </w:style>
  <w:style w:type="paragraph" w:styleId="52">
    <w:name w:val="footnote text"/>
    <w:basedOn w:val="8"/>
    <w:link w:val="311"/>
    <w:autoRedefine/>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6"/>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3"/>
    <w:autoRedefine/>
    <w:qFormat/>
    <w:uiPriority w:val="0"/>
    <w:pPr>
      <w:spacing w:after="120" w:line="480" w:lineRule="auto"/>
    </w:pPr>
  </w:style>
  <w:style w:type="paragraph" w:styleId="58">
    <w:name w:val="HTML Preformatted"/>
    <w:basedOn w:val="1"/>
    <w:link w:val="302"/>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7"/>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2"/>
    <w:next w:val="22"/>
    <w:link w:val="97"/>
    <w:autoRedefine/>
    <w:qFormat/>
    <w:uiPriority w:val="0"/>
    <w:rPr>
      <w:b/>
      <w:bCs/>
    </w:rPr>
  </w:style>
  <w:style w:type="paragraph" w:styleId="62">
    <w:name w:val="Body Text First Indent 2"/>
    <w:basedOn w:val="26"/>
    <w:link w:val="122"/>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customStyle="1" w:styleId="80">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空2字"/>
    <w:basedOn w:val="82"/>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autoRedefine/>
    <w:qFormat/>
    <w:uiPriority w:val="99"/>
    <w:rPr>
      <w:rFonts w:ascii="Calibri" w:hAnsi="Calibri" w:eastAsia="仿宋_GB2312" w:cs="Calibri"/>
      <w:kern w:val="2"/>
      <w:sz w:val="32"/>
      <w:szCs w:val="32"/>
      <w:lang w:val="en-US" w:eastAsia="zh-CN" w:bidi="ar-SA"/>
    </w:rPr>
  </w:style>
  <w:style w:type="character" w:customStyle="1" w:styleId="83">
    <w:name w:val="表格非标题文字 Char"/>
    <w:link w:val="84"/>
    <w:autoRedefine/>
    <w:qFormat/>
    <w:uiPriority w:val="0"/>
    <w:rPr>
      <w:rFonts w:ascii="Futura Bk" w:hAnsi="Futura Bk"/>
      <w:kern w:val="2"/>
      <w:sz w:val="18"/>
      <w:szCs w:val="21"/>
      <w:lang w:val="en-US" w:eastAsia="zh-CN" w:bidi="ar-SA"/>
    </w:rPr>
  </w:style>
  <w:style w:type="paragraph" w:customStyle="1" w:styleId="84">
    <w:name w:val="表格非标题文字"/>
    <w:link w:val="83"/>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autoRedefine/>
    <w:qFormat/>
    <w:locked/>
    <w:uiPriority w:val="0"/>
    <w:rPr>
      <w:rFonts w:ascii="宋体" w:hAnsi="宋体"/>
      <w:sz w:val="24"/>
    </w:rPr>
  </w:style>
  <w:style w:type="paragraph" w:customStyle="1" w:styleId="86">
    <w:name w:val="*正文"/>
    <w:basedOn w:val="1"/>
    <w:link w:val="85"/>
    <w:autoRedefine/>
    <w:qFormat/>
    <w:uiPriority w:val="0"/>
    <w:pPr>
      <w:snapToGrid w:val="0"/>
      <w:spacing w:line="360" w:lineRule="auto"/>
      <w:ind w:firstLine="482"/>
      <w:jc w:val="left"/>
    </w:pPr>
    <w:rPr>
      <w:rFonts w:ascii="宋体" w:hAnsi="宋体"/>
      <w:kern w:val="0"/>
      <w:sz w:val="24"/>
      <w:szCs w:val="20"/>
    </w:rPr>
  </w:style>
  <w:style w:type="character" w:customStyle="1" w:styleId="87">
    <w:name w:val="Char Char71"/>
    <w:autoRedefine/>
    <w:semiHidden/>
    <w:qFormat/>
    <w:uiPriority w:val="0"/>
    <w:rPr>
      <w:rFonts w:eastAsia="宋体"/>
      <w:kern w:val="2"/>
      <w:sz w:val="21"/>
      <w:szCs w:val="24"/>
      <w:lang w:val="en-US" w:eastAsia="zh-CN" w:bidi="ar-SA"/>
    </w:rPr>
  </w:style>
  <w:style w:type="character" w:customStyle="1" w:styleId="88">
    <w:name w:val="Char Char6"/>
    <w:autoRedefine/>
    <w:qFormat/>
    <w:uiPriority w:val="0"/>
    <w:rPr>
      <w:rFonts w:eastAsia="宋体"/>
      <w:kern w:val="2"/>
      <w:sz w:val="21"/>
      <w:szCs w:val="24"/>
      <w:lang w:val="en-US" w:eastAsia="zh-CN" w:bidi="ar-SA"/>
    </w:rPr>
  </w:style>
  <w:style w:type="character" w:customStyle="1" w:styleId="89">
    <w:name w:val="正文缩进 Char"/>
    <w:autoRedefine/>
    <w:qFormat/>
    <w:uiPriority w:val="0"/>
    <w:rPr>
      <w:rFonts w:eastAsia="宋体"/>
      <w:kern w:val="2"/>
      <w:sz w:val="21"/>
      <w:lang w:val="en-US" w:eastAsia="zh-CN"/>
    </w:rPr>
  </w:style>
  <w:style w:type="character" w:customStyle="1" w:styleId="90">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1">
    <w:name w:val="Char Char28"/>
    <w:autoRedefine/>
    <w:qFormat/>
    <w:uiPriority w:val="6"/>
    <w:rPr>
      <w:rFonts w:ascii="仿宋_GB2312" w:hAnsi="仿宋_GB2312" w:eastAsia="仿宋_GB2312"/>
      <w:kern w:val="1"/>
      <w:sz w:val="28"/>
    </w:rPr>
  </w:style>
  <w:style w:type="character" w:customStyle="1" w:styleId="92">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autoRedefine/>
    <w:qFormat/>
    <w:uiPriority w:val="6"/>
    <w:rPr>
      <w:rFonts w:ascii="Times New Roman" w:hAnsi="Times New Roman" w:eastAsia="黑体" w:cs="Times New Roman"/>
      <w:b/>
      <w:kern w:val="0"/>
      <w:sz w:val="24"/>
      <w:szCs w:val="24"/>
    </w:rPr>
  </w:style>
  <w:style w:type="character" w:customStyle="1" w:styleId="94">
    <w:name w:val="U_正文 Char"/>
    <w:link w:val="95"/>
    <w:autoRedefine/>
    <w:qFormat/>
    <w:uiPriority w:val="0"/>
    <w:rPr>
      <w:sz w:val="24"/>
      <w:szCs w:val="24"/>
    </w:rPr>
  </w:style>
  <w:style w:type="paragraph" w:customStyle="1" w:styleId="95">
    <w:name w:val="U_正文"/>
    <w:basedOn w:val="1"/>
    <w:link w:val="94"/>
    <w:autoRedefine/>
    <w:qFormat/>
    <w:uiPriority w:val="0"/>
    <w:pPr>
      <w:adjustRightInd/>
      <w:spacing w:beforeLines="20" w:afterLines="20" w:line="300" w:lineRule="auto"/>
      <w:ind w:firstLine="200" w:firstLineChars="200"/>
    </w:pPr>
    <w:rPr>
      <w:kern w:val="0"/>
      <w:sz w:val="24"/>
    </w:rPr>
  </w:style>
  <w:style w:type="character" w:customStyle="1" w:styleId="96">
    <w:name w:val="HTML 地址 Char1"/>
    <w:autoRedefine/>
    <w:qFormat/>
    <w:uiPriority w:val="0"/>
    <w:rPr>
      <w:rFonts w:ascii="Times New Roman" w:hAnsi="Times New Roman" w:eastAsia="宋体" w:cs="Times New Roman"/>
      <w:i/>
      <w:iCs/>
      <w:szCs w:val="24"/>
    </w:rPr>
  </w:style>
  <w:style w:type="character" w:customStyle="1" w:styleId="97">
    <w:name w:val="批注主题 字符"/>
    <w:link w:val="61"/>
    <w:autoRedefine/>
    <w:qFormat/>
    <w:uiPriority w:val="0"/>
    <w:rPr>
      <w:b/>
      <w:bCs/>
      <w:kern w:val="2"/>
      <w:sz w:val="21"/>
      <w:szCs w:val="24"/>
    </w:rPr>
  </w:style>
  <w:style w:type="character" w:customStyle="1" w:styleId="98">
    <w:name w:val="Char Char51"/>
    <w:autoRedefine/>
    <w:qFormat/>
    <w:uiPriority w:val="0"/>
    <w:rPr>
      <w:rFonts w:ascii="宋体" w:hAnsi="Courier New" w:eastAsia="宋体"/>
      <w:kern w:val="2"/>
      <w:sz w:val="21"/>
      <w:lang w:val="en-US" w:eastAsia="zh-CN"/>
    </w:rPr>
  </w:style>
  <w:style w:type="character" w:customStyle="1" w:styleId="99">
    <w:name w:val="表正文 Char"/>
    <w:autoRedefine/>
    <w:qFormat/>
    <w:uiPriority w:val="0"/>
    <w:rPr>
      <w:rFonts w:ascii="宋体" w:eastAsia="宋体"/>
      <w:snapToGrid w:val="0"/>
      <w:color w:val="000000"/>
      <w:kern w:val="28"/>
      <w:sz w:val="28"/>
      <w:lang w:val="en-US" w:eastAsia="zh-CN" w:bidi="ar-SA"/>
    </w:rPr>
  </w:style>
  <w:style w:type="character" w:customStyle="1" w:styleId="100">
    <w:name w:val="Char Char34"/>
    <w:autoRedefine/>
    <w:qFormat/>
    <w:uiPriority w:val="6"/>
    <w:rPr>
      <w:b/>
      <w:kern w:val="1"/>
      <w:sz w:val="28"/>
      <w:szCs w:val="28"/>
    </w:rPr>
  </w:style>
  <w:style w:type="character" w:customStyle="1" w:styleId="101">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autoRedefine/>
    <w:qFormat/>
    <w:uiPriority w:val="0"/>
    <w:rPr>
      <w:rFonts w:ascii="宋体" w:hAnsi="宋体" w:eastAsia="宋体"/>
      <w:kern w:val="2"/>
      <w:sz w:val="24"/>
      <w:lang w:bidi="ar-SA"/>
    </w:rPr>
  </w:style>
  <w:style w:type="paragraph" w:customStyle="1" w:styleId="103">
    <w:name w:val="哈哈正文"/>
    <w:basedOn w:val="1"/>
    <w:link w:val="102"/>
    <w:autoRedefine/>
    <w:qFormat/>
    <w:uiPriority w:val="0"/>
    <w:pPr>
      <w:adjustRightInd/>
      <w:spacing w:line="360" w:lineRule="auto"/>
      <w:ind w:firstLine="200" w:firstLineChars="200"/>
    </w:pPr>
    <w:rPr>
      <w:rFonts w:ascii="宋体" w:hAnsi="宋体"/>
      <w:sz w:val="24"/>
      <w:szCs w:val="20"/>
    </w:rPr>
  </w:style>
  <w:style w:type="character" w:customStyle="1" w:styleId="104">
    <w:name w:val="未处理的提及1"/>
    <w:autoRedefine/>
    <w:qFormat/>
    <w:uiPriority w:val="0"/>
    <w:rPr>
      <w:color w:val="808080"/>
      <w:shd w:val="clear" w:color="auto" w:fill="E6E6E6"/>
    </w:rPr>
  </w:style>
  <w:style w:type="character" w:customStyle="1" w:styleId="105">
    <w:name w:val="txt"/>
    <w:autoRedefine/>
    <w:qFormat/>
    <w:uiPriority w:val="0"/>
    <w:rPr>
      <w:rFonts w:ascii="仿宋_GB2312" w:eastAsia="微软雅黑"/>
      <w:b/>
      <w:kern w:val="2"/>
      <w:sz w:val="32"/>
      <w:szCs w:val="32"/>
      <w:lang w:val="en-US" w:eastAsia="zh-CN" w:bidi="ar-SA"/>
    </w:rPr>
  </w:style>
  <w:style w:type="character" w:customStyle="1" w:styleId="106">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7">
    <w:name w:val="Char Char32"/>
    <w:autoRedefine/>
    <w:qFormat/>
    <w:uiPriority w:val="6"/>
    <w:rPr>
      <w:b/>
      <w:kern w:val="1"/>
      <w:sz w:val="24"/>
      <w:szCs w:val="24"/>
    </w:rPr>
  </w:style>
  <w:style w:type="character" w:customStyle="1" w:styleId="108">
    <w:name w:val="PI Char1"/>
    <w:autoRedefine/>
    <w:qFormat/>
    <w:uiPriority w:val="0"/>
    <w:rPr>
      <w:rFonts w:ascii="宋体" w:hAnsi="宋体"/>
      <w:kern w:val="2"/>
      <w:sz w:val="24"/>
      <w:szCs w:val="24"/>
    </w:rPr>
  </w:style>
  <w:style w:type="character" w:customStyle="1" w:styleId="109">
    <w:name w:val="tw4winTerm"/>
    <w:autoRedefine/>
    <w:qFormat/>
    <w:uiPriority w:val="0"/>
    <w:rPr>
      <w:color w:val="0000FF"/>
    </w:rPr>
  </w:style>
  <w:style w:type="character" w:customStyle="1" w:styleId="110">
    <w:name w:val="Footer Char"/>
    <w:autoRedefine/>
    <w:qFormat/>
    <w:locked/>
    <w:uiPriority w:val="0"/>
    <w:rPr>
      <w:rFonts w:eastAsia="宋体"/>
      <w:kern w:val="2"/>
      <w:sz w:val="18"/>
      <w:lang w:val="en-US" w:eastAsia="zh-CN" w:bidi="ar-SA"/>
    </w:rPr>
  </w:style>
  <w:style w:type="character" w:customStyle="1" w:styleId="111">
    <w:name w:val="普通文字 Char Char1"/>
    <w:autoRedefine/>
    <w:qFormat/>
    <w:uiPriority w:val="0"/>
    <w:rPr>
      <w:rFonts w:ascii="宋体" w:hAnsi="Courier New"/>
      <w:kern w:val="2"/>
      <w:sz w:val="21"/>
    </w:rPr>
  </w:style>
  <w:style w:type="character" w:customStyle="1" w:styleId="112">
    <w:name w:val="Char Char101"/>
    <w:autoRedefine/>
    <w:qFormat/>
    <w:uiPriority w:val="6"/>
    <w:rPr>
      <w:rFonts w:ascii="宋体" w:hAnsi="宋体"/>
      <w:kern w:val="2"/>
      <w:sz w:val="21"/>
      <w:szCs w:val="24"/>
      <w:lang w:val="en-US" w:eastAsia="zh-CN"/>
    </w:rPr>
  </w:style>
  <w:style w:type="character" w:customStyle="1" w:styleId="113">
    <w:name w:val="标题 4 Char"/>
    <w:autoRedefine/>
    <w:qFormat/>
    <w:uiPriority w:val="0"/>
    <w:rPr>
      <w:rFonts w:ascii="Arial" w:hAnsi="Arial" w:eastAsia="黑体"/>
      <w:b/>
      <w:kern w:val="2"/>
      <w:sz w:val="28"/>
    </w:rPr>
  </w:style>
  <w:style w:type="character" w:customStyle="1" w:styleId="114">
    <w:name w:val="链接"/>
    <w:autoRedefine/>
    <w:qFormat/>
    <w:uiPriority w:val="0"/>
    <w:rPr>
      <w:color w:val="0000FF"/>
      <w:sz w:val="21"/>
      <w:szCs w:val="21"/>
      <w:u w:val="single"/>
    </w:rPr>
  </w:style>
  <w:style w:type="character" w:customStyle="1" w:styleId="115">
    <w:name w:val="h4 Char"/>
    <w:autoRedefine/>
    <w:qFormat/>
    <w:uiPriority w:val="0"/>
    <w:rPr>
      <w:rFonts w:ascii="Arial" w:hAnsi="Arial" w:eastAsia="黑体"/>
      <w:b/>
      <w:bCs/>
      <w:kern w:val="2"/>
      <w:sz w:val="28"/>
      <w:szCs w:val="28"/>
      <w:lang w:val="zh-CN" w:eastAsia="zh-CN" w:bidi="ar-SA"/>
    </w:rPr>
  </w:style>
  <w:style w:type="character" w:customStyle="1" w:styleId="116">
    <w:name w:val="5正文 Char"/>
    <w:link w:val="117"/>
    <w:autoRedefine/>
    <w:qFormat/>
    <w:uiPriority w:val="0"/>
    <w:rPr>
      <w:rFonts w:ascii="仿宋_GB2312" w:hAnsi="微软雅黑" w:eastAsia="仿宋_GB2312"/>
      <w:sz w:val="28"/>
      <w:szCs w:val="21"/>
    </w:rPr>
  </w:style>
  <w:style w:type="paragraph" w:customStyle="1" w:styleId="117">
    <w:name w:val="5正文"/>
    <w:basedOn w:val="1"/>
    <w:link w:val="116"/>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autoRedefine/>
    <w:qFormat/>
    <w:uiPriority w:val="9"/>
    <w:rPr>
      <w:b/>
      <w:bCs/>
      <w:kern w:val="2"/>
      <w:sz w:val="32"/>
      <w:szCs w:val="32"/>
    </w:rPr>
  </w:style>
  <w:style w:type="character" w:customStyle="1" w:styleId="119">
    <w:name w:val="样式6 Char"/>
    <w:autoRedefine/>
    <w:qFormat/>
    <w:uiPriority w:val="0"/>
    <w:rPr>
      <w:rFonts w:ascii="仿宋_GB2312" w:hAnsi="宋体" w:eastAsia="仿宋_GB2312"/>
      <w:b/>
      <w:bCs/>
      <w:kern w:val="2"/>
      <w:sz w:val="24"/>
      <w:szCs w:val="24"/>
      <w:lang w:val="en-US" w:eastAsia="zh-CN" w:bidi="ar-SA"/>
    </w:rPr>
  </w:style>
  <w:style w:type="character" w:customStyle="1" w:styleId="120">
    <w:name w:val="Char Char14"/>
    <w:autoRedefine/>
    <w:qFormat/>
    <w:uiPriority w:val="6"/>
    <w:rPr>
      <w:rFonts w:ascii="黑体" w:hAnsi="黑体" w:eastAsia="黑体"/>
    </w:rPr>
  </w:style>
  <w:style w:type="character" w:customStyle="1" w:styleId="121">
    <w:name w:val="Heading 2 Hidden Char"/>
    <w:autoRedefine/>
    <w:qFormat/>
    <w:uiPriority w:val="0"/>
    <w:rPr>
      <w:rFonts w:ascii="仿宋_GB2312" w:eastAsia="仿宋_GB2312"/>
      <w:b/>
      <w:bCs/>
      <w:kern w:val="2"/>
      <w:sz w:val="24"/>
      <w:szCs w:val="24"/>
      <w:lang w:val="zh-CN" w:eastAsia="zh-CN" w:bidi="ar-SA"/>
    </w:rPr>
  </w:style>
  <w:style w:type="character" w:customStyle="1" w:styleId="122">
    <w:name w:val="正文文本首行缩进 2 字符"/>
    <w:link w:val="62"/>
    <w:autoRedefine/>
    <w:qFormat/>
    <w:uiPriority w:val="0"/>
    <w:rPr>
      <w:rFonts w:ascii="宋体" w:hAnsi="宋体"/>
      <w:kern w:val="2"/>
      <w:sz w:val="21"/>
      <w:szCs w:val="24"/>
    </w:rPr>
  </w:style>
  <w:style w:type="character" w:customStyle="1" w:styleId="123">
    <w:name w:val="font11"/>
    <w:autoRedefine/>
    <w:qFormat/>
    <w:uiPriority w:val="0"/>
    <w:rPr>
      <w:rFonts w:hint="default" w:ascii="Times New Roman" w:hAnsi="Times New Roman" w:cs="Times New Roman"/>
      <w:color w:val="000000"/>
      <w:sz w:val="22"/>
      <w:szCs w:val="22"/>
      <w:u w:val="none"/>
    </w:rPr>
  </w:style>
  <w:style w:type="character" w:customStyle="1" w:styleId="124">
    <w:name w:val="表正文 Char1"/>
    <w:autoRedefine/>
    <w:qFormat/>
    <w:uiPriority w:val="0"/>
    <w:rPr>
      <w:rFonts w:ascii="宋体" w:eastAsia="宋体"/>
      <w:snapToGrid w:val="0"/>
      <w:color w:val="000000"/>
      <w:kern w:val="28"/>
      <w:sz w:val="28"/>
    </w:rPr>
  </w:style>
  <w:style w:type="character" w:customStyle="1" w:styleId="125">
    <w:name w:val="blue1"/>
    <w:basedOn w:val="70"/>
    <w:autoRedefine/>
    <w:qFormat/>
    <w:uiPriority w:val="0"/>
    <w:rPr>
      <w:rFonts w:ascii="Arial" w:hAnsi="Arial" w:eastAsia="黑体" w:cs="Arial"/>
      <w:snapToGrid w:val="0"/>
      <w:kern w:val="0"/>
      <w:szCs w:val="21"/>
    </w:rPr>
  </w:style>
  <w:style w:type="character" w:customStyle="1" w:styleId="126">
    <w:name w:val="纯文本 字符1"/>
    <w:link w:val="35"/>
    <w:autoRedefine/>
    <w:qFormat/>
    <w:uiPriority w:val="0"/>
    <w:rPr>
      <w:rFonts w:ascii="宋体" w:hAnsi="Courier New" w:eastAsia="宋体" w:cs="Arial"/>
      <w:snapToGrid w:val="0"/>
      <w:kern w:val="2"/>
      <w:sz w:val="21"/>
      <w:szCs w:val="21"/>
      <w:lang w:val="en-US" w:eastAsia="zh-CN" w:bidi="ar-SA"/>
    </w:rPr>
  </w:style>
  <w:style w:type="character" w:customStyle="1" w:styleId="127">
    <w:name w:val="标书1 Char"/>
    <w:autoRedefine/>
    <w:qFormat/>
    <w:uiPriority w:val="0"/>
    <w:rPr>
      <w:rFonts w:eastAsia="宋体"/>
      <w:b/>
      <w:bCs/>
      <w:kern w:val="44"/>
      <w:sz w:val="44"/>
      <w:szCs w:val="44"/>
      <w:lang w:val="en-US" w:eastAsia="zh-CN" w:bidi="ar-SA"/>
    </w:rPr>
  </w:style>
  <w:style w:type="character" w:customStyle="1" w:styleId="128">
    <w:name w:val="样式5 Char"/>
    <w:autoRedefine/>
    <w:qFormat/>
    <w:uiPriority w:val="0"/>
    <w:rPr>
      <w:rFonts w:ascii="仿宋_GB2312" w:hAnsi="仿宋" w:eastAsia="仿宋_GB2312"/>
      <w:kern w:val="2"/>
      <w:sz w:val="24"/>
      <w:szCs w:val="24"/>
    </w:rPr>
  </w:style>
  <w:style w:type="character" w:customStyle="1" w:styleId="129">
    <w:name w:val="样式4 Char"/>
    <w:autoRedefine/>
    <w:qFormat/>
    <w:uiPriority w:val="0"/>
    <w:rPr>
      <w:rFonts w:ascii="仿宋_GB2312" w:hAnsi="仿宋" w:eastAsia="仿宋_GB2312"/>
      <w:b/>
      <w:kern w:val="2"/>
      <w:sz w:val="32"/>
      <w:szCs w:val="32"/>
      <w:lang w:bidi="ar-SA"/>
    </w:rPr>
  </w:style>
  <w:style w:type="character" w:customStyle="1" w:styleId="130">
    <w:name w:val="插图说明 Char"/>
    <w:autoRedefine/>
    <w:qFormat/>
    <w:uiPriority w:val="0"/>
    <w:rPr>
      <w:rFonts w:eastAsia="黑体"/>
      <w:sz w:val="24"/>
      <w:lang w:val="en-US" w:eastAsia="zh-CN"/>
    </w:rPr>
  </w:style>
  <w:style w:type="character" w:customStyle="1" w:styleId="131">
    <w:name w:val="正文2 Char Char"/>
    <w:link w:val="132"/>
    <w:autoRedefine/>
    <w:qFormat/>
    <w:uiPriority w:val="0"/>
    <w:rPr>
      <w:rFonts w:eastAsia="宋体"/>
      <w:kern w:val="2"/>
      <w:sz w:val="24"/>
      <w:lang w:val="en-US" w:eastAsia="zh-CN" w:bidi="ar-SA"/>
    </w:rPr>
  </w:style>
  <w:style w:type="paragraph" w:customStyle="1" w:styleId="132">
    <w:name w:val="正文2"/>
    <w:basedOn w:val="1"/>
    <w:link w:val="131"/>
    <w:autoRedefine/>
    <w:qFormat/>
    <w:uiPriority w:val="0"/>
    <w:pPr>
      <w:spacing w:before="156" w:line="360" w:lineRule="auto"/>
      <w:ind w:firstLine="510" w:firstLineChars="200"/>
    </w:pPr>
    <w:rPr>
      <w:sz w:val="24"/>
      <w:szCs w:val="20"/>
    </w:rPr>
  </w:style>
  <w:style w:type="character" w:customStyle="1" w:styleId="133">
    <w:name w:val="Char Char24"/>
    <w:autoRedefine/>
    <w:qFormat/>
    <w:uiPriority w:val="6"/>
    <w:rPr>
      <w:kern w:val="1"/>
      <w:sz w:val="21"/>
    </w:rPr>
  </w:style>
  <w:style w:type="character" w:customStyle="1" w:styleId="134">
    <w:name w:val="副标题 字符"/>
    <w:link w:val="49"/>
    <w:autoRedefine/>
    <w:qFormat/>
    <w:uiPriority w:val="0"/>
    <w:rPr>
      <w:rFonts w:ascii="Arial" w:hAnsi="Arial" w:eastAsia="隶书"/>
      <w:b/>
      <w:bCs/>
      <w:kern w:val="28"/>
      <w:sz w:val="44"/>
      <w:szCs w:val="32"/>
      <w:lang w:val="en-US" w:eastAsia="zh-CN" w:bidi="ar-SA"/>
    </w:rPr>
  </w:style>
  <w:style w:type="character" w:customStyle="1" w:styleId="135">
    <w:name w:val="普通文字 Char1 Char"/>
    <w:autoRedefine/>
    <w:qFormat/>
    <w:uiPriority w:val="0"/>
    <w:rPr>
      <w:rFonts w:ascii="宋体" w:hAnsi="Courier New" w:eastAsia="宋体"/>
      <w:kern w:val="2"/>
      <w:sz w:val="21"/>
      <w:szCs w:val="24"/>
      <w:lang w:val="en-US" w:eastAsia="zh-CN" w:bidi="ar-SA"/>
    </w:rPr>
  </w:style>
  <w:style w:type="character" w:customStyle="1" w:styleId="136">
    <w:name w:val="h3 Char1"/>
    <w:autoRedefine/>
    <w:qFormat/>
    <w:uiPriority w:val="0"/>
    <w:rPr>
      <w:rFonts w:eastAsia="宋体"/>
      <w:b/>
      <w:bCs/>
      <w:kern w:val="2"/>
      <w:sz w:val="32"/>
      <w:szCs w:val="32"/>
      <w:lang w:bidi="ar-SA"/>
    </w:rPr>
  </w:style>
  <w:style w:type="character" w:customStyle="1" w:styleId="137">
    <w:name w:val="标题 Char1"/>
    <w:autoRedefine/>
    <w:qFormat/>
    <w:uiPriority w:val="0"/>
    <w:rPr>
      <w:rFonts w:ascii="Cambria" w:hAnsi="Cambria" w:eastAsia="宋体" w:cs="Times New Roman"/>
      <w:b/>
      <w:bCs/>
      <w:sz w:val="32"/>
      <w:szCs w:val="32"/>
      <w:lang w:bidi="ar-SA"/>
    </w:rPr>
  </w:style>
  <w:style w:type="character" w:customStyle="1" w:styleId="138">
    <w:name w:val="gf正文1 Char"/>
    <w:autoRedefine/>
    <w:qFormat/>
    <w:uiPriority w:val="0"/>
    <w:rPr>
      <w:rFonts w:ascii="宋体" w:hAnsi="宋体" w:eastAsia="宋体" w:cs="宋体"/>
      <w:kern w:val="2"/>
      <w:sz w:val="24"/>
      <w:szCs w:val="24"/>
      <w:lang w:val="en-US" w:eastAsia="zh-CN" w:bidi="ar-SA"/>
    </w:rPr>
  </w:style>
  <w:style w:type="character" w:customStyle="1" w:styleId="139">
    <w:name w:val="正文文本缩进 Char1"/>
    <w:autoRedefine/>
    <w:qFormat/>
    <w:uiPriority w:val="0"/>
    <w:rPr>
      <w:rFonts w:ascii="Calibri" w:hAnsi="Calibri"/>
      <w:sz w:val="28"/>
    </w:rPr>
  </w:style>
  <w:style w:type="character" w:customStyle="1" w:styleId="140">
    <w:name w:val="No Spacing Char"/>
    <w:link w:val="141"/>
    <w:autoRedefine/>
    <w:qFormat/>
    <w:uiPriority w:val="1"/>
    <w:rPr>
      <w:sz w:val="22"/>
      <w:szCs w:val="22"/>
      <w:lang w:val="en-US" w:eastAsia="zh-CN" w:bidi="ar-SA"/>
    </w:rPr>
  </w:style>
  <w:style w:type="paragraph" w:customStyle="1" w:styleId="141">
    <w:name w:val="无间隔1"/>
    <w:link w:val="140"/>
    <w:autoRedefine/>
    <w:qFormat/>
    <w:uiPriority w:val="1"/>
    <w:rPr>
      <w:rFonts w:ascii="Times New Roman" w:hAnsi="Times New Roman" w:eastAsia="宋体" w:cs="Times New Roman"/>
      <w:sz w:val="22"/>
      <w:szCs w:val="22"/>
      <w:lang w:val="en-US" w:eastAsia="zh-CN" w:bidi="ar-SA"/>
    </w:rPr>
  </w:style>
  <w:style w:type="character" w:customStyle="1" w:styleId="142">
    <w:name w:val="样式7 Char"/>
    <w:autoRedefine/>
    <w:qFormat/>
    <w:uiPriority w:val="0"/>
    <w:rPr>
      <w:rFonts w:ascii="仿宋_GB2312" w:hAnsi="仿宋" w:eastAsia="仿宋_GB2312"/>
      <w:b/>
      <w:kern w:val="2"/>
      <w:sz w:val="24"/>
      <w:szCs w:val="24"/>
    </w:rPr>
  </w:style>
  <w:style w:type="character" w:customStyle="1" w:styleId="143">
    <w:name w:val="font12gray1"/>
    <w:autoRedefine/>
    <w:qFormat/>
    <w:uiPriority w:val="0"/>
    <w:rPr>
      <w:rFonts w:ascii="仿宋_GB2312" w:eastAsia="微软雅黑"/>
      <w:b/>
      <w:spacing w:val="300"/>
      <w:kern w:val="2"/>
      <w:sz w:val="18"/>
      <w:szCs w:val="18"/>
      <w:lang w:val="en-US" w:eastAsia="zh-CN" w:bidi="ar-SA"/>
    </w:rPr>
  </w:style>
  <w:style w:type="character" w:customStyle="1" w:styleId="144">
    <w:name w:val="Char Char7"/>
    <w:autoRedefine/>
    <w:semiHidden/>
    <w:qFormat/>
    <w:uiPriority w:val="0"/>
    <w:rPr>
      <w:rFonts w:eastAsia="宋体"/>
      <w:kern w:val="2"/>
      <w:sz w:val="21"/>
      <w:szCs w:val="24"/>
      <w:lang w:val="en-US" w:eastAsia="zh-CN" w:bidi="ar-SA"/>
    </w:rPr>
  </w:style>
  <w:style w:type="character" w:customStyle="1" w:styleId="145">
    <w:name w:val="表名 Char"/>
    <w:autoRedefine/>
    <w:qFormat/>
    <w:uiPriority w:val="0"/>
    <w:rPr>
      <w:rFonts w:eastAsia="宋体"/>
      <w:b/>
      <w:bCs/>
      <w:kern w:val="2"/>
      <w:sz w:val="24"/>
      <w:szCs w:val="24"/>
      <w:lang w:val="en-US" w:eastAsia="zh-CN" w:bidi="ar-SA"/>
    </w:rPr>
  </w:style>
  <w:style w:type="character" w:customStyle="1" w:styleId="146">
    <w:name w:val="Document Map Char"/>
    <w:autoRedefine/>
    <w:qFormat/>
    <w:locked/>
    <w:uiPriority w:val="0"/>
    <w:rPr>
      <w:rFonts w:eastAsia="宋体"/>
      <w:kern w:val="2"/>
      <w:sz w:val="21"/>
      <w:szCs w:val="24"/>
      <w:lang w:val="en-US" w:eastAsia="zh-CN" w:bidi="ar-SA"/>
    </w:rPr>
  </w:style>
  <w:style w:type="character" w:customStyle="1" w:styleId="147">
    <w:name w:val="font41"/>
    <w:autoRedefine/>
    <w:qFormat/>
    <w:uiPriority w:val="0"/>
    <w:rPr>
      <w:rFonts w:hint="eastAsia" w:ascii="仿宋_GB2312" w:eastAsia="仿宋_GB2312" w:cs="仿宋_GB2312"/>
      <w:color w:val="000000"/>
      <w:sz w:val="22"/>
      <w:szCs w:val="22"/>
      <w:u w:val="none"/>
    </w:rPr>
  </w:style>
  <w:style w:type="character" w:customStyle="1" w:styleId="148">
    <w:name w:val="标题 6 字符"/>
    <w:link w:val="11"/>
    <w:autoRedefine/>
    <w:qFormat/>
    <w:uiPriority w:val="0"/>
    <w:rPr>
      <w:rFonts w:ascii="Arial" w:hAnsi="Arial" w:eastAsia="黑体"/>
      <w:b/>
      <w:bCs/>
      <w:kern w:val="2"/>
      <w:sz w:val="24"/>
      <w:szCs w:val="24"/>
    </w:rPr>
  </w:style>
  <w:style w:type="character" w:customStyle="1" w:styleId="149">
    <w:name w:val="纯文本 Char_0"/>
    <w:link w:val="150"/>
    <w:autoRedefine/>
    <w:qFormat/>
    <w:uiPriority w:val="0"/>
    <w:rPr>
      <w:rFonts w:ascii="宋体" w:hAnsi="Courier New"/>
      <w:kern w:val="2"/>
      <w:sz w:val="21"/>
      <w:szCs w:val="21"/>
      <w:lang w:val="en-US" w:eastAsia="zh-CN"/>
    </w:rPr>
  </w:style>
  <w:style w:type="paragraph" w:customStyle="1" w:styleId="150">
    <w:name w:val="纯文本_0_0"/>
    <w:basedOn w:val="151"/>
    <w:link w:val="149"/>
    <w:autoRedefine/>
    <w:qFormat/>
    <w:uiPriority w:val="0"/>
    <w:rPr>
      <w:rFonts w:ascii="宋体" w:hAnsi="Courier New"/>
      <w:szCs w:val="21"/>
    </w:rPr>
  </w:style>
  <w:style w:type="paragraph" w:customStyle="1" w:styleId="151">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autoRedefine/>
    <w:qFormat/>
    <w:locked/>
    <w:uiPriority w:val="0"/>
    <w:rPr>
      <w:rFonts w:eastAsia="宋体"/>
      <w:kern w:val="2"/>
      <w:sz w:val="18"/>
      <w:szCs w:val="18"/>
      <w:lang w:val="en-US" w:eastAsia="zh-CN" w:bidi="ar-SA"/>
    </w:rPr>
  </w:style>
  <w:style w:type="character" w:customStyle="1" w:styleId="153">
    <w:name w:val="正文 项目2 Char"/>
    <w:basedOn w:val="154"/>
    <w:autoRedefine/>
    <w:qFormat/>
    <w:uiPriority w:val="0"/>
    <w:rPr>
      <w:rFonts w:ascii="仿宋_GB2312" w:hAnsi="仿宋_GB2312" w:eastAsia="仿宋_GB2312"/>
      <w:kern w:val="2"/>
      <w:sz w:val="24"/>
      <w:lang w:bidi="ar-SA"/>
    </w:rPr>
  </w:style>
  <w:style w:type="character" w:customStyle="1" w:styleId="154">
    <w:name w:val="正文 项目 Char"/>
    <w:autoRedefine/>
    <w:qFormat/>
    <w:uiPriority w:val="0"/>
    <w:rPr>
      <w:rFonts w:ascii="仿宋_GB2312" w:hAnsi="仿宋_GB2312" w:eastAsia="仿宋_GB2312"/>
      <w:kern w:val="2"/>
      <w:sz w:val="24"/>
      <w:lang w:bidi="ar-SA"/>
    </w:rPr>
  </w:style>
  <w:style w:type="character" w:customStyle="1" w:styleId="155">
    <w:name w:val="h Char Char1"/>
    <w:autoRedefine/>
    <w:qFormat/>
    <w:uiPriority w:val="0"/>
    <w:rPr>
      <w:rFonts w:eastAsia="宋体"/>
      <w:kern w:val="2"/>
      <w:sz w:val="18"/>
      <w:szCs w:val="18"/>
      <w:lang w:val="en-US" w:eastAsia="zh-CN" w:bidi="ar-SA"/>
    </w:rPr>
  </w:style>
  <w:style w:type="character" w:customStyle="1" w:styleId="156">
    <w:name w:val="Char Char27"/>
    <w:autoRedefine/>
    <w:qFormat/>
    <w:uiPriority w:val="6"/>
    <w:rPr>
      <w:rFonts w:ascii="宋体" w:hAnsi="宋体" w:eastAsia="宋体"/>
      <w:color w:val="000000"/>
      <w:kern w:val="1"/>
      <w:sz w:val="28"/>
      <w:lang w:val="en-US" w:eastAsia="zh-CN" w:bidi="ar-SA"/>
    </w:rPr>
  </w:style>
  <w:style w:type="character" w:customStyle="1" w:styleId="157">
    <w:name w:val="px14"/>
    <w:autoRedefine/>
    <w:qFormat/>
    <w:uiPriority w:val="0"/>
    <w:rPr>
      <w:rFonts w:ascii="仿宋_GB2312" w:eastAsia="微软雅黑" w:cs="Times New Roman"/>
      <w:b/>
      <w:kern w:val="2"/>
      <w:sz w:val="32"/>
      <w:szCs w:val="32"/>
      <w:lang w:val="en-US" w:eastAsia="zh-CN" w:bidi="ar-SA"/>
    </w:rPr>
  </w:style>
  <w:style w:type="character" w:customStyle="1" w:styleId="158">
    <w:name w:val="HTML 预设格式 Char1"/>
    <w:autoRedefine/>
    <w:qFormat/>
    <w:uiPriority w:val="0"/>
    <w:rPr>
      <w:rFonts w:ascii="Courier New" w:hAnsi="Courier New" w:eastAsia="宋体" w:cs="Courier New"/>
      <w:sz w:val="20"/>
      <w:szCs w:val="20"/>
    </w:rPr>
  </w:style>
  <w:style w:type="character" w:customStyle="1" w:styleId="159">
    <w:name w:val="普通文字 Char1"/>
    <w:autoRedefine/>
    <w:qFormat/>
    <w:uiPriority w:val="0"/>
    <w:rPr>
      <w:rFonts w:ascii="宋体" w:hAnsi="Courier New" w:eastAsia="宋体"/>
      <w:kern w:val="2"/>
      <w:sz w:val="21"/>
      <w:lang w:val="en-US" w:eastAsia="zh-CN"/>
    </w:rPr>
  </w:style>
  <w:style w:type="character" w:customStyle="1" w:styleId="160">
    <w:name w:val="hei16b1"/>
    <w:autoRedefine/>
    <w:qFormat/>
    <w:uiPriority w:val="0"/>
    <w:rPr>
      <w:rFonts w:hint="default" w:ascii="Arial" w:hAnsi="Arial" w:cs="Arial"/>
      <w:b/>
      <w:bCs/>
      <w:color w:val="000000"/>
      <w:sz w:val="24"/>
      <w:szCs w:val="24"/>
    </w:rPr>
  </w:style>
  <w:style w:type="character" w:customStyle="1" w:styleId="161">
    <w:name w:val="正文（绿盟科技） Char"/>
    <w:link w:val="162"/>
    <w:autoRedefine/>
    <w:qFormat/>
    <w:uiPriority w:val="0"/>
    <w:rPr>
      <w:rFonts w:ascii="Arial" w:hAnsi="Arial"/>
      <w:sz w:val="21"/>
      <w:szCs w:val="21"/>
    </w:rPr>
  </w:style>
  <w:style w:type="paragraph" w:customStyle="1" w:styleId="162">
    <w:name w:val="正文（绿盟科技）"/>
    <w:link w:val="161"/>
    <w:autoRedefine/>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autoRedefine/>
    <w:qFormat/>
    <w:uiPriority w:val="6"/>
    <w:rPr>
      <w:rFonts w:ascii="宋体" w:hAnsi="宋体"/>
      <w:i/>
      <w:sz w:val="24"/>
      <w:szCs w:val="24"/>
    </w:rPr>
  </w:style>
  <w:style w:type="character" w:customStyle="1" w:styleId="164">
    <w:name w:val="页脚 Char"/>
    <w:autoRedefine/>
    <w:qFormat/>
    <w:uiPriority w:val="0"/>
    <w:rPr>
      <w:rFonts w:eastAsia="仿宋_GB2312"/>
      <w:kern w:val="2"/>
      <w:sz w:val="18"/>
      <w:lang w:val="en-US" w:eastAsia="zh-CN"/>
    </w:rPr>
  </w:style>
  <w:style w:type="character" w:customStyle="1" w:styleId="165">
    <w:name w:val="批注主题 Char"/>
    <w:autoRedefine/>
    <w:qFormat/>
    <w:uiPriority w:val="0"/>
    <w:rPr>
      <w:rFonts w:eastAsia="宋体"/>
      <w:b/>
      <w:bCs/>
      <w:kern w:val="2"/>
      <w:sz w:val="21"/>
      <w:szCs w:val="24"/>
      <w:lang w:val="en-US" w:eastAsia="zh-CN" w:bidi="ar-SA"/>
    </w:rPr>
  </w:style>
  <w:style w:type="character" w:customStyle="1" w:styleId="166">
    <w:name w:val="Comment Text Char"/>
    <w:autoRedefine/>
    <w:qFormat/>
    <w:locked/>
    <w:uiPriority w:val="0"/>
    <w:rPr>
      <w:rFonts w:ascii="宋体" w:hAnsi="宋体" w:eastAsia="宋体"/>
      <w:kern w:val="2"/>
      <w:sz w:val="24"/>
      <w:lang w:val="en-US" w:eastAsia="zh-CN" w:bidi="ar-SA"/>
    </w:rPr>
  </w:style>
  <w:style w:type="character" w:customStyle="1" w:styleId="167">
    <w:name w:val="标题 2 字符"/>
    <w:autoRedefine/>
    <w:qFormat/>
    <w:uiPriority w:val="1"/>
    <w:rPr>
      <w:rFonts w:ascii="仿宋_GB2312" w:hAnsi="Times New Roman" w:eastAsia="仿宋_GB2312" w:cs="Times New Roman"/>
      <w:b/>
      <w:kern w:val="2"/>
      <w:sz w:val="24"/>
      <w:lang w:val="zh-CN"/>
    </w:rPr>
  </w:style>
  <w:style w:type="character" w:customStyle="1" w:styleId="168">
    <w:name w:val="Char Char72"/>
    <w:autoRedefine/>
    <w:qFormat/>
    <w:uiPriority w:val="0"/>
    <w:rPr>
      <w:rFonts w:eastAsia="宋体"/>
      <w:kern w:val="2"/>
      <w:sz w:val="21"/>
      <w:szCs w:val="24"/>
      <w:lang w:val="en-US" w:eastAsia="zh-CN" w:bidi="ar-SA"/>
    </w:rPr>
  </w:style>
  <w:style w:type="character" w:customStyle="1" w:styleId="169">
    <w:name w:val="正文文本缩进 Char2"/>
    <w:autoRedefine/>
    <w:qFormat/>
    <w:uiPriority w:val="0"/>
    <w:rPr>
      <w:rFonts w:ascii="Times New Roman" w:hAnsi="Times New Roman" w:eastAsia="宋体" w:cs="Times New Roman"/>
      <w:snapToGrid w:val="0"/>
      <w:kern w:val="0"/>
      <w:szCs w:val="24"/>
    </w:rPr>
  </w:style>
  <w:style w:type="character" w:customStyle="1" w:styleId="170">
    <w:name w:val="样式2 Char"/>
    <w:autoRedefine/>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autoRedefine/>
    <w:qFormat/>
    <w:uiPriority w:val="0"/>
    <w:rPr>
      <w:sz w:val="32"/>
    </w:rPr>
  </w:style>
  <w:style w:type="paragraph" w:customStyle="1" w:styleId="172">
    <w:name w:val="表格名称"/>
    <w:basedOn w:val="6"/>
    <w:link w:val="171"/>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autoRedefine/>
    <w:qFormat/>
    <w:uiPriority w:val="0"/>
    <w:rPr>
      <w:rFonts w:eastAsia="宋体"/>
      <w:b/>
      <w:sz w:val="24"/>
      <w:lang w:val="en-GB" w:eastAsia="zh-CN" w:bidi="ar-SA"/>
    </w:rPr>
  </w:style>
  <w:style w:type="character" w:customStyle="1" w:styleId="174">
    <w:name w:val="c7 style3"/>
    <w:autoRedefine/>
    <w:qFormat/>
    <w:uiPriority w:val="0"/>
  </w:style>
  <w:style w:type="character" w:customStyle="1" w:styleId="175">
    <w:name w:val="正文文本 3 Char1"/>
    <w:autoRedefine/>
    <w:semiHidden/>
    <w:qFormat/>
    <w:uiPriority w:val="99"/>
    <w:rPr>
      <w:rFonts w:ascii="Times New Roman" w:hAnsi="Times New Roman" w:eastAsia="宋体" w:cs="Times New Roman"/>
      <w:sz w:val="16"/>
      <w:szCs w:val="16"/>
    </w:rPr>
  </w:style>
  <w:style w:type="character" w:customStyle="1" w:styleId="176">
    <w:name w:val="tw4winInternal"/>
    <w:autoRedefine/>
    <w:qFormat/>
    <w:uiPriority w:val="0"/>
    <w:rPr>
      <w:rFonts w:ascii="Courier New" w:hAnsi="Courier New" w:cs="Courier New"/>
      <w:color w:val="FF0000"/>
      <w:lang w:val="en-US" w:eastAsia="zh-CN"/>
    </w:rPr>
  </w:style>
  <w:style w:type="character" w:customStyle="1" w:styleId="177">
    <w:name w:val="Char Char10"/>
    <w:autoRedefine/>
    <w:semiHidden/>
    <w:qFormat/>
    <w:uiPriority w:val="0"/>
    <w:rPr>
      <w:rFonts w:ascii="宋体" w:hAnsi="宋体"/>
      <w:kern w:val="2"/>
      <w:sz w:val="21"/>
      <w:szCs w:val="24"/>
      <w:lang w:val="en-US" w:eastAsia="zh-CN"/>
    </w:rPr>
  </w:style>
  <w:style w:type="character" w:customStyle="1" w:styleId="178">
    <w:name w:val="shadow11"/>
    <w:autoRedefine/>
    <w:qFormat/>
    <w:uiPriority w:val="0"/>
    <w:rPr>
      <w:color w:val="000000"/>
      <w:sz w:val="21"/>
    </w:rPr>
  </w:style>
  <w:style w:type="character" w:customStyle="1" w:styleId="179">
    <w:name w:val="正文非缩进 Char3"/>
    <w:autoRedefine/>
    <w:qFormat/>
    <w:uiPriority w:val="0"/>
    <w:rPr>
      <w:rFonts w:ascii="宋体" w:eastAsia="宋体"/>
      <w:snapToGrid w:val="0"/>
      <w:color w:val="000000"/>
      <w:kern w:val="28"/>
      <w:sz w:val="28"/>
      <w:lang w:val="en-US" w:eastAsia="zh-CN" w:bidi="ar-SA"/>
    </w:rPr>
  </w:style>
  <w:style w:type="character" w:customStyle="1" w:styleId="180">
    <w:name w:val="Char Char"/>
    <w:autoRedefine/>
    <w:qFormat/>
    <w:uiPriority w:val="0"/>
    <w:rPr>
      <w:rFonts w:ascii="宋体" w:hAnsi="Courier New" w:eastAsia="宋体"/>
      <w:kern w:val="2"/>
      <w:sz w:val="21"/>
      <w:lang w:val="en-US" w:eastAsia="zh-CN" w:bidi="ar-SA"/>
    </w:rPr>
  </w:style>
  <w:style w:type="character" w:customStyle="1" w:styleId="181">
    <w:name w:val="签名 Char1"/>
    <w:autoRedefine/>
    <w:qFormat/>
    <w:uiPriority w:val="0"/>
    <w:rPr>
      <w:rFonts w:ascii="Times New Roman" w:hAnsi="Times New Roman" w:eastAsia="宋体" w:cs="Times New Roman"/>
      <w:szCs w:val="24"/>
    </w:rPr>
  </w:style>
  <w:style w:type="character" w:customStyle="1" w:styleId="182">
    <w:name w:val="日期 字符"/>
    <w:link w:val="38"/>
    <w:autoRedefine/>
    <w:qFormat/>
    <w:uiPriority w:val="0"/>
    <w:rPr>
      <w:rFonts w:ascii="宋体"/>
      <w:kern w:val="2"/>
      <w:sz w:val="24"/>
      <w:szCs w:val="21"/>
      <w:lang w:val="zh-CN"/>
    </w:rPr>
  </w:style>
  <w:style w:type="character" w:customStyle="1" w:styleId="183">
    <w:name w:val="标题 9 字符"/>
    <w:link w:val="14"/>
    <w:autoRedefine/>
    <w:qFormat/>
    <w:uiPriority w:val="0"/>
    <w:rPr>
      <w:rFonts w:ascii="Arial" w:hAnsi="Arial" w:eastAsia="黑体"/>
      <w:kern w:val="2"/>
      <w:sz w:val="21"/>
      <w:szCs w:val="21"/>
    </w:rPr>
  </w:style>
  <w:style w:type="character" w:customStyle="1" w:styleId="184">
    <w:name w:val="Char Char18"/>
    <w:autoRedefine/>
    <w:qFormat/>
    <w:uiPriority w:val="6"/>
    <w:rPr>
      <w:rFonts w:ascii="宋体" w:hAnsi="宋体"/>
      <w:sz w:val="28"/>
    </w:rPr>
  </w:style>
  <w:style w:type="character" w:customStyle="1" w:styleId="185">
    <w:name w:val="批注文字 Char"/>
    <w:autoRedefine/>
    <w:qFormat/>
    <w:uiPriority w:val="99"/>
    <w:rPr>
      <w:kern w:val="2"/>
      <w:sz w:val="21"/>
      <w:szCs w:val="24"/>
    </w:rPr>
  </w:style>
  <w:style w:type="character" w:customStyle="1" w:styleId="186">
    <w:name w:val="Char Char22"/>
    <w:autoRedefine/>
    <w:qFormat/>
    <w:uiPriority w:val="6"/>
    <w:rPr>
      <w:rFonts w:ascii="宋体" w:hAnsi="宋体"/>
      <w:kern w:val="1"/>
      <w:sz w:val="24"/>
      <w:szCs w:val="24"/>
    </w:rPr>
  </w:style>
  <w:style w:type="character" w:customStyle="1" w:styleId="187">
    <w:name w:val="pt141"/>
    <w:autoRedefine/>
    <w:qFormat/>
    <w:uiPriority w:val="0"/>
    <w:rPr>
      <w:color w:val="330066"/>
      <w:sz w:val="22"/>
      <w:szCs w:val="22"/>
    </w:rPr>
  </w:style>
  <w:style w:type="character" w:customStyle="1" w:styleId="188">
    <w:name w:val="正文文本缩进 2 Char1"/>
    <w:autoRedefine/>
    <w:semiHidden/>
    <w:qFormat/>
    <w:uiPriority w:val="99"/>
    <w:rPr>
      <w:rFonts w:ascii="Times New Roman" w:hAnsi="Times New Roman" w:eastAsia="宋体" w:cs="Times New Roman"/>
      <w:szCs w:val="24"/>
    </w:rPr>
  </w:style>
  <w:style w:type="character" w:customStyle="1" w:styleId="189">
    <w:name w:val="批注框文本 字符1"/>
    <w:link w:val="41"/>
    <w:autoRedefine/>
    <w:qFormat/>
    <w:uiPriority w:val="0"/>
    <w:rPr>
      <w:kern w:val="2"/>
      <w:sz w:val="18"/>
      <w:szCs w:val="18"/>
    </w:rPr>
  </w:style>
  <w:style w:type="character" w:customStyle="1" w:styleId="190">
    <w:name w:val="Char Char611"/>
    <w:autoRedefine/>
    <w:qFormat/>
    <w:uiPriority w:val="0"/>
    <w:rPr>
      <w:rFonts w:eastAsia="宋体"/>
      <w:kern w:val="2"/>
      <w:sz w:val="21"/>
      <w:szCs w:val="24"/>
      <w:lang w:val="en-US" w:eastAsia="zh-CN" w:bidi="ar-SA"/>
    </w:rPr>
  </w:style>
  <w:style w:type="character" w:customStyle="1" w:styleId="191">
    <w:name w:val="highlight1"/>
    <w:autoRedefine/>
    <w:qFormat/>
    <w:uiPriority w:val="0"/>
    <w:rPr>
      <w:rFonts w:ascii="仿宋_GB2312" w:eastAsia="微软雅黑"/>
      <w:b/>
      <w:kern w:val="2"/>
      <w:sz w:val="23"/>
      <w:szCs w:val="23"/>
      <w:lang w:val="en-US" w:eastAsia="zh-CN" w:bidi="ar-SA"/>
    </w:rPr>
  </w:style>
  <w:style w:type="character" w:customStyle="1" w:styleId="192">
    <w:name w:val="my正文 Char"/>
    <w:link w:val="193"/>
    <w:autoRedefine/>
    <w:qFormat/>
    <w:locked/>
    <w:uiPriority w:val="0"/>
    <w:rPr>
      <w:rFonts w:ascii="Tahoma" w:hAnsi="Tahoma"/>
      <w:sz w:val="24"/>
      <w:szCs w:val="24"/>
    </w:rPr>
  </w:style>
  <w:style w:type="paragraph" w:customStyle="1" w:styleId="193">
    <w:name w:val="my正文"/>
    <w:basedOn w:val="1"/>
    <w:link w:val="192"/>
    <w:autoRedefine/>
    <w:qFormat/>
    <w:uiPriority w:val="0"/>
    <w:pPr>
      <w:adjustRightInd/>
      <w:spacing w:line="360" w:lineRule="auto"/>
      <w:ind w:firstLine="480" w:firstLineChars="200"/>
    </w:pPr>
    <w:rPr>
      <w:rFonts w:ascii="Tahoma" w:hAnsi="Tahoma"/>
      <w:kern w:val="0"/>
      <w:sz w:val="24"/>
    </w:rPr>
  </w:style>
  <w:style w:type="character" w:customStyle="1" w:styleId="194">
    <w:name w:val="正文缩进 字符2"/>
    <w:link w:val="8"/>
    <w:autoRedefine/>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autoRedefine/>
    <w:qFormat/>
    <w:uiPriority w:val="0"/>
    <w:rPr>
      <w:color w:val="0000FF"/>
      <w:sz w:val="21"/>
    </w:rPr>
  </w:style>
  <w:style w:type="character" w:customStyle="1" w:styleId="196">
    <w:name w:val="页眉 Char"/>
    <w:autoRedefine/>
    <w:qFormat/>
    <w:uiPriority w:val="0"/>
    <w:rPr>
      <w:rFonts w:eastAsia="仿宋_GB2312"/>
      <w:kern w:val="2"/>
      <w:sz w:val="18"/>
      <w:lang w:val="en-US" w:eastAsia="zh-CN"/>
    </w:rPr>
  </w:style>
  <w:style w:type="character" w:customStyle="1" w:styleId="197">
    <w:name w:val="FA正文 Char Char"/>
    <w:autoRedefine/>
    <w:qFormat/>
    <w:uiPriority w:val="0"/>
    <w:rPr>
      <w:rFonts w:hAnsi="宋体"/>
      <w:kern w:val="2"/>
      <w:sz w:val="24"/>
      <w:lang w:bidi="ar-SA"/>
    </w:rPr>
  </w:style>
  <w:style w:type="character" w:customStyle="1" w:styleId="198">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autoRedefine/>
    <w:qFormat/>
    <w:uiPriority w:val="0"/>
    <w:rPr>
      <w:rFonts w:ascii="宋体" w:hAnsi="宋体"/>
      <w:b/>
      <w:bCs/>
      <w:snapToGrid/>
      <w:sz w:val="28"/>
    </w:rPr>
  </w:style>
  <w:style w:type="paragraph" w:customStyle="1" w:styleId="200">
    <w:name w:val="3级"/>
    <w:basedOn w:val="201"/>
    <w:link w:val="199"/>
    <w:autoRedefine/>
    <w:qFormat/>
    <w:uiPriority w:val="0"/>
    <w:pPr>
      <w:ind w:left="0" w:right="466" w:firstLine="288"/>
    </w:pPr>
    <w:rPr>
      <w:rFonts w:hAnsi="宋体"/>
      <w:snapToGrid/>
    </w:rPr>
  </w:style>
  <w:style w:type="paragraph" w:customStyle="1" w:styleId="201">
    <w:name w:val="样式 标题 3h33rd level3BOD 0H3l3CTHeading 3 - oldLevel 3 He..."/>
    <w:basedOn w:val="7"/>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autoRedefine/>
    <w:qFormat/>
    <w:uiPriority w:val="0"/>
    <w:rPr>
      <w:rFonts w:ascii="仿宋_GB2312" w:eastAsia="微软雅黑"/>
      <w:b/>
      <w:kern w:val="2"/>
      <w:sz w:val="32"/>
      <w:szCs w:val="32"/>
      <w:lang w:val="en-US" w:eastAsia="zh-CN" w:bidi="ar-SA"/>
    </w:rPr>
  </w:style>
  <w:style w:type="character" w:customStyle="1" w:styleId="203">
    <w:name w:val="文档结构图 字符"/>
    <w:link w:val="21"/>
    <w:autoRedefine/>
    <w:qFormat/>
    <w:uiPriority w:val="0"/>
    <w:rPr>
      <w:kern w:val="2"/>
      <w:sz w:val="21"/>
      <w:szCs w:val="24"/>
      <w:shd w:val="clear" w:color="auto" w:fill="000080"/>
    </w:rPr>
  </w:style>
  <w:style w:type="character" w:customStyle="1" w:styleId="204">
    <w:name w:val="H6 Char"/>
    <w:autoRedefine/>
    <w:qFormat/>
    <w:uiPriority w:val="0"/>
    <w:rPr>
      <w:rFonts w:ascii="Arial" w:hAnsi="Arial" w:eastAsia="黑体"/>
      <w:b/>
      <w:bCs/>
      <w:kern w:val="2"/>
      <w:sz w:val="24"/>
      <w:szCs w:val="24"/>
    </w:rPr>
  </w:style>
  <w:style w:type="character" w:customStyle="1" w:styleId="205">
    <w:name w:val="Char Char91"/>
    <w:autoRedefine/>
    <w:qFormat/>
    <w:uiPriority w:val="0"/>
    <w:rPr>
      <w:rFonts w:eastAsia="宋体"/>
      <w:kern w:val="2"/>
      <w:sz w:val="18"/>
      <w:szCs w:val="18"/>
      <w:lang w:val="en-US" w:eastAsia="zh-CN" w:bidi="ar-SA"/>
    </w:rPr>
  </w:style>
  <w:style w:type="character" w:customStyle="1" w:styleId="206">
    <w:name w:val="副标题 Char1"/>
    <w:autoRedefine/>
    <w:qFormat/>
    <w:uiPriority w:val="0"/>
    <w:rPr>
      <w:rFonts w:ascii="Cambria" w:hAnsi="Cambria" w:eastAsia="宋体" w:cs="Times New Roman"/>
      <w:b/>
      <w:bCs/>
      <w:snapToGrid w:val="0"/>
      <w:kern w:val="28"/>
      <w:sz w:val="32"/>
      <w:szCs w:val="32"/>
    </w:rPr>
  </w:style>
  <w:style w:type="character" w:customStyle="1" w:styleId="207">
    <w:name w:val="font61"/>
    <w:autoRedefine/>
    <w:qFormat/>
    <w:uiPriority w:val="0"/>
    <w:rPr>
      <w:rFonts w:hint="eastAsia" w:ascii="仿宋" w:hAnsi="仿宋" w:eastAsia="仿宋" w:cs="仿宋"/>
      <w:color w:val="000000"/>
      <w:sz w:val="20"/>
      <w:szCs w:val="20"/>
      <w:u w:val="none"/>
    </w:rPr>
  </w:style>
  <w:style w:type="character" w:customStyle="1" w:styleId="208">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autoRedefine/>
    <w:qFormat/>
    <w:uiPriority w:val="0"/>
    <w:rPr>
      <w:rFonts w:eastAsia="宋体"/>
      <w:b/>
      <w:bCs/>
      <w:kern w:val="2"/>
      <w:sz w:val="21"/>
      <w:szCs w:val="24"/>
      <w:lang w:val="en-US" w:eastAsia="zh-CN" w:bidi="ar-SA"/>
    </w:rPr>
  </w:style>
  <w:style w:type="character" w:customStyle="1" w:styleId="210">
    <w:name w:val="标题 2 Char"/>
    <w:autoRedefine/>
    <w:qFormat/>
    <w:uiPriority w:val="0"/>
    <w:rPr>
      <w:rFonts w:ascii="Arial" w:hAnsi="Arial" w:eastAsia="黑体"/>
      <w:b/>
      <w:kern w:val="2"/>
      <w:sz w:val="32"/>
      <w:lang w:val="en-US" w:eastAsia="zh-CN"/>
    </w:rPr>
  </w:style>
  <w:style w:type="character" w:customStyle="1" w:styleId="211">
    <w:name w:val="maywed421"/>
    <w:autoRedefine/>
    <w:qFormat/>
    <w:uiPriority w:val="0"/>
    <w:rPr>
      <w:color w:val="366FB6"/>
      <w:u w:val="none"/>
    </w:rPr>
  </w:style>
  <w:style w:type="character" w:customStyle="1" w:styleId="212">
    <w:name w:val="正文文本缩进 Char"/>
    <w:autoRedefine/>
    <w:qFormat/>
    <w:uiPriority w:val="0"/>
    <w:rPr>
      <w:rFonts w:ascii="宋体" w:hAnsi="宋体"/>
      <w:kern w:val="2"/>
      <w:sz w:val="24"/>
      <w:szCs w:val="24"/>
    </w:rPr>
  </w:style>
  <w:style w:type="character" w:customStyle="1" w:styleId="213">
    <w:name w:val="Char Char102"/>
    <w:autoRedefine/>
    <w:semiHidden/>
    <w:qFormat/>
    <w:uiPriority w:val="0"/>
    <w:rPr>
      <w:rFonts w:ascii="宋体" w:hAnsi="宋体"/>
      <w:kern w:val="2"/>
      <w:sz w:val="21"/>
      <w:szCs w:val="24"/>
      <w:lang w:val="en-US" w:eastAsia="zh-CN"/>
    </w:rPr>
  </w:style>
  <w:style w:type="character" w:customStyle="1" w:styleId="214">
    <w:name w:val="页眉 Char1"/>
    <w:autoRedefine/>
    <w:qFormat/>
    <w:uiPriority w:val="0"/>
    <w:rPr>
      <w:rFonts w:eastAsia="宋体"/>
      <w:kern w:val="2"/>
      <w:sz w:val="18"/>
      <w:szCs w:val="18"/>
      <w:lang w:val="en-US" w:eastAsia="zh-CN" w:bidi="ar-SA"/>
    </w:rPr>
  </w:style>
  <w:style w:type="character" w:customStyle="1" w:styleId="215">
    <w:name w:val="md"/>
    <w:basedOn w:val="70"/>
    <w:autoRedefine/>
    <w:qFormat/>
    <w:uiPriority w:val="0"/>
    <w:rPr>
      <w:rFonts w:ascii="Arial" w:hAnsi="Arial" w:eastAsia="黑体" w:cs="Arial"/>
      <w:snapToGrid w:val="0"/>
      <w:kern w:val="0"/>
      <w:szCs w:val="21"/>
    </w:rPr>
  </w:style>
  <w:style w:type="character" w:customStyle="1" w:styleId="216">
    <w:name w:val="big1"/>
    <w:autoRedefine/>
    <w:qFormat/>
    <w:uiPriority w:val="0"/>
    <w:rPr>
      <w:rFonts w:hint="eastAsia" w:ascii="宋体" w:hAnsi="宋体" w:eastAsia="宋体"/>
      <w:color w:val="333333"/>
      <w:sz w:val="22"/>
      <w:szCs w:val="22"/>
    </w:rPr>
  </w:style>
  <w:style w:type="character" w:customStyle="1" w:styleId="217">
    <w:name w:val="Char Char311"/>
    <w:autoRedefine/>
    <w:qFormat/>
    <w:uiPriority w:val="0"/>
    <w:rPr>
      <w:rFonts w:eastAsia="宋体"/>
      <w:kern w:val="2"/>
      <w:sz w:val="21"/>
      <w:szCs w:val="24"/>
      <w:lang w:val="en-US" w:eastAsia="zh-CN" w:bidi="ar-SA"/>
    </w:rPr>
  </w:style>
  <w:style w:type="character" w:customStyle="1" w:styleId="218">
    <w:name w:val="Char Char81"/>
    <w:autoRedefine/>
    <w:qFormat/>
    <w:uiPriority w:val="6"/>
    <w:rPr>
      <w:rFonts w:eastAsia="宋体"/>
      <w:b/>
      <w:sz w:val="24"/>
      <w:lang w:val="en-GB" w:eastAsia="zh-CN"/>
    </w:rPr>
  </w:style>
  <w:style w:type="character" w:customStyle="1" w:styleId="219">
    <w:name w:val="样式3 Char"/>
    <w:basedOn w:val="170"/>
    <w:autoRedefine/>
    <w:qFormat/>
    <w:uiPriority w:val="0"/>
    <w:rPr>
      <w:rFonts w:ascii="仿宋_GB2312" w:hAnsi="仿宋" w:eastAsia="仿宋_GB2312" w:cs="仿宋_GB2312"/>
      <w:sz w:val="32"/>
      <w:szCs w:val="30"/>
      <w:lang w:val="zh-CN"/>
    </w:rPr>
  </w:style>
  <w:style w:type="character" w:customStyle="1" w:styleId="220">
    <w:name w:val="HTML 地址 字符"/>
    <w:link w:val="32"/>
    <w:autoRedefine/>
    <w:qFormat/>
    <w:uiPriority w:val="0"/>
    <w:rPr>
      <w:rFonts w:ascii="宋体" w:hAnsi="宋体"/>
      <w:i/>
      <w:iCs/>
      <w:sz w:val="24"/>
      <w:szCs w:val="24"/>
    </w:rPr>
  </w:style>
  <w:style w:type="character" w:customStyle="1" w:styleId="221">
    <w:name w:val="正文首行缩进 2 Char1"/>
    <w:autoRedefine/>
    <w:qFormat/>
    <w:uiPriority w:val="0"/>
    <w:rPr>
      <w:rFonts w:ascii="Times New Roman" w:hAnsi="Times New Roman" w:eastAsia="宋体" w:cs="Times New Roman"/>
      <w:kern w:val="2"/>
      <w:sz w:val="24"/>
      <w:szCs w:val="24"/>
    </w:rPr>
  </w:style>
  <w:style w:type="character" w:customStyle="1" w:styleId="222">
    <w:name w:val="副标题 Char2"/>
    <w:autoRedefine/>
    <w:qFormat/>
    <w:uiPriority w:val="0"/>
    <w:rPr>
      <w:rFonts w:ascii="Cambria" w:hAnsi="Cambria" w:eastAsia="宋体" w:cs="Times New Roman"/>
      <w:b/>
      <w:bCs/>
      <w:snapToGrid w:val="0"/>
      <w:kern w:val="28"/>
      <w:sz w:val="32"/>
      <w:szCs w:val="32"/>
    </w:rPr>
  </w:style>
  <w:style w:type="character" w:customStyle="1" w:styleId="223">
    <w:name w:val="标题4-dyf Char"/>
    <w:link w:val="224"/>
    <w:autoRedefine/>
    <w:qFormat/>
    <w:uiPriority w:val="0"/>
    <w:rPr>
      <w:rFonts w:ascii="Cambria" w:hAnsi="Cambria"/>
      <w:b/>
      <w:bCs/>
      <w:color w:val="000000"/>
      <w:kern w:val="2"/>
      <w:sz w:val="21"/>
      <w:szCs w:val="21"/>
    </w:rPr>
  </w:style>
  <w:style w:type="paragraph" w:customStyle="1" w:styleId="224">
    <w:name w:val="标题4-dyf"/>
    <w:basedOn w:val="9"/>
    <w:link w:val="223"/>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autoRedefine/>
    <w:qFormat/>
    <w:uiPriority w:val="0"/>
    <w:rPr>
      <w:rFonts w:ascii="宋体" w:hAnsi="宋体" w:eastAsia="宋体"/>
      <w:color w:val="333333"/>
      <w:sz w:val="21"/>
      <w:szCs w:val="21"/>
      <w:u w:val="none"/>
    </w:rPr>
  </w:style>
  <w:style w:type="character" w:customStyle="1" w:styleId="226">
    <w:name w:val="冯 Char"/>
    <w:link w:val="227"/>
    <w:autoRedefine/>
    <w:qFormat/>
    <w:uiPriority w:val="0"/>
    <w:rPr>
      <w:rFonts w:ascii="宋体" w:hAnsi="宋体"/>
      <w:color w:val="000000"/>
      <w:sz w:val="24"/>
      <w:szCs w:val="24"/>
    </w:rPr>
  </w:style>
  <w:style w:type="paragraph" w:customStyle="1" w:styleId="227">
    <w:name w:val="冯"/>
    <w:basedOn w:val="1"/>
    <w:link w:val="226"/>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autoRedefine/>
    <w:qFormat/>
    <w:locked/>
    <w:uiPriority w:val="0"/>
    <w:rPr>
      <w:rFonts w:eastAsia="宋体"/>
      <w:kern w:val="2"/>
      <w:sz w:val="18"/>
      <w:szCs w:val="18"/>
      <w:lang w:val="en-US" w:eastAsia="zh-CN" w:bidi="ar-SA"/>
    </w:rPr>
  </w:style>
  <w:style w:type="character" w:customStyle="1" w:styleId="229">
    <w:name w:val="Char Char12"/>
    <w:autoRedefine/>
    <w:qFormat/>
    <w:uiPriority w:val="0"/>
    <w:rPr>
      <w:rFonts w:ascii="仿宋_GB2312" w:eastAsia="仿宋_GB2312"/>
      <w:b/>
      <w:bCs/>
      <w:kern w:val="2"/>
      <w:sz w:val="24"/>
      <w:szCs w:val="24"/>
      <w:lang w:val="zh-CN" w:eastAsia="zh-CN" w:bidi="ar-SA"/>
    </w:rPr>
  </w:style>
  <w:style w:type="character" w:customStyle="1" w:styleId="230">
    <w:name w:val="题注 字符"/>
    <w:link w:val="19"/>
    <w:autoRedefine/>
    <w:qFormat/>
    <w:uiPriority w:val="0"/>
    <w:rPr>
      <w:b/>
      <w:kern w:val="2"/>
      <w:sz w:val="28"/>
    </w:rPr>
  </w:style>
  <w:style w:type="character" w:customStyle="1" w:styleId="231">
    <w:name w:val="普通文字 Char3"/>
    <w:autoRedefine/>
    <w:qFormat/>
    <w:uiPriority w:val="0"/>
    <w:rPr>
      <w:rFonts w:ascii="宋体" w:hAnsi="Courier New" w:eastAsia="宋体"/>
      <w:kern w:val="2"/>
      <w:sz w:val="21"/>
      <w:lang w:val="en-US" w:eastAsia="zh-CN" w:bidi="ar-SA"/>
    </w:rPr>
  </w:style>
  <w:style w:type="character" w:customStyle="1" w:styleId="232">
    <w:name w:val="公文正文 Char"/>
    <w:autoRedefine/>
    <w:qFormat/>
    <w:uiPriority w:val="0"/>
    <w:rPr>
      <w:rFonts w:ascii="仿宋_GB2312" w:eastAsia="仿宋_GB2312"/>
      <w:kern w:val="2"/>
      <w:sz w:val="24"/>
      <w:szCs w:val="24"/>
      <w:lang w:val="en-US" w:eastAsia="zh-CN" w:bidi="ar-SA"/>
    </w:rPr>
  </w:style>
  <w:style w:type="character" w:customStyle="1" w:styleId="233">
    <w:name w:val="正文首行缩进 Char Char Char Char Char"/>
    <w:autoRedefine/>
    <w:qFormat/>
    <w:uiPriority w:val="0"/>
    <w:rPr>
      <w:rFonts w:ascii="宋体"/>
      <w:kern w:val="2"/>
      <w:sz w:val="24"/>
      <w:lang w:val="zh-CN"/>
    </w:rPr>
  </w:style>
  <w:style w:type="character" w:customStyle="1" w:styleId="234">
    <w:name w:val="PI Char"/>
    <w:autoRedefine/>
    <w:qFormat/>
    <w:uiPriority w:val="0"/>
    <w:rPr>
      <w:rFonts w:ascii="宋体" w:hAnsi="宋体" w:eastAsia="宋体"/>
      <w:kern w:val="2"/>
      <w:sz w:val="24"/>
      <w:szCs w:val="24"/>
      <w:lang w:val="en-US" w:eastAsia="zh-CN" w:bidi="ar-SA"/>
    </w:rPr>
  </w:style>
  <w:style w:type="character" w:customStyle="1" w:styleId="235">
    <w:name w:val="Default Char"/>
    <w:link w:val="236"/>
    <w:autoRedefine/>
    <w:qFormat/>
    <w:uiPriority w:val="0"/>
    <w:rPr>
      <w:rFonts w:ascii="仿宋_GB2312" w:eastAsia="仿宋_GB2312" w:cs="仿宋_GB2312"/>
      <w:color w:val="000000"/>
      <w:sz w:val="24"/>
      <w:szCs w:val="24"/>
      <w:lang w:val="en-US" w:eastAsia="zh-CN" w:bidi="ar-SA"/>
    </w:rPr>
  </w:style>
  <w:style w:type="paragraph" w:customStyle="1" w:styleId="236">
    <w:name w:val="Default"/>
    <w:link w:val="235"/>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autoRedefine/>
    <w:qFormat/>
    <w:uiPriority w:val="0"/>
    <w:rPr>
      <w:color w:val="333333"/>
    </w:rPr>
  </w:style>
  <w:style w:type="character" w:customStyle="1" w:styleId="238">
    <w:name w:val="列出段落 Char2"/>
    <w:autoRedefine/>
    <w:qFormat/>
    <w:uiPriority w:val="34"/>
    <w:rPr>
      <w:rFonts w:ascii="Calibri" w:hAnsi="Calibri"/>
      <w:kern w:val="2"/>
      <w:sz w:val="28"/>
    </w:rPr>
  </w:style>
  <w:style w:type="character" w:customStyle="1" w:styleId="239">
    <w:name w:val="mdeck"/>
    <w:autoRedefine/>
    <w:qFormat/>
    <w:uiPriority w:val="0"/>
    <w:rPr>
      <w:rFonts w:ascii="仿宋_GB2312" w:eastAsia="微软雅黑"/>
      <w:b/>
      <w:kern w:val="2"/>
      <w:sz w:val="32"/>
      <w:szCs w:val="32"/>
      <w:lang w:val="en-US" w:eastAsia="zh-CN" w:bidi="ar-SA"/>
    </w:rPr>
  </w:style>
  <w:style w:type="character" w:customStyle="1" w:styleId="240">
    <w:name w:val="unnamed11"/>
    <w:autoRedefine/>
    <w:qFormat/>
    <w:uiPriority w:val="0"/>
    <w:rPr>
      <w:sz w:val="20"/>
      <w:szCs w:val="20"/>
    </w:rPr>
  </w:style>
  <w:style w:type="character" w:customStyle="1" w:styleId="241">
    <w:name w:val="正文文本 Char2"/>
    <w:autoRedefine/>
    <w:semiHidden/>
    <w:qFormat/>
    <w:uiPriority w:val="99"/>
    <w:rPr>
      <w:rFonts w:ascii="Times New Roman" w:hAnsi="Times New Roman" w:eastAsia="宋体" w:cs="Times New Roman"/>
      <w:snapToGrid w:val="0"/>
      <w:kern w:val="0"/>
      <w:szCs w:val="24"/>
    </w:rPr>
  </w:style>
  <w:style w:type="character" w:customStyle="1" w:styleId="242">
    <w:name w:val="标书正文格式 Char"/>
    <w:autoRedefine/>
    <w:qFormat/>
    <w:uiPriority w:val="0"/>
    <w:rPr>
      <w:rFonts w:eastAsia="楷体_GB2312"/>
      <w:kern w:val="2"/>
      <w:sz w:val="24"/>
      <w:szCs w:val="24"/>
      <w:lang w:bidi="ar-SA"/>
    </w:rPr>
  </w:style>
  <w:style w:type="character" w:customStyle="1" w:styleId="243">
    <w:name w:val="Char Char11"/>
    <w:autoRedefine/>
    <w:qFormat/>
    <w:locked/>
    <w:uiPriority w:val="0"/>
    <w:rPr>
      <w:rFonts w:ascii="宋体" w:hAnsi="宋体" w:eastAsia="宋体"/>
      <w:b/>
      <w:kern w:val="2"/>
      <w:sz w:val="24"/>
      <w:szCs w:val="24"/>
      <w:lang w:val="en-US" w:eastAsia="zh-CN" w:bidi="ar-SA"/>
    </w:rPr>
  </w:style>
  <w:style w:type="character" w:customStyle="1" w:styleId="244">
    <w:name w:val="ca-131"/>
    <w:autoRedefine/>
    <w:qFormat/>
    <w:uiPriority w:val="0"/>
    <w:rPr>
      <w:rFonts w:hint="eastAsia" w:ascii="仿宋_GB2312" w:eastAsia="仿宋_GB2312"/>
      <w:b/>
      <w:bCs/>
      <w:color w:val="000000"/>
      <w:spacing w:val="-20"/>
      <w:sz w:val="24"/>
      <w:szCs w:val="24"/>
    </w:rPr>
  </w:style>
  <w:style w:type="character" w:customStyle="1" w:styleId="245">
    <w:name w:val="tw4winMark"/>
    <w:autoRedefine/>
    <w:qFormat/>
    <w:uiPriority w:val="0"/>
    <w:rPr>
      <w:rFonts w:ascii="Courier New" w:hAnsi="Courier New" w:cs="Courier New"/>
      <w:vanish/>
      <w:color w:val="800080"/>
      <w:sz w:val="24"/>
      <w:szCs w:val="24"/>
      <w:vertAlign w:val="subscript"/>
    </w:rPr>
  </w:style>
  <w:style w:type="character" w:customStyle="1" w:styleId="246">
    <w:name w:val="正文样式 Char"/>
    <w:link w:val="247"/>
    <w:autoRedefine/>
    <w:qFormat/>
    <w:uiPriority w:val="0"/>
    <w:rPr>
      <w:rFonts w:ascii="Calibri" w:hAnsi="Calibri"/>
      <w:sz w:val="24"/>
      <w:szCs w:val="24"/>
    </w:rPr>
  </w:style>
  <w:style w:type="paragraph" w:customStyle="1" w:styleId="247">
    <w:name w:val="正文样式"/>
    <w:basedOn w:val="1"/>
    <w:link w:val="246"/>
    <w:autoRedefine/>
    <w:qFormat/>
    <w:uiPriority w:val="0"/>
    <w:pPr>
      <w:adjustRightInd/>
      <w:spacing w:line="360" w:lineRule="auto"/>
      <w:ind w:firstLine="480" w:firstLineChars="200"/>
    </w:pPr>
    <w:rPr>
      <w:kern w:val="0"/>
      <w:sz w:val="24"/>
    </w:rPr>
  </w:style>
  <w:style w:type="character" w:customStyle="1" w:styleId="248">
    <w:name w:val="表正文 Char3"/>
    <w:autoRedefine/>
    <w:qFormat/>
    <w:uiPriority w:val="0"/>
    <w:rPr>
      <w:rFonts w:eastAsia="宋体"/>
    </w:rPr>
  </w:style>
  <w:style w:type="character" w:customStyle="1" w:styleId="249">
    <w:name w:val="H5 Char"/>
    <w:autoRedefine/>
    <w:qFormat/>
    <w:uiPriority w:val="0"/>
    <w:rPr>
      <w:b/>
      <w:bCs/>
      <w:kern w:val="2"/>
      <w:sz w:val="28"/>
      <w:szCs w:val="28"/>
    </w:rPr>
  </w:style>
  <w:style w:type="character" w:customStyle="1" w:styleId="250">
    <w:name w:val="Char Char3"/>
    <w:autoRedefine/>
    <w:qFormat/>
    <w:uiPriority w:val="0"/>
    <w:rPr>
      <w:rFonts w:eastAsia="宋体"/>
      <w:kern w:val="2"/>
      <w:sz w:val="21"/>
      <w:szCs w:val="24"/>
      <w:lang w:val="en-US" w:eastAsia="zh-CN" w:bidi="ar-SA"/>
    </w:rPr>
  </w:style>
  <w:style w:type="character" w:customStyle="1" w:styleId="251">
    <w:name w:val="正文 编号 Char"/>
    <w:autoRedefine/>
    <w:qFormat/>
    <w:uiPriority w:val="0"/>
    <w:rPr>
      <w:rFonts w:ascii="仿宋_GB2312" w:hAnsi="仿宋_GB2312" w:eastAsia="仿宋_GB2312"/>
      <w:kern w:val="2"/>
      <w:sz w:val="24"/>
      <w:lang w:bidi="ar-SA"/>
    </w:rPr>
  </w:style>
  <w:style w:type="character" w:customStyle="1" w:styleId="252">
    <w:name w:val="question-title2"/>
    <w:autoRedefine/>
    <w:qFormat/>
    <w:uiPriority w:val="6"/>
    <w:rPr>
      <w:rFonts w:ascii="Arial" w:hAnsi="Arial" w:eastAsia="黑体" w:cs="Arial"/>
      <w:snapToGrid w:val="0"/>
      <w:kern w:val="0"/>
      <w:szCs w:val="21"/>
    </w:rPr>
  </w:style>
  <w:style w:type="character" w:customStyle="1" w:styleId="253">
    <w:name w:val="gf正文1 Char Char"/>
    <w:link w:val="254"/>
    <w:autoRedefine/>
    <w:qFormat/>
    <w:uiPriority w:val="0"/>
    <w:rPr>
      <w:rFonts w:ascii="宋体" w:hAnsi="宋体" w:cs="宋体"/>
      <w:kern w:val="2"/>
      <w:sz w:val="24"/>
      <w:szCs w:val="24"/>
    </w:rPr>
  </w:style>
  <w:style w:type="paragraph" w:customStyle="1" w:styleId="254">
    <w:name w:val="gf正文1"/>
    <w:basedOn w:val="1"/>
    <w:link w:val="253"/>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autoRedefine/>
    <w:qFormat/>
    <w:uiPriority w:val="6"/>
    <w:rPr>
      <w:rFonts w:ascii="宋体" w:hAnsi="宋体"/>
      <w:kern w:val="1"/>
      <w:sz w:val="21"/>
    </w:rPr>
  </w:style>
  <w:style w:type="character" w:customStyle="1" w:styleId="256">
    <w:name w:val="正文缩进 Char3"/>
    <w:autoRedefine/>
    <w:qFormat/>
    <w:uiPriority w:val="0"/>
    <w:rPr>
      <w:rFonts w:ascii="宋体" w:eastAsia="宋体"/>
      <w:snapToGrid w:val="0"/>
      <w:color w:val="000000"/>
      <w:kern w:val="28"/>
      <w:sz w:val="28"/>
      <w:lang w:val="en-US" w:eastAsia="zh-CN" w:bidi="ar-SA"/>
    </w:rPr>
  </w:style>
  <w:style w:type="character" w:customStyle="1" w:styleId="257">
    <w:name w:val="列出段落 Char1"/>
    <w:link w:val="258"/>
    <w:autoRedefine/>
    <w:qFormat/>
    <w:uiPriority w:val="0"/>
    <w:rPr>
      <w:rFonts w:ascii="Calibri" w:hAnsi="Calibri"/>
      <w:sz w:val="24"/>
      <w:lang w:eastAsia="en-US"/>
    </w:rPr>
  </w:style>
  <w:style w:type="paragraph" w:customStyle="1" w:styleId="258">
    <w:name w:val="列表1"/>
    <w:basedOn w:val="1"/>
    <w:next w:val="259"/>
    <w:link w:val="257"/>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60">
    <w:name w:val="Char Char8"/>
    <w:autoRedefine/>
    <w:qFormat/>
    <w:uiPriority w:val="0"/>
    <w:rPr>
      <w:rFonts w:eastAsia="宋体"/>
      <w:b/>
      <w:sz w:val="24"/>
      <w:lang w:val="en-GB" w:eastAsia="zh-CN"/>
    </w:rPr>
  </w:style>
  <w:style w:type="character" w:customStyle="1" w:styleId="261">
    <w:name w:val="Normal Indent Char Char"/>
    <w:autoRedefine/>
    <w:qFormat/>
    <w:uiPriority w:val="0"/>
    <w:rPr>
      <w:rFonts w:eastAsia="宋体"/>
      <w:kern w:val="2"/>
      <w:sz w:val="21"/>
      <w:lang w:val="en-US" w:eastAsia="zh-CN" w:bidi="ar-SA"/>
    </w:rPr>
  </w:style>
  <w:style w:type="character" w:customStyle="1" w:styleId="262">
    <w:name w:val="列表段落 字符"/>
    <w:autoRedefine/>
    <w:qFormat/>
    <w:uiPriority w:val="99"/>
  </w:style>
  <w:style w:type="character" w:customStyle="1" w:styleId="263">
    <w:name w:val="Ò³Ã¼ Char Char1"/>
    <w:autoRedefine/>
    <w:qFormat/>
    <w:uiPriority w:val="0"/>
    <w:rPr>
      <w:rFonts w:eastAsia="宋体"/>
      <w:kern w:val="2"/>
      <w:sz w:val="18"/>
      <w:szCs w:val="18"/>
      <w:lang w:val="en-US" w:eastAsia="zh-CN" w:bidi="ar-SA"/>
    </w:rPr>
  </w:style>
  <w:style w:type="character" w:customStyle="1" w:styleId="264">
    <w:name w:val="方案正文 Char"/>
    <w:autoRedefine/>
    <w:qFormat/>
    <w:uiPriority w:val="0"/>
    <w:rPr>
      <w:rFonts w:ascii="仿宋_GB2312" w:eastAsia="仿宋_GB2312"/>
      <w:b/>
      <w:color w:val="000000"/>
      <w:kern w:val="2"/>
      <w:sz w:val="24"/>
      <w:lang w:val="en-US" w:eastAsia="zh-CN" w:bidi="ar-SA"/>
    </w:rPr>
  </w:style>
  <w:style w:type="character" w:customStyle="1" w:styleId="265">
    <w:name w:val="Char Char30"/>
    <w:autoRedefine/>
    <w:qFormat/>
    <w:uiPriority w:val="6"/>
    <w:rPr>
      <w:rFonts w:ascii="Arial" w:hAnsi="Arial" w:eastAsia="黑体"/>
      <w:kern w:val="1"/>
      <w:sz w:val="21"/>
      <w:szCs w:val="21"/>
    </w:rPr>
  </w:style>
  <w:style w:type="character" w:customStyle="1" w:styleId="266">
    <w:name w:val="正文文本缩进 字符1"/>
    <w:link w:val="26"/>
    <w:autoRedefine/>
    <w:qFormat/>
    <w:uiPriority w:val="0"/>
    <w:rPr>
      <w:rFonts w:ascii="宋体" w:hAnsi="宋体"/>
      <w:kern w:val="2"/>
      <w:sz w:val="24"/>
      <w:szCs w:val="24"/>
    </w:rPr>
  </w:style>
  <w:style w:type="character" w:customStyle="1" w:styleId="267">
    <w:name w:val="font01"/>
    <w:autoRedefine/>
    <w:qFormat/>
    <w:uiPriority w:val="0"/>
    <w:rPr>
      <w:rFonts w:hint="eastAsia" w:ascii="微软雅黑" w:hAnsi="微软雅黑" w:eastAsia="微软雅黑" w:cs="微软雅黑"/>
      <w:color w:val="000000"/>
      <w:sz w:val="20"/>
      <w:szCs w:val="20"/>
      <w:u w:val="none"/>
    </w:rPr>
  </w:style>
  <w:style w:type="character" w:customStyle="1" w:styleId="268">
    <w:name w:val="Char Char20"/>
    <w:autoRedefine/>
    <w:qFormat/>
    <w:uiPriority w:val="6"/>
    <w:rPr>
      <w:kern w:val="1"/>
      <w:sz w:val="24"/>
    </w:rPr>
  </w:style>
  <w:style w:type="character" w:customStyle="1" w:styleId="269">
    <w:name w:val="tw4winExternal"/>
    <w:autoRedefine/>
    <w:qFormat/>
    <w:uiPriority w:val="0"/>
    <w:rPr>
      <w:rFonts w:ascii="Courier New" w:hAnsi="Courier New" w:cs="Courier New"/>
      <w:color w:val="808080"/>
      <w:lang w:val="en-US" w:eastAsia="zh-CN"/>
    </w:rPr>
  </w:style>
  <w:style w:type="character" w:customStyle="1" w:styleId="270">
    <w:name w:val="标题 4 Char1"/>
    <w:autoRedefine/>
    <w:qFormat/>
    <w:uiPriority w:val="9"/>
    <w:rPr>
      <w:rFonts w:ascii="Cambria" w:hAnsi="Cambria" w:eastAsia="宋体" w:cs="Times New Roman"/>
      <w:b/>
      <w:bCs/>
      <w:kern w:val="2"/>
      <w:sz w:val="28"/>
      <w:szCs w:val="28"/>
    </w:rPr>
  </w:style>
  <w:style w:type="character" w:customStyle="1" w:styleId="271">
    <w:name w:val="批注文字 Char2"/>
    <w:autoRedefine/>
    <w:qFormat/>
    <w:uiPriority w:val="99"/>
    <w:rPr>
      <w:rFonts w:ascii="Times New Roman" w:hAnsi="Times New Roman" w:eastAsia="宋体" w:cs="Times New Roman"/>
      <w:snapToGrid w:val="0"/>
      <w:kern w:val="0"/>
      <w:szCs w:val="24"/>
    </w:rPr>
  </w:style>
  <w:style w:type="character" w:customStyle="1" w:styleId="272">
    <w:name w:val="正文文本 2 Char"/>
    <w:autoRedefine/>
    <w:qFormat/>
    <w:uiPriority w:val="0"/>
    <w:rPr>
      <w:rFonts w:eastAsia="宋体"/>
      <w:kern w:val="2"/>
      <w:sz w:val="21"/>
      <w:szCs w:val="24"/>
      <w:lang w:val="en-US" w:eastAsia="zh-CN" w:bidi="ar-SA"/>
    </w:rPr>
  </w:style>
  <w:style w:type="character" w:customStyle="1" w:styleId="273">
    <w:name w:val="Ò³Ã¼ Char Char"/>
    <w:autoRedefine/>
    <w:qFormat/>
    <w:uiPriority w:val="0"/>
    <w:rPr>
      <w:rFonts w:eastAsia="宋体"/>
      <w:kern w:val="2"/>
      <w:sz w:val="18"/>
      <w:lang w:val="en-US" w:eastAsia="zh-CN" w:bidi="ar-SA"/>
    </w:rPr>
  </w:style>
  <w:style w:type="character" w:customStyle="1" w:styleId="274">
    <w:name w:val="message1"/>
    <w:autoRedefine/>
    <w:qFormat/>
    <w:uiPriority w:val="0"/>
    <w:rPr>
      <w:rFonts w:hint="default" w:ascii="Tahoma" w:hAnsi="Tahoma" w:cs="Tahoma"/>
      <w:sz w:val="18"/>
      <w:szCs w:val="18"/>
    </w:rPr>
  </w:style>
  <w:style w:type="character" w:customStyle="1" w:styleId="275">
    <w:name w:val="Char Char23"/>
    <w:autoRedefine/>
    <w:qFormat/>
    <w:uiPriority w:val="6"/>
    <w:rPr>
      <w:color w:val="0000FF"/>
      <w:sz w:val="21"/>
    </w:rPr>
  </w:style>
  <w:style w:type="character" w:customStyle="1" w:styleId="276">
    <w:name w:val="批注框文本 字符"/>
    <w:autoRedefine/>
    <w:qFormat/>
    <w:uiPriority w:val="0"/>
    <w:rPr>
      <w:rFonts w:ascii="Arial" w:hAnsi="Arial" w:eastAsia="黑体" w:cs="Arial"/>
      <w:snapToGrid w:val="0"/>
      <w:kern w:val="0"/>
      <w:sz w:val="18"/>
      <w:szCs w:val="18"/>
    </w:rPr>
  </w:style>
  <w:style w:type="character" w:customStyle="1" w:styleId="277">
    <w:name w:val="纯文本 Char2"/>
    <w:autoRedefine/>
    <w:semiHidden/>
    <w:qFormat/>
    <w:uiPriority w:val="99"/>
    <w:rPr>
      <w:rFonts w:ascii="宋体" w:hAnsi="Courier New" w:eastAsia="宋体" w:cs="Courier New"/>
    </w:rPr>
  </w:style>
  <w:style w:type="character" w:customStyle="1" w:styleId="278">
    <w:name w:val="Char Char25"/>
    <w:autoRedefine/>
    <w:qFormat/>
    <w:uiPriority w:val="6"/>
    <w:rPr>
      <w:rFonts w:ascii="宋体" w:hAnsi="宋体"/>
      <w:kern w:val="1"/>
      <w:sz w:val="24"/>
      <w:lang w:val="zh-CN"/>
    </w:rPr>
  </w:style>
  <w:style w:type="character" w:customStyle="1" w:styleId="279">
    <w:name w:val="Char Char411"/>
    <w:autoRedefine/>
    <w:qFormat/>
    <w:uiPriority w:val="0"/>
    <w:rPr>
      <w:rFonts w:eastAsia="宋体"/>
      <w:b/>
      <w:sz w:val="24"/>
      <w:lang w:val="en-GB" w:eastAsia="zh-CN" w:bidi="ar-SA"/>
    </w:rPr>
  </w:style>
  <w:style w:type="character" w:customStyle="1" w:styleId="280">
    <w:name w:val="Heading 7 Char"/>
    <w:autoRedefine/>
    <w:qFormat/>
    <w:locked/>
    <w:uiPriority w:val="0"/>
    <w:rPr>
      <w:rFonts w:ascii="宋体" w:hAnsi="宋体" w:eastAsia="宋体"/>
      <w:b/>
      <w:bCs/>
      <w:kern w:val="2"/>
      <w:sz w:val="24"/>
      <w:szCs w:val="24"/>
      <w:lang w:val="en-US" w:eastAsia="zh-CN" w:bidi="ar-SA"/>
    </w:rPr>
  </w:style>
  <w:style w:type="character" w:customStyle="1" w:styleId="281">
    <w:name w:val="此正文 Char"/>
    <w:link w:val="282"/>
    <w:autoRedefine/>
    <w:qFormat/>
    <w:uiPriority w:val="0"/>
    <w:rPr>
      <w:kern w:val="2"/>
      <w:sz w:val="24"/>
      <w:szCs w:val="24"/>
    </w:rPr>
  </w:style>
  <w:style w:type="paragraph" w:customStyle="1" w:styleId="282">
    <w:name w:val="此正文"/>
    <w:basedOn w:val="1"/>
    <w:link w:val="281"/>
    <w:autoRedefine/>
    <w:qFormat/>
    <w:uiPriority w:val="0"/>
    <w:pPr>
      <w:adjustRightInd/>
      <w:spacing w:line="360" w:lineRule="auto"/>
      <w:ind w:firstLine="200" w:firstLineChars="200"/>
    </w:pPr>
    <w:rPr>
      <w:sz w:val="24"/>
    </w:rPr>
  </w:style>
  <w:style w:type="character" w:customStyle="1" w:styleId="283">
    <w:name w:val="Char Char2"/>
    <w:autoRedefine/>
    <w:qFormat/>
    <w:uiPriority w:val="0"/>
    <w:rPr>
      <w:rFonts w:eastAsia="宋体"/>
      <w:b/>
      <w:bCs/>
      <w:kern w:val="2"/>
      <w:sz w:val="21"/>
      <w:szCs w:val="24"/>
      <w:lang w:val="en-US" w:eastAsia="zh-CN" w:bidi="ar-SA"/>
    </w:rPr>
  </w:style>
  <w:style w:type="character" w:customStyle="1" w:styleId="284">
    <w:name w:val="标题 1 字符1"/>
    <w:link w:val="5"/>
    <w:autoRedefine/>
    <w:qFormat/>
    <w:uiPriority w:val="9"/>
    <w:rPr>
      <w:b/>
      <w:bCs/>
      <w:kern w:val="44"/>
      <w:sz w:val="44"/>
      <w:szCs w:val="44"/>
    </w:rPr>
  </w:style>
  <w:style w:type="character" w:customStyle="1" w:styleId="285">
    <w:name w:val="Footer-Even Char1"/>
    <w:autoRedefine/>
    <w:qFormat/>
    <w:uiPriority w:val="0"/>
    <w:rPr>
      <w:rFonts w:eastAsia="宋体"/>
      <w:kern w:val="2"/>
      <w:sz w:val="18"/>
      <w:szCs w:val="18"/>
      <w:lang w:val="en-US" w:eastAsia="zh-CN" w:bidi="ar-SA"/>
    </w:rPr>
  </w:style>
  <w:style w:type="character" w:customStyle="1" w:styleId="286">
    <w:name w:val="Char Char29"/>
    <w:autoRedefine/>
    <w:qFormat/>
    <w:uiPriority w:val="6"/>
    <w:rPr>
      <w:rFonts w:ascii="Arial" w:hAnsi="Arial" w:eastAsia="微软雅黑"/>
      <w:b/>
      <w:kern w:val="1"/>
      <w:sz w:val="44"/>
      <w:szCs w:val="32"/>
      <w:lang w:val="en-US" w:eastAsia="zh-CN" w:bidi="ar-SA"/>
    </w:rPr>
  </w:style>
  <w:style w:type="character" w:customStyle="1" w:styleId="287">
    <w:name w:val="标题 字符"/>
    <w:link w:val="60"/>
    <w:autoRedefine/>
    <w:qFormat/>
    <w:uiPriority w:val="10"/>
    <w:rPr>
      <w:b/>
      <w:sz w:val="24"/>
      <w:lang w:val="en-GB"/>
    </w:rPr>
  </w:style>
  <w:style w:type="character" w:customStyle="1" w:styleId="288">
    <w:name w:val="font81"/>
    <w:autoRedefine/>
    <w:qFormat/>
    <w:uiPriority w:val="0"/>
    <w:rPr>
      <w:rFonts w:ascii="微软雅黑" w:hAnsi="微软雅黑" w:eastAsia="微软雅黑" w:cs="微软雅黑"/>
      <w:color w:val="000000"/>
      <w:sz w:val="20"/>
      <w:szCs w:val="20"/>
      <w:u w:val="none"/>
    </w:rPr>
  </w:style>
  <w:style w:type="character" w:customStyle="1" w:styleId="289">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0">
    <w:name w:val="t21"/>
    <w:autoRedefine/>
    <w:qFormat/>
    <w:uiPriority w:val="0"/>
    <w:rPr>
      <w:rFonts w:ascii="仿宋_GB2312" w:eastAsia="微软雅黑"/>
      <w:b/>
      <w:kern w:val="2"/>
      <w:sz w:val="23"/>
      <w:szCs w:val="23"/>
      <w:lang w:val="en-US" w:eastAsia="zh-CN" w:bidi="ar-SA"/>
    </w:rPr>
  </w:style>
  <w:style w:type="character" w:customStyle="1" w:styleId="291">
    <w:name w:val="样式8 Char"/>
    <w:autoRedefine/>
    <w:qFormat/>
    <w:uiPriority w:val="0"/>
    <w:rPr>
      <w:rFonts w:ascii="仿宋_GB2312" w:hAnsi="宋体" w:eastAsia="仿宋_GB2312"/>
      <w:b/>
      <w:bCs/>
      <w:kern w:val="2"/>
      <w:sz w:val="24"/>
      <w:szCs w:val="24"/>
    </w:rPr>
  </w:style>
  <w:style w:type="character" w:customStyle="1" w:styleId="292">
    <w:name w:val="表格 Char Char"/>
    <w:autoRedefine/>
    <w:qFormat/>
    <w:uiPriority w:val="0"/>
    <w:rPr>
      <w:rFonts w:ascii="宋体" w:hAnsi="宋体" w:eastAsia="宋体"/>
      <w:lang w:bidi="ar-SA"/>
    </w:rPr>
  </w:style>
  <w:style w:type="character" w:customStyle="1" w:styleId="293">
    <w:name w:val="正文文本 字符1"/>
    <w:autoRedefine/>
    <w:qFormat/>
    <w:uiPriority w:val="0"/>
    <w:rPr>
      <w:rFonts w:ascii="Calibri" w:hAnsi="Calibri" w:eastAsia="黑体" w:cs="Arial"/>
      <w:snapToGrid w:val="0"/>
      <w:kern w:val="2"/>
      <w:sz w:val="28"/>
      <w:szCs w:val="21"/>
    </w:rPr>
  </w:style>
  <w:style w:type="character" w:customStyle="1" w:styleId="294">
    <w:name w:val="标题 5 字符"/>
    <w:link w:val="10"/>
    <w:autoRedefine/>
    <w:qFormat/>
    <w:uiPriority w:val="9"/>
    <w:rPr>
      <w:b/>
      <w:bCs/>
      <w:kern w:val="2"/>
      <w:sz w:val="28"/>
      <w:szCs w:val="28"/>
    </w:rPr>
  </w:style>
  <w:style w:type="character" w:customStyle="1" w:styleId="295">
    <w:name w:val="标题 6 Char1"/>
    <w:autoRedefine/>
    <w:qFormat/>
    <w:uiPriority w:val="0"/>
    <w:rPr>
      <w:rFonts w:ascii="Arial" w:hAnsi="Arial" w:eastAsia="黑体" w:cs="Times New Roman"/>
      <w:b/>
      <w:sz w:val="24"/>
      <w:szCs w:val="20"/>
      <w:lang w:bidi="ar-SA"/>
    </w:rPr>
  </w:style>
  <w:style w:type="character" w:customStyle="1" w:styleId="296">
    <w:name w:val="带编号样式 Char"/>
    <w:autoRedefine/>
    <w:qFormat/>
    <w:uiPriority w:val="0"/>
    <w:rPr>
      <w:rFonts w:ascii="仿宋_GB2312" w:eastAsia="仿宋_GB2312"/>
      <w:color w:val="000000"/>
      <w:sz w:val="24"/>
      <w:lang w:bidi="ar-SA"/>
    </w:rPr>
  </w:style>
  <w:style w:type="character" w:customStyle="1" w:styleId="297">
    <w:name w:val="unnamed31"/>
    <w:autoRedefine/>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autoRedefine/>
    <w:qFormat/>
    <w:uiPriority w:val="0"/>
    <w:rPr>
      <w:rFonts w:ascii="宋体" w:eastAsia="宋体"/>
      <w:kern w:val="2"/>
      <w:sz w:val="24"/>
      <w:szCs w:val="24"/>
      <w:lang w:val="zh-CN" w:bidi="ar-SA"/>
    </w:rPr>
  </w:style>
  <w:style w:type="character" w:customStyle="1" w:styleId="299">
    <w:name w:val="称呼 字符"/>
    <w:link w:val="23"/>
    <w:autoRedefine/>
    <w:qFormat/>
    <w:uiPriority w:val="0"/>
    <w:rPr>
      <w:rFonts w:ascii="仿宋_GB2312" w:eastAsia="仿宋_GB2312"/>
      <w:kern w:val="2"/>
      <w:sz w:val="28"/>
    </w:rPr>
  </w:style>
  <w:style w:type="character" w:customStyle="1" w:styleId="300">
    <w:name w:val="文本正文 Char Char"/>
    <w:autoRedefine/>
    <w:qFormat/>
    <w:locked/>
    <w:uiPriority w:val="0"/>
    <w:rPr>
      <w:sz w:val="24"/>
      <w:lang w:bidi="ar-SA"/>
    </w:rPr>
  </w:style>
  <w:style w:type="character" w:customStyle="1" w:styleId="301">
    <w:name w:val="正文缩进 字符"/>
    <w:autoRedefine/>
    <w:qFormat/>
    <w:uiPriority w:val="0"/>
    <w:rPr>
      <w:rFonts w:ascii="宋体" w:eastAsia="宋体"/>
      <w:snapToGrid w:val="0"/>
      <w:color w:val="000000"/>
      <w:kern w:val="28"/>
      <w:sz w:val="28"/>
      <w:lang w:val="en-US" w:eastAsia="zh-CN" w:bidi="ar-SA"/>
    </w:rPr>
  </w:style>
  <w:style w:type="character" w:customStyle="1" w:styleId="302">
    <w:name w:val="HTML 预设格式 字符"/>
    <w:link w:val="58"/>
    <w:autoRedefine/>
    <w:qFormat/>
    <w:uiPriority w:val="0"/>
    <w:rPr>
      <w:rFonts w:ascii="黑体" w:hAnsi="Courier New" w:eastAsia="黑体"/>
    </w:rPr>
  </w:style>
  <w:style w:type="character" w:customStyle="1" w:styleId="303">
    <w:name w:val="正文文本 2 字符1"/>
    <w:link w:val="57"/>
    <w:autoRedefine/>
    <w:qFormat/>
    <w:uiPriority w:val="0"/>
    <w:rPr>
      <w:kern w:val="2"/>
      <w:sz w:val="21"/>
      <w:szCs w:val="24"/>
    </w:rPr>
  </w:style>
  <w:style w:type="character" w:customStyle="1" w:styleId="304">
    <w:name w:val="样式 样式 标题 4h4H4Fab-4T5Ref Heading 1rh1Heading sqlsect 1.2.3.... +... Char"/>
    <w:link w:val="305"/>
    <w:autoRedefine/>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autoRedefine/>
    <w:qFormat/>
    <w:uiPriority w:val="0"/>
    <w:pPr>
      <w:tabs>
        <w:tab w:val="left" w:pos="2356"/>
      </w:tabs>
    </w:pPr>
  </w:style>
  <w:style w:type="paragraph" w:customStyle="1" w:styleId="306">
    <w:name w:val="样式 标题 4h4H4Fab-4T5Ref Heading 1rh1Heading sqlsect 1.2.3...."/>
    <w:basedOn w:val="9"/>
    <w:link w:val="414"/>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autoRedefine/>
    <w:qFormat/>
    <w:uiPriority w:val="0"/>
    <w:rPr>
      <w:rFonts w:ascii="宋体" w:eastAsia="宋体"/>
      <w:snapToGrid w:val="0"/>
      <w:color w:val="000000"/>
      <w:kern w:val="28"/>
      <w:sz w:val="28"/>
      <w:lang w:val="en-US" w:eastAsia="zh-CN" w:bidi="ar-SA"/>
    </w:rPr>
  </w:style>
  <w:style w:type="character" w:customStyle="1" w:styleId="308">
    <w:name w:val="标题 7 字符"/>
    <w:link w:val="12"/>
    <w:autoRedefine/>
    <w:qFormat/>
    <w:uiPriority w:val="0"/>
    <w:rPr>
      <w:b/>
      <w:bCs/>
      <w:kern w:val="2"/>
      <w:sz w:val="24"/>
      <w:szCs w:val="24"/>
    </w:rPr>
  </w:style>
  <w:style w:type="character" w:customStyle="1" w:styleId="309">
    <w:name w:val="正文文本缩进 2 字符"/>
    <w:link w:val="39"/>
    <w:autoRedefine/>
    <w:qFormat/>
    <w:uiPriority w:val="0"/>
    <w:rPr>
      <w:rFonts w:ascii="宋体"/>
      <w:sz w:val="28"/>
    </w:rPr>
  </w:style>
  <w:style w:type="character" w:customStyle="1" w:styleId="310">
    <w:name w:val="Char Char5"/>
    <w:autoRedefine/>
    <w:qFormat/>
    <w:uiPriority w:val="0"/>
    <w:rPr>
      <w:rFonts w:ascii="宋体" w:hAnsi="Courier New" w:eastAsia="宋体"/>
      <w:kern w:val="2"/>
      <w:sz w:val="21"/>
      <w:lang w:val="en-US" w:eastAsia="zh-CN"/>
    </w:rPr>
  </w:style>
  <w:style w:type="character" w:customStyle="1" w:styleId="311">
    <w:name w:val="脚注文本 字符"/>
    <w:link w:val="52"/>
    <w:autoRedefine/>
    <w:qFormat/>
    <w:uiPriority w:val="0"/>
    <w:rPr>
      <w:color w:val="0000FF"/>
      <w:sz w:val="21"/>
    </w:rPr>
  </w:style>
  <w:style w:type="character" w:customStyle="1" w:styleId="312">
    <w:name w:val="称呼 Char1"/>
    <w:autoRedefine/>
    <w:qFormat/>
    <w:uiPriority w:val="0"/>
    <w:rPr>
      <w:rFonts w:ascii="Times New Roman" w:hAnsi="Times New Roman" w:eastAsia="宋体" w:cs="Times New Roman"/>
      <w:szCs w:val="24"/>
    </w:rPr>
  </w:style>
  <w:style w:type="character" w:customStyle="1" w:styleId="313">
    <w:name w:val="正文1 Char"/>
    <w:autoRedefine/>
    <w:qFormat/>
    <w:uiPriority w:val="0"/>
    <w:rPr>
      <w:rFonts w:ascii="宋体" w:eastAsia="宋体"/>
      <w:snapToGrid w:val="0"/>
      <w:color w:val="000000"/>
      <w:kern w:val="28"/>
      <w:sz w:val="28"/>
      <w:lang w:val="en-US" w:eastAsia="zh-CN" w:bidi="ar-SA"/>
    </w:rPr>
  </w:style>
  <w:style w:type="character" w:customStyle="1" w:styleId="314">
    <w:name w:val="正文缩进 Char1"/>
    <w:autoRedefine/>
    <w:qFormat/>
    <w:uiPriority w:val="0"/>
    <w:rPr>
      <w:rFonts w:ascii="宋体" w:eastAsia="宋体"/>
      <w:snapToGrid w:val="0"/>
      <w:color w:val="000000"/>
      <w:kern w:val="28"/>
      <w:sz w:val="28"/>
      <w:lang w:val="en-US" w:eastAsia="zh-CN" w:bidi="ar-SA"/>
    </w:rPr>
  </w:style>
  <w:style w:type="character" w:customStyle="1" w:styleId="315">
    <w:name w:val="font21"/>
    <w:autoRedefine/>
    <w:qFormat/>
    <w:uiPriority w:val="0"/>
    <w:rPr>
      <w:rFonts w:hint="eastAsia" w:ascii="宋体" w:hAnsi="宋体" w:eastAsia="宋体"/>
      <w:kern w:val="2"/>
      <w:sz w:val="28"/>
      <w:szCs w:val="28"/>
      <w:lang w:val="en-US" w:eastAsia="zh-CN" w:bidi="ar-SA"/>
    </w:rPr>
  </w:style>
  <w:style w:type="character" w:customStyle="1" w:styleId="316">
    <w:name w:val="Char Char26"/>
    <w:autoRedefine/>
    <w:qFormat/>
    <w:uiPriority w:val="6"/>
    <w:rPr>
      <w:kern w:val="1"/>
      <w:sz w:val="21"/>
      <w:szCs w:val="24"/>
    </w:rPr>
  </w:style>
  <w:style w:type="character" w:customStyle="1" w:styleId="317">
    <w:name w:val="Item List Char"/>
    <w:link w:val="318"/>
    <w:autoRedefine/>
    <w:qFormat/>
    <w:uiPriority w:val="0"/>
    <w:rPr>
      <w:rFonts w:ascii="Arial"/>
      <w:bCs/>
      <w:sz w:val="21"/>
      <w:szCs w:val="21"/>
      <w:lang w:val="en-US" w:eastAsia="zh-CN" w:bidi="ar-SA"/>
    </w:rPr>
  </w:style>
  <w:style w:type="paragraph" w:customStyle="1" w:styleId="318">
    <w:name w:val="Item List"/>
    <w:link w:val="317"/>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autoRedefine/>
    <w:qFormat/>
    <w:uiPriority w:val="0"/>
    <w:rPr>
      <w:rFonts w:ascii="Times New Roman" w:hAnsi="Times New Roman" w:eastAsia="宋体" w:cs="Times New Roman"/>
      <w:sz w:val="18"/>
      <w:szCs w:val="18"/>
    </w:rPr>
  </w:style>
  <w:style w:type="character" w:customStyle="1" w:styleId="320">
    <w:name w:val="纯文本 Char1"/>
    <w:link w:val="321"/>
    <w:autoRedefine/>
    <w:qFormat/>
    <w:uiPriority w:val="0"/>
    <w:rPr>
      <w:rFonts w:ascii="宋体" w:hAnsi="Courier New"/>
    </w:rPr>
  </w:style>
  <w:style w:type="paragraph" w:customStyle="1" w:styleId="321">
    <w:name w:val="纯文本1"/>
    <w:basedOn w:val="1"/>
    <w:link w:val="320"/>
    <w:autoRedefine/>
    <w:qFormat/>
    <w:uiPriority w:val="0"/>
    <w:pPr>
      <w:adjustRightInd/>
    </w:pPr>
    <w:rPr>
      <w:rFonts w:ascii="宋体" w:hAnsi="Courier New"/>
      <w:kern w:val="0"/>
      <w:sz w:val="20"/>
      <w:szCs w:val="20"/>
    </w:rPr>
  </w:style>
  <w:style w:type="character" w:customStyle="1" w:styleId="322">
    <w:name w:val="正文文本首行缩进 字符"/>
    <w:link w:val="3"/>
    <w:autoRedefine/>
    <w:qFormat/>
    <w:uiPriority w:val="0"/>
    <w:rPr>
      <w:rFonts w:ascii="宋体"/>
      <w:kern w:val="2"/>
      <w:sz w:val="24"/>
      <w:lang w:val="zh-CN"/>
    </w:rPr>
  </w:style>
  <w:style w:type="character" w:customStyle="1" w:styleId="323">
    <w:name w:val="h3 Char"/>
    <w:autoRedefine/>
    <w:qFormat/>
    <w:uiPriority w:val="0"/>
    <w:rPr>
      <w:rFonts w:eastAsia="宋体"/>
      <w:b/>
      <w:kern w:val="2"/>
      <w:sz w:val="32"/>
      <w:lang w:val="en-US" w:eastAsia="zh-CN" w:bidi="ar-SA"/>
    </w:rPr>
  </w:style>
  <w:style w:type="character" w:customStyle="1" w:styleId="324">
    <w:name w:val="dandyren_title1"/>
    <w:autoRedefine/>
    <w:qFormat/>
    <w:uiPriority w:val="0"/>
    <w:rPr>
      <w:b/>
      <w:bCs/>
      <w:color w:val="FF6633"/>
      <w:sz w:val="18"/>
      <w:szCs w:val="18"/>
    </w:rPr>
  </w:style>
  <w:style w:type="character" w:customStyle="1" w:styleId="325">
    <w:name w:val="Char Char31"/>
    <w:autoRedefine/>
    <w:qFormat/>
    <w:uiPriority w:val="6"/>
    <w:rPr>
      <w:rFonts w:ascii="Arial" w:hAnsi="Arial" w:eastAsia="黑体"/>
      <w:kern w:val="1"/>
      <w:sz w:val="24"/>
      <w:szCs w:val="24"/>
    </w:rPr>
  </w:style>
  <w:style w:type="character" w:customStyle="1" w:styleId="326">
    <w:name w:val="h Char1"/>
    <w:autoRedefine/>
    <w:qFormat/>
    <w:uiPriority w:val="0"/>
    <w:rPr>
      <w:sz w:val="18"/>
      <w:szCs w:val="18"/>
    </w:rPr>
  </w:style>
  <w:style w:type="character" w:customStyle="1" w:styleId="327">
    <w:name w:val="solutionfonts"/>
    <w:autoRedefine/>
    <w:qFormat/>
    <w:uiPriority w:val="0"/>
  </w:style>
  <w:style w:type="character" w:customStyle="1" w:styleId="328">
    <w:name w:val="标题 4 字符1"/>
    <w:link w:val="9"/>
    <w:autoRedefine/>
    <w:qFormat/>
    <w:uiPriority w:val="9"/>
    <w:rPr>
      <w:rFonts w:ascii="Arial" w:hAnsi="Arial" w:eastAsia="黑体"/>
      <w:b/>
      <w:bCs/>
      <w:kern w:val="2"/>
      <w:sz w:val="28"/>
      <w:szCs w:val="28"/>
      <w:lang w:val="zh-CN"/>
    </w:rPr>
  </w:style>
  <w:style w:type="character" w:customStyle="1" w:styleId="329">
    <w:name w:val="首行缩进 Char"/>
    <w:autoRedefine/>
    <w:qFormat/>
    <w:uiPriority w:val="0"/>
    <w:rPr>
      <w:rFonts w:ascii="宋体" w:eastAsia="宋体"/>
      <w:kern w:val="2"/>
      <w:sz w:val="24"/>
      <w:lang w:val="en-US" w:eastAsia="zh-CN" w:bidi="ar-SA"/>
    </w:rPr>
  </w:style>
  <w:style w:type="character" w:customStyle="1" w:styleId="330">
    <w:name w:val="Char Char52"/>
    <w:autoRedefine/>
    <w:qFormat/>
    <w:uiPriority w:val="0"/>
    <w:rPr>
      <w:rFonts w:ascii="宋体" w:hAnsi="Courier New" w:eastAsia="宋体"/>
      <w:kern w:val="2"/>
      <w:sz w:val="21"/>
      <w:lang w:val="en-US" w:eastAsia="zh-CN"/>
    </w:rPr>
  </w:style>
  <w:style w:type="character" w:customStyle="1" w:styleId="331">
    <w:name w:val="正文文本 3 字符"/>
    <w:link w:val="24"/>
    <w:autoRedefine/>
    <w:qFormat/>
    <w:uiPriority w:val="0"/>
    <w:rPr>
      <w:kern w:val="2"/>
      <w:sz w:val="21"/>
    </w:rPr>
  </w:style>
  <w:style w:type="character" w:customStyle="1" w:styleId="332">
    <w:name w:val="font31"/>
    <w:autoRedefine/>
    <w:qFormat/>
    <w:uiPriority w:val="0"/>
    <w:rPr>
      <w:rFonts w:hint="eastAsia" w:ascii="仿宋" w:hAnsi="仿宋" w:eastAsia="仿宋" w:cs="仿宋"/>
      <w:color w:val="000000"/>
      <w:sz w:val="20"/>
      <w:szCs w:val="20"/>
      <w:u w:val="none"/>
    </w:rPr>
  </w:style>
  <w:style w:type="character" w:customStyle="1" w:styleId="333">
    <w:name w:val="正文说明 Char"/>
    <w:link w:val="334"/>
    <w:autoRedefine/>
    <w:qFormat/>
    <w:uiPriority w:val="0"/>
    <w:rPr>
      <w:sz w:val="24"/>
      <w:szCs w:val="24"/>
    </w:rPr>
  </w:style>
  <w:style w:type="paragraph" w:customStyle="1" w:styleId="334">
    <w:name w:val="正文说明"/>
    <w:basedOn w:val="1"/>
    <w:link w:val="333"/>
    <w:autoRedefine/>
    <w:qFormat/>
    <w:uiPriority w:val="0"/>
    <w:pPr>
      <w:adjustRightInd/>
      <w:spacing w:line="360" w:lineRule="auto"/>
    </w:pPr>
    <w:rPr>
      <w:kern w:val="0"/>
      <w:sz w:val="24"/>
    </w:rPr>
  </w:style>
  <w:style w:type="character" w:customStyle="1" w:styleId="335">
    <w:name w:val="脚注文本 Char1"/>
    <w:autoRedefine/>
    <w:qFormat/>
    <w:uiPriority w:val="0"/>
    <w:rPr>
      <w:rFonts w:ascii="Times New Roman" w:hAnsi="Times New Roman" w:eastAsia="宋体" w:cs="Times New Roman"/>
      <w:sz w:val="18"/>
      <w:szCs w:val="18"/>
    </w:rPr>
  </w:style>
  <w:style w:type="character" w:customStyle="1" w:styleId="336">
    <w:name w:val="Char Char1211"/>
    <w:autoRedefine/>
    <w:qFormat/>
    <w:uiPriority w:val="0"/>
    <w:rPr>
      <w:rFonts w:ascii="仿宋_GB2312" w:eastAsia="仿宋_GB2312"/>
      <w:b/>
      <w:bCs/>
      <w:kern w:val="2"/>
      <w:sz w:val="24"/>
      <w:szCs w:val="24"/>
      <w:lang w:val="zh-CN" w:eastAsia="zh-CN" w:bidi="ar-SA"/>
    </w:rPr>
  </w:style>
  <w:style w:type="character" w:customStyle="1" w:styleId="337">
    <w:name w:val="标题 Char"/>
    <w:autoRedefine/>
    <w:qFormat/>
    <w:uiPriority w:val="0"/>
    <w:rPr>
      <w:rFonts w:eastAsia="宋体"/>
      <w:b/>
      <w:sz w:val="24"/>
      <w:lang w:val="en-GB" w:eastAsia="zh-CN" w:bidi="ar-SA"/>
    </w:rPr>
  </w:style>
  <w:style w:type="character" w:customStyle="1" w:styleId="338">
    <w:name w:val="Char Char35"/>
    <w:autoRedefine/>
    <w:qFormat/>
    <w:uiPriority w:val="6"/>
    <w:rPr>
      <w:rFonts w:ascii="Arial" w:hAnsi="Arial" w:eastAsia="黑体"/>
      <w:b/>
      <w:kern w:val="1"/>
      <w:sz w:val="28"/>
      <w:szCs w:val="28"/>
      <w:lang w:val="zh-CN"/>
    </w:rPr>
  </w:style>
  <w:style w:type="character" w:customStyle="1" w:styleId="339">
    <w:name w:val="纯文本 Char Char Char"/>
    <w:autoRedefine/>
    <w:qFormat/>
    <w:uiPriority w:val="0"/>
    <w:rPr>
      <w:rFonts w:ascii="宋体" w:hAnsi="Courier New" w:eastAsia="宋体"/>
      <w:kern w:val="2"/>
      <w:sz w:val="21"/>
      <w:lang w:val="en-US" w:eastAsia="zh-CN" w:bidi="ar-SA"/>
    </w:rPr>
  </w:style>
  <w:style w:type="character" w:customStyle="1" w:styleId="340">
    <w:name w:val="Table Text Char"/>
    <w:link w:val="341"/>
    <w:autoRedefine/>
    <w:qFormat/>
    <w:uiPriority w:val="0"/>
    <w:rPr>
      <w:sz w:val="24"/>
      <w:szCs w:val="24"/>
    </w:rPr>
  </w:style>
  <w:style w:type="paragraph" w:customStyle="1" w:styleId="341">
    <w:name w:val="Table Text"/>
    <w:basedOn w:val="1"/>
    <w:link w:val="340"/>
    <w:autoRedefine/>
    <w:qFormat/>
    <w:uiPriority w:val="0"/>
    <w:pPr>
      <w:widowControl/>
      <w:spacing w:before="60" w:after="60"/>
      <w:jc w:val="left"/>
    </w:pPr>
    <w:rPr>
      <w:kern w:val="0"/>
      <w:sz w:val="24"/>
    </w:rPr>
  </w:style>
  <w:style w:type="character" w:customStyle="1" w:styleId="342">
    <w:name w:val="正文1 Char1"/>
    <w:autoRedefine/>
    <w:qFormat/>
    <w:uiPriority w:val="0"/>
    <w:rPr>
      <w:rFonts w:ascii="仿宋_GB2312" w:hAnsi="Courier New" w:eastAsia="仿宋_GB2312"/>
      <w:kern w:val="28"/>
      <w:sz w:val="24"/>
      <w:szCs w:val="24"/>
      <w:lang w:val="en-US" w:eastAsia="zh-CN"/>
    </w:rPr>
  </w:style>
  <w:style w:type="character" w:customStyle="1" w:styleId="343">
    <w:name w:val="页脚 Char1"/>
    <w:autoRedefine/>
    <w:qFormat/>
    <w:uiPriority w:val="0"/>
    <w:rPr>
      <w:rFonts w:eastAsia="宋体"/>
      <w:kern w:val="2"/>
      <w:sz w:val="18"/>
      <w:szCs w:val="18"/>
      <w:lang w:val="en-US" w:eastAsia="zh-CN" w:bidi="ar-SA"/>
    </w:rPr>
  </w:style>
  <w:style w:type="character" w:customStyle="1" w:styleId="344">
    <w:name w:val="Bold"/>
    <w:autoRedefine/>
    <w:qFormat/>
    <w:uiPriority w:val="0"/>
    <w:rPr>
      <w:rFonts w:ascii="Arial" w:hAnsi="Arial" w:eastAsia="黑体" w:cs="Times New Roman"/>
      <w:b/>
      <w:kern w:val="2"/>
      <w:sz w:val="32"/>
      <w:szCs w:val="32"/>
      <w:lang w:val="en-US" w:eastAsia="zh-CN" w:bidi="ar-SA"/>
    </w:rPr>
  </w:style>
  <w:style w:type="character" w:customStyle="1" w:styleId="345">
    <w:name w:val="批注文字 字符1"/>
    <w:link w:val="22"/>
    <w:autoRedefine/>
    <w:qFormat/>
    <w:uiPriority w:val="99"/>
    <w:rPr>
      <w:kern w:val="2"/>
      <w:sz w:val="21"/>
      <w:szCs w:val="24"/>
    </w:rPr>
  </w:style>
  <w:style w:type="character" w:customStyle="1" w:styleId="346">
    <w:name w:val="签名 字符"/>
    <w:link w:val="44"/>
    <w:autoRedefine/>
    <w:qFormat/>
    <w:uiPriority w:val="0"/>
    <w:rPr>
      <w:rFonts w:eastAsia="仿宋_GB2312"/>
      <w:sz w:val="24"/>
    </w:rPr>
  </w:style>
  <w:style w:type="character" w:customStyle="1" w:styleId="347">
    <w:name w:val="hui3"/>
    <w:autoRedefine/>
    <w:qFormat/>
    <w:uiPriority w:val="0"/>
    <w:rPr>
      <w:color w:val="333333"/>
    </w:rPr>
  </w:style>
  <w:style w:type="character" w:customStyle="1" w:styleId="348">
    <w:name w:val="Char Char17"/>
    <w:autoRedefine/>
    <w:qFormat/>
    <w:uiPriority w:val="6"/>
    <w:rPr>
      <w:rFonts w:eastAsia="仿宋_GB2312"/>
      <w:sz w:val="24"/>
    </w:rPr>
  </w:style>
  <w:style w:type="character" w:customStyle="1" w:styleId="349">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0">
    <w:name w:val="Char Char37"/>
    <w:autoRedefine/>
    <w:qFormat/>
    <w:uiPriority w:val="6"/>
    <w:rPr>
      <w:b/>
      <w:kern w:val="1"/>
      <w:sz w:val="44"/>
      <w:szCs w:val="44"/>
    </w:rPr>
  </w:style>
  <w:style w:type="character" w:customStyle="1" w:styleId="351">
    <w:name w:val="列出段落 Char"/>
    <w:autoRedefine/>
    <w:qFormat/>
    <w:uiPriority w:val="0"/>
    <w:rPr>
      <w:rFonts w:eastAsia="楷体_GB2312" w:cs="Lucida Sans"/>
      <w:kern w:val="2"/>
      <w:sz w:val="24"/>
      <w:szCs w:val="24"/>
      <w:lang w:val="en-US" w:eastAsia="zh-CN" w:bidi="ar-SA"/>
    </w:rPr>
  </w:style>
  <w:style w:type="character" w:customStyle="1" w:styleId="352">
    <w:name w:val="正文文本缩进 3 Char1"/>
    <w:autoRedefine/>
    <w:semiHidden/>
    <w:qFormat/>
    <w:uiPriority w:val="99"/>
    <w:rPr>
      <w:rFonts w:ascii="Times New Roman" w:hAnsi="Times New Roman" w:eastAsia="宋体" w:cs="Times New Roman"/>
      <w:sz w:val="16"/>
      <w:szCs w:val="16"/>
    </w:rPr>
  </w:style>
  <w:style w:type="character" w:customStyle="1" w:styleId="353">
    <w:name w:val="公文正文 Char Char"/>
    <w:link w:val="354"/>
    <w:autoRedefine/>
    <w:qFormat/>
    <w:uiPriority w:val="0"/>
    <w:rPr>
      <w:rFonts w:ascii="仿宋_GB2312" w:eastAsia="仿宋_GB2312"/>
      <w:kern w:val="2"/>
      <w:sz w:val="24"/>
      <w:szCs w:val="24"/>
    </w:rPr>
  </w:style>
  <w:style w:type="paragraph" w:customStyle="1" w:styleId="354">
    <w:name w:val="公文正文"/>
    <w:basedOn w:val="1"/>
    <w:link w:val="353"/>
    <w:autoRedefine/>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autoRedefine/>
    <w:qFormat/>
    <w:uiPriority w:val="0"/>
    <w:rPr>
      <w:rFonts w:eastAsia="宋体"/>
      <w:sz w:val="24"/>
      <w:szCs w:val="24"/>
      <w:lang w:val="en-US" w:eastAsia="zh-CN" w:bidi="ar-SA"/>
    </w:rPr>
  </w:style>
  <w:style w:type="character" w:customStyle="1" w:styleId="356">
    <w:name w:val="标题 1 Char Char"/>
    <w:autoRedefine/>
    <w:qFormat/>
    <w:uiPriority w:val="0"/>
    <w:rPr>
      <w:rFonts w:hint="eastAsia" w:ascii="宋体" w:hAnsi="宋体" w:eastAsia="宋体"/>
      <w:b/>
      <w:spacing w:val="-2"/>
      <w:sz w:val="24"/>
      <w:lang w:val="en-US" w:eastAsia="zh-CN" w:bidi="ar-SA"/>
    </w:rPr>
  </w:style>
  <w:style w:type="character" w:customStyle="1" w:styleId="357">
    <w:name w:val="正文（缩进2汉字） Char"/>
    <w:link w:val="358"/>
    <w:autoRedefine/>
    <w:qFormat/>
    <w:uiPriority w:val="0"/>
    <w:rPr>
      <w:rFonts w:ascii="宋体"/>
    </w:rPr>
  </w:style>
  <w:style w:type="paragraph" w:customStyle="1" w:styleId="358">
    <w:name w:val="正文（缩进2汉字）"/>
    <w:basedOn w:val="1"/>
    <w:link w:val="357"/>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字符"/>
    <w:link w:val="13"/>
    <w:autoRedefine/>
    <w:qFormat/>
    <w:uiPriority w:val="0"/>
    <w:rPr>
      <w:rFonts w:ascii="Arial" w:hAnsi="Arial" w:eastAsia="黑体"/>
      <w:kern w:val="2"/>
      <w:sz w:val="24"/>
      <w:szCs w:val="24"/>
    </w:rPr>
  </w:style>
  <w:style w:type="character" w:customStyle="1" w:styleId="360">
    <w:name w:val="标书表格字体格式 Char"/>
    <w:autoRedefine/>
    <w:qFormat/>
    <w:uiPriority w:val="0"/>
    <w:rPr>
      <w:kern w:val="2"/>
      <w:sz w:val="21"/>
      <w:szCs w:val="24"/>
      <w:lang w:bidi="ar-SA"/>
    </w:rPr>
  </w:style>
  <w:style w:type="character" w:customStyle="1" w:styleId="361">
    <w:name w:val="tw4winError"/>
    <w:autoRedefine/>
    <w:qFormat/>
    <w:uiPriority w:val="0"/>
    <w:rPr>
      <w:rFonts w:ascii="Courier New" w:hAnsi="Courier New" w:cs="Courier New"/>
      <w:color w:val="00FF00"/>
      <w:sz w:val="40"/>
      <w:szCs w:val="40"/>
    </w:rPr>
  </w:style>
  <w:style w:type="character" w:customStyle="1" w:styleId="362">
    <w:name w:val="Body Text(ch) Char Char"/>
    <w:autoRedefine/>
    <w:qFormat/>
    <w:uiPriority w:val="0"/>
    <w:rPr>
      <w:rFonts w:ascii="宋体"/>
      <w:kern w:val="2"/>
      <w:sz w:val="24"/>
      <w:szCs w:val="21"/>
      <w:lang w:val="zh-CN"/>
    </w:rPr>
  </w:style>
  <w:style w:type="character" w:customStyle="1" w:styleId="363">
    <w:name w:val="正文首行缩进两字 Char"/>
    <w:autoRedefine/>
    <w:qFormat/>
    <w:uiPriority w:val="0"/>
    <w:rPr>
      <w:sz w:val="24"/>
      <w:szCs w:val="24"/>
      <w:lang w:val="en-US" w:eastAsia="zh-CN" w:bidi="ar-SA"/>
    </w:rPr>
  </w:style>
  <w:style w:type="character" w:customStyle="1" w:styleId="364">
    <w:name w:val="正文文本 Char"/>
    <w:autoRedefine/>
    <w:qFormat/>
    <w:uiPriority w:val="0"/>
    <w:rPr>
      <w:rFonts w:eastAsia="宋体"/>
      <w:kern w:val="2"/>
      <w:sz w:val="24"/>
      <w:szCs w:val="24"/>
      <w:lang w:val="en-US" w:eastAsia="zh-CN" w:bidi="ar-SA"/>
    </w:rPr>
  </w:style>
  <w:style w:type="character" w:customStyle="1" w:styleId="365">
    <w:name w:val="文档结构图 字符1"/>
    <w:autoRedefine/>
    <w:qFormat/>
    <w:uiPriority w:val="0"/>
    <w:rPr>
      <w:rFonts w:ascii="宋体" w:hAnsi="Calibri" w:eastAsia="黑体" w:cs="Arial"/>
      <w:snapToGrid w:val="0"/>
      <w:kern w:val="2"/>
      <w:sz w:val="18"/>
      <w:szCs w:val="18"/>
    </w:rPr>
  </w:style>
  <w:style w:type="character" w:customStyle="1" w:styleId="366">
    <w:name w:val="content"/>
    <w:autoRedefine/>
    <w:qFormat/>
    <w:uiPriority w:val="0"/>
  </w:style>
  <w:style w:type="character" w:customStyle="1" w:styleId="367">
    <w:name w:val="tw4winPopup"/>
    <w:autoRedefine/>
    <w:qFormat/>
    <w:uiPriority w:val="0"/>
    <w:rPr>
      <w:rFonts w:ascii="Courier New" w:hAnsi="Courier New" w:cs="Courier New"/>
      <w:color w:val="008000"/>
      <w:lang w:val="en-US" w:eastAsia="zh-CN"/>
    </w:rPr>
  </w:style>
  <w:style w:type="character" w:customStyle="1" w:styleId="368">
    <w:name w:val="param-name"/>
    <w:autoRedefine/>
    <w:qFormat/>
    <w:uiPriority w:val="99"/>
    <w:rPr>
      <w:rFonts w:ascii="Arial" w:hAnsi="Arial" w:eastAsia="黑体" w:cs="Arial"/>
      <w:snapToGrid w:val="0"/>
      <w:kern w:val="0"/>
      <w:szCs w:val="21"/>
    </w:rPr>
  </w:style>
  <w:style w:type="character" w:customStyle="1" w:styleId="369">
    <w:name w:val="标准正文格式 Char"/>
    <w:autoRedefine/>
    <w:qFormat/>
    <w:uiPriority w:val="0"/>
    <w:rPr>
      <w:rFonts w:ascii="宋体" w:eastAsia="仿宋_GB2312" w:cs="宋体"/>
      <w:color w:val="000000"/>
      <w:sz w:val="24"/>
      <w:lang w:val="en-US" w:eastAsia="zh-CN" w:bidi="ar-SA"/>
    </w:rPr>
  </w:style>
  <w:style w:type="character" w:customStyle="1" w:styleId="370">
    <w:name w:val="Char Char212"/>
    <w:autoRedefine/>
    <w:qFormat/>
    <w:uiPriority w:val="0"/>
    <w:rPr>
      <w:rFonts w:eastAsia="宋体"/>
      <w:b/>
      <w:bCs/>
      <w:kern w:val="2"/>
      <w:sz w:val="21"/>
      <w:szCs w:val="24"/>
      <w:lang w:val="en-US" w:eastAsia="zh-CN" w:bidi="ar-SA"/>
    </w:rPr>
  </w:style>
  <w:style w:type="character" w:customStyle="1" w:styleId="371">
    <w:name w:val="文档结构图 Char"/>
    <w:autoRedefine/>
    <w:qFormat/>
    <w:uiPriority w:val="0"/>
    <w:rPr>
      <w:rFonts w:eastAsia="宋体"/>
      <w:kern w:val="2"/>
      <w:sz w:val="21"/>
      <w:szCs w:val="24"/>
      <w:lang w:val="en-US" w:eastAsia="zh-CN" w:bidi="ar-SA"/>
    </w:rPr>
  </w:style>
  <w:style w:type="character" w:customStyle="1" w:styleId="372">
    <w:name w:val="zbggmain style9"/>
    <w:autoRedefine/>
    <w:qFormat/>
    <w:uiPriority w:val="0"/>
  </w:style>
  <w:style w:type="character" w:customStyle="1" w:styleId="373">
    <w:name w:val="Char Char16"/>
    <w:autoRedefine/>
    <w:qFormat/>
    <w:uiPriority w:val="6"/>
    <w:rPr>
      <w:kern w:val="1"/>
      <w:sz w:val="18"/>
      <w:szCs w:val="18"/>
    </w:rPr>
  </w:style>
  <w:style w:type="character" w:customStyle="1" w:styleId="374">
    <w:name w:val="font51"/>
    <w:autoRedefine/>
    <w:qFormat/>
    <w:uiPriority w:val="0"/>
    <w:rPr>
      <w:rFonts w:hint="eastAsia" w:ascii="仿宋" w:hAnsi="仿宋" w:eastAsia="仿宋" w:cs="仿宋"/>
      <w:color w:val="000000"/>
      <w:sz w:val="20"/>
      <w:szCs w:val="20"/>
      <w:u w:val="none"/>
    </w:rPr>
  </w:style>
  <w:style w:type="character" w:customStyle="1" w:styleId="375">
    <w:name w:val="Char Char82"/>
    <w:autoRedefine/>
    <w:qFormat/>
    <w:uiPriority w:val="0"/>
    <w:rPr>
      <w:rFonts w:eastAsia="宋体"/>
      <w:b/>
      <w:sz w:val="24"/>
      <w:lang w:val="en-GB" w:eastAsia="zh-CN"/>
    </w:rPr>
  </w:style>
  <w:style w:type="character" w:customStyle="1" w:styleId="376">
    <w:name w:val="正文文本缩进 3 字符"/>
    <w:link w:val="54"/>
    <w:autoRedefine/>
    <w:qFormat/>
    <w:uiPriority w:val="0"/>
    <w:rPr>
      <w:kern w:val="2"/>
      <w:sz w:val="24"/>
    </w:rPr>
  </w:style>
  <w:style w:type="character" w:customStyle="1" w:styleId="377">
    <w:name w:val="日期 Char1"/>
    <w:autoRedefine/>
    <w:semiHidden/>
    <w:qFormat/>
    <w:uiPriority w:val="99"/>
    <w:rPr>
      <w:rFonts w:ascii="Times New Roman" w:hAnsi="Times New Roman" w:eastAsia="宋体" w:cs="Times New Roman"/>
      <w:szCs w:val="24"/>
    </w:rPr>
  </w:style>
  <w:style w:type="character" w:customStyle="1" w:styleId="378">
    <w:name w:val="页眉 字符"/>
    <w:autoRedefine/>
    <w:qFormat/>
    <w:uiPriority w:val="99"/>
    <w:rPr>
      <w:kern w:val="2"/>
      <w:sz w:val="18"/>
      <w:szCs w:val="18"/>
    </w:rPr>
  </w:style>
  <w:style w:type="character" w:customStyle="1" w:styleId="379">
    <w:name w:val="Char Char33"/>
    <w:autoRedefine/>
    <w:qFormat/>
    <w:uiPriority w:val="6"/>
    <w:rPr>
      <w:rFonts w:ascii="Arial" w:hAnsi="Arial" w:eastAsia="黑体"/>
      <w:b/>
      <w:kern w:val="1"/>
      <w:sz w:val="24"/>
      <w:szCs w:val="24"/>
    </w:rPr>
  </w:style>
  <w:style w:type="character" w:customStyle="1" w:styleId="380">
    <w:name w:val="b11_01b Char"/>
    <w:link w:val="381"/>
    <w:autoRedefine/>
    <w:qFormat/>
    <w:uiPriority w:val="0"/>
    <w:rPr>
      <w:rFonts w:ascii="Verdana" w:hAnsi="Verdana"/>
      <w:b/>
      <w:bCs/>
      <w:color w:val="4A82CA"/>
      <w:sz w:val="17"/>
      <w:szCs w:val="17"/>
    </w:rPr>
  </w:style>
  <w:style w:type="paragraph" w:customStyle="1" w:styleId="381">
    <w:name w:val="b11_01b"/>
    <w:basedOn w:val="1"/>
    <w:next w:val="1"/>
    <w:link w:val="380"/>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autoRedefine/>
    <w:qFormat/>
    <w:uiPriority w:val="6"/>
    <w:rPr>
      <w:rFonts w:ascii="仿宋_GB2312" w:eastAsia="仿宋_GB2312"/>
      <w:b/>
      <w:bCs/>
      <w:kern w:val="2"/>
      <w:sz w:val="24"/>
      <w:szCs w:val="24"/>
      <w:lang w:val="zh-CN" w:eastAsia="zh-CN" w:bidi="ar-SA"/>
    </w:rPr>
  </w:style>
  <w:style w:type="character" w:customStyle="1" w:styleId="383">
    <w:name w:val="Footer-Even Char"/>
    <w:autoRedefine/>
    <w:qFormat/>
    <w:uiPriority w:val="0"/>
    <w:rPr>
      <w:rFonts w:eastAsia="宋体"/>
      <w:kern w:val="2"/>
      <w:sz w:val="18"/>
      <w:lang w:val="en-US" w:eastAsia="zh-CN" w:bidi="ar-SA"/>
    </w:rPr>
  </w:style>
  <w:style w:type="character" w:customStyle="1" w:styleId="384">
    <w:name w:val="页脚 字符2"/>
    <w:link w:val="42"/>
    <w:autoRedefine/>
    <w:qFormat/>
    <w:locked/>
    <w:uiPriority w:val="99"/>
    <w:rPr>
      <w:kern w:val="2"/>
      <w:sz w:val="18"/>
      <w:szCs w:val="18"/>
    </w:rPr>
  </w:style>
  <w:style w:type="character" w:customStyle="1" w:styleId="385">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6">
    <w:name w:val="Char Char61"/>
    <w:autoRedefine/>
    <w:qFormat/>
    <w:uiPriority w:val="6"/>
    <w:rPr>
      <w:rFonts w:eastAsia="宋体"/>
      <w:kern w:val="2"/>
      <w:sz w:val="21"/>
      <w:szCs w:val="24"/>
      <w:lang w:val="en-US" w:eastAsia="zh-CN" w:bidi="ar-SA"/>
    </w:rPr>
  </w:style>
  <w:style w:type="character" w:customStyle="1" w:styleId="387">
    <w:name w:val="正文文字缩进 2 Char Char"/>
    <w:autoRedefine/>
    <w:qFormat/>
    <w:uiPriority w:val="0"/>
    <w:rPr>
      <w:rFonts w:ascii="宋体"/>
      <w:sz w:val="28"/>
    </w:rPr>
  </w:style>
  <w:style w:type="character" w:customStyle="1" w:styleId="388">
    <w:name w:val="f141"/>
    <w:autoRedefine/>
    <w:qFormat/>
    <w:uiPriority w:val="0"/>
    <w:rPr>
      <w:rFonts w:ascii="Tahoma" w:hAnsi="Tahoma" w:eastAsia="宋体"/>
      <w:b/>
      <w:kern w:val="2"/>
      <w:sz w:val="21"/>
      <w:szCs w:val="21"/>
      <w:lang w:val="en-US" w:eastAsia="zh-CN" w:bidi="ar-SA"/>
    </w:rPr>
  </w:style>
  <w:style w:type="character" w:customStyle="1" w:styleId="389">
    <w:name w:val="段落 Char Char"/>
    <w:link w:val="390"/>
    <w:autoRedefine/>
    <w:qFormat/>
    <w:uiPriority w:val="0"/>
    <w:rPr>
      <w:rFonts w:ascii="宋体" w:hAnsi="宋体"/>
      <w:sz w:val="24"/>
    </w:rPr>
  </w:style>
  <w:style w:type="paragraph" w:customStyle="1" w:styleId="390">
    <w:name w:val="段落"/>
    <w:basedOn w:val="1"/>
    <w:link w:val="389"/>
    <w:autoRedefine/>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autoRedefine/>
    <w:qFormat/>
    <w:uiPriority w:val="0"/>
    <w:rPr>
      <w:rFonts w:eastAsia="宋体"/>
      <w:b/>
      <w:bCs/>
      <w:kern w:val="2"/>
      <w:sz w:val="32"/>
      <w:szCs w:val="32"/>
      <w:lang w:val="en-US" w:eastAsia="zh-CN" w:bidi="ar-SA"/>
    </w:rPr>
  </w:style>
  <w:style w:type="character" w:customStyle="1" w:styleId="392">
    <w:name w:val="apple-converted-space"/>
    <w:autoRedefine/>
    <w:qFormat/>
    <w:uiPriority w:val="0"/>
  </w:style>
  <w:style w:type="character" w:customStyle="1" w:styleId="393">
    <w:name w:val="页眉 字符2"/>
    <w:link w:val="43"/>
    <w:autoRedefine/>
    <w:qFormat/>
    <w:uiPriority w:val="99"/>
    <w:rPr>
      <w:kern w:val="2"/>
      <w:sz w:val="18"/>
      <w:szCs w:val="18"/>
    </w:rPr>
  </w:style>
  <w:style w:type="character" w:customStyle="1" w:styleId="394">
    <w:name w:val="Char Char9"/>
    <w:autoRedefine/>
    <w:qFormat/>
    <w:uiPriority w:val="0"/>
    <w:rPr>
      <w:rFonts w:eastAsia="宋体"/>
      <w:kern w:val="2"/>
      <w:sz w:val="18"/>
      <w:szCs w:val="18"/>
      <w:lang w:val="en-US" w:eastAsia="zh-CN" w:bidi="ar-SA"/>
    </w:rPr>
  </w:style>
  <w:style w:type="character" w:customStyle="1" w:styleId="395">
    <w:name w:val="Char Char41"/>
    <w:autoRedefine/>
    <w:qFormat/>
    <w:uiPriority w:val="0"/>
    <w:rPr>
      <w:rFonts w:eastAsia="宋体"/>
      <w:b/>
      <w:sz w:val="24"/>
      <w:lang w:val="en-GB" w:eastAsia="zh-CN" w:bidi="ar-SA"/>
    </w:rPr>
  </w:style>
  <w:style w:type="character" w:customStyle="1" w:styleId="396">
    <w:name w:val="large1"/>
    <w:autoRedefine/>
    <w:qFormat/>
    <w:uiPriority w:val="0"/>
    <w:rPr>
      <w:rFonts w:hint="eastAsia" w:ascii="宋体" w:hAnsi="宋体" w:eastAsia="宋体"/>
      <w:sz w:val="21"/>
      <w:szCs w:val="21"/>
    </w:rPr>
  </w:style>
  <w:style w:type="character" w:customStyle="1" w:styleId="397">
    <w:name w:val="正文段 Char"/>
    <w:link w:val="398"/>
    <w:autoRedefine/>
    <w:qFormat/>
    <w:uiPriority w:val="0"/>
    <w:rPr>
      <w:sz w:val="24"/>
    </w:rPr>
  </w:style>
  <w:style w:type="paragraph" w:customStyle="1" w:styleId="398">
    <w:name w:val="正文段"/>
    <w:basedOn w:val="1"/>
    <w:link w:val="397"/>
    <w:autoRedefine/>
    <w:qFormat/>
    <w:uiPriority w:val="0"/>
    <w:pPr>
      <w:widowControl/>
      <w:snapToGrid w:val="0"/>
      <w:spacing w:after="156" w:afterLines="50"/>
      <w:ind w:firstLine="200" w:firstLineChars="200"/>
    </w:pPr>
    <w:rPr>
      <w:kern w:val="0"/>
      <w:sz w:val="24"/>
      <w:szCs w:val="20"/>
    </w:rPr>
  </w:style>
  <w:style w:type="character" w:customStyle="1" w:styleId="399">
    <w:name w:val="Char Char13"/>
    <w:autoRedefine/>
    <w:qFormat/>
    <w:uiPriority w:val="6"/>
    <w:rPr>
      <w:rFonts w:ascii="宋体" w:hAnsi="宋体"/>
      <w:kern w:val="1"/>
      <w:sz w:val="21"/>
      <w:szCs w:val="24"/>
    </w:rPr>
  </w:style>
  <w:style w:type="character" w:customStyle="1" w:styleId="400">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autoRedefine/>
    <w:qFormat/>
    <w:uiPriority w:val="0"/>
    <w:rPr>
      <w:rFonts w:ascii="宋体" w:hAnsi="宋体"/>
      <w:kern w:val="2"/>
      <w:sz w:val="24"/>
      <w:szCs w:val="22"/>
    </w:rPr>
  </w:style>
  <w:style w:type="paragraph" w:customStyle="1" w:styleId="402">
    <w:name w:val="冯广丽"/>
    <w:basedOn w:val="1"/>
    <w:link w:val="401"/>
    <w:autoRedefine/>
    <w:qFormat/>
    <w:uiPriority w:val="0"/>
    <w:pPr>
      <w:adjustRightInd/>
      <w:spacing w:line="360" w:lineRule="auto"/>
      <w:ind w:firstLine="480" w:firstLineChars="200"/>
    </w:pPr>
    <w:rPr>
      <w:rFonts w:ascii="宋体" w:hAnsi="宋体"/>
      <w:sz w:val="24"/>
      <w:szCs w:val="22"/>
    </w:rPr>
  </w:style>
  <w:style w:type="character" w:customStyle="1" w:styleId="403">
    <w:name w:val="批注文字 字符"/>
    <w:autoRedefine/>
    <w:qFormat/>
    <w:uiPriority w:val="0"/>
    <w:rPr>
      <w:rFonts w:ascii="Arial" w:hAnsi="Arial" w:eastAsia="黑体" w:cs="Arial"/>
      <w:snapToGrid w:val="0"/>
      <w:kern w:val="0"/>
      <w:szCs w:val="21"/>
    </w:rPr>
  </w:style>
  <w:style w:type="character" w:customStyle="1" w:styleId="404">
    <w:name w:val="Char Char161"/>
    <w:autoRedefine/>
    <w:qFormat/>
    <w:uiPriority w:val="0"/>
    <w:rPr>
      <w:rFonts w:eastAsia="宋体"/>
      <w:b/>
      <w:kern w:val="2"/>
      <w:sz w:val="32"/>
      <w:lang w:val="en-US" w:eastAsia="zh-CN"/>
    </w:rPr>
  </w:style>
  <w:style w:type="character" w:customStyle="1" w:styleId="405">
    <w:name w:val="javascript"/>
    <w:autoRedefine/>
    <w:qFormat/>
    <w:uiPriority w:val="0"/>
  </w:style>
  <w:style w:type="character" w:customStyle="1" w:styleId="406">
    <w:name w:val="图名 Char"/>
    <w:autoRedefine/>
    <w:qFormat/>
    <w:uiPriority w:val="0"/>
    <w:rPr>
      <w:rFonts w:ascii="Arial" w:hAnsi="Arial" w:eastAsia="黑体"/>
      <w:kern w:val="2"/>
      <w:sz w:val="24"/>
      <w:szCs w:val="24"/>
      <w:lang w:val="en-US" w:eastAsia="zh-CN" w:bidi="ar-SA"/>
    </w:rPr>
  </w:style>
  <w:style w:type="character" w:customStyle="1" w:styleId="407">
    <w:name w:val="Used by Word for text of Help footnotes Char Char"/>
    <w:autoRedefine/>
    <w:qFormat/>
    <w:uiPriority w:val="0"/>
    <w:rPr>
      <w:rFonts w:ascii="Times New Roman" w:hAnsi="Times New Roman" w:eastAsia="宋体" w:cs="Times New Roman"/>
      <w:sz w:val="20"/>
      <w:szCs w:val="20"/>
    </w:rPr>
  </w:style>
  <w:style w:type="character" w:customStyle="1" w:styleId="408">
    <w:name w:val="编号，小四 Char"/>
    <w:link w:val="409"/>
    <w:autoRedefine/>
    <w:qFormat/>
    <w:uiPriority w:val="0"/>
    <w:rPr>
      <w:rFonts w:ascii="Arial" w:hAnsi="Arial"/>
      <w:sz w:val="24"/>
    </w:rPr>
  </w:style>
  <w:style w:type="paragraph" w:customStyle="1" w:styleId="409">
    <w:name w:val="编号，小四"/>
    <w:basedOn w:val="1"/>
    <w:link w:val="408"/>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autoRedefine/>
    <w:qFormat/>
    <w:uiPriority w:val="99"/>
    <w:rPr>
      <w:rFonts w:ascii="宋体" w:eastAsia="宋体" w:cs="宋体"/>
      <w:color w:val="000000"/>
      <w:sz w:val="14"/>
      <w:szCs w:val="14"/>
    </w:rPr>
  </w:style>
  <w:style w:type="character" w:customStyle="1" w:styleId="411">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2">
    <w:name w:val="未用 Char"/>
    <w:autoRedefine/>
    <w:qFormat/>
    <w:uiPriority w:val="0"/>
    <w:rPr>
      <w:rFonts w:ascii="Arial" w:hAnsi="Arial" w:eastAsia="黑体"/>
      <w:kern w:val="2"/>
      <w:sz w:val="21"/>
      <w:szCs w:val="21"/>
      <w:lang w:val="en-US" w:eastAsia="zh-CN" w:bidi="ar-SA"/>
    </w:rPr>
  </w:style>
  <w:style w:type="character" w:customStyle="1" w:styleId="413">
    <w:name w:val="myp1111"/>
    <w:autoRedefine/>
    <w:qFormat/>
    <w:uiPriority w:val="0"/>
    <w:rPr>
      <w:rFonts w:hint="default" w:ascii="ˎ̥" w:hAnsi="ˎ̥"/>
      <w:color w:val="000000"/>
      <w:sz w:val="20"/>
      <w:szCs w:val="20"/>
      <w:u w:val="none"/>
    </w:rPr>
  </w:style>
  <w:style w:type="character" w:customStyle="1" w:styleId="414">
    <w:name w:val="样式 标题 4h4H4Fab-4T5Ref Heading 1rh1Heading sqlsect 1.2.3.... Char"/>
    <w:link w:val="306"/>
    <w:autoRedefine/>
    <w:qFormat/>
    <w:uiPriority w:val="0"/>
    <w:rPr>
      <w:rFonts w:ascii="微软雅黑" w:hAnsi="微软雅黑" w:eastAsia="微软雅黑"/>
      <w:b/>
      <w:bCs/>
      <w:kern w:val="2"/>
      <w:sz w:val="24"/>
      <w:szCs w:val="28"/>
    </w:rPr>
  </w:style>
  <w:style w:type="character" w:customStyle="1" w:styleId="415">
    <w:name w:val="h Char Char"/>
    <w:autoRedefine/>
    <w:qFormat/>
    <w:uiPriority w:val="0"/>
    <w:rPr>
      <w:rFonts w:eastAsia="宋体"/>
      <w:kern w:val="2"/>
      <w:sz w:val="18"/>
      <w:lang w:val="en-US" w:eastAsia="zh-CN" w:bidi="ar-SA"/>
    </w:rPr>
  </w:style>
  <w:style w:type="character" w:customStyle="1" w:styleId="416">
    <w:name w:val="仿宋正文 Char"/>
    <w:link w:val="417"/>
    <w:autoRedefine/>
    <w:qFormat/>
    <w:uiPriority w:val="0"/>
    <w:rPr>
      <w:rFonts w:ascii="仿宋_GB2312" w:eastAsia="仿宋_GB2312"/>
      <w:kern w:val="2"/>
      <w:sz w:val="24"/>
      <w:lang w:val="en-US" w:eastAsia="zh-CN" w:bidi="ar-SA"/>
    </w:rPr>
  </w:style>
  <w:style w:type="paragraph" w:customStyle="1" w:styleId="417">
    <w:name w:val="仿宋正文"/>
    <w:basedOn w:val="1"/>
    <w:link w:val="416"/>
    <w:autoRedefine/>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autoRedefine/>
    <w:qFormat/>
    <w:uiPriority w:val="0"/>
    <w:rPr>
      <w:rFonts w:ascii="宋体" w:eastAsia="宋体"/>
      <w:kern w:val="2"/>
      <w:sz w:val="24"/>
      <w:lang w:val="zh-CN" w:bidi="ar-SA"/>
    </w:rPr>
  </w:style>
  <w:style w:type="character" w:customStyle="1" w:styleId="419">
    <w:name w:val="样式 宋体"/>
    <w:autoRedefine/>
    <w:qFormat/>
    <w:uiPriority w:val="0"/>
    <w:rPr>
      <w:rFonts w:ascii="宋体" w:hAnsi="宋体"/>
      <w:sz w:val="24"/>
    </w:rPr>
  </w:style>
  <w:style w:type="character" w:customStyle="1" w:styleId="420">
    <w:name w:val="tw4winJump"/>
    <w:autoRedefine/>
    <w:qFormat/>
    <w:uiPriority w:val="0"/>
    <w:rPr>
      <w:rFonts w:ascii="Courier New" w:hAnsi="Courier New" w:cs="Courier New"/>
      <w:color w:val="008080"/>
      <w:lang w:val="en-US" w:eastAsia="zh-CN"/>
    </w:rPr>
  </w:style>
  <w:style w:type="character" w:customStyle="1" w:styleId="421">
    <w:name w:val="标题 1 字符"/>
    <w:autoRedefine/>
    <w:qFormat/>
    <w:uiPriority w:val="9"/>
    <w:rPr>
      <w:rFonts w:ascii="Arial" w:hAnsi="Arial" w:eastAsia="黑体" w:cs="Arial"/>
      <w:b/>
      <w:bCs/>
      <w:snapToGrid w:val="0"/>
      <w:kern w:val="44"/>
      <w:sz w:val="44"/>
      <w:szCs w:val="44"/>
    </w:rPr>
  </w:style>
  <w:style w:type="character" w:customStyle="1" w:styleId="422">
    <w:name w:val="style36"/>
    <w:basedOn w:val="70"/>
    <w:autoRedefine/>
    <w:qFormat/>
    <w:uiPriority w:val="0"/>
    <w:rPr>
      <w:rFonts w:ascii="Arial" w:hAnsi="Arial" w:eastAsia="黑体" w:cs="Arial"/>
      <w:snapToGrid w:val="0"/>
      <w:kern w:val="0"/>
      <w:szCs w:val="21"/>
    </w:rPr>
  </w:style>
  <w:style w:type="character" w:customStyle="1" w:styleId="423">
    <w:name w:val="pt9"/>
    <w:autoRedefine/>
    <w:qFormat/>
    <w:uiPriority w:val="0"/>
    <w:rPr>
      <w:rFonts w:ascii="仿宋_GB2312" w:eastAsia="微软雅黑"/>
      <w:b/>
      <w:kern w:val="2"/>
      <w:sz w:val="32"/>
      <w:szCs w:val="32"/>
      <w:lang w:val="en-US" w:eastAsia="zh-CN" w:bidi="ar-SA"/>
    </w:rPr>
  </w:style>
  <w:style w:type="character" w:customStyle="1" w:styleId="424">
    <w:name w:val="DO_NOT_TRANSLATE"/>
    <w:autoRedefine/>
    <w:qFormat/>
    <w:uiPriority w:val="0"/>
    <w:rPr>
      <w:rFonts w:ascii="Courier New" w:hAnsi="Courier New" w:cs="Courier New"/>
      <w:color w:val="800000"/>
      <w:lang w:val="en-US" w:eastAsia="zh-CN"/>
    </w:rPr>
  </w:style>
  <w:style w:type="character" w:customStyle="1" w:styleId="425">
    <w:name w:val="标书1 Char1"/>
    <w:autoRedefine/>
    <w:qFormat/>
    <w:uiPriority w:val="0"/>
    <w:rPr>
      <w:rFonts w:eastAsia="宋体"/>
      <w:b/>
      <w:bCs/>
      <w:kern w:val="44"/>
      <w:sz w:val="44"/>
      <w:szCs w:val="44"/>
      <w:lang w:val="en-US" w:eastAsia="zh-CN" w:bidi="ar-SA"/>
    </w:rPr>
  </w:style>
  <w:style w:type="character" w:customStyle="1" w:styleId="426">
    <w:name w:val="页脚 字符"/>
    <w:autoRedefine/>
    <w:qFormat/>
    <w:uiPriority w:val="99"/>
    <w:rPr>
      <w:kern w:val="2"/>
      <w:sz w:val="18"/>
      <w:szCs w:val="18"/>
    </w:rPr>
  </w:style>
  <w:style w:type="character" w:customStyle="1" w:styleId="427">
    <w:name w:val="正文2 Char"/>
    <w:autoRedefine/>
    <w:qFormat/>
    <w:uiPriority w:val="0"/>
    <w:rPr>
      <w:rFonts w:eastAsia="宋体"/>
      <w:kern w:val="2"/>
      <w:sz w:val="24"/>
      <w:lang w:val="en-US" w:eastAsia="zh-CN" w:bidi="ar-SA"/>
    </w:rPr>
  </w:style>
  <w:style w:type="character" w:customStyle="1" w:styleId="428">
    <w:name w:val="Char Char21"/>
    <w:autoRedefine/>
    <w:qFormat/>
    <w:uiPriority w:val="6"/>
    <w:rPr>
      <w:rFonts w:ascii="宋体" w:hAnsi="宋体"/>
      <w:kern w:val="1"/>
      <w:sz w:val="24"/>
      <w:szCs w:val="21"/>
      <w:lang w:val="zh-CN"/>
    </w:rPr>
  </w:style>
  <w:style w:type="character" w:customStyle="1" w:styleId="429">
    <w:name w:val="样式 正文缩进 + 首行缩进:  2 字符 Char Char"/>
    <w:link w:val="430"/>
    <w:autoRedefine/>
    <w:qFormat/>
    <w:uiPriority w:val="0"/>
    <w:rPr>
      <w:rFonts w:cs="宋体"/>
      <w:kern w:val="2"/>
      <w:sz w:val="24"/>
    </w:rPr>
  </w:style>
  <w:style w:type="paragraph" w:customStyle="1" w:styleId="430">
    <w:name w:val="样式 正文缩进 + 首行缩进:  2 字符"/>
    <w:basedOn w:val="8"/>
    <w:link w:val="429"/>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字符"/>
    <w:link w:val="2"/>
    <w:autoRedefine/>
    <w:qFormat/>
    <w:uiPriority w:val="0"/>
    <w:rPr>
      <w:rFonts w:ascii="宋体" w:hAnsi="Arial" w:eastAsia="宋体" w:cs="Arial"/>
      <w:snapToGrid w:val="0"/>
      <w:kern w:val="2"/>
      <w:sz w:val="24"/>
      <w:szCs w:val="21"/>
      <w:lang w:val="zh-CN" w:eastAsia="zh-CN" w:bidi="ar-SA"/>
    </w:rPr>
  </w:style>
  <w:style w:type="character" w:customStyle="1" w:styleId="432">
    <w:name w:val="gray6"/>
    <w:basedOn w:val="70"/>
    <w:autoRedefine/>
    <w:qFormat/>
    <w:uiPriority w:val="0"/>
    <w:rPr>
      <w:rFonts w:ascii="Arial" w:hAnsi="Arial" w:eastAsia="黑体" w:cs="Arial"/>
      <w:snapToGrid w:val="0"/>
      <w:kern w:val="0"/>
      <w:szCs w:val="21"/>
    </w:rPr>
  </w:style>
  <w:style w:type="character" w:customStyle="1" w:styleId="433">
    <w:name w:val="hui"/>
    <w:basedOn w:val="70"/>
    <w:autoRedefine/>
    <w:qFormat/>
    <w:uiPriority w:val="0"/>
    <w:rPr>
      <w:rFonts w:ascii="Arial" w:hAnsi="Arial" w:eastAsia="黑体" w:cs="Arial"/>
      <w:snapToGrid w:val="0"/>
      <w:kern w:val="0"/>
      <w:szCs w:val="21"/>
    </w:rPr>
  </w:style>
  <w:style w:type="character" w:customStyle="1" w:styleId="434">
    <w:name w:val="哈哈正文 Char Char"/>
    <w:autoRedefine/>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6"/>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9"/>
    <w:autoRedefine/>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autoRedefine/>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autoRedefine/>
    <w:qFormat/>
    <w:uiPriority w:val="0"/>
    <w:pPr>
      <w:spacing w:before="120" w:line="360" w:lineRule="auto"/>
      <w:ind w:firstLine="567"/>
    </w:pPr>
    <w:rPr>
      <w:rFonts w:ascii="Arial" w:hAnsi="Arial"/>
      <w:sz w:val="20"/>
      <w:szCs w:val="20"/>
    </w:rPr>
  </w:style>
  <w:style w:type="paragraph" w:customStyle="1" w:styleId="445">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autoRedefine/>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autoRedefine/>
    <w:qFormat/>
    <w:uiPriority w:val="0"/>
    <w:pPr>
      <w:adjustRightInd/>
      <w:ind w:firstLine="200" w:firstLineChars="200"/>
    </w:pPr>
    <w:rPr>
      <w:rFonts w:ascii="Tahoma" w:hAnsi="Tahoma"/>
      <w:sz w:val="24"/>
      <w:szCs w:val="20"/>
    </w:rPr>
  </w:style>
  <w:style w:type="paragraph" w:customStyle="1" w:styleId="454">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autoRedefine/>
    <w:qFormat/>
    <w:uiPriority w:val="0"/>
    <w:pPr>
      <w:tabs>
        <w:tab w:val="left" w:pos="360"/>
      </w:tabs>
    </w:pPr>
    <w:rPr>
      <w:sz w:val="24"/>
      <w:szCs w:val="20"/>
    </w:rPr>
  </w:style>
  <w:style w:type="paragraph" w:customStyle="1" w:styleId="457">
    <w:name w:val="Char Char11 Char Char Char"/>
    <w:basedOn w:val="1"/>
    <w:autoRedefine/>
    <w:qFormat/>
    <w:uiPriority w:val="0"/>
    <w:pPr>
      <w:spacing w:line="360" w:lineRule="auto"/>
    </w:pPr>
    <w:rPr>
      <w:szCs w:val="20"/>
    </w:rPr>
  </w:style>
  <w:style w:type="paragraph" w:customStyle="1" w:styleId="458">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autoRedefine/>
    <w:qFormat/>
    <w:uiPriority w:val="0"/>
    <w:pPr>
      <w:tabs>
        <w:tab w:val="left" w:pos="2790"/>
        <w:tab w:val="left" w:pos="4230"/>
      </w:tabs>
      <w:spacing w:before="312" w:beforeLines="100"/>
      <w:jc w:val="left"/>
    </w:pPr>
  </w:style>
  <w:style w:type="paragraph" w:customStyle="1" w:styleId="461">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autoRedefine/>
    <w:qFormat/>
    <w:uiPriority w:val="0"/>
    <w:pPr>
      <w:tabs>
        <w:tab w:val="left" w:pos="840"/>
      </w:tabs>
      <w:ind w:left="840" w:hanging="420"/>
    </w:pPr>
    <w:rPr>
      <w:rFonts w:ascii="Tahoma" w:hAnsi="Tahoma"/>
      <w:sz w:val="24"/>
    </w:rPr>
  </w:style>
  <w:style w:type="paragraph" w:customStyle="1" w:styleId="463">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6"/>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autoRedefine/>
    <w:qFormat/>
    <w:uiPriority w:val="0"/>
    <w:pPr>
      <w:adjustRightInd/>
      <w:spacing w:before="156" w:line="360" w:lineRule="auto"/>
      <w:ind w:firstLine="510" w:firstLineChars="200"/>
    </w:pPr>
    <w:rPr>
      <w:sz w:val="24"/>
      <w:szCs w:val="20"/>
    </w:rPr>
  </w:style>
  <w:style w:type="paragraph" w:customStyle="1" w:styleId="467">
    <w:name w:val="Test2"/>
    <w:basedOn w:val="6"/>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autoRedefine/>
    <w:qFormat/>
    <w:uiPriority w:val="0"/>
    <w:rPr>
      <w:rFonts w:ascii="仿宋_GB2312" w:eastAsia="仿宋_GB2312"/>
      <w:b/>
      <w:sz w:val="32"/>
      <w:szCs w:val="32"/>
    </w:rPr>
  </w:style>
  <w:style w:type="paragraph" w:customStyle="1" w:styleId="470">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2">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3">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autoRedefine/>
    <w:qFormat/>
    <w:uiPriority w:val="0"/>
    <w:pPr>
      <w:keepNext/>
      <w:tabs>
        <w:tab w:val="left" w:pos="360"/>
      </w:tabs>
      <w:spacing w:before="0" w:after="0"/>
      <w:outlineLvl w:val="5"/>
    </w:pPr>
  </w:style>
  <w:style w:type="paragraph" w:customStyle="1" w:styleId="475">
    <w:name w:val="5级标题"/>
    <w:basedOn w:val="476"/>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8">
    <w:name w:val="Char2 Char Char"/>
    <w:basedOn w:val="1"/>
    <w:autoRedefine/>
    <w:qFormat/>
    <w:uiPriority w:val="0"/>
    <w:pPr>
      <w:adjustRightInd/>
    </w:pPr>
    <w:rPr>
      <w:rFonts w:ascii="Tahoma" w:hAnsi="Tahoma"/>
      <w:sz w:val="24"/>
      <w:szCs w:val="20"/>
    </w:rPr>
  </w:style>
  <w:style w:type="paragraph" w:customStyle="1" w:styleId="479">
    <w:name w:val="_Style 11"/>
    <w:basedOn w:val="1"/>
    <w:autoRedefine/>
    <w:qFormat/>
    <w:uiPriority w:val="34"/>
    <w:pPr>
      <w:adjustRightInd/>
      <w:ind w:firstLine="420" w:firstLineChars="200"/>
    </w:pPr>
    <w:rPr>
      <w:rFonts w:eastAsia="仿宋_GB2312"/>
      <w:sz w:val="28"/>
    </w:rPr>
  </w:style>
  <w:style w:type="paragraph" w:customStyle="1" w:styleId="480">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autoRedefine/>
    <w:qFormat/>
    <w:uiPriority w:val="0"/>
    <w:rPr>
      <w:rFonts w:ascii="Tahoma" w:hAnsi="Tahoma"/>
      <w:sz w:val="24"/>
      <w:szCs w:val="20"/>
    </w:rPr>
  </w:style>
  <w:style w:type="paragraph" w:customStyle="1" w:styleId="482">
    <w:name w:val="数字标题6"/>
    <w:basedOn w:val="11"/>
    <w:next w:val="1"/>
    <w:autoRedefine/>
    <w:qFormat/>
    <w:uiPriority w:val="0"/>
    <w:pPr>
      <w:tabs>
        <w:tab w:val="left" w:pos="1080"/>
      </w:tabs>
      <w:ind w:left="1080" w:hanging="1080"/>
    </w:pPr>
    <w:rPr>
      <w:rFonts w:ascii="Times New Roman" w:hAnsi="Times New Roman" w:eastAsia="宋体"/>
      <w:i/>
    </w:rPr>
  </w:style>
  <w:style w:type="paragraph" w:customStyle="1" w:styleId="483">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4"/>
    <w:autoRedefine/>
    <w:qFormat/>
    <w:uiPriority w:val="99"/>
    <w:rPr>
      <w:szCs w:val="22"/>
    </w:rPr>
  </w:style>
  <w:style w:type="paragraph" w:customStyle="1" w:styleId="485">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autoRedefine/>
    <w:qFormat/>
    <w:uiPriority w:val="6"/>
    <w:rPr>
      <w:rFonts w:ascii="Tahoma" w:hAnsi="Tahoma" w:cs="仿宋_GB2312"/>
      <w:sz w:val="24"/>
      <w:szCs w:val="20"/>
    </w:rPr>
  </w:style>
  <w:style w:type="paragraph" w:customStyle="1" w:styleId="487">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6"/>
    <w:autoRedefine/>
    <w:qFormat/>
    <w:uiPriority w:val="0"/>
    <w:pPr>
      <w:tabs>
        <w:tab w:val="left" w:pos="1260"/>
      </w:tabs>
      <w:ind w:left="1260" w:hanging="420"/>
    </w:pPr>
    <w:rPr>
      <w:rFonts w:ascii="Arial" w:hAnsi="Arial" w:eastAsia="黑体"/>
      <w:lang w:val="en-US"/>
    </w:rPr>
  </w:style>
  <w:style w:type="paragraph" w:customStyle="1" w:styleId="491">
    <w:name w:val="五级无标题条"/>
    <w:basedOn w:val="1"/>
    <w:autoRedefine/>
    <w:qFormat/>
    <w:uiPriority w:val="0"/>
    <w:pPr>
      <w:adjustRightInd/>
    </w:pPr>
  </w:style>
  <w:style w:type="paragraph" w:customStyle="1" w:styleId="492">
    <w:name w:val="Char5"/>
    <w:basedOn w:val="1"/>
    <w:autoRedefine/>
    <w:qFormat/>
    <w:uiPriority w:val="0"/>
    <w:rPr>
      <w:rFonts w:ascii="仿宋_GB2312" w:eastAsia="仿宋_GB2312"/>
      <w:b/>
      <w:sz w:val="32"/>
      <w:szCs w:val="32"/>
    </w:rPr>
  </w:style>
  <w:style w:type="paragraph" w:customStyle="1" w:styleId="493">
    <w:name w:val="TOC 标题1"/>
    <w:basedOn w:val="5"/>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autoRedefine/>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autoRedefine/>
    <w:qFormat/>
    <w:uiPriority w:val="0"/>
    <w:rPr>
      <w:rFonts w:ascii="仿宋_GB2312" w:eastAsia="仿宋_GB2312"/>
      <w:b/>
      <w:sz w:val="32"/>
      <w:szCs w:val="32"/>
    </w:rPr>
  </w:style>
  <w:style w:type="paragraph" w:customStyle="1" w:styleId="497">
    <w:name w:val="数字标题3"/>
    <w:basedOn w:val="7"/>
    <w:next w:val="1"/>
    <w:autoRedefine/>
    <w:qFormat/>
    <w:uiPriority w:val="0"/>
    <w:pPr>
      <w:spacing w:line="240" w:lineRule="auto"/>
    </w:pPr>
    <w:rPr>
      <w:sz w:val="28"/>
      <w:szCs w:val="28"/>
    </w:rPr>
  </w:style>
  <w:style w:type="paragraph" w:customStyle="1" w:styleId="498">
    <w:name w:val="FA正文"/>
    <w:basedOn w:val="1"/>
    <w:autoRedefine/>
    <w:qFormat/>
    <w:uiPriority w:val="0"/>
    <w:pPr>
      <w:spacing w:line="360" w:lineRule="auto"/>
      <w:ind w:firstLine="480" w:firstLineChars="200"/>
    </w:pPr>
    <w:rPr>
      <w:rFonts w:hAnsi="宋体"/>
      <w:sz w:val="24"/>
      <w:szCs w:val="20"/>
    </w:rPr>
  </w:style>
  <w:style w:type="paragraph" w:customStyle="1" w:styleId="499">
    <w:name w:val="MM Topic 5"/>
    <w:basedOn w:val="10"/>
    <w:autoRedefine/>
    <w:qFormat/>
    <w:uiPriority w:val="0"/>
    <w:pPr>
      <w:tabs>
        <w:tab w:val="left" w:pos="2520"/>
      </w:tabs>
      <w:adjustRightInd/>
      <w:ind w:left="2520" w:hanging="420"/>
    </w:pPr>
  </w:style>
  <w:style w:type="paragraph" w:customStyle="1" w:styleId="500">
    <w:name w:val="Char Char Char Char Char Char Char Char Char Char1"/>
    <w:basedOn w:val="1"/>
    <w:autoRedefine/>
    <w:qFormat/>
    <w:uiPriority w:val="0"/>
    <w:rPr>
      <w:rFonts w:ascii="仿宋_GB2312" w:eastAsia="仿宋_GB2312"/>
      <w:b/>
      <w:sz w:val="32"/>
      <w:szCs w:val="32"/>
    </w:rPr>
  </w:style>
  <w:style w:type="paragraph" w:customStyle="1" w:styleId="501">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autoRedefine/>
    <w:qFormat/>
    <w:uiPriority w:val="0"/>
    <w:rPr>
      <w:rFonts w:ascii="仿宋_GB2312" w:eastAsia="仿宋_GB2312"/>
      <w:b/>
      <w:sz w:val="32"/>
      <w:szCs w:val="32"/>
    </w:rPr>
  </w:style>
  <w:style w:type="paragraph" w:customStyle="1" w:styleId="504">
    <w:name w:val="Char2 Char Char Char1"/>
    <w:basedOn w:val="1"/>
    <w:autoRedefine/>
    <w:qFormat/>
    <w:uiPriority w:val="6"/>
    <w:rPr>
      <w:rFonts w:ascii="仿宋_GB2312" w:eastAsia="仿宋_GB2312"/>
      <w:b/>
      <w:sz w:val="32"/>
      <w:szCs w:val="32"/>
    </w:rPr>
  </w:style>
  <w:style w:type="paragraph" w:customStyle="1" w:styleId="505">
    <w:name w:val="默认段落样式"/>
    <w:basedOn w:val="132"/>
    <w:autoRedefine/>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7"/>
    <w:autoRedefine/>
    <w:qFormat/>
    <w:uiPriority w:val="0"/>
    <w:pPr>
      <w:tabs>
        <w:tab w:val="left" w:pos="1680"/>
      </w:tabs>
      <w:adjustRightInd/>
      <w:ind w:left="1680" w:hanging="420"/>
    </w:pPr>
  </w:style>
  <w:style w:type="paragraph" w:customStyle="1" w:styleId="509">
    <w:name w:val="标准小四"/>
    <w:basedOn w:val="1"/>
    <w:autoRedefine/>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6"/>
    <w:autoRedefine/>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autoRedefine/>
    <w:qFormat/>
    <w:uiPriority w:val="0"/>
    <w:pPr>
      <w:adjustRightInd/>
      <w:snapToGrid w:val="0"/>
      <w:spacing w:line="300" w:lineRule="auto"/>
    </w:pPr>
    <w:rPr>
      <w:rFonts w:eastAsia="仿宋"/>
      <w:szCs w:val="21"/>
    </w:rPr>
  </w:style>
  <w:style w:type="paragraph" w:customStyle="1" w:styleId="512">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autoRedefine/>
    <w:qFormat/>
    <w:uiPriority w:val="6"/>
    <w:pPr>
      <w:adjustRightInd/>
    </w:pPr>
    <w:rPr>
      <w:rFonts w:ascii="Tahoma" w:hAnsi="Tahoma"/>
      <w:sz w:val="24"/>
      <w:szCs w:val="20"/>
    </w:rPr>
  </w:style>
  <w:style w:type="paragraph" w:customStyle="1" w:styleId="514">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8"/>
    <w:autoRedefine/>
    <w:qFormat/>
    <w:uiPriority w:val="0"/>
    <w:pPr>
      <w:adjustRightInd/>
      <w:ind w:firstLine="200" w:firstLineChars="200"/>
    </w:pPr>
    <w:rPr>
      <w:rFonts w:ascii="Arial" w:hAnsi="Arial"/>
      <w:spacing w:val="-5"/>
      <w:kern w:val="0"/>
      <w:sz w:val="24"/>
      <w:szCs w:val="20"/>
    </w:rPr>
  </w:style>
  <w:style w:type="paragraph" w:customStyle="1" w:styleId="517">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5"/>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1">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autoRedefine/>
    <w:qFormat/>
    <w:uiPriority w:val="0"/>
    <w:pPr>
      <w:adjustRightInd/>
      <w:ind w:firstLine="420" w:firstLineChars="200"/>
    </w:pPr>
    <w:rPr>
      <w:rFonts w:eastAsia="仿宋_GB2312"/>
      <w:sz w:val="28"/>
    </w:rPr>
  </w:style>
  <w:style w:type="paragraph" w:customStyle="1" w:styleId="523">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3"/>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autoRedefine/>
    <w:qFormat/>
    <w:uiPriority w:val="0"/>
    <w:pPr>
      <w:adjustRightInd/>
      <w:ind w:firstLine="200" w:firstLineChars="200"/>
      <w:jc w:val="right"/>
    </w:pPr>
  </w:style>
  <w:style w:type="paragraph" w:customStyle="1" w:styleId="526">
    <w:name w:val="Char Char11 Char Char Char Char Char Char Char Char Char"/>
    <w:basedOn w:val="1"/>
    <w:autoRedefine/>
    <w:qFormat/>
    <w:uiPriority w:val="0"/>
    <w:pPr>
      <w:spacing w:line="360" w:lineRule="auto"/>
    </w:pPr>
    <w:rPr>
      <w:szCs w:val="20"/>
    </w:rPr>
  </w:style>
  <w:style w:type="paragraph" w:customStyle="1" w:styleId="527">
    <w:name w:val="正文1.25"/>
    <w:basedOn w:val="1"/>
    <w:autoRedefine/>
    <w:qFormat/>
    <w:uiPriority w:val="0"/>
    <w:pPr>
      <w:adjustRightInd/>
      <w:spacing w:line="300" w:lineRule="auto"/>
      <w:ind w:firstLine="480" w:firstLineChars="200"/>
    </w:pPr>
    <w:rPr>
      <w:sz w:val="24"/>
      <w:szCs w:val="20"/>
    </w:rPr>
  </w:style>
  <w:style w:type="paragraph" w:customStyle="1" w:styleId="528">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autoRedefine/>
    <w:qFormat/>
    <w:uiPriority w:val="6"/>
    <w:rPr>
      <w:rFonts w:ascii="仿宋_GB2312" w:eastAsia="仿宋_GB2312"/>
      <w:b/>
      <w:sz w:val="32"/>
      <w:szCs w:val="20"/>
    </w:rPr>
  </w:style>
  <w:style w:type="paragraph" w:customStyle="1" w:styleId="532">
    <w:name w:val="列出段落2"/>
    <w:basedOn w:val="1"/>
    <w:autoRedefine/>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autoRedefine/>
    <w:qFormat/>
    <w:uiPriority w:val="0"/>
    <w:rPr>
      <w:rFonts w:eastAsia="仿宋_GB2312"/>
      <w:sz w:val="28"/>
      <w:szCs w:val="20"/>
    </w:rPr>
  </w:style>
  <w:style w:type="paragraph" w:customStyle="1" w:styleId="534">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9"/>
    <w:autoRedefine/>
    <w:qFormat/>
    <w:uiPriority w:val="0"/>
    <w:pPr>
      <w:widowControl/>
      <w:jc w:val="left"/>
    </w:pPr>
    <w:rPr>
      <w:rFonts w:cs="宋体"/>
      <w:sz w:val="24"/>
      <w:szCs w:val="20"/>
    </w:rPr>
  </w:style>
  <w:style w:type="paragraph" w:customStyle="1" w:styleId="536">
    <w:name w:val="彩色列表 - 强调文字颜色 11"/>
    <w:basedOn w:val="1"/>
    <w:autoRedefine/>
    <w:qFormat/>
    <w:uiPriority w:val="0"/>
    <w:pPr>
      <w:adjustRightInd/>
      <w:ind w:firstLine="420" w:firstLineChars="200"/>
    </w:pPr>
    <w:rPr>
      <w:rFonts w:ascii="Calibri" w:hAnsi="Calibri"/>
      <w:szCs w:val="22"/>
    </w:rPr>
  </w:style>
  <w:style w:type="paragraph" w:customStyle="1" w:styleId="537">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autoRedefine/>
    <w:qFormat/>
    <w:uiPriority w:val="6"/>
    <w:rPr>
      <w:szCs w:val="20"/>
    </w:rPr>
  </w:style>
  <w:style w:type="paragraph" w:customStyle="1" w:styleId="541">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6"/>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6"/>
    <w:next w:val="236"/>
    <w:autoRedefine/>
    <w:qFormat/>
    <w:uiPriority w:val="0"/>
    <w:pPr>
      <w:spacing w:after="68"/>
    </w:pPr>
    <w:rPr>
      <w:rFonts w:ascii="FHLHE E+ Futura Bk" w:eastAsia="FHLHE E+ Futura Bk" w:cs="Times New Roman"/>
      <w:color w:val="auto"/>
    </w:rPr>
  </w:style>
  <w:style w:type="paragraph" w:customStyle="1" w:styleId="547">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6"/>
    <w:next w:val="236"/>
    <w:autoRedefine/>
    <w:qFormat/>
    <w:uiPriority w:val="0"/>
    <w:rPr>
      <w:rFonts w:ascii="宋体" w:eastAsia="宋体" w:cs="Times New Roman"/>
      <w:color w:val="auto"/>
    </w:rPr>
  </w:style>
  <w:style w:type="paragraph" w:customStyle="1" w:styleId="551">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autoRedefine/>
    <w:qFormat/>
    <w:uiPriority w:val="0"/>
    <w:rPr>
      <w:rFonts w:ascii="仿宋_GB2312" w:eastAsia="仿宋_GB2312"/>
      <w:b/>
      <w:sz w:val="32"/>
      <w:szCs w:val="32"/>
    </w:rPr>
  </w:style>
  <w:style w:type="paragraph" w:customStyle="1" w:styleId="553">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autoRedefine/>
    <w:qFormat/>
    <w:uiPriority w:val="0"/>
    <w:pPr>
      <w:spacing w:line="360" w:lineRule="auto"/>
    </w:pPr>
    <w:rPr>
      <w:szCs w:val="20"/>
    </w:rPr>
  </w:style>
  <w:style w:type="paragraph" w:customStyle="1" w:styleId="556">
    <w:name w:val="Char"/>
    <w:basedOn w:val="1"/>
    <w:autoRedefine/>
    <w:qFormat/>
    <w:uiPriority w:val="0"/>
    <w:rPr>
      <w:rFonts w:ascii="仿宋_GB2312" w:eastAsia="仿宋_GB2312"/>
      <w:b/>
      <w:sz w:val="32"/>
      <w:szCs w:val="32"/>
    </w:rPr>
  </w:style>
  <w:style w:type="paragraph" w:customStyle="1" w:styleId="557">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autoRedefine/>
    <w:qFormat/>
    <w:uiPriority w:val="0"/>
    <w:rPr>
      <w:szCs w:val="20"/>
    </w:rPr>
  </w:style>
  <w:style w:type="paragraph" w:customStyle="1" w:styleId="560">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1">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3">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8"/>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autoRedefine/>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5">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6">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6"/>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autoRedefine/>
    <w:qFormat/>
    <w:uiPriority w:val="0"/>
    <w:rPr>
      <w:szCs w:val="20"/>
    </w:rPr>
  </w:style>
  <w:style w:type="paragraph" w:customStyle="1" w:styleId="583">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autoRedefine/>
    <w:qFormat/>
    <w:uiPriority w:val="0"/>
    <w:rPr>
      <w:rFonts w:ascii="Tahoma" w:hAnsi="Tahoma"/>
      <w:sz w:val="24"/>
      <w:szCs w:val="20"/>
    </w:rPr>
  </w:style>
  <w:style w:type="paragraph" w:customStyle="1" w:styleId="585">
    <w:name w:val="标题五"/>
    <w:basedOn w:val="1"/>
    <w:autoRedefine/>
    <w:qFormat/>
    <w:uiPriority w:val="0"/>
    <w:pPr>
      <w:adjustRightInd/>
      <w:spacing w:before="156" w:beforeLines="50" w:line="360" w:lineRule="auto"/>
    </w:pPr>
    <w:rPr>
      <w:b/>
      <w:sz w:val="24"/>
    </w:rPr>
  </w:style>
  <w:style w:type="paragraph" w:customStyle="1" w:styleId="586">
    <w:name w:val="Char Char1101"/>
    <w:basedOn w:val="1"/>
    <w:autoRedefine/>
    <w:qFormat/>
    <w:uiPriority w:val="0"/>
    <w:pPr>
      <w:spacing w:line="360" w:lineRule="auto"/>
    </w:pPr>
    <w:rPr>
      <w:rFonts w:ascii="Tahoma" w:hAnsi="Tahoma"/>
      <w:sz w:val="24"/>
      <w:szCs w:val="20"/>
    </w:rPr>
  </w:style>
  <w:style w:type="paragraph" w:customStyle="1" w:styleId="587">
    <w:name w:val="Char Char Char Char Char Char Char Char1"/>
    <w:basedOn w:val="1"/>
    <w:autoRedefine/>
    <w:qFormat/>
    <w:uiPriority w:val="0"/>
    <w:pPr>
      <w:tabs>
        <w:tab w:val="left" w:pos="360"/>
      </w:tabs>
    </w:pPr>
    <w:rPr>
      <w:sz w:val="24"/>
      <w:szCs w:val="20"/>
    </w:rPr>
  </w:style>
  <w:style w:type="paragraph" w:customStyle="1" w:styleId="588">
    <w:name w:val="Char Char Char 字元 字元"/>
    <w:basedOn w:val="1"/>
    <w:autoRedefine/>
    <w:qFormat/>
    <w:uiPriority w:val="0"/>
    <w:pPr>
      <w:adjustRightInd/>
      <w:spacing w:line="360" w:lineRule="auto"/>
      <w:ind w:firstLine="200" w:firstLineChars="200"/>
    </w:pPr>
    <w:rPr>
      <w:szCs w:val="20"/>
    </w:rPr>
  </w:style>
  <w:style w:type="paragraph" w:customStyle="1" w:styleId="589">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autoRedefine/>
    <w:qFormat/>
    <w:uiPriority w:val="0"/>
    <w:rPr>
      <w:rFonts w:ascii="仿宋_GB2312" w:eastAsia="仿宋_GB2312"/>
      <w:b/>
      <w:sz w:val="32"/>
      <w:szCs w:val="32"/>
    </w:rPr>
  </w:style>
  <w:style w:type="paragraph" w:customStyle="1" w:styleId="591">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6"/>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5"/>
    <w:autoRedefine/>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autoRedefine/>
    <w:qFormat/>
    <w:uiPriority w:val="0"/>
    <w:pPr>
      <w:adjustRightInd/>
    </w:pPr>
    <w:rPr>
      <w:sz w:val="18"/>
      <w:szCs w:val="20"/>
    </w:rPr>
  </w:style>
  <w:style w:type="paragraph" w:customStyle="1" w:styleId="596">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1">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6"/>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autoRedefine/>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7"/>
    <w:autoRedefine/>
    <w:qFormat/>
    <w:uiPriority w:val="0"/>
    <w:pPr>
      <w:snapToGrid w:val="0"/>
      <w:spacing w:line="360" w:lineRule="auto"/>
    </w:pPr>
    <w:rPr>
      <w:rFonts w:ascii="宋体"/>
      <w:b/>
      <w:sz w:val="24"/>
      <w:szCs w:val="20"/>
    </w:rPr>
  </w:style>
  <w:style w:type="paragraph" w:customStyle="1" w:styleId="606">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7"/>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autoRedefine/>
    <w:qFormat/>
    <w:uiPriority w:val="7"/>
    <w:pPr>
      <w:adjustRightInd/>
    </w:pPr>
    <w:rPr>
      <w:rFonts w:ascii="宋体" w:hAnsi="Courier New"/>
    </w:rPr>
  </w:style>
  <w:style w:type="paragraph" w:customStyle="1" w:styleId="609">
    <w:name w:val="Char3"/>
    <w:basedOn w:val="1"/>
    <w:autoRedefine/>
    <w:qFormat/>
    <w:uiPriority w:val="0"/>
    <w:pPr>
      <w:adjustRightInd/>
    </w:pPr>
    <w:rPr>
      <w:rFonts w:ascii="仿宋_GB2312" w:eastAsia="仿宋_GB2312"/>
      <w:b/>
      <w:sz w:val="32"/>
      <w:szCs w:val="32"/>
    </w:rPr>
  </w:style>
  <w:style w:type="paragraph" w:customStyle="1" w:styleId="610">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6"/>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7"/>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autoRedefine/>
    <w:qFormat/>
    <w:uiPriority w:val="0"/>
    <w:pPr>
      <w:widowControl/>
      <w:adjustRightInd/>
      <w:spacing w:after="160" w:line="240" w:lineRule="exact"/>
      <w:jc w:val="left"/>
    </w:pPr>
    <w:rPr>
      <w:szCs w:val="20"/>
    </w:rPr>
  </w:style>
  <w:style w:type="paragraph" w:customStyle="1" w:styleId="618">
    <w:name w:val="表格标题2"/>
    <w:basedOn w:val="619"/>
    <w:autoRedefine/>
    <w:qFormat/>
    <w:uiPriority w:val="0"/>
    <w:rPr>
      <w:b/>
    </w:rPr>
  </w:style>
  <w:style w:type="paragraph" w:customStyle="1" w:styleId="619">
    <w:name w:val="表格内文"/>
    <w:basedOn w:val="1"/>
    <w:autoRedefine/>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autoRedefine/>
    <w:qFormat/>
    <w:uiPriority w:val="0"/>
    <w:rPr>
      <w:rFonts w:ascii="仿宋_GB2312" w:eastAsia="仿宋_GB2312"/>
      <w:b/>
      <w:sz w:val="32"/>
      <w:szCs w:val="32"/>
    </w:rPr>
  </w:style>
  <w:style w:type="paragraph" w:customStyle="1" w:styleId="621">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autoRedefine/>
    <w:qFormat/>
    <w:uiPriority w:val="0"/>
    <w:pPr>
      <w:spacing w:line="360" w:lineRule="auto"/>
    </w:pPr>
    <w:rPr>
      <w:szCs w:val="20"/>
    </w:rPr>
  </w:style>
  <w:style w:type="paragraph" w:customStyle="1" w:styleId="624">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6">
    <w:name w:val="MM Topic 1"/>
    <w:basedOn w:val="5"/>
    <w:autoRedefine/>
    <w:qFormat/>
    <w:uiPriority w:val="0"/>
    <w:pPr>
      <w:tabs>
        <w:tab w:val="left" w:pos="840"/>
      </w:tabs>
      <w:adjustRightInd/>
      <w:ind w:left="840" w:hanging="420"/>
    </w:pPr>
  </w:style>
  <w:style w:type="paragraph" w:customStyle="1" w:styleId="627">
    <w:name w:val="样式 标题 2标题2H2Heading 2 HiddenHeading 2 CCBSheading 22nd lev..."/>
    <w:basedOn w:val="6"/>
    <w:autoRedefine/>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autoRedefine/>
    <w:qFormat/>
    <w:uiPriority w:val="0"/>
    <w:pPr>
      <w:spacing w:line="360" w:lineRule="auto"/>
      <w:ind w:firstLine="200" w:firstLineChars="200"/>
    </w:pPr>
    <w:rPr>
      <w:kern w:val="0"/>
      <w:sz w:val="24"/>
      <w:szCs w:val="20"/>
    </w:rPr>
  </w:style>
  <w:style w:type="paragraph" w:customStyle="1" w:styleId="629">
    <w:name w:val="表格"/>
    <w:basedOn w:val="1"/>
    <w:autoRedefine/>
    <w:qFormat/>
    <w:uiPriority w:val="0"/>
    <w:pPr>
      <w:snapToGrid w:val="0"/>
      <w:ind w:firstLine="42" w:firstLineChars="21"/>
    </w:pPr>
    <w:rPr>
      <w:rFonts w:ascii="宋体" w:hAnsi="宋体"/>
      <w:kern w:val="0"/>
      <w:sz w:val="20"/>
      <w:szCs w:val="20"/>
    </w:rPr>
  </w:style>
  <w:style w:type="paragraph" w:customStyle="1" w:styleId="630">
    <w:name w:val="标书标题4"/>
    <w:basedOn w:val="9"/>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1"/>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autoRedefine/>
    <w:qFormat/>
    <w:uiPriority w:val="0"/>
    <w:pPr>
      <w:adjustRightInd/>
      <w:spacing w:line="300" w:lineRule="auto"/>
      <w:jc w:val="center"/>
    </w:pPr>
  </w:style>
  <w:style w:type="paragraph" w:customStyle="1" w:styleId="635">
    <w:name w:val="_Style 6"/>
    <w:basedOn w:val="1"/>
    <w:autoRedefine/>
    <w:qFormat/>
    <w:uiPriority w:val="34"/>
    <w:pPr>
      <w:adjustRightInd/>
      <w:ind w:firstLine="420" w:firstLineChars="200"/>
    </w:pPr>
    <w:rPr>
      <w:rFonts w:eastAsia="仿宋_GB2312"/>
      <w:sz w:val="28"/>
    </w:rPr>
  </w:style>
  <w:style w:type="paragraph" w:customStyle="1" w:styleId="636">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6"/>
    <w:autoRedefine/>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autoRedefine/>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autoRedefine/>
    <w:qFormat/>
    <w:uiPriority w:val="0"/>
    <w:rPr>
      <w:rFonts w:ascii="仿宋_GB2312" w:eastAsia="仿宋_GB2312"/>
      <w:b/>
      <w:sz w:val="32"/>
      <w:szCs w:val="20"/>
    </w:rPr>
  </w:style>
  <w:style w:type="paragraph" w:customStyle="1" w:styleId="646">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autoRedefine/>
    <w:qFormat/>
    <w:uiPriority w:val="0"/>
    <w:pPr>
      <w:adjustRightInd/>
      <w:ind w:firstLine="200" w:firstLineChars="200"/>
    </w:pPr>
    <w:rPr>
      <w:rFonts w:ascii="Tahoma" w:hAnsi="Tahoma"/>
      <w:sz w:val="24"/>
      <w:szCs w:val="20"/>
    </w:rPr>
  </w:style>
  <w:style w:type="paragraph" w:customStyle="1" w:styleId="648">
    <w:name w:val="a1"/>
    <w:basedOn w:val="1"/>
    <w:autoRedefine/>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autoRedefine/>
    <w:qFormat/>
    <w:uiPriority w:val="0"/>
    <w:pPr>
      <w:spacing w:after="156" w:afterLines="50"/>
      <w:jc w:val="left"/>
      <w:outlineLvl w:val="3"/>
    </w:pPr>
    <w:rPr>
      <w:sz w:val="24"/>
      <w:szCs w:val="24"/>
    </w:rPr>
  </w:style>
  <w:style w:type="paragraph" w:customStyle="1" w:styleId="650">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autoRedefine/>
    <w:qFormat/>
    <w:uiPriority w:val="0"/>
    <w:pPr>
      <w:adjustRightInd/>
    </w:pPr>
    <w:rPr>
      <w:rFonts w:ascii="Tahoma" w:hAnsi="Tahoma"/>
      <w:sz w:val="24"/>
      <w:szCs w:val="20"/>
    </w:rPr>
  </w:style>
  <w:style w:type="paragraph" w:customStyle="1" w:styleId="655">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autoRedefine/>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autoRedefine/>
    <w:qFormat/>
    <w:uiPriority w:val="0"/>
    <w:pPr>
      <w:tabs>
        <w:tab w:val="left" w:pos="1260"/>
        <w:tab w:val="left" w:pos="1680"/>
        <w:tab w:val="left" w:pos="2100"/>
      </w:tabs>
      <w:ind w:left="0"/>
      <w:outlineLvl w:val="3"/>
    </w:pPr>
  </w:style>
  <w:style w:type="paragraph" w:customStyle="1" w:styleId="658">
    <w:name w:val="一级条标题"/>
    <w:basedOn w:val="659"/>
    <w:next w:val="641"/>
    <w:autoRedefine/>
    <w:qFormat/>
    <w:uiPriority w:val="0"/>
    <w:pPr>
      <w:tabs>
        <w:tab w:val="left" w:pos="1260"/>
        <w:tab w:val="left" w:pos="1680"/>
      </w:tabs>
      <w:spacing w:before="0" w:beforeLines="0" w:after="0" w:afterLines="0"/>
      <w:ind w:left="1680"/>
      <w:outlineLvl w:val="2"/>
    </w:pPr>
  </w:style>
  <w:style w:type="paragraph" w:customStyle="1" w:styleId="659">
    <w:name w:val="章标题"/>
    <w:next w:val="641"/>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6"/>
    <w:next w:val="1"/>
    <w:autoRedefine/>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5"/>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5"/>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autoRedefine/>
    <w:qFormat/>
    <w:uiPriority w:val="0"/>
    <w:pPr>
      <w:tabs>
        <w:tab w:val="left" w:pos="840"/>
      </w:tabs>
      <w:spacing w:after="0"/>
      <w:ind w:left="900"/>
    </w:pPr>
  </w:style>
  <w:style w:type="paragraph" w:customStyle="1" w:styleId="667">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autoRedefine/>
    <w:qFormat/>
    <w:uiPriority w:val="6"/>
    <w:pPr>
      <w:widowControl/>
      <w:adjustRightInd/>
      <w:ind w:left="720" w:hanging="720"/>
    </w:pPr>
    <w:rPr>
      <w:color w:val="000000"/>
      <w:kern w:val="0"/>
      <w:sz w:val="24"/>
      <w:szCs w:val="20"/>
      <w:lang w:val="en-GB"/>
    </w:rPr>
  </w:style>
  <w:style w:type="paragraph" w:customStyle="1" w:styleId="669">
    <w:name w:val="表1"/>
    <w:basedOn w:val="1"/>
    <w:autoRedefine/>
    <w:qFormat/>
    <w:uiPriority w:val="0"/>
    <w:pPr>
      <w:tabs>
        <w:tab w:val="left" w:pos="703"/>
      </w:tabs>
      <w:adjustRightInd/>
      <w:spacing w:line="360" w:lineRule="auto"/>
      <w:ind w:left="703"/>
      <w:jc w:val="center"/>
    </w:pPr>
  </w:style>
  <w:style w:type="paragraph" w:customStyle="1" w:styleId="670">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autoRedefine/>
    <w:qFormat/>
    <w:uiPriority w:val="0"/>
    <w:pPr>
      <w:jc w:val="left"/>
      <w:outlineLvl w:val="1"/>
    </w:pPr>
    <w:rPr>
      <w:rFonts w:ascii="Times New Roman" w:hAnsi="Times New Roman" w:eastAsia="仿宋"/>
      <w:sz w:val="30"/>
    </w:rPr>
  </w:style>
  <w:style w:type="paragraph" w:customStyle="1" w:styleId="674">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autoRedefine/>
    <w:qFormat/>
    <w:uiPriority w:val="0"/>
    <w:pPr>
      <w:tabs>
        <w:tab w:val="left" w:pos="840"/>
      </w:tabs>
      <w:adjustRightInd/>
      <w:ind w:left="840" w:hanging="420"/>
    </w:pPr>
  </w:style>
  <w:style w:type="paragraph" w:customStyle="1" w:styleId="680">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9"/>
    <w:autoRedefine/>
    <w:qFormat/>
    <w:uiPriority w:val="0"/>
    <w:pPr>
      <w:tabs>
        <w:tab w:val="left" w:pos="2100"/>
      </w:tabs>
      <w:adjustRightInd/>
      <w:ind w:left="2100" w:hanging="420"/>
    </w:pPr>
    <w:rPr>
      <w:lang w:val="en-US"/>
    </w:rPr>
  </w:style>
  <w:style w:type="paragraph" w:customStyle="1" w:styleId="688">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autoRedefine/>
    <w:qFormat/>
    <w:uiPriority w:val="6"/>
    <w:pPr>
      <w:spacing w:line="360" w:lineRule="auto"/>
    </w:pPr>
    <w:rPr>
      <w:szCs w:val="20"/>
    </w:rPr>
  </w:style>
  <w:style w:type="paragraph" w:customStyle="1" w:styleId="691">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7">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autoRedefine/>
    <w:qFormat/>
    <w:uiPriority w:val="0"/>
    <w:pPr>
      <w:adjustRightInd/>
      <w:spacing w:line="360" w:lineRule="auto"/>
      <w:jc w:val="center"/>
    </w:pPr>
    <w:rPr>
      <w:sz w:val="24"/>
    </w:rPr>
  </w:style>
  <w:style w:type="paragraph" w:customStyle="1" w:styleId="701">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autoRedefine/>
    <w:qFormat/>
    <w:uiPriority w:val="6"/>
    <w:rPr>
      <w:rFonts w:ascii="仿宋_GB2312" w:eastAsia="仿宋_GB2312"/>
      <w:b/>
      <w:sz w:val="32"/>
      <w:szCs w:val="32"/>
    </w:rPr>
  </w:style>
  <w:style w:type="paragraph" w:customStyle="1" w:styleId="703">
    <w:name w:val="正文缩进1"/>
    <w:basedOn w:val="1"/>
    <w:next w:val="26"/>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autoRedefine/>
    <w:qFormat/>
    <w:uiPriority w:val="0"/>
    <w:pPr>
      <w:widowControl/>
      <w:adjustRightInd/>
      <w:spacing w:after="160" w:line="240" w:lineRule="exact"/>
      <w:jc w:val="left"/>
    </w:pPr>
    <w:rPr>
      <w:szCs w:val="20"/>
    </w:rPr>
  </w:style>
  <w:style w:type="paragraph" w:customStyle="1" w:styleId="706">
    <w:name w:val="Char Char1121"/>
    <w:basedOn w:val="1"/>
    <w:autoRedefine/>
    <w:qFormat/>
    <w:uiPriority w:val="0"/>
    <w:pPr>
      <w:spacing w:line="360" w:lineRule="auto"/>
    </w:pPr>
    <w:rPr>
      <w:szCs w:val="20"/>
    </w:rPr>
  </w:style>
  <w:style w:type="paragraph" w:customStyle="1" w:styleId="707">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autoRedefine/>
    <w:qFormat/>
    <w:uiPriority w:val="0"/>
    <w:rPr>
      <w:rFonts w:ascii="Times New Roman" w:hAnsi="Times New Roman" w:eastAsia="宋体" w:cs="Times New Roman"/>
      <w:lang w:val="en-US" w:eastAsia="en-US" w:bidi="ar-SA"/>
    </w:rPr>
  </w:style>
  <w:style w:type="paragraph" w:customStyle="1" w:styleId="710">
    <w:name w:val="带编号样式"/>
    <w:basedOn w:val="628"/>
    <w:autoRedefine/>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4">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autoRedefine/>
    <w:qFormat/>
    <w:uiPriority w:val="0"/>
    <w:pPr>
      <w:spacing w:line="240" w:lineRule="atLeast"/>
      <w:ind w:left="420" w:firstLine="420"/>
    </w:pPr>
    <w:rPr>
      <w:sz w:val="24"/>
    </w:rPr>
  </w:style>
  <w:style w:type="paragraph" w:customStyle="1" w:styleId="717">
    <w:name w:val="WW-正文文字缩进 2"/>
    <w:basedOn w:val="1"/>
    <w:autoRedefine/>
    <w:qFormat/>
    <w:uiPriority w:val="0"/>
    <w:pPr>
      <w:suppressAutoHyphens/>
      <w:adjustRightInd/>
      <w:ind w:firstLine="420"/>
    </w:pPr>
    <w:rPr>
      <w:kern w:val="1"/>
      <w:szCs w:val="20"/>
    </w:rPr>
  </w:style>
  <w:style w:type="paragraph" w:customStyle="1" w:styleId="718">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6"/>
    <w:autoRedefine/>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autoRedefine/>
    <w:qFormat/>
    <w:uiPriority w:val="0"/>
    <w:pPr>
      <w:adjustRightInd/>
      <w:spacing w:line="400" w:lineRule="exact"/>
      <w:ind w:firstLine="200" w:firstLineChars="200"/>
    </w:pPr>
    <w:rPr>
      <w:rFonts w:ascii="Arial" w:hAnsi="Arial"/>
    </w:rPr>
  </w:style>
  <w:style w:type="paragraph" w:customStyle="1" w:styleId="721">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9"/>
    <w:autoRedefine/>
    <w:qFormat/>
    <w:uiPriority w:val="0"/>
    <w:pPr>
      <w:spacing w:after="120" w:line="480" w:lineRule="auto"/>
      <w:ind w:left="420" w:leftChars="200"/>
    </w:pPr>
    <w:rPr>
      <w:sz w:val="24"/>
      <w:szCs w:val="20"/>
    </w:rPr>
  </w:style>
  <w:style w:type="paragraph" w:customStyle="1" w:styleId="724">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7"/>
    <w:autoRedefine/>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8">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autoRedefine/>
    <w:qFormat/>
    <w:uiPriority w:val="0"/>
    <w:rPr>
      <w:rFonts w:ascii="仿宋_GB2312" w:eastAsia="仿宋_GB2312"/>
      <w:b/>
      <w:sz w:val="32"/>
      <w:szCs w:val="20"/>
    </w:rPr>
  </w:style>
  <w:style w:type="paragraph" w:customStyle="1" w:styleId="733">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9"/>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autoRedefine/>
    <w:qFormat/>
    <w:uiPriority w:val="0"/>
    <w:rPr>
      <w:rFonts w:ascii="仿宋_GB2312" w:eastAsia="仿宋_GB2312"/>
      <w:b/>
      <w:sz w:val="32"/>
      <w:szCs w:val="32"/>
    </w:rPr>
  </w:style>
  <w:style w:type="paragraph" w:customStyle="1" w:styleId="737">
    <w:name w:val="Char3 Char Char Char1"/>
    <w:basedOn w:val="1"/>
    <w:autoRedefine/>
    <w:qFormat/>
    <w:uiPriority w:val="6"/>
    <w:pPr>
      <w:widowControl/>
      <w:adjustRightInd/>
      <w:spacing w:after="160" w:line="240" w:lineRule="exact"/>
      <w:jc w:val="left"/>
    </w:pPr>
    <w:rPr>
      <w:szCs w:val="20"/>
    </w:rPr>
  </w:style>
  <w:style w:type="paragraph" w:customStyle="1" w:styleId="738">
    <w:name w:val="Char1 Char Char Char21"/>
    <w:basedOn w:val="1"/>
    <w:autoRedefine/>
    <w:qFormat/>
    <w:uiPriority w:val="0"/>
    <w:rPr>
      <w:rFonts w:ascii="Tahoma" w:hAnsi="Tahoma"/>
      <w:sz w:val="24"/>
      <w:szCs w:val="20"/>
    </w:rPr>
  </w:style>
  <w:style w:type="paragraph" w:customStyle="1" w:styleId="739">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autoRedefine/>
    <w:qFormat/>
    <w:uiPriority w:val="0"/>
    <w:pPr>
      <w:spacing w:line="360" w:lineRule="auto"/>
      <w:ind w:firstLine="200" w:firstLineChars="200"/>
    </w:pPr>
    <w:rPr>
      <w:sz w:val="24"/>
    </w:rPr>
  </w:style>
  <w:style w:type="paragraph" w:customStyle="1" w:styleId="741">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autoRedefine/>
    <w:qFormat/>
    <w:uiPriority w:val="0"/>
    <w:pPr>
      <w:adjustRightInd/>
      <w:ind w:firstLine="200" w:firstLineChars="200"/>
    </w:pPr>
    <w:rPr>
      <w:rFonts w:ascii="Tahoma" w:hAnsi="Tahoma"/>
      <w:sz w:val="24"/>
      <w:szCs w:val="20"/>
    </w:rPr>
  </w:style>
  <w:style w:type="paragraph" w:customStyle="1" w:styleId="747">
    <w:name w:val="_标题2"/>
    <w:basedOn w:val="714"/>
    <w:next w:val="714"/>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autoRedefine/>
    <w:qFormat/>
    <w:uiPriority w:val="0"/>
    <w:pPr>
      <w:adjustRightInd/>
      <w:spacing w:line="360" w:lineRule="auto"/>
    </w:pPr>
    <w:rPr>
      <w:rFonts w:ascii="宋体" w:hAnsi="宋体"/>
      <w:szCs w:val="20"/>
    </w:rPr>
  </w:style>
  <w:style w:type="paragraph" w:customStyle="1" w:styleId="753">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autoRedefine/>
    <w:qFormat/>
    <w:uiPriority w:val="0"/>
    <w:pPr>
      <w:adjustRightInd/>
    </w:pPr>
    <w:rPr>
      <w:rFonts w:ascii="Tahoma" w:hAnsi="Tahoma"/>
      <w:sz w:val="24"/>
    </w:rPr>
  </w:style>
  <w:style w:type="paragraph" w:customStyle="1" w:styleId="755">
    <w:name w:val="Char Char Char Char11"/>
    <w:basedOn w:val="1"/>
    <w:autoRedefine/>
    <w:qFormat/>
    <w:uiPriority w:val="0"/>
    <w:rPr>
      <w:rFonts w:ascii="Tahoma" w:hAnsi="Tahoma"/>
      <w:sz w:val="24"/>
      <w:szCs w:val="20"/>
    </w:rPr>
  </w:style>
  <w:style w:type="paragraph" w:customStyle="1" w:styleId="756">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autoRedefine/>
    <w:qFormat/>
    <w:uiPriority w:val="0"/>
    <w:rPr>
      <w:rFonts w:ascii="Tahoma" w:hAnsi="Tahoma"/>
      <w:sz w:val="24"/>
      <w:szCs w:val="20"/>
    </w:rPr>
  </w:style>
  <w:style w:type="paragraph" w:customStyle="1" w:styleId="758">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autoRedefine/>
    <w:qFormat/>
    <w:uiPriority w:val="0"/>
    <w:pPr>
      <w:adjustRightInd/>
    </w:pPr>
    <w:rPr>
      <w:szCs w:val="20"/>
    </w:rPr>
  </w:style>
  <w:style w:type="paragraph" w:customStyle="1" w:styleId="760">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autoRedefine/>
    <w:qFormat/>
    <w:uiPriority w:val="34"/>
    <w:pPr>
      <w:adjustRightInd/>
      <w:ind w:firstLine="420" w:firstLineChars="200"/>
    </w:pPr>
    <w:rPr>
      <w:rFonts w:eastAsia="仿宋_GB2312"/>
      <w:sz w:val="28"/>
    </w:rPr>
  </w:style>
  <w:style w:type="paragraph" w:customStyle="1" w:styleId="763">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autoRedefine/>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autoRedefine/>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
    <w:autoRedefine/>
    <w:qFormat/>
    <w:uiPriority w:val="0"/>
    <w:pPr>
      <w:autoSpaceDE/>
      <w:autoSpaceDN/>
      <w:snapToGrid w:val="0"/>
      <w:ind w:firstLine="480" w:firstLineChars="200"/>
    </w:pPr>
    <w:rPr>
      <w:rFonts w:ascii="Times New Roman"/>
      <w:szCs w:val="24"/>
      <w:lang w:val="en-US"/>
    </w:rPr>
  </w:style>
  <w:style w:type="paragraph" w:customStyle="1" w:styleId="771">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autoRedefine/>
    <w:qFormat/>
    <w:uiPriority w:val="0"/>
    <w:rPr>
      <w:rFonts w:ascii="宋体" w:hAnsi="Times New Roman" w:eastAsia="宋体" w:cs="Times New Roman"/>
      <w:kern w:val="2"/>
      <w:lang w:val="en-US" w:eastAsia="zh-CN" w:bidi="ar-SA"/>
    </w:rPr>
  </w:style>
  <w:style w:type="paragraph" w:customStyle="1" w:styleId="773">
    <w:name w:val="MM Title"/>
    <w:basedOn w:val="60"/>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autoRedefine/>
    <w:qFormat/>
    <w:uiPriority w:val="0"/>
    <w:pPr>
      <w:tabs>
        <w:tab w:val="left" w:pos="360"/>
      </w:tabs>
    </w:pPr>
    <w:rPr>
      <w:sz w:val="24"/>
      <w:szCs w:val="20"/>
    </w:rPr>
  </w:style>
  <w:style w:type="paragraph" w:customStyle="1" w:styleId="777">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6"/>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8"/>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autoRedefine/>
    <w:qFormat/>
    <w:uiPriority w:val="0"/>
    <w:pPr>
      <w:widowControl/>
      <w:adjustRightInd/>
    </w:pPr>
    <w:rPr>
      <w:kern w:val="0"/>
      <w:szCs w:val="21"/>
    </w:rPr>
  </w:style>
  <w:style w:type="paragraph" w:customStyle="1" w:styleId="786">
    <w:name w:val="Char6"/>
    <w:basedOn w:val="1"/>
    <w:autoRedefine/>
    <w:qFormat/>
    <w:uiPriority w:val="0"/>
    <w:rPr>
      <w:rFonts w:ascii="仿宋_GB2312" w:eastAsia="仿宋_GB2312"/>
      <w:b/>
      <w:sz w:val="32"/>
      <w:szCs w:val="32"/>
    </w:rPr>
  </w:style>
  <w:style w:type="paragraph" w:customStyle="1" w:styleId="787">
    <w:name w:val="Char111"/>
    <w:basedOn w:val="1"/>
    <w:autoRedefine/>
    <w:qFormat/>
    <w:uiPriority w:val="0"/>
    <w:rPr>
      <w:rFonts w:ascii="仿宋_GB2312" w:eastAsia="仿宋_GB2312"/>
      <w:b/>
      <w:sz w:val="32"/>
      <w:szCs w:val="32"/>
    </w:rPr>
  </w:style>
  <w:style w:type="paragraph" w:customStyle="1" w:styleId="788">
    <w:name w:val="标题3"/>
    <w:basedOn w:val="7"/>
    <w:next w:val="54"/>
    <w:autoRedefine/>
    <w:qFormat/>
    <w:uiPriority w:val="0"/>
    <w:pPr>
      <w:tabs>
        <w:tab w:val="clear" w:pos="900"/>
      </w:tabs>
      <w:spacing w:after="0" w:line="360" w:lineRule="auto"/>
    </w:pPr>
    <w:rPr>
      <w:rFonts w:ascii="仿宋" w:hAnsi="仿宋" w:eastAsia="仿宋" w:cs="仿宋"/>
    </w:rPr>
  </w:style>
  <w:style w:type="paragraph" w:customStyle="1" w:styleId="789">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autoRedefine/>
    <w:qFormat/>
    <w:uiPriority w:val="0"/>
    <w:pPr>
      <w:adjustRightInd/>
      <w:ind w:firstLine="200" w:firstLineChars="200"/>
    </w:pPr>
    <w:rPr>
      <w:rFonts w:ascii="Tahoma" w:hAnsi="Tahoma"/>
      <w:sz w:val="24"/>
      <w:szCs w:val="20"/>
    </w:rPr>
  </w:style>
  <w:style w:type="paragraph" w:customStyle="1" w:styleId="792">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5"/>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autoRedefine/>
    <w:qFormat/>
    <w:uiPriority w:val="0"/>
    <w:rPr>
      <w:rFonts w:ascii="仿宋_GB2312" w:eastAsia="仿宋_GB2312"/>
      <w:b/>
      <w:sz w:val="32"/>
      <w:szCs w:val="32"/>
    </w:rPr>
  </w:style>
  <w:style w:type="paragraph" w:customStyle="1" w:styleId="795">
    <w:name w:val="五级条标题"/>
    <w:basedOn w:val="796"/>
    <w:next w:val="641"/>
    <w:autoRedefine/>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autoRedefine/>
    <w:qFormat/>
    <w:uiPriority w:val="0"/>
    <w:pPr>
      <w:tabs>
        <w:tab w:val="left" w:pos="2940"/>
        <w:tab w:val="clear" w:pos="2520"/>
      </w:tabs>
      <w:ind w:left="2940"/>
      <w:outlineLvl w:val="5"/>
    </w:pPr>
  </w:style>
  <w:style w:type="paragraph" w:customStyle="1" w:styleId="797">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autoRedefine/>
    <w:qFormat/>
    <w:uiPriority w:val="0"/>
    <w:rPr>
      <w:rFonts w:ascii="仿宋_GB2312" w:eastAsia="仿宋_GB2312"/>
      <w:b/>
      <w:sz w:val="32"/>
      <w:szCs w:val="32"/>
    </w:rPr>
  </w:style>
  <w:style w:type="paragraph" w:customStyle="1" w:styleId="799">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autoRedefine/>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3">
    <w:name w:val="单元格左对齐"/>
    <w:basedOn w:val="1"/>
    <w:autoRedefine/>
    <w:qFormat/>
    <w:uiPriority w:val="0"/>
    <w:pPr>
      <w:adjustRightInd/>
      <w:spacing w:line="360" w:lineRule="auto"/>
    </w:pPr>
    <w:rPr>
      <w:sz w:val="24"/>
    </w:rPr>
  </w:style>
  <w:style w:type="paragraph" w:customStyle="1" w:styleId="804">
    <w:name w:val="正文主体"/>
    <w:basedOn w:val="625"/>
    <w:autoRedefine/>
    <w:qFormat/>
    <w:uiPriority w:val="0"/>
  </w:style>
  <w:style w:type="paragraph" w:customStyle="1" w:styleId="805">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autoRedefine/>
    <w:qFormat/>
    <w:uiPriority w:val="0"/>
    <w:pPr>
      <w:adjustRightInd/>
      <w:spacing w:line="360" w:lineRule="auto"/>
      <w:ind w:firstLine="480" w:firstLineChars="200"/>
    </w:pPr>
    <w:rPr>
      <w:sz w:val="24"/>
      <w:szCs w:val="20"/>
    </w:rPr>
  </w:style>
  <w:style w:type="paragraph" w:customStyle="1" w:styleId="809">
    <w:name w:val="P1"/>
    <w:basedOn w:val="1"/>
    <w:autoRedefine/>
    <w:qFormat/>
    <w:uiPriority w:val="0"/>
    <w:pPr>
      <w:adjustRightInd/>
      <w:spacing w:line="288" w:lineRule="auto"/>
      <w:ind w:firstLine="425" w:firstLineChars="200"/>
    </w:pPr>
  </w:style>
  <w:style w:type="paragraph" w:customStyle="1" w:styleId="810">
    <w:name w:val="列表内容"/>
    <w:basedOn w:val="1"/>
    <w:next w:val="1"/>
    <w:autoRedefine/>
    <w:qFormat/>
    <w:uiPriority w:val="0"/>
    <w:pPr>
      <w:widowControl/>
      <w:tabs>
        <w:tab w:val="left" w:pos="840"/>
      </w:tabs>
      <w:ind w:left="840" w:hanging="420"/>
      <w:jc w:val="left"/>
    </w:pPr>
    <w:rPr>
      <w:kern w:val="0"/>
      <w:sz w:val="18"/>
    </w:rPr>
  </w:style>
  <w:style w:type="paragraph" w:customStyle="1" w:styleId="811">
    <w:name w:val="Char Char11 Char Char Char1"/>
    <w:basedOn w:val="1"/>
    <w:autoRedefine/>
    <w:qFormat/>
    <w:uiPriority w:val="6"/>
    <w:pPr>
      <w:spacing w:line="360" w:lineRule="auto"/>
    </w:pPr>
    <w:rPr>
      <w:szCs w:val="20"/>
    </w:rPr>
  </w:style>
  <w:style w:type="paragraph" w:customStyle="1" w:styleId="812">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3">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autoRedefine/>
    <w:qFormat/>
    <w:uiPriority w:val="0"/>
    <w:pPr>
      <w:spacing w:line="360" w:lineRule="auto"/>
    </w:pPr>
    <w:rPr>
      <w:szCs w:val="20"/>
    </w:rPr>
  </w:style>
  <w:style w:type="paragraph" w:customStyle="1" w:styleId="818">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autoRedefine/>
    <w:qFormat/>
    <w:uiPriority w:val="0"/>
    <w:rPr>
      <w:rFonts w:ascii="仿宋_GB2312" w:eastAsia="仿宋_GB2312"/>
      <w:b/>
      <w:sz w:val="32"/>
      <w:szCs w:val="32"/>
    </w:rPr>
  </w:style>
  <w:style w:type="paragraph" w:customStyle="1" w:styleId="821">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4">
    <w:name w:val="Char Char4 Char Char"/>
    <w:basedOn w:val="1"/>
    <w:autoRedefine/>
    <w:qFormat/>
    <w:uiPriority w:val="0"/>
    <w:pPr>
      <w:widowControl/>
      <w:adjustRightInd/>
      <w:spacing w:after="160" w:line="240" w:lineRule="exact"/>
      <w:jc w:val="left"/>
    </w:pPr>
  </w:style>
  <w:style w:type="paragraph" w:customStyle="1" w:styleId="825">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autoRedefine/>
    <w:qFormat/>
    <w:uiPriority w:val="0"/>
    <w:pPr>
      <w:spacing w:line="360" w:lineRule="auto"/>
    </w:pPr>
    <w:rPr>
      <w:szCs w:val="20"/>
    </w:rPr>
  </w:style>
  <w:style w:type="paragraph" w:customStyle="1" w:styleId="827">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9"/>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autoRedefine/>
    <w:qFormat/>
    <w:uiPriority w:val="0"/>
    <w:pPr>
      <w:adjustRightInd/>
      <w:ind w:firstLine="200" w:firstLineChars="200"/>
    </w:pPr>
    <w:rPr>
      <w:rFonts w:ascii="Tahoma" w:hAnsi="Tahoma"/>
      <w:sz w:val="24"/>
      <w:szCs w:val="20"/>
    </w:rPr>
  </w:style>
  <w:style w:type="paragraph" w:customStyle="1" w:styleId="834">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autoRedefine/>
    <w:qFormat/>
    <w:uiPriority w:val="0"/>
    <w:pPr>
      <w:tabs>
        <w:tab w:val="left" w:pos="0"/>
      </w:tabs>
      <w:ind w:left="900" w:firstLine="0" w:firstLineChars="0"/>
    </w:pPr>
  </w:style>
  <w:style w:type="paragraph" w:customStyle="1" w:styleId="837">
    <w:name w:val="Bulleted List"/>
    <w:basedOn w:val="1"/>
    <w:autoRedefine/>
    <w:qFormat/>
    <w:uiPriority w:val="0"/>
    <w:pPr>
      <w:tabs>
        <w:tab w:val="left" w:pos="1260"/>
      </w:tabs>
      <w:adjustRightInd/>
      <w:ind w:left="1260" w:hanging="420"/>
    </w:pPr>
  </w:style>
  <w:style w:type="paragraph" w:customStyle="1" w:styleId="838">
    <w:name w:val="样式 正文文本缩进 2 + 仿宋_GB2312 黑色 行距: 1.5 倍行距"/>
    <w:basedOn w:val="39"/>
    <w:autoRedefine/>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autoRedefine/>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autoRedefine/>
    <w:qFormat/>
    <w:uiPriority w:val="0"/>
    <w:rPr>
      <w:rFonts w:ascii="Tahoma" w:hAnsi="Tahoma" w:cs="仿宋_GB2312"/>
      <w:sz w:val="24"/>
      <w:szCs w:val="20"/>
    </w:rPr>
  </w:style>
  <w:style w:type="paragraph" w:customStyle="1" w:styleId="841">
    <w:name w:val="正文1"/>
    <w:basedOn w:val="34"/>
    <w:autoRedefine/>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6"/>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autoRedefine/>
    <w:qFormat/>
    <w:uiPriority w:val="0"/>
    <w:rPr>
      <w:rFonts w:ascii="仿宋_GB2312" w:eastAsia="仿宋_GB2312"/>
      <w:b/>
      <w:sz w:val="32"/>
      <w:szCs w:val="20"/>
    </w:rPr>
  </w:style>
  <w:style w:type="paragraph" w:customStyle="1" w:styleId="84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autoRedefine/>
    <w:qFormat/>
    <w:uiPriority w:val="0"/>
    <w:rPr>
      <w:rFonts w:ascii="仿宋_GB2312" w:eastAsia="仿宋_GB2312"/>
      <w:b/>
      <w:sz w:val="32"/>
      <w:szCs w:val="20"/>
    </w:rPr>
  </w:style>
  <w:style w:type="paragraph" w:customStyle="1" w:styleId="848">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0">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5">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autoRedefine/>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7"/>
    <w:autoRedefine/>
    <w:qFormat/>
    <w:uiPriority w:val="0"/>
    <w:pPr>
      <w:snapToGrid w:val="0"/>
      <w:ind w:left="0" w:firstLine="0"/>
      <w:jc w:val="left"/>
    </w:pPr>
    <w:rPr>
      <w:rFonts w:eastAsia="黑体" w:cs="宋体"/>
      <w:sz w:val="28"/>
      <w:szCs w:val="20"/>
    </w:rPr>
  </w:style>
  <w:style w:type="paragraph" w:customStyle="1" w:styleId="859">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autoRedefine/>
    <w:qFormat/>
    <w:uiPriority w:val="0"/>
    <w:pPr>
      <w:widowControl/>
      <w:spacing w:after="160" w:line="240" w:lineRule="exact"/>
      <w:jc w:val="left"/>
    </w:pPr>
    <w:rPr>
      <w:rFonts w:eastAsia="仿宋_GB2312"/>
      <w:sz w:val="28"/>
    </w:rPr>
  </w:style>
  <w:style w:type="paragraph" w:customStyle="1" w:styleId="862">
    <w:name w:val="Char21"/>
    <w:basedOn w:val="1"/>
    <w:autoRedefine/>
    <w:qFormat/>
    <w:uiPriority w:val="0"/>
    <w:pPr>
      <w:adjustRightInd/>
      <w:ind w:firstLine="200" w:firstLineChars="200"/>
    </w:pPr>
    <w:rPr>
      <w:rFonts w:ascii="仿宋_GB2312" w:eastAsia="仿宋_GB2312"/>
      <w:b/>
      <w:sz w:val="32"/>
      <w:szCs w:val="32"/>
    </w:rPr>
  </w:style>
  <w:style w:type="paragraph" w:customStyle="1" w:styleId="863">
    <w:name w:val="列表段落1"/>
    <w:basedOn w:val="1"/>
    <w:autoRedefine/>
    <w:qFormat/>
    <w:uiPriority w:val="34"/>
    <w:pPr>
      <w:adjustRightInd/>
      <w:ind w:right="238" w:firstLine="420"/>
    </w:pPr>
    <w:rPr>
      <w:rFonts w:ascii="Calibri" w:hAnsi="Calibri"/>
      <w:sz w:val="24"/>
    </w:rPr>
  </w:style>
  <w:style w:type="paragraph" w:customStyle="1" w:styleId="864">
    <w:name w:val="Char Char110"/>
    <w:basedOn w:val="1"/>
    <w:autoRedefine/>
    <w:qFormat/>
    <w:uiPriority w:val="6"/>
    <w:pPr>
      <w:spacing w:line="360" w:lineRule="auto"/>
    </w:pPr>
    <w:rPr>
      <w:rFonts w:ascii="Tahoma" w:hAnsi="Tahoma"/>
      <w:sz w:val="24"/>
      <w:szCs w:val="20"/>
    </w:rPr>
  </w:style>
  <w:style w:type="paragraph" w:customStyle="1" w:styleId="865">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7">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autoRedefine/>
    <w:qFormat/>
    <w:uiPriority w:val="0"/>
    <w:rPr>
      <w:rFonts w:ascii="Tahoma" w:hAnsi="Tahoma" w:cs="仿宋_GB2312"/>
      <w:sz w:val="24"/>
      <w:szCs w:val="20"/>
    </w:rPr>
  </w:style>
  <w:style w:type="paragraph" w:customStyle="1" w:styleId="870">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8"/>
    <w:autoRedefine/>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4">
    <w:name w:val="_Style 12"/>
    <w:basedOn w:val="21"/>
    <w:autoRedefine/>
    <w:qFormat/>
    <w:uiPriority w:val="0"/>
    <w:pPr>
      <w:snapToGrid w:val="0"/>
      <w:spacing w:line="360" w:lineRule="auto"/>
    </w:pPr>
  </w:style>
  <w:style w:type="paragraph" w:customStyle="1" w:styleId="875">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autoRedefine/>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autoRedefine/>
    <w:qFormat/>
    <w:uiPriority w:val="0"/>
    <w:pPr>
      <w:outlineLvl w:val="2"/>
    </w:pPr>
  </w:style>
  <w:style w:type="paragraph" w:customStyle="1" w:styleId="882">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autoRedefine/>
    <w:qFormat/>
    <w:uiPriority w:val="0"/>
    <w:pPr>
      <w:adjustRightInd/>
      <w:ind w:firstLine="200" w:firstLineChars="200"/>
    </w:pPr>
    <w:rPr>
      <w:rFonts w:ascii="Tahoma" w:hAnsi="Tahoma"/>
      <w:sz w:val="24"/>
      <w:szCs w:val="20"/>
    </w:rPr>
  </w:style>
  <w:style w:type="paragraph" w:customStyle="1" w:styleId="884">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5">
    <w:name w:val="MM Empty"/>
    <w:basedOn w:val="1"/>
    <w:autoRedefine/>
    <w:qFormat/>
    <w:uiPriority w:val="0"/>
    <w:pPr>
      <w:adjustRightInd/>
    </w:pPr>
  </w:style>
  <w:style w:type="paragraph" w:customStyle="1" w:styleId="886">
    <w:name w:val="Char24"/>
    <w:basedOn w:val="1"/>
    <w:autoRedefine/>
    <w:qFormat/>
    <w:uiPriority w:val="0"/>
    <w:rPr>
      <w:rFonts w:ascii="仿宋_GB2312" w:eastAsia="仿宋_GB2312"/>
      <w:b/>
      <w:sz w:val="32"/>
      <w:szCs w:val="32"/>
    </w:rPr>
  </w:style>
  <w:style w:type="paragraph" w:customStyle="1" w:styleId="887">
    <w:name w:val="正文箭头"/>
    <w:basedOn w:val="539"/>
    <w:autoRedefine/>
    <w:qFormat/>
    <w:uiPriority w:val="0"/>
  </w:style>
  <w:style w:type="paragraph" w:customStyle="1" w:styleId="888">
    <w:name w:val="U_编号2"/>
    <w:basedOn w:val="1"/>
    <w:autoRedefine/>
    <w:qFormat/>
    <w:uiPriority w:val="0"/>
    <w:pPr>
      <w:tabs>
        <w:tab w:val="left" w:pos="785"/>
      </w:tabs>
      <w:adjustRightInd/>
      <w:spacing w:beforeLines="10" w:afterLines="10" w:line="300" w:lineRule="auto"/>
    </w:pPr>
    <w:rPr>
      <w:sz w:val="24"/>
    </w:rPr>
  </w:style>
  <w:style w:type="paragraph" w:customStyle="1" w:styleId="889">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7"/>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5"/>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autoRedefine/>
    <w:qFormat/>
    <w:uiPriority w:val="34"/>
    <w:pPr>
      <w:adjustRightInd/>
      <w:ind w:firstLine="420" w:firstLineChars="200"/>
    </w:pPr>
    <w:rPr>
      <w:rFonts w:eastAsia="仿宋_GB2312"/>
      <w:sz w:val="28"/>
    </w:rPr>
  </w:style>
  <w:style w:type="paragraph" w:customStyle="1" w:styleId="894">
    <w:name w:val="表格 内容"/>
    <w:basedOn w:val="730"/>
    <w:autoRedefine/>
    <w:qFormat/>
    <w:uiPriority w:val="0"/>
    <w:rPr>
      <w:b w:val="0"/>
      <w:sz w:val="20"/>
    </w:rPr>
  </w:style>
  <w:style w:type="paragraph" w:customStyle="1" w:styleId="895">
    <w:name w:val="正文首行缩进1"/>
    <w:basedOn w:val="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10"/>
    <w:next w:val="1"/>
    <w:autoRedefine/>
    <w:qFormat/>
    <w:uiPriority w:val="0"/>
    <w:pPr>
      <w:tabs>
        <w:tab w:val="left" w:pos="1080"/>
      </w:tabs>
      <w:ind w:left="1080" w:hanging="1080"/>
    </w:pPr>
  </w:style>
  <w:style w:type="paragraph" w:customStyle="1" w:styleId="898">
    <w:name w:val="数字标题1"/>
    <w:basedOn w:val="5"/>
    <w:next w:val="1"/>
    <w:autoRedefine/>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0">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autoRedefine/>
    <w:qFormat/>
    <w:uiPriority w:val="0"/>
    <w:pPr>
      <w:widowControl/>
    </w:pPr>
    <w:rPr>
      <w:kern w:val="0"/>
      <w:sz w:val="24"/>
      <w:szCs w:val="20"/>
    </w:rPr>
  </w:style>
  <w:style w:type="paragraph" w:customStyle="1" w:styleId="906">
    <w:name w:val="Char Char113"/>
    <w:basedOn w:val="1"/>
    <w:autoRedefine/>
    <w:qFormat/>
    <w:uiPriority w:val="0"/>
    <w:pPr>
      <w:widowControl/>
      <w:spacing w:after="160" w:line="240" w:lineRule="exact"/>
      <w:jc w:val="left"/>
    </w:pPr>
    <w:rPr>
      <w:rFonts w:eastAsia="仿宋_GB2312"/>
      <w:sz w:val="28"/>
    </w:rPr>
  </w:style>
  <w:style w:type="paragraph" w:customStyle="1" w:styleId="907">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autoRedefine/>
    <w:qFormat/>
    <w:uiPriority w:val="34"/>
    <w:pPr>
      <w:adjustRightInd/>
      <w:ind w:firstLine="420" w:firstLineChars="200"/>
    </w:pPr>
    <w:rPr>
      <w:rFonts w:eastAsia="仿宋_GB2312"/>
      <w:sz w:val="28"/>
    </w:rPr>
  </w:style>
  <w:style w:type="paragraph" w:customStyle="1" w:styleId="909">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1">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autoRedefine/>
    <w:qFormat/>
    <w:uiPriority w:val="6"/>
    <w:pPr>
      <w:widowControl/>
      <w:spacing w:after="160" w:line="240" w:lineRule="exact"/>
      <w:jc w:val="left"/>
    </w:pPr>
    <w:rPr>
      <w:rFonts w:eastAsia="仿宋_GB2312"/>
      <w:sz w:val="28"/>
    </w:rPr>
  </w:style>
  <w:style w:type="paragraph" w:customStyle="1" w:styleId="915">
    <w:name w:val="正文 图"/>
    <w:basedOn w:val="444"/>
    <w:autoRedefine/>
    <w:qFormat/>
    <w:uiPriority w:val="0"/>
    <w:pPr>
      <w:adjustRightInd/>
      <w:spacing w:before="0"/>
      <w:ind w:firstLine="0"/>
      <w:jc w:val="center"/>
    </w:pPr>
    <w:rPr>
      <w:rFonts w:ascii="微软雅黑" w:hAnsi="微软雅黑"/>
    </w:rPr>
  </w:style>
  <w:style w:type="paragraph" w:customStyle="1" w:styleId="916">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autoRedefine/>
    <w:qFormat/>
    <w:uiPriority w:val="0"/>
    <w:pPr>
      <w:ind w:left="0"/>
    </w:pPr>
  </w:style>
  <w:style w:type="paragraph" w:customStyle="1" w:styleId="919">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autoRedefine/>
    <w:qFormat/>
    <w:uiPriority w:val="0"/>
    <w:pPr>
      <w:adjustRightInd/>
      <w:spacing w:line="360" w:lineRule="auto"/>
      <w:ind w:firstLine="480"/>
    </w:pPr>
    <w:rPr>
      <w:sz w:val="24"/>
    </w:rPr>
  </w:style>
  <w:style w:type="table" w:customStyle="1" w:styleId="922">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autoRedefine/>
    <w:qFormat/>
    <w:uiPriority w:val="34"/>
    <w:pPr>
      <w:ind w:firstLine="420" w:firstLineChars="200"/>
    </w:pPr>
  </w:style>
  <w:style w:type="character" w:customStyle="1" w:styleId="929">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autoRedefine/>
    <w:qFormat/>
    <w:uiPriority w:val="0"/>
    <w:rPr>
      <w:rFonts w:ascii="宋体" w:eastAsia="宋体"/>
      <w:snapToGrid w:val="0"/>
      <w:color w:val="000000"/>
      <w:kern w:val="28"/>
      <w:sz w:val="28"/>
      <w:lang w:val="en-US" w:eastAsia="zh-CN" w:bidi="ar-SA"/>
    </w:rPr>
  </w:style>
  <w:style w:type="character" w:customStyle="1" w:styleId="931">
    <w:name w:val="页脚 字符1"/>
    <w:autoRedefine/>
    <w:qFormat/>
    <w:locked/>
    <w:uiPriority w:val="99"/>
    <w:rPr>
      <w:kern w:val="2"/>
      <w:sz w:val="18"/>
      <w:szCs w:val="18"/>
    </w:rPr>
  </w:style>
  <w:style w:type="character" w:customStyle="1" w:styleId="932">
    <w:name w:val="页眉 字符1"/>
    <w:autoRedefine/>
    <w:qFormat/>
    <w:uiPriority w:val="99"/>
    <w:rPr>
      <w:kern w:val="2"/>
      <w:sz w:val="18"/>
      <w:szCs w:val="18"/>
    </w:rPr>
  </w:style>
  <w:style w:type="character" w:customStyle="1" w:styleId="933">
    <w:name w:val="尾注文本 字符"/>
    <w:link w:val="40"/>
    <w:autoRedefine/>
    <w:qFormat/>
    <w:uiPriority w:val="0"/>
    <w:rPr>
      <w:kern w:val="2"/>
      <w:sz w:val="21"/>
      <w:szCs w:val="24"/>
      <w:lang w:val="zh-CN"/>
    </w:rPr>
  </w:style>
  <w:style w:type="character" w:customStyle="1" w:styleId="934">
    <w:name w:val="无间隔 字符"/>
    <w:link w:val="484"/>
    <w:autoRedefine/>
    <w:qFormat/>
    <w:uiPriority w:val="99"/>
    <w:rPr>
      <w:kern w:val="2"/>
      <w:sz w:val="21"/>
      <w:szCs w:val="22"/>
    </w:rPr>
  </w:style>
  <w:style w:type="character" w:customStyle="1" w:styleId="935">
    <w:name w:val="标准文本 Char Char"/>
    <w:link w:val="936"/>
    <w:autoRedefine/>
    <w:qFormat/>
    <w:uiPriority w:val="0"/>
    <w:rPr>
      <w:rFonts w:cs="宋体"/>
      <w:kern w:val="2"/>
      <w:sz w:val="24"/>
    </w:rPr>
  </w:style>
  <w:style w:type="paragraph" w:customStyle="1" w:styleId="936">
    <w:name w:val="标准文本"/>
    <w:basedOn w:val="1"/>
    <w:link w:val="935"/>
    <w:autoRedefine/>
    <w:qFormat/>
    <w:uiPriority w:val="0"/>
    <w:pPr>
      <w:adjustRightInd/>
      <w:spacing w:line="360" w:lineRule="auto"/>
      <w:ind w:firstLine="480" w:firstLineChars="200"/>
    </w:pPr>
    <w:rPr>
      <w:rFonts w:cs="宋体"/>
      <w:sz w:val="24"/>
      <w:szCs w:val="20"/>
    </w:rPr>
  </w:style>
  <w:style w:type="character" w:customStyle="1" w:styleId="937">
    <w:name w:val="Char Char213"/>
    <w:autoRedefine/>
    <w:qFormat/>
    <w:uiPriority w:val="0"/>
    <w:rPr>
      <w:rFonts w:eastAsia="Century Gothic"/>
      <w:b/>
      <w:bCs/>
      <w:kern w:val="44"/>
      <w:sz w:val="32"/>
      <w:szCs w:val="44"/>
      <w:lang w:val="en-US" w:eastAsia="zh-CN" w:bidi="ar-SA"/>
    </w:rPr>
  </w:style>
  <w:style w:type="character" w:customStyle="1" w:styleId="938">
    <w:name w:val="apple-style-span"/>
    <w:autoRedefine/>
    <w:qFormat/>
    <w:uiPriority w:val="0"/>
    <w:rPr>
      <w:rFonts w:ascii="Arial" w:hAnsi="Arial" w:eastAsia="黑体" w:cs="Arial"/>
      <w:snapToGrid w:val="0"/>
      <w:kern w:val="0"/>
      <w:szCs w:val="21"/>
    </w:rPr>
  </w:style>
  <w:style w:type="character" w:customStyle="1" w:styleId="939">
    <w:name w:val="15"/>
    <w:autoRedefine/>
    <w:qFormat/>
    <w:uiPriority w:val="0"/>
    <w:rPr>
      <w:rFonts w:hint="default" w:ascii="Calibri" w:hAnsi="Calibri"/>
      <w:color w:val="0000FF"/>
      <w:u w:val="single"/>
    </w:rPr>
  </w:style>
  <w:style w:type="character" w:customStyle="1" w:styleId="940">
    <w:name w:val="16"/>
    <w:autoRedefine/>
    <w:qFormat/>
    <w:uiPriority w:val="0"/>
    <w:rPr>
      <w:rFonts w:hint="eastAsia" w:ascii="宋体" w:hAnsi="宋体" w:eastAsia="宋体"/>
      <w:color w:val="000000"/>
      <w:sz w:val="20"/>
      <w:szCs w:val="20"/>
    </w:rPr>
  </w:style>
  <w:style w:type="character" w:customStyle="1" w:styleId="941">
    <w:name w:val="edui-unclickable"/>
    <w:autoRedefine/>
    <w:qFormat/>
    <w:uiPriority w:val="0"/>
    <w:rPr>
      <w:color w:val="808080"/>
    </w:rPr>
  </w:style>
  <w:style w:type="character" w:customStyle="1" w:styleId="942">
    <w:name w:val="tpc_content1"/>
    <w:autoRedefine/>
    <w:qFormat/>
    <w:uiPriority w:val="0"/>
    <w:rPr>
      <w:sz w:val="20"/>
      <w:szCs w:val="20"/>
    </w:rPr>
  </w:style>
  <w:style w:type="character" w:customStyle="1" w:styleId="943">
    <w:name w:val="正文文本缩进 字符"/>
    <w:autoRedefine/>
    <w:qFormat/>
    <w:uiPriority w:val="0"/>
    <w:rPr>
      <w:rFonts w:ascii="Century Gothic" w:hAnsi="Century Gothic" w:eastAsia="Century Gothic"/>
      <w:kern w:val="2"/>
      <w:sz w:val="24"/>
      <w:lang w:val="en-US" w:eastAsia="zh-CN" w:bidi="ar-SA"/>
    </w:rPr>
  </w:style>
  <w:style w:type="character" w:customStyle="1" w:styleId="944">
    <w:name w:val="正文文本 2 字符"/>
    <w:autoRedefine/>
    <w:qFormat/>
    <w:uiPriority w:val="0"/>
    <w:rPr>
      <w:rFonts w:ascii="Arial" w:hAnsi="Arial" w:eastAsia="宋体"/>
      <w:kern w:val="2"/>
      <w:sz w:val="24"/>
      <w:szCs w:val="24"/>
      <w:lang w:val="en-US" w:eastAsia="zh-CN" w:bidi="ar-SA"/>
    </w:rPr>
  </w:style>
  <w:style w:type="character" w:customStyle="1" w:styleId="945">
    <w:name w:val="edui-clickable2"/>
    <w:autoRedefine/>
    <w:qFormat/>
    <w:uiPriority w:val="0"/>
    <w:rPr>
      <w:color w:val="0000FF"/>
      <w:u w:val="single"/>
    </w:rPr>
  </w:style>
  <w:style w:type="character" w:customStyle="1" w:styleId="946">
    <w:name w:val="style1"/>
    <w:autoRedefine/>
    <w:qFormat/>
    <w:uiPriority w:val="0"/>
    <w:rPr>
      <w:rFonts w:ascii="Arial" w:hAnsi="Arial" w:eastAsia="黑体" w:cs="Arial"/>
      <w:snapToGrid w:val="0"/>
      <w:kern w:val="0"/>
      <w:szCs w:val="21"/>
    </w:rPr>
  </w:style>
  <w:style w:type="character" w:customStyle="1" w:styleId="947">
    <w:name w:val="zbggtop11 style5"/>
    <w:autoRedefine/>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9">
    <w:name w:val="bulletintext1"/>
    <w:autoRedefine/>
    <w:qFormat/>
    <w:uiPriority w:val="0"/>
    <w:rPr>
      <w:color w:val="000000"/>
      <w:sz w:val="18"/>
    </w:rPr>
  </w:style>
  <w:style w:type="paragraph" w:customStyle="1" w:styleId="950">
    <w:name w:val="_Style 947"/>
    <w:basedOn w:val="1"/>
    <w:next w:val="259"/>
    <w:autoRedefine/>
    <w:qFormat/>
    <w:uiPriority w:val="34"/>
    <w:pPr>
      <w:adjustRightInd/>
      <w:ind w:firstLine="420" w:firstLineChars="200"/>
    </w:pPr>
  </w:style>
  <w:style w:type="paragraph" w:customStyle="1" w:styleId="951">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3">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6"/>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7">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autoRedefine/>
    <w:qFormat/>
    <w:uiPriority w:val="0"/>
    <w:pPr>
      <w:adjustRightInd/>
      <w:jc w:val="left"/>
    </w:pPr>
    <w:rPr>
      <w:rFonts w:ascii="Calibri" w:hAnsi="Calibri"/>
      <w:kern w:val="0"/>
      <w:sz w:val="22"/>
      <w:szCs w:val="22"/>
      <w:lang w:eastAsia="en-US"/>
    </w:rPr>
  </w:style>
  <w:style w:type="paragraph" w:customStyle="1" w:styleId="959">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autoRedefine/>
    <w:qFormat/>
    <w:uiPriority w:val="0"/>
    <w:rPr>
      <w:color w:val="000000"/>
      <w:shd w:val="clear" w:color="auto" w:fill="EFD200"/>
    </w:rPr>
  </w:style>
  <w:style w:type="character" w:customStyle="1" w:styleId="963">
    <w:name w:val="font71"/>
    <w:autoRedefine/>
    <w:qFormat/>
    <w:uiPriority w:val="0"/>
    <w:rPr>
      <w:rFonts w:hint="eastAsia" w:ascii="宋体" w:hAnsi="宋体" w:eastAsia="宋体" w:cs="宋体"/>
      <w:color w:val="000000"/>
      <w:sz w:val="22"/>
      <w:szCs w:val="22"/>
      <w:u w:val="none"/>
    </w:rPr>
  </w:style>
  <w:style w:type="character" w:customStyle="1" w:styleId="964">
    <w:name w:val="font91"/>
    <w:autoRedefine/>
    <w:qFormat/>
    <w:uiPriority w:val="0"/>
    <w:rPr>
      <w:rFonts w:hint="eastAsia" w:ascii="仿宋" w:hAnsi="仿宋" w:eastAsia="仿宋" w:cs="仿宋"/>
      <w:color w:val="000000"/>
      <w:sz w:val="22"/>
      <w:szCs w:val="22"/>
      <w:u w:val="none"/>
    </w:rPr>
  </w:style>
  <w:style w:type="paragraph" w:customStyle="1" w:styleId="965">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纯文本3"/>
    <w:basedOn w:val="1"/>
    <w:autoRedefine/>
    <w:qFormat/>
    <w:uiPriority w:val="0"/>
    <w:pPr>
      <w:adjustRightInd/>
      <w:snapToGrid w:val="0"/>
      <w:jc w:val="left"/>
    </w:pPr>
    <w:rPr>
      <w:rFonts w:ascii="Century Gothic" w:hAnsi="楷体_GB2312" w:eastAsia="Century Gothic"/>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4" Type="http://schemas.openxmlformats.org/officeDocument/2006/relationships/fontTable" Target="fontTable.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theme" Target="theme/theme1.xml"/><Relationship Id="rId30" Type="http://schemas.openxmlformats.org/officeDocument/2006/relationships/footer" Target="footer16.xml"/><Relationship Id="rId3" Type="http://schemas.openxmlformats.org/officeDocument/2006/relationships/header" Target="header1.xml"/><Relationship Id="rId29" Type="http://schemas.openxmlformats.org/officeDocument/2006/relationships/footer" Target="footer15.xml"/><Relationship Id="rId28" Type="http://schemas.openxmlformats.org/officeDocument/2006/relationships/footer" Target="footer14.xml"/><Relationship Id="rId27" Type="http://schemas.openxmlformats.org/officeDocument/2006/relationships/header" Target="header12.xml"/><Relationship Id="rId26" Type="http://schemas.openxmlformats.org/officeDocument/2006/relationships/header" Target="header11.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91</Pages>
  <Words>17176</Words>
  <Characters>18348</Characters>
  <Lines>380</Lines>
  <Paragraphs>107</Paragraphs>
  <TotalTime>235</TotalTime>
  <ScaleCrop>false</ScaleCrop>
  <LinksUpToDate>false</LinksUpToDate>
  <CharactersWithSpaces>18842</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2021-08-01T16:22:00Z</dcterms:created>
  <dc:creator>玥</dc:creator>
  <cp:lastModifiedBy>Mr·唐</cp:lastModifiedBy>
  <cp:lastPrinted>2021-12-29T19:06:00Z</cp:lastPrinted>
  <dcterms:modified xsi:type="dcterms:W3CDTF">2025-04-11T07:54:18Z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DFF4308EECB744948B6499A2E78FC5DC_13</vt:lpwstr>
  </property>
  <property fmtid="{D5CDD505-2E9C-101B-9397-08002B2CF9AE}" pid="5" name="KSOTemplateDocerSaveRecord">
    <vt:lpwstr>eyJoZGlkIjoiNTNiNTkxYzcxMTE1ZmNjYjc2NGQ3ZDY5NDlhMWRjZDcifQ==</vt:lpwstr>
  </property>
</Properties>
</file>