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5AFF">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69D4BC9">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p>
    <w:p w14:paraId="79C451D1">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杭州西站枢纽区域序化管理服务项目</w:t>
      </w:r>
    </w:p>
    <w:p w14:paraId="28F54F66">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1B2BDCED">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73289505">
      <w:pPr>
        <w:snapToGrid w:val="0"/>
        <w:spacing w:line="360" w:lineRule="auto"/>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14:textFill>
            <w14:solidFill>
              <w14:schemeClr w14:val="tx1"/>
            </w14:solidFill>
          </w14:textFill>
        </w:rPr>
        <w:t>编号:（</w:t>
      </w:r>
      <w:r>
        <w:rPr>
          <w:rFonts w:hint="eastAsia" w:ascii="仿宋" w:hAnsi="仿宋" w:eastAsia="仿宋" w:cs="仿宋_GB2312"/>
          <w:b/>
          <w:color w:val="000000" w:themeColor="text1"/>
          <w:sz w:val="32"/>
          <w:szCs w:val="32"/>
          <w:highlight w:val="none"/>
          <w:lang w:eastAsia="zh-CN"/>
          <w14:textFill>
            <w14:solidFill>
              <w14:schemeClr w14:val="tx1"/>
            </w14:solidFill>
          </w14:textFill>
        </w:rPr>
        <w:t>TYZFCG2025-002</w:t>
      </w:r>
      <w:r>
        <w:rPr>
          <w:rFonts w:hint="eastAsia" w:ascii="仿宋" w:hAnsi="仿宋" w:eastAsia="仿宋" w:cs="仿宋_GB2312"/>
          <w:b/>
          <w:color w:val="000000" w:themeColor="text1"/>
          <w:sz w:val="32"/>
          <w:szCs w:val="32"/>
          <w:highlight w:val="none"/>
          <w14:textFill>
            <w14:solidFill>
              <w14:schemeClr w14:val="tx1"/>
            </w14:solidFill>
          </w14:textFill>
        </w:rPr>
        <w:t>）</w:t>
      </w:r>
    </w:p>
    <w:p w14:paraId="53CB5899">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3E4899C9">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30981C91">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r>
        <w:rPr>
          <w:rFonts w:ascii="仿宋" w:hAnsi="仿宋" w:eastAsia="仿宋" w:cs="仿宋_GB2312"/>
          <w:color w:val="000000" w:themeColor="text1"/>
          <w:sz w:val="28"/>
          <w:szCs w:val="20"/>
          <w:highlight w:val="none"/>
          <w14:textFill>
            <w14:solidFill>
              <w14:schemeClr w14:val="tx1"/>
            </w14:solidFill>
          </w14:textFill>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169032DD">
      <w:pPr>
        <w:spacing w:line="360" w:lineRule="auto"/>
        <w:jc w:val="center"/>
        <w:rPr>
          <w:rFonts w:ascii="仿宋" w:hAnsi="仿宋" w:eastAsia="仿宋" w:cs="宋体"/>
          <w:b/>
          <w:color w:val="000000" w:themeColor="text1"/>
          <w:sz w:val="44"/>
          <w:szCs w:val="44"/>
          <w:highlight w:val="none"/>
          <w14:textFill>
            <w14:solidFill>
              <w14:schemeClr w14:val="tx1"/>
            </w14:solidFill>
          </w14:textFill>
        </w:rPr>
      </w:pPr>
    </w:p>
    <w:p w14:paraId="5CD8D891">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14:paraId="025AE444">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23CE568E">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69CF7EE9">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p>
    <w:p w14:paraId="205199B2">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杭州西站枢纽管理委员会</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3DE4453F">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采购代理机构：天阳建设管理有限公司</w:t>
      </w:r>
    </w:p>
    <w:p w14:paraId="0A586F54">
      <w:pPr>
        <w:snapToGrid w:val="0"/>
        <w:spacing w:line="360" w:lineRule="auto"/>
        <w:jc w:val="center"/>
        <w:rPr>
          <w:rFonts w:ascii="仿宋" w:hAnsi="仿宋" w:eastAsia="仿宋" w:cs="仿宋_GB2312"/>
          <w:bCs/>
          <w:color w:val="000000" w:themeColor="text1"/>
          <w:sz w:val="32"/>
          <w:szCs w:val="32"/>
          <w:highlight w:val="yellow"/>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五</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十六</w:t>
      </w:r>
      <w:r>
        <w:rPr>
          <w:rFonts w:hint="eastAsia" w:ascii="仿宋" w:hAnsi="仿宋" w:eastAsia="仿宋" w:cs="仿宋_GB2312"/>
          <w:bCs/>
          <w:color w:val="000000" w:themeColor="text1"/>
          <w:sz w:val="32"/>
          <w:szCs w:val="32"/>
          <w:highlight w:val="none"/>
          <w14:textFill>
            <w14:solidFill>
              <w14:schemeClr w14:val="tx1"/>
            </w14:solidFill>
          </w14:textFill>
        </w:rPr>
        <w:t>日</w:t>
      </w:r>
    </w:p>
    <w:p w14:paraId="0D713731">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6BB77AC0">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6E40AE25">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5BF4F164">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3C3B3CD9">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463AAAF0">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496CF2BE">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0F10E3B4">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26E6921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38E64654">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7650431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0DB1D40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BDBDE6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4F0BFA2">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91274A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138FED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0C3318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80270F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019A87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415AF74">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8ED8D73">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4C0C5775">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AB18A9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80B8E3B">
      <w:pPr>
        <w:spacing w:line="360" w:lineRule="auto"/>
        <w:rPr>
          <w:rFonts w:ascii="仿宋" w:hAnsi="仿宋" w:eastAsia="仿宋" w:cs="宋体"/>
          <w:color w:val="000000" w:themeColor="text1"/>
          <w:sz w:val="24"/>
          <w:highlight w:val="none"/>
          <w14:textFill>
            <w14:solidFill>
              <w14:schemeClr w14:val="tx1"/>
            </w14:solidFill>
          </w14:textFill>
        </w:rPr>
      </w:pPr>
    </w:p>
    <w:p w14:paraId="2678B8FA">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0A97F7E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56D26A8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仿宋_GB2312"/>
          <w:color w:val="000000" w:themeColor="text1"/>
          <w:sz w:val="24"/>
          <w:highlight w:val="none"/>
          <w:u w:val="single"/>
          <w:lang w:eastAsia="zh-CN"/>
          <w14:textFill>
            <w14:solidFill>
              <w14:schemeClr w14:val="tx1"/>
            </w14:solidFill>
          </w14:textFill>
        </w:rPr>
        <w:t>杭州西站枢纽区域序化管理服务项目</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https://www.zcygov.cn/）获取（下载）招标文件，并于202</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5</w:t>
      </w:r>
      <w:r>
        <w:rPr>
          <w:rStyle w:val="77"/>
          <w:rFonts w:hint="eastAsia" w:ascii="仿宋" w:hAnsi="仿宋" w:eastAsia="仿宋" w:cs="宋体"/>
          <w:color w:val="000000" w:themeColor="text1"/>
          <w:kern w:val="2"/>
          <w:sz w:val="24"/>
          <w:szCs w:val="24"/>
          <w:highlight w:val="none"/>
          <w14:textFill>
            <w14:solidFill>
              <w14:schemeClr w14:val="tx1"/>
            </w14:solidFill>
          </w14:textFill>
        </w:rPr>
        <w:t>年</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2</w:t>
      </w:r>
      <w:r>
        <w:rPr>
          <w:rStyle w:val="77"/>
          <w:rFonts w:hint="eastAsia" w:ascii="仿宋" w:hAnsi="仿宋" w:eastAsia="仿宋" w:cs="宋体"/>
          <w:color w:val="000000" w:themeColor="text1"/>
          <w:kern w:val="2"/>
          <w:sz w:val="24"/>
          <w:szCs w:val="24"/>
          <w:highlight w:val="none"/>
          <w14:textFill>
            <w14:solidFill>
              <w14:schemeClr w14:val="tx1"/>
            </w14:solidFill>
          </w14:textFill>
        </w:rPr>
        <w:t>月</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10</w:t>
      </w:r>
      <w:r>
        <w:rPr>
          <w:rStyle w:val="77"/>
          <w:rFonts w:hint="eastAsia" w:ascii="仿宋" w:hAnsi="仿宋" w:eastAsia="仿宋" w:cs="宋体"/>
          <w:color w:val="000000" w:themeColor="text1"/>
          <w:kern w:val="2"/>
          <w:sz w:val="24"/>
          <w:szCs w:val="24"/>
          <w:highlight w:val="none"/>
          <w14:textFill>
            <w14:solidFill>
              <w14:schemeClr w14:val="tx1"/>
            </w14:solidFill>
          </w14:textFill>
        </w:rPr>
        <w:t>日</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9</w:t>
      </w:r>
      <w:r>
        <w:rPr>
          <w:rStyle w:val="77"/>
          <w:rFonts w:hint="eastAsia" w:ascii="仿宋" w:hAnsi="仿宋" w:eastAsia="仿宋" w:cs="宋体"/>
          <w:color w:val="000000" w:themeColor="text1"/>
          <w:kern w:val="2"/>
          <w:sz w:val="24"/>
          <w:szCs w:val="24"/>
          <w:highlight w:val="none"/>
          <w14:textFill>
            <w14:solidFill>
              <w14:schemeClr w14:val="tx1"/>
            </w14:solidFill>
          </w14:textFill>
        </w:rPr>
        <w:t>点</w:t>
      </w:r>
      <w:r>
        <w:rPr>
          <w:rStyle w:val="77"/>
          <w:rFonts w:hint="eastAsia" w:ascii="仿宋" w:hAnsi="仿宋" w:eastAsia="仿宋" w:cs="宋体"/>
          <w:color w:val="000000" w:themeColor="text1"/>
          <w:kern w:val="2"/>
          <w:sz w:val="24"/>
          <w:szCs w:val="24"/>
          <w:highlight w:val="none"/>
          <w:lang w:val="en-US" w:eastAsia="zh-CN"/>
          <w14:textFill>
            <w14:solidFill>
              <w14:schemeClr w14:val="tx1"/>
            </w14:solidFill>
          </w14:textFill>
        </w:rPr>
        <w:t>3</w:t>
      </w:r>
      <w:r>
        <w:rPr>
          <w:rStyle w:val="77"/>
          <w:rFonts w:hint="eastAsia" w:ascii="仿宋" w:hAnsi="仿宋" w:eastAsia="仿宋" w:cs="宋体"/>
          <w:color w:val="000000" w:themeColor="text1"/>
          <w:kern w:val="2"/>
          <w:sz w:val="24"/>
          <w:szCs w:val="24"/>
          <w:highlight w:val="none"/>
          <w14:textFill>
            <w14:solidFill>
              <w14:schemeClr w14:val="tx1"/>
            </w14:solidFill>
          </w14:textFill>
        </w:rPr>
        <w:t>0分</w:t>
      </w:r>
      <w:r>
        <w:rPr>
          <w:rStyle w:val="77"/>
          <w:rFonts w:hint="eastAsia" w:ascii="仿宋" w:hAnsi="仿宋" w:eastAsia="仿宋" w:cs="宋体"/>
          <w:bCs/>
          <w:color w:val="000000" w:themeColor="text1"/>
          <w:kern w:val="2"/>
          <w:sz w:val="24"/>
          <w:szCs w:val="24"/>
          <w:highlight w:val="none"/>
          <w14:textFill>
            <w14:solidFill>
              <w14:schemeClr w14:val="tx1"/>
            </w14:solidFill>
          </w14:textFill>
        </w:rPr>
        <w:t>00秒</w:t>
      </w:r>
      <w:r>
        <w:rPr>
          <w:rStyle w:val="77"/>
          <w:rFonts w:hint="eastAsia" w:ascii="仿宋" w:hAnsi="仿宋" w:eastAsia="仿宋" w:cs="宋体"/>
          <w:bCs/>
          <w:color w:val="000000" w:themeColor="text1"/>
          <w:kern w:val="2"/>
          <w:sz w:val="24"/>
          <w:szCs w:val="24"/>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3C2826B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7DA39841">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w:t>
      </w:r>
      <w:r>
        <w:rPr>
          <w:rFonts w:hint="eastAsia" w:ascii="仿宋" w:hAnsi="仿宋" w:eastAsia="仿宋" w:cs="宋体"/>
          <w:color w:val="000000" w:themeColor="text1"/>
          <w:sz w:val="24"/>
          <w:highlight w:val="none"/>
          <w:lang w:eastAsia="zh-CN"/>
          <w14:textFill>
            <w14:solidFill>
              <w14:schemeClr w14:val="tx1"/>
            </w14:solidFill>
          </w14:textFill>
        </w:rPr>
        <w:t>TYZFCG2025-002</w:t>
      </w:r>
    </w:p>
    <w:p w14:paraId="08974B0C">
      <w:pPr>
        <w:spacing w:line="360" w:lineRule="auto"/>
        <w:ind w:firstLine="482"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杭州西站枢纽区域序化管理服务项目</w:t>
      </w:r>
    </w:p>
    <w:p w14:paraId="2E387D9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 w:hAnsi="仿宋" w:eastAsia="仿宋"/>
          <w:b/>
          <w:color w:val="000000" w:themeColor="text1"/>
          <w:sz w:val="24"/>
          <w:highlight w:val="none"/>
          <w:lang w:val="en-US" w:eastAsia="zh-CN"/>
          <w14:textFill>
            <w14:solidFill>
              <w14:schemeClr w14:val="tx1"/>
            </w14:solidFill>
          </w14:textFill>
        </w:rPr>
        <w:t>1800000</w:t>
      </w:r>
    </w:p>
    <w:p w14:paraId="7FB37681">
      <w:pPr>
        <w:spacing w:line="360" w:lineRule="auto"/>
        <w:ind w:firstLine="482" w:firstLineChars="200"/>
        <w:rPr>
          <w:rFonts w:hint="default" w:ascii="仿宋" w:hAnsi="仿宋" w:eastAsia="仿宋" w:cs="宋体"/>
          <w:color w:val="000000" w:themeColor="text1"/>
          <w:sz w:val="24"/>
          <w:highlight w:val="none"/>
          <w:lang w:val="en-US"/>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1800000</w:t>
      </w:r>
    </w:p>
    <w:p w14:paraId="7F48A4A6">
      <w:pPr>
        <w:pStyle w:val="8"/>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杭州西站枢纽区域序化管理服务项目</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s="宋体"/>
          <w:i w:val="0"/>
          <w:iCs w:val="0"/>
          <w:caps w:val="0"/>
          <w:color w:val="000000" w:themeColor="text1"/>
          <w:spacing w:val="0"/>
          <w:sz w:val="24"/>
          <w:szCs w:val="20"/>
          <w:highlight w:val="none"/>
          <w14:textFill>
            <w14:solidFill>
              <w14:schemeClr w14:val="tx1"/>
            </w14:solidFill>
          </w14:textFill>
        </w:rPr>
        <w:t>杭州西站枢纽区域（四至：东至良睦路、南至规划云门大街、西至运溪路、北至规划振华西路）城市秩序管理等综合执法辅助服务工作。</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58D30036">
      <w:pPr>
        <w:pStyle w:val="87"/>
        <w:spacing w:before="0"/>
        <w:ind w:firstLine="482"/>
        <w:outlineLvl w:val="2"/>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w:t>
      </w:r>
      <w:r>
        <w:rPr>
          <w:rFonts w:hint="eastAsia" w:ascii="仿宋" w:hAnsi="仿宋" w:eastAsia="仿宋" w:cs="宋体"/>
          <w:b/>
          <w:color w:val="000000" w:themeColor="text1"/>
          <w:highlight w:val="none"/>
          <w:lang w:val="en-US" w:eastAsia="zh-CN"/>
          <w14:textFill>
            <w14:solidFill>
              <w14:schemeClr w14:val="tx1"/>
            </w14:solidFill>
          </w14:textFill>
        </w:rPr>
        <w:t>详见采购文件</w:t>
      </w:r>
      <w:r>
        <w:rPr>
          <w:rFonts w:hint="eastAsia" w:ascii="仿宋" w:hAnsi="仿宋" w:eastAsia="仿宋" w:cs="宋体"/>
          <w:b/>
          <w:color w:val="000000" w:themeColor="text1"/>
          <w:highlight w:val="none"/>
          <w:lang w:eastAsia="zh-CN"/>
          <w14:textFill>
            <w14:solidFill>
              <w14:schemeClr w14:val="tx1"/>
            </w14:solidFill>
          </w14:textFill>
        </w:rPr>
        <w:t>。</w:t>
      </w:r>
    </w:p>
    <w:p w14:paraId="5BB137EC">
      <w:pPr>
        <w:pStyle w:val="8"/>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4263901F">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402DA83D">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77CDB22E">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0268DBFC">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0588128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495818B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2FAAD6B8">
      <w:pPr>
        <w:spacing w:line="360" w:lineRule="auto"/>
        <w:ind w:firstLine="840" w:firstLineChars="35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619081C0">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服务全部由符合政策要求的小微企业承接，提供中小企业声明函。</w:t>
      </w:r>
    </w:p>
    <w:p w14:paraId="609E810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724038B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47D78DD6">
      <w:pPr>
        <w:numPr>
          <w:ilvl w:val="0"/>
          <w:numId w:val="2"/>
        </w:num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本项目的特定资格要求：</w:t>
      </w:r>
    </w:p>
    <w:p w14:paraId="484532E0">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sdt>
        <w:sdtPr>
          <w:rPr>
            <w:rFonts w:hint="eastAsia" w:ascii="宋体" w:hAnsi="宋体" w:cs="宋体"/>
            <w:color w:val="0000FF"/>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en-US" w:eastAsia="zh-CN"/>
          <w14:textFill>
            <w14:solidFill>
              <w14:schemeClr w14:val="tx1"/>
            </w14:solidFill>
          </w14:textFill>
        </w:rPr>
        <w:t>无。</w:t>
      </w:r>
    </w:p>
    <w:p w14:paraId="34F96938">
      <w:pPr>
        <w:pStyle w:val="3"/>
        <w:numPr>
          <w:ilvl w:val="0"/>
          <w:numId w:val="0"/>
        </w:numPr>
        <w:ind w:firstLine="480" w:firstLineChars="200"/>
        <w:rPr>
          <w:color w:val="000000" w:themeColor="text1"/>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0711229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6B94F8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D7526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6CD57A8A">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 xml:space="preserve"> 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6BE3EF1A">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07ADE0E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3104AD1">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6B292E7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2FA0F8AB">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9</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0分00秒</w:t>
      </w:r>
      <w:r>
        <w:rPr>
          <w:rFonts w:hint="eastAsia" w:ascii="仿宋" w:hAnsi="仿宋" w:eastAsia="仿宋" w:cs="宋体"/>
          <w:color w:val="000000" w:themeColor="text1"/>
          <w:sz w:val="24"/>
          <w:highlight w:val="none"/>
          <w14:textFill>
            <w14:solidFill>
              <w14:schemeClr w14:val="tx1"/>
            </w14:solidFill>
          </w14:textFill>
        </w:rPr>
        <w:t>（北京时间）</w:t>
      </w:r>
    </w:p>
    <w:p w14:paraId="24F4CB18">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353F79E9">
      <w:pPr>
        <w:spacing w:line="360" w:lineRule="auto"/>
        <w:ind w:firstLine="482" w:firstLineChars="200"/>
        <w:rPr>
          <w:rFonts w:ascii="仿宋" w:hAnsi="仿宋" w:eastAsia="仿宋" w:cs="宋体"/>
          <w:bCs/>
          <w:color w:val="000000" w:themeColor="text1"/>
          <w:sz w:val="24"/>
          <w:highlight w:val="none"/>
          <w:u w:val="singl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color w:val="000000" w:themeColor="text1"/>
          <w:sz w:val="24"/>
          <w:highlight w:val="none"/>
          <w:u w:val="single"/>
          <w14:textFill>
            <w14:solidFill>
              <w14:schemeClr w14:val="tx1"/>
            </w14:solidFill>
          </w14:textFill>
        </w:rPr>
        <w:t>202</w:t>
      </w:r>
      <w:r>
        <w:rPr>
          <w:rFonts w:hint="eastAsia" w:ascii="仿宋" w:hAnsi="仿宋" w:eastAsia="仿宋" w:cs="宋体"/>
          <w:color w:val="000000" w:themeColor="text1"/>
          <w:sz w:val="24"/>
          <w:highlight w:val="none"/>
          <w:u w:val="single"/>
          <w:lang w:val="en-US" w:eastAsia="zh-CN"/>
          <w14:textFill>
            <w14:solidFill>
              <w14:schemeClr w14:val="tx1"/>
            </w14:solidFill>
          </w14:textFill>
        </w:rPr>
        <w:t>5</w:t>
      </w:r>
      <w:r>
        <w:rPr>
          <w:rFonts w:hint="eastAsia" w:ascii="仿宋" w:hAnsi="仿宋" w:eastAsia="仿宋" w:cs="宋体"/>
          <w:color w:val="000000" w:themeColor="text1"/>
          <w:sz w:val="24"/>
          <w:highlight w:val="none"/>
          <w:u w:val="single"/>
          <w14:textFill>
            <w14:solidFill>
              <w14:schemeClr w14:val="tx1"/>
            </w14:solidFill>
          </w14:textFill>
        </w:rPr>
        <w:t>年</w:t>
      </w:r>
      <w:r>
        <w:rPr>
          <w:rFonts w:hint="eastAsia" w:ascii="仿宋" w:hAnsi="仿宋" w:eastAsia="仿宋" w:cs="宋体"/>
          <w:color w:val="000000" w:themeColor="text1"/>
          <w:sz w:val="24"/>
          <w:highlight w:val="none"/>
          <w:u w:val="single"/>
          <w:lang w:val="en-US" w:eastAsia="zh-CN"/>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月</w:t>
      </w:r>
      <w:r>
        <w:rPr>
          <w:rFonts w:hint="eastAsia" w:ascii="仿宋" w:hAnsi="仿宋" w:eastAsia="仿宋" w:cs="宋体"/>
          <w:color w:val="000000" w:themeColor="text1"/>
          <w:sz w:val="24"/>
          <w:highlight w:val="none"/>
          <w:u w:val="single"/>
          <w:lang w:val="en-US" w:eastAsia="zh-CN"/>
          <w14:textFill>
            <w14:solidFill>
              <w14:schemeClr w14:val="tx1"/>
            </w14:solidFill>
          </w14:textFill>
        </w:rPr>
        <w:t>10</w:t>
      </w:r>
      <w:r>
        <w:rPr>
          <w:rFonts w:hint="eastAsia" w:ascii="仿宋" w:hAnsi="仿宋" w:eastAsia="仿宋" w:cs="宋体"/>
          <w:color w:val="000000" w:themeColor="text1"/>
          <w:sz w:val="24"/>
          <w:highlight w:val="none"/>
          <w:u w:val="single"/>
          <w14:textFill>
            <w14:solidFill>
              <w14:schemeClr w14:val="tx1"/>
            </w14:solidFill>
          </w14:textFill>
        </w:rPr>
        <w:t>日</w:t>
      </w:r>
      <w:r>
        <w:rPr>
          <w:rFonts w:hint="eastAsia" w:ascii="仿宋" w:hAnsi="仿宋" w:eastAsia="仿宋" w:cs="宋体"/>
          <w:color w:val="000000" w:themeColor="text1"/>
          <w:sz w:val="24"/>
          <w:highlight w:val="none"/>
          <w:u w:val="single"/>
          <w:lang w:val="en-US" w:eastAsia="zh-CN"/>
          <w14:textFill>
            <w14:solidFill>
              <w14:schemeClr w14:val="tx1"/>
            </w14:solidFill>
          </w14:textFill>
        </w:rPr>
        <w:t>9</w:t>
      </w:r>
      <w:r>
        <w:rPr>
          <w:rFonts w:hint="eastAsia" w:ascii="仿宋" w:hAnsi="仿宋" w:eastAsia="仿宋" w:cs="宋体"/>
          <w:color w:val="000000" w:themeColor="text1"/>
          <w:sz w:val="24"/>
          <w:highlight w:val="none"/>
          <w:u w:val="single"/>
          <w14:textFill>
            <w14:solidFill>
              <w14:schemeClr w14:val="tx1"/>
            </w14:solidFill>
          </w14:textFill>
        </w:rPr>
        <w:t>点</w:t>
      </w:r>
      <w:r>
        <w:rPr>
          <w:rFonts w:hint="eastAsia" w:ascii="仿宋" w:hAnsi="仿宋" w:eastAsia="仿宋" w:cs="宋体"/>
          <w:color w:val="000000" w:themeColor="text1"/>
          <w:sz w:val="24"/>
          <w:highlight w:val="none"/>
          <w:u w:val="single"/>
          <w:lang w:val="en-US" w:eastAsia="zh-CN"/>
          <w14:textFill>
            <w14:solidFill>
              <w14:schemeClr w14:val="tx1"/>
            </w14:solidFill>
          </w14:textFill>
        </w:rPr>
        <w:t>3</w:t>
      </w:r>
      <w:r>
        <w:rPr>
          <w:rFonts w:hint="eastAsia" w:ascii="仿宋" w:hAnsi="仿宋" w:eastAsia="仿宋" w:cs="宋体"/>
          <w:color w:val="000000" w:themeColor="text1"/>
          <w:sz w:val="24"/>
          <w:highlight w:val="none"/>
          <w:u w:val="single"/>
          <w14:textFill>
            <w14:solidFill>
              <w14:schemeClr w14:val="tx1"/>
            </w14:solidFill>
          </w14:textFill>
        </w:rPr>
        <w:t>0分00秒</w:t>
      </w:r>
    </w:p>
    <w:p w14:paraId="4D0D1DCE">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2A97669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100C376E">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https://zfcg.czt.zj.gov.cn/luban/detail?parentId=600007&amp;articleId=1lA2wngqYCM1NI55+oSYtQ==</w:t>
      </w:r>
    </w:p>
    <w:p w14:paraId="01BB0A4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2A4C524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399EBD0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43635A3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5813F4D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F34B6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59977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15A5B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0B89DC3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0927271A">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杭州西站枢纽管理委员会</w:t>
      </w:r>
    </w:p>
    <w:p w14:paraId="7446EDFB">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Times New Roman"/>
          <w:sz w:val="24"/>
        </w:rPr>
        <w:t>杭州市西站</w:t>
      </w:r>
    </w:p>
    <w:p w14:paraId="71A45F2A">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07BE047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项目联系人（询问）：</w:t>
      </w:r>
      <w:r>
        <w:rPr>
          <w:rFonts w:hint="eastAsia" w:ascii="仿宋" w:hAnsi="仿宋" w:eastAsia="仿宋" w:cs="Times New Roman"/>
          <w:sz w:val="24"/>
        </w:rPr>
        <w:t>邱工</w:t>
      </w:r>
    </w:p>
    <w:p w14:paraId="2EE0A39E">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项目联系方式（询问）：</w:t>
      </w:r>
      <w:r>
        <w:rPr>
          <w:rFonts w:hint="eastAsia" w:ascii="仿宋" w:hAnsi="仿宋" w:eastAsia="仿宋" w:cs="Times New Roman"/>
          <w:sz w:val="24"/>
        </w:rPr>
        <w:t>0571-88525523</w:t>
      </w:r>
      <w:bookmarkStart w:id="418" w:name="_GoBack"/>
      <w:bookmarkEnd w:id="418"/>
    </w:p>
    <w:p w14:paraId="4595374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质疑联系人：</w:t>
      </w:r>
      <w:r>
        <w:rPr>
          <w:rFonts w:hint="eastAsia" w:ascii="仿宋" w:hAnsi="仿宋" w:eastAsia="仿宋" w:cs="Times New Roman"/>
          <w:sz w:val="24"/>
        </w:rPr>
        <w:t>张</w:t>
      </w:r>
      <w:r>
        <w:rPr>
          <w:rFonts w:hint="eastAsia" w:ascii="仿宋" w:hAnsi="仿宋" w:eastAsia="仿宋" w:cs="Times New Roman"/>
          <w:sz w:val="24"/>
          <w:lang w:eastAsia="zh-CN"/>
        </w:rPr>
        <w:t>工</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 xml:space="preserve"> </w:t>
      </w:r>
    </w:p>
    <w:p w14:paraId="3E910487">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sz w:val="24"/>
          <w:highlight w:val="none"/>
        </w:rPr>
        <w:t>质疑联系方式：</w:t>
      </w:r>
      <w:r>
        <w:rPr>
          <w:rFonts w:hint="eastAsia" w:ascii="仿宋" w:hAnsi="仿宋" w:eastAsia="仿宋" w:cs="Times New Roman"/>
          <w:sz w:val="24"/>
        </w:rPr>
        <w:t>0571-88755507</w:t>
      </w:r>
      <w:r>
        <w:rPr>
          <w:rFonts w:hint="eastAsia" w:ascii="仿宋" w:hAnsi="仿宋" w:eastAsia="仿宋" w:cs="仿宋"/>
          <w:color w:val="000000"/>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宋体"/>
          <w:color w:val="000000" w:themeColor="text1"/>
          <w:sz w:val="24"/>
          <w:highlight w:val="none"/>
          <w14:textFill>
            <w14:solidFill>
              <w14:schemeClr w14:val="tx1"/>
            </w14:solidFill>
          </w14:textFill>
        </w:rPr>
        <w:t xml:space="preserve">   </w:t>
      </w:r>
    </w:p>
    <w:p w14:paraId="498E361B">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2.采购代理机构信息            </w:t>
      </w:r>
    </w:p>
    <w:p w14:paraId="6FCBF17A">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14:textFill>
            <w14:solidFill>
              <w14:schemeClr w14:val="tx1"/>
            </w14:solidFill>
          </w14:textFill>
        </w:rPr>
        <w:t>天阳建设管理有限公司</w:t>
      </w:r>
    </w:p>
    <w:p w14:paraId="704C8993">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 w:hAnsi="仿宋" w:eastAsia="仿宋"/>
          <w:color w:val="000000" w:themeColor="text1"/>
          <w:sz w:val="24"/>
          <w:highlight w:val="none"/>
          <w14:textFill>
            <w14:solidFill>
              <w14:schemeClr w14:val="tx1"/>
            </w14:solidFill>
          </w14:textFill>
        </w:rPr>
        <w:t>杭州市临平区南苑街道玩月街88号1幢1001、1101室</w:t>
      </w:r>
    </w:p>
    <w:p w14:paraId="41AD458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olor w:val="000000" w:themeColor="text1"/>
          <w:sz w:val="24"/>
          <w:highlight w:val="none"/>
          <w14:textFill>
            <w14:solidFill>
              <w14:schemeClr w14:val="tx1"/>
            </w14:solidFill>
          </w14:textFill>
        </w:rPr>
        <w:t>0571-86235827</w:t>
      </w:r>
    </w:p>
    <w:p w14:paraId="545DE36F">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eastAsia="zh-CN"/>
          <w14:textFill>
            <w14:solidFill>
              <w14:schemeClr w14:val="tx1"/>
            </w14:solidFill>
          </w14:textFill>
        </w:rPr>
        <w:t>袁良国</w:t>
      </w:r>
    </w:p>
    <w:p w14:paraId="0F5DF6DA">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olor w:val="000000" w:themeColor="text1"/>
          <w:sz w:val="24"/>
          <w:highlight w:val="none"/>
          <w:lang w:val="en-US" w:eastAsia="zh-CN"/>
          <w14:textFill>
            <w14:solidFill>
              <w14:schemeClr w14:val="tx1"/>
            </w14:solidFill>
          </w14:textFill>
        </w:rPr>
        <w:t>13588021752</w:t>
      </w:r>
    </w:p>
    <w:p w14:paraId="6743647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olor w:val="000000" w:themeColor="text1"/>
          <w:sz w:val="24"/>
          <w:highlight w:val="none"/>
          <w14:textFill>
            <w14:solidFill>
              <w14:schemeClr w14:val="tx1"/>
            </w14:solidFill>
          </w14:textFill>
        </w:rPr>
        <w:t>戚良明</w:t>
      </w:r>
    </w:p>
    <w:p w14:paraId="25B8B267">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olor w:val="000000" w:themeColor="text1"/>
          <w:sz w:val="24"/>
          <w:highlight w:val="none"/>
          <w14:textFill>
            <w14:solidFill>
              <w14:schemeClr w14:val="tx1"/>
            </w14:solidFill>
          </w14:textFill>
        </w:rPr>
        <w:t>0571-86235827</w:t>
      </w:r>
    </w:p>
    <w:p w14:paraId="2759FC3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4ADCED5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名称：杭州市余杭区财政局、浙江省政府采购行政裁决服务中心（杭州）</w:t>
      </w:r>
    </w:p>
    <w:p w14:paraId="48358A6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w:t>
      </w:r>
      <w:r>
        <w:rPr>
          <w:rFonts w:hint="eastAsia" w:ascii="仿宋" w:hAnsi="仿宋" w:eastAsia="仿宋" w:cs="宋体"/>
          <w:color w:val="000000" w:themeColor="text1"/>
          <w:sz w:val="24"/>
          <w:highlight w:val="none"/>
          <w:lang w:eastAsia="zh-CN"/>
          <w14:textFill>
            <w14:solidFill>
              <w14:schemeClr w14:val="tx1"/>
            </w14:solidFill>
          </w14:textFill>
        </w:rPr>
        <w:t>杭州市上城区清泰街549号城建综合大楼11楼</w:t>
      </w:r>
      <w:r>
        <w:rPr>
          <w:rFonts w:hint="eastAsia" w:ascii="仿宋" w:hAnsi="仿宋" w:eastAsia="仿宋" w:cs="宋体"/>
          <w:color w:val="000000" w:themeColor="text1"/>
          <w:sz w:val="24"/>
          <w:highlight w:val="none"/>
          <w14:textFill>
            <w14:solidFill>
              <w14:schemeClr w14:val="tx1"/>
            </w14:solidFill>
          </w14:textFill>
        </w:rPr>
        <w:t>（快递仅限ems或顺丰）</w:t>
      </w:r>
    </w:p>
    <w:p w14:paraId="2B3D223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w:t>
      </w:r>
    </w:p>
    <w:p w14:paraId="2EA8D9C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 系 人：朱女士、王女士</w:t>
      </w:r>
    </w:p>
    <w:p w14:paraId="283FB66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E60925D">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6A768C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283969DB">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5BBE2332">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0360F4A1">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bookmarkEnd w:id="10"/>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1A09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C14662">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bookmarkStart w:id="11" w:name="_Toc164416483"/>
            <w:bookmarkStart w:id="12" w:name="第三部分"/>
            <w:r>
              <w:rPr>
                <w:rFonts w:hint="eastAsia" w:ascii="仿宋" w:hAnsi="仿宋" w:eastAsia="仿宋" w:cs="宋体"/>
                <w:b/>
                <w:color w:val="000000" w:themeColor="text1"/>
                <w:sz w:val="28"/>
                <w:szCs w:val="28"/>
                <w:highlight w:val="none"/>
                <w14:textFill>
                  <w14:solidFill>
                    <w14:schemeClr w14:val="tx1"/>
                  </w14:solidFill>
                </w14:textFill>
              </w:rPr>
              <w:t>序号</w:t>
            </w:r>
          </w:p>
        </w:tc>
        <w:tc>
          <w:tcPr>
            <w:tcW w:w="1559" w:type="dxa"/>
            <w:vAlign w:val="center"/>
          </w:tcPr>
          <w:p w14:paraId="0673A7C0">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事项</w:t>
            </w:r>
          </w:p>
        </w:tc>
        <w:tc>
          <w:tcPr>
            <w:tcW w:w="6910" w:type="dxa"/>
            <w:vAlign w:val="center"/>
          </w:tcPr>
          <w:p w14:paraId="02793B75">
            <w:pPr>
              <w:adjustRightInd/>
              <w:spacing w:line="360" w:lineRule="auto"/>
              <w:jc w:val="center"/>
              <w:outlineLvl w:val="0"/>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本项目的特别规定</w:t>
            </w:r>
          </w:p>
        </w:tc>
      </w:tr>
      <w:tr w14:paraId="1BDF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17DEA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95ABDD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项目属性</w:t>
            </w:r>
          </w:p>
        </w:tc>
        <w:tc>
          <w:tcPr>
            <w:tcW w:w="6910" w:type="dxa"/>
            <w:vAlign w:val="center"/>
          </w:tcPr>
          <w:p w14:paraId="0135F50B">
            <w:pPr>
              <w:spacing w:line="360" w:lineRule="auto"/>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服务类。</w:t>
            </w:r>
          </w:p>
        </w:tc>
      </w:tr>
      <w:tr w14:paraId="5DF5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7A7305">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5E54939">
            <w:pPr>
              <w:adjustRightInd/>
              <w:spacing w:line="24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采购标的及其对应的中小企业划分标准所属行业</w:t>
            </w:r>
          </w:p>
        </w:tc>
        <w:tc>
          <w:tcPr>
            <w:tcW w:w="6910" w:type="dxa"/>
            <w:vAlign w:val="center"/>
          </w:tcPr>
          <w:p w14:paraId="604476C0">
            <w:pPr>
              <w:numPr>
                <w:ilvl w:val="0"/>
                <w:numId w:val="0"/>
              </w:numPr>
              <w:snapToGrid w:val="0"/>
              <w:spacing w:line="360" w:lineRule="auto"/>
              <w:rPr>
                <w:rFonts w:hint="eastAsia" w:ascii="仿宋" w:hAnsi="仿宋" w:eastAsia="仿宋" w:cs="宋体"/>
                <w:b/>
                <w:color w:val="000000" w:themeColor="text1"/>
                <w:kern w:val="0"/>
                <w:sz w:val="24"/>
                <w:highlight w:val="none"/>
                <w:u w:val="none"/>
                <w:lang w:eastAsia="zh-CN"/>
                <w14:textFill>
                  <w14:solidFill>
                    <w14:schemeClr w14:val="tx1"/>
                  </w14:solidFill>
                </w14:textFill>
              </w:rPr>
            </w:pPr>
            <w:r>
              <w:rPr>
                <w:rFonts w:hint="eastAsia" w:ascii="仿宋" w:hAnsi="仿宋" w:eastAsia="仿宋" w:cs="宋体"/>
                <w:b/>
                <w:color w:val="000000" w:themeColor="text1"/>
                <w:kern w:val="0"/>
                <w:sz w:val="24"/>
                <w:highlight w:val="none"/>
                <w:u w:val="none"/>
                <w14:textFill>
                  <w14:solidFill>
                    <w14:schemeClr w14:val="tx1"/>
                  </w14:solidFill>
                </w14:textFill>
              </w:rPr>
              <w:t>标的：详见中小企业声明函，属于行业：</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租赁和商务服务业</w:t>
            </w:r>
            <w:r>
              <w:rPr>
                <w:rFonts w:hint="eastAsia" w:ascii="仿宋" w:hAnsi="仿宋" w:eastAsia="仿宋" w:cs="宋体"/>
                <w:b/>
                <w:color w:val="000000" w:themeColor="text1"/>
                <w:spacing w:val="0"/>
                <w:kern w:val="0"/>
                <w:sz w:val="24"/>
                <w:szCs w:val="24"/>
                <w:highlight w:val="none"/>
                <w:u w:val="none"/>
                <w14:textFill>
                  <w14:solidFill>
                    <w14:schemeClr w14:val="tx1"/>
                  </w14:solidFill>
                </w14:textFill>
              </w:rPr>
              <w:t>。</w:t>
            </w:r>
          </w:p>
          <w:p w14:paraId="79DE4E58">
            <w:pPr>
              <w:numPr>
                <w:ilvl w:val="0"/>
                <w:numId w:val="0"/>
              </w:numPr>
              <w:snapToGrid w:val="0"/>
              <w:spacing w:line="360" w:lineRule="auto"/>
              <w:rPr>
                <w:rFonts w:hint="eastAsia" w:ascii="仿宋" w:hAnsi="仿宋" w:eastAsia="仿宋" w:cs="宋体"/>
                <w:b/>
                <w:color w:val="000000" w:themeColor="text1"/>
                <w:kern w:val="0"/>
                <w:sz w:val="24"/>
                <w:szCs w:val="24"/>
                <w:highlight w:val="none"/>
                <w:u w:val="none"/>
                <w14:textFill>
                  <w14:solidFill>
                    <w14:schemeClr w14:val="tx1"/>
                  </w14:solidFill>
                </w14:textFill>
              </w:rPr>
            </w:pP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根据</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《关于印发中小企业划型标准规定的通知》（工信部联企业〔2011〕300）第</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四条第</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十五</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kern w:val="0"/>
                <w:sz w:val="24"/>
                <w:highlight w:val="none"/>
                <w:u w:val="none"/>
                <w:lang w:val="en-US" w:eastAsia="zh-CN"/>
                <w14:textFill>
                  <w14:solidFill>
                    <w14:schemeClr w14:val="tx1"/>
                  </w14:solidFill>
                </w14:textFill>
              </w:rPr>
              <w:t>项规定</w:t>
            </w:r>
            <w:r>
              <w:rPr>
                <w:rFonts w:hint="eastAsia" w:ascii="仿宋" w:hAnsi="仿宋" w:eastAsia="仿宋" w:cs="宋体"/>
                <w:b/>
                <w:color w:val="000000" w:themeColor="text1"/>
                <w:kern w:val="0"/>
                <w:sz w:val="24"/>
                <w:highlight w:val="none"/>
                <w:u w:val="none"/>
                <w:lang w:eastAsia="zh-CN"/>
                <w14:textFill>
                  <w14:solidFill>
                    <w14:schemeClr w14:val="tx1"/>
                  </w14:solidFill>
                </w14:textFill>
              </w:rPr>
              <w:t>：</w:t>
            </w:r>
            <w:r>
              <w:rPr>
                <w:rFonts w:hint="eastAsia" w:ascii="仿宋" w:hAnsi="仿宋" w:eastAsia="仿宋" w:cs="宋体"/>
                <w:b/>
                <w:color w:val="000000" w:themeColor="text1"/>
                <w:spacing w:val="0"/>
                <w:kern w:val="0"/>
                <w:sz w:val="24"/>
                <w:szCs w:val="24"/>
                <w:highlight w:val="none"/>
                <w:u w:val="single"/>
                <w14:textFill>
                  <w14:solidFill>
                    <w14:schemeClr w14:val="tx1"/>
                  </w14:solidFill>
                </w14:textFill>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46B1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101E72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7120EFA">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是否允许采购进口产品</w:t>
            </w:r>
          </w:p>
        </w:tc>
        <w:tc>
          <w:tcPr>
            <w:tcW w:w="6910" w:type="dxa"/>
            <w:vAlign w:val="center"/>
          </w:tcPr>
          <w:p w14:paraId="47A1FF29">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lang w:val="en-US" w:eastAsia="zh-CN"/>
                <w14:textFill>
                  <w14:solidFill>
                    <w14:schemeClr w14:val="tx1"/>
                  </w14:solidFill>
                </w14:textFill>
              </w:rPr>
              <w:t>A</w:t>
            </w:r>
            <w:r>
              <w:rPr>
                <w:rFonts w:hint="eastAsia" w:ascii="仿宋" w:hAnsi="仿宋" w:eastAsia="仿宋" w:cs="宋体"/>
                <w:b/>
                <w:color w:val="000000" w:themeColor="text1"/>
                <w:kern w:val="0"/>
                <w:sz w:val="24"/>
                <w:highlight w:val="none"/>
                <w14:textFill>
                  <w14:solidFill>
                    <w14:schemeClr w14:val="tx1"/>
                  </w14:solidFill>
                </w14:textFill>
              </w:rPr>
              <w:t>本项目不允许采购进口产品。</w:t>
            </w:r>
          </w:p>
          <w:p w14:paraId="69C3C4A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MS Gothic" w:eastAsia="仿宋" w:cs="Arial"/>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可以就采购进口产品。</w:t>
            </w:r>
          </w:p>
        </w:tc>
      </w:tr>
      <w:tr w14:paraId="2E3A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8825859">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2BA5DF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分包</w:t>
            </w:r>
          </w:p>
        </w:tc>
        <w:tc>
          <w:tcPr>
            <w:tcW w:w="6910" w:type="dxa"/>
            <w:vAlign w:val="center"/>
          </w:tcPr>
          <w:p w14:paraId="00E2EF0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t xml:space="preserve"> A</w:t>
            </w:r>
            <w:r>
              <w:rPr>
                <w:rFonts w:hint="eastAsia" w:ascii="仿宋" w:hAnsi="仿宋" w:eastAsia="仿宋"/>
                <w:b/>
                <w:color w:val="000000" w:themeColor="text1"/>
                <w:sz w:val="24"/>
                <w:highlight w:val="none"/>
                <w14:textFill>
                  <w14:solidFill>
                    <w14:schemeClr w14:val="tx1"/>
                  </w14:solidFill>
                </w14:textFill>
              </w:rPr>
              <w:t>同意将非主体、非关键性的工作分包。</w:t>
            </w:r>
            <w:r>
              <w:rPr>
                <w:rFonts w:ascii="仿宋" w:hAnsi="仿宋" w:eastAsia="仿宋" w:cs="Arial"/>
                <w:b/>
                <w:color w:val="000000" w:themeColor="text1"/>
                <w:kern w:val="0"/>
                <w:sz w:val="24"/>
                <w:highlight w:val="none"/>
                <w14:textFill>
                  <w14:solidFill>
                    <w14:schemeClr w14:val="tx1"/>
                  </w14:solidFill>
                </w14:textFill>
              </w:rPr>
              <w:sym w:font="Wingdings" w:char="F0FE"/>
            </w:r>
            <w:r>
              <w:rPr>
                <w:rFonts w:ascii="仿宋" w:hAnsi="仿宋" w:eastAsia="仿宋" w:cs="Arial"/>
                <w:b/>
                <w:color w:val="000000" w:themeColor="text1"/>
                <w:kern w:val="0"/>
                <w:sz w:val="24"/>
                <w:highlight w:val="none"/>
                <w14:textFill>
                  <w14:solidFill>
                    <w14:schemeClr w14:val="tx1"/>
                  </w14:solidFill>
                </w14:textFill>
              </w:rPr>
              <w:t xml:space="preserve"> B</w:t>
            </w:r>
            <w:r>
              <w:rPr>
                <w:rFonts w:hint="eastAsia" w:ascii="仿宋" w:hAnsi="仿宋" w:eastAsia="仿宋"/>
                <w:b/>
                <w:color w:val="000000" w:themeColor="text1"/>
                <w:sz w:val="24"/>
                <w:highlight w:val="none"/>
                <w14:textFill>
                  <w14:solidFill>
                    <w14:schemeClr w14:val="tx1"/>
                  </w14:solidFill>
                </w14:textFill>
              </w:rPr>
              <w:t>不同意分包。</w:t>
            </w:r>
          </w:p>
        </w:tc>
      </w:tr>
      <w:tr w14:paraId="62A0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980FD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1F891BB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开标前答疑会或现场考察</w:t>
            </w:r>
          </w:p>
        </w:tc>
        <w:tc>
          <w:tcPr>
            <w:tcW w:w="6910" w:type="dxa"/>
            <w:vAlign w:val="center"/>
          </w:tcPr>
          <w:p w14:paraId="560050A8">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060E752E">
            <w:pPr>
              <w:adjustRightInd/>
              <w:spacing w:line="360" w:lineRule="auto"/>
              <w:outlineLvl w:val="0"/>
              <w:rPr>
                <w:rFonts w:ascii="仿宋" w:hAnsi="MS Gothic" w:eastAsia="仿宋" w:cs="Arial"/>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B组织，</w:t>
            </w:r>
            <w:r>
              <w:rPr>
                <w:rFonts w:hint="eastAsia" w:ascii="仿宋" w:hAnsi="仿宋" w:eastAsia="仿宋" w:cs="宋体"/>
                <w:b/>
                <w:color w:val="000000" w:themeColor="text1"/>
                <w:sz w:val="24"/>
                <w:highlight w:val="none"/>
                <w14:textFill>
                  <w14:solidFill>
                    <w14:schemeClr w14:val="tx1"/>
                  </w14:solidFill>
                </w14:textFill>
              </w:rPr>
              <w:t>时间：,地点：，联系人：，联系方式：</w:t>
            </w:r>
            <w:r>
              <w:rPr>
                <w:rFonts w:hint="eastAsia" w:ascii="仿宋" w:hAnsi="仿宋" w:eastAsia="仿宋" w:cs="宋体"/>
                <w:b/>
                <w:color w:val="000000" w:themeColor="text1"/>
                <w:sz w:val="24"/>
                <w:szCs w:val="20"/>
                <w:highlight w:val="none"/>
                <w14:textFill>
                  <w14:solidFill>
                    <w14:schemeClr w14:val="tx1"/>
                  </w14:solidFill>
                </w14:textFill>
              </w:rPr>
              <w:t>。</w:t>
            </w:r>
          </w:p>
          <w:p w14:paraId="6F492D4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MS Gothic" w:eastAsia="仿宋" w:cs="Arial"/>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C不统一组织，供应商在获取采购文件后，自行至项目现场考察。地点： ，联系人： ，联系方式： 。</w:t>
            </w:r>
          </w:p>
        </w:tc>
      </w:tr>
      <w:tr w14:paraId="1FAB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8603CF">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8ED6EC7">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样品提供</w:t>
            </w:r>
          </w:p>
        </w:tc>
        <w:tc>
          <w:tcPr>
            <w:tcW w:w="6910" w:type="dxa"/>
            <w:vAlign w:val="center"/>
          </w:tcPr>
          <w:p w14:paraId="1BDCB227">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不要求提供。</w:t>
            </w:r>
          </w:p>
          <w:p w14:paraId="75592481">
            <w:pPr>
              <w:spacing w:line="360" w:lineRule="auto"/>
              <w:rPr>
                <w:rFonts w:ascii="仿宋" w:hAnsi="仿宋" w:eastAsia="仿宋"/>
                <w:b/>
                <w:color w:val="000000" w:themeColor="text1"/>
                <w:kern w:val="0"/>
                <w:sz w:val="24"/>
                <w:highlight w:val="none"/>
                <w14:textFill>
                  <w14:solidFill>
                    <w14:schemeClr w14:val="tx1"/>
                  </w14:solidFill>
                </w14:textFill>
              </w:rPr>
            </w:pP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B</w:t>
            </w:r>
            <w:r>
              <w:rPr>
                <w:rFonts w:hint="eastAsia" w:ascii="仿宋" w:hAnsi="仿宋" w:eastAsia="仿宋"/>
                <w:b/>
                <w:color w:val="000000" w:themeColor="text1"/>
                <w:kern w:val="0"/>
                <w:sz w:val="24"/>
                <w:highlight w:val="none"/>
                <w14:textFill>
                  <w14:solidFill>
                    <w14:schemeClr w14:val="tx1"/>
                  </w14:solidFill>
                </w14:textFill>
              </w:rPr>
              <w:t>要求提供，</w:t>
            </w:r>
          </w:p>
          <w:p w14:paraId="6334B9D0">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1）</w:t>
            </w:r>
            <w:r>
              <w:rPr>
                <w:rFonts w:hint="eastAsia" w:ascii="仿宋" w:hAnsi="仿宋" w:eastAsia="仿宋"/>
                <w:b/>
                <w:snapToGrid w:val="0"/>
                <w:color w:val="000000" w:themeColor="text1"/>
                <w:kern w:val="28"/>
                <w:sz w:val="24"/>
                <w:highlight w:val="none"/>
                <w14:textFill>
                  <w14:solidFill>
                    <w14:schemeClr w14:val="tx1"/>
                  </w14:solidFill>
                </w14:textFill>
              </w:rPr>
              <w:t>样品：</w:t>
            </w:r>
            <w:r>
              <w:rPr>
                <w:rFonts w:hint="eastAsia" w:ascii="仿宋" w:hAnsi="仿宋" w:eastAsia="仿宋"/>
                <w:b/>
                <w:color w:val="000000" w:themeColor="text1"/>
                <w:kern w:val="0"/>
                <w:sz w:val="24"/>
                <w:highlight w:val="none"/>
                <w14:textFill>
                  <w14:solidFill>
                    <w14:schemeClr w14:val="tx1"/>
                  </w14:solidFill>
                </w14:textFill>
              </w:rPr>
              <w:t>；</w:t>
            </w:r>
          </w:p>
          <w:p w14:paraId="5368CCED">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2）</w:t>
            </w:r>
            <w:r>
              <w:rPr>
                <w:rFonts w:hint="eastAsia" w:ascii="仿宋" w:hAnsi="仿宋" w:eastAsia="仿宋"/>
                <w:b/>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b/>
                <w:color w:val="000000" w:themeColor="text1"/>
                <w:kern w:val="0"/>
                <w:sz w:val="24"/>
                <w:highlight w:val="none"/>
                <w14:textFill>
                  <w14:solidFill>
                    <w14:schemeClr w14:val="tx1"/>
                  </w14:solidFill>
                </w14:textFill>
              </w:rPr>
              <w:t>；</w:t>
            </w:r>
          </w:p>
          <w:p w14:paraId="7C640E35">
            <w:pPr>
              <w:spacing w:line="360" w:lineRule="auto"/>
              <w:rPr>
                <w:rFonts w:ascii="仿宋" w:hAnsi="仿宋" w:eastAsia="仿宋" w:cs="仿宋"/>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3）样品的评审方法以及评审标准</w:t>
            </w:r>
            <w:r>
              <w:rPr>
                <w:rFonts w:hint="eastAsia" w:ascii="仿宋" w:hAnsi="仿宋" w:eastAsia="仿宋"/>
                <w:b/>
                <w:snapToGrid w:val="0"/>
                <w:color w:val="000000" w:themeColor="text1"/>
                <w:kern w:val="28"/>
                <w:sz w:val="24"/>
                <w:highlight w:val="none"/>
                <w14:textFill>
                  <w14:solidFill>
                    <w14:schemeClr w14:val="tx1"/>
                  </w14:solidFill>
                </w14:textFill>
              </w:rPr>
              <w:t>：</w:t>
            </w:r>
            <w:r>
              <w:rPr>
                <w:rFonts w:hint="eastAsia" w:ascii="仿宋" w:hAnsi="仿宋" w:eastAsia="仿宋" w:cs="仿宋"/>
                <w:b/>
                <w:snapToGrid w:val="0"/>
                <w:color w:val="000000" w:themeColor="text1"/>
                <w:kern w:val="28"/>
                <w:sz w:val="24"/>
                <w:highlight w:val="none"/>
                <w14:textFill>
                  <w14:solidFill>
                    <w14:schemeClr w14:val="tx1"/>
                  </w14:solidFill>
                </w14:textFill>
              </w:rPr>
              <w:t></w:t>
            </w:r>
          </w:p>
          <w:p w14:paraId="248B8388">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00A8"/>
            </w:r>
            <w:r>
              <w:rPr>
                <w:rFonts w:hint="eastAsia" w:ascii="仿宋" w:hAnsi="仿宋" w:eastAsia="仿宋"/>
                <w:b/>
                <w:snapToGrid w:val="0"/>
                <w:color w:val="000000" w:themeColor="text1"/>
                <w:kern w:val="28"/>
                <w:sz w:val="24"/>
                <w:highlight w:val="none"/>
                <w14:textFill>
                  <w14:solidFill>
                    <w14:schemeClr w14:val="tx1"/>
                  </w14:solidFill>
                </w14:textFill>
              </w:rPr>
              <w:t>样品分未超过价格分的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w:t>
            </w:r>
          </w:p>
          <w:p w14:paraId="21440FE4">
            <w:pPr>
              <w:spacing w:line="360" w:lineRule="auto"/>
              <w:rPr>
                <w:rFonts w:ascii="仿宋" w:hAnsi="仿宋" w:eastAsia="仿宋"/>
                <w:b/>
                <w:snapToGrid w:val="0"/>
                <w:color w:val="000000" w:themeColor="text1"/>
                <w:kern w:val="28"/>
                <w:sz w:val="24"/>
                <w:highlight w:val="none"/>
                <w14:textFill>
                  <w14:solidFill>
                    <w14:schemeClr w14:val="tx1"/>
                  </w14:solidFill>
                </w14:textFill>
              </w:rPr>
            </w:pPr>
            <w:r>
              <w:rPr>
                <w:rFonts w:hint="eastAsia" w:ascii="MS Mincho" w:hAnsi="MS Mincho" w:eastAsia="MS Mincho" w:cs="MS Mincho"/>
                <w:b/>
                <w:snapToGrid w:val="0"/>
                <w:color w:val="000000" w:themeColor="text1"/>
                <w:kern w:val="28"/>
                <w:sz w:val="24"/>
                <w:highlight w:val="none"/>
                <w14:textFill>
                  <w14:solidFill>
                    <w14:schemeClr w14:val="tx1"/>
                  </w14:solidFill>
                </w14:textFill>
              </w:rPr>
              <w:t>☐</w:t>
            </w:r>
            <w:r>
              <w:rPr>
                <w:rFonts w:hint="eastAsia" w:ascii="仿宋" w:hAnsi="仿宋" w:eastAsia="仿宋"/>
                <w:b/>
                <w:snapToGrid w:val="0"/>
                <w:color w:val="000000" w:themeColor="text1"/>
                <w:kern w:val="28"/>
                <w:sz w:val="24"/>
                <w:highlight w:val="none"/>
                <w14:textFill>
                  <w14:solidFill>
                    <w14:schemeClr w14:val="tx1"/>
                  </w14:solidFill>
                </w14:textFill>
              </w:rPr>
              <w:t>样品分超过价格分的</w:t>
            </w:r>
            <w:r>
              <w:rPr>
                <w:rFonts w:ascii="仿宋" w:hAnsi="仿宋" w:eastAsia="仿宋"/>
                <w:b/>
                <w:snapToGrid w:val="0"/>
                <w:color w:val="000000" w:themeColor="text1"/>
                <w:kern w:val="28"/>
                <w:sz w:val="24"/>
                <w:highlight w:val="none"/>
                <w14:textFill>
                  <w14:solidFill>
                    <w14:schemeClr w14:val="tx1"/>
                  </w14:solidFill>
                </w14:textFill>
              </w:rPr>
              <w:t>50%</w:t>
            </w:r>
            <w:r>
              <w:rPr>
                <w:rFonts w:hint="eastAsia" w:ascii="仿宋" w:hAnsi="仿宋" w:eastAsia="仿宋"/>
                <w:b/>
                <w:snapToGrid w:val="0"/>
                <w:color w:val="000000" w:themeColor="text1"/>
                <w:kern w:val="28"/>
                <w:sz w:val="24"/>
                <w:highlight w:val="none"/>
                <w14:textFill>
                  <w14:solidFill>
                    <w14:schemeClr w14:val="tx1"/>
                  </w14:solidFill>
                </w14:textFill>
              </w:rPr>
              <w:t>，理由；</w:t>
            </w:r>
          </w:p>
          <w:p w14:paraId="6AD4791A">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详见招标文件第四部分评标办分法</w:t>
            </w:r>
            <w:r>
              <w:rPr>
                <w:rFonts w:hint="eastAsia" w:ascii="仿宋" w:hAnsi="仿宋" w:eastAsia="仿宋"/>
                <w:b/>
                <w:color w:val="000000" w:themeColor="text1"/>
                <w:kern w:val="0"/>
                <w:sz w:val="24"/>
                <w:highlight w:val="none"/>
                <w14:textFill>
                  <w14:solidFill>
                    <w14:schemeClr w14:val="tx1"/>
                  </w14:solidFill>
                </w14:textFill>
              </w:rPr>
              <w:t>；</w:t>
            </w:r>
          </w:p>
          <w:p w14:paraId="4067409C">
            <w:pPr>
              <w:spacing w:line="360" w:lineRule="auto"/>
              <w:rPr>
                <w:rFonts w:ascii="仿宋" w:hAnsi="仿宋" w:eastAsia="仿宋"/>
                <w:b/>
                <w:color w:val="000000" w:themeColor="text1"/>
                <w:kern w:val="0"/>
                <w:sz w:val="24"/>
                <w:highlight w:val="none"/>
                <w14:textFill>
                  <w14:solidFill>
                    <w14:schemeClr w14:val="tx1"/>
                  </w14:solidFill>
                </w14:textFill>
              </w:rPr>
            </w:pP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4）是否需要随样品提交检测报告</w:t>
            </w:r>
            <w:r>
              <w:rPr>
                <w:rFonts w:hint="eastAsia" w:ascii="仿宋" w:hAnsi="仿宋" w:eastAsia="仿宋"/>
                <w:b/>
                <w:color w:val="000000" w:themeColor="text1"/>
                <w:kern w:val="0"/>
                <w:sz w:val="24"/>
                <w:highlight w:val="none"/>
                <w14:textFill>
                  <w14:solidFill>
                    <w14:schemeClr w14:val="tx1"/>
                  </w14:solidFill>
                </w14:textFill>
              </w:rPr>
              <w:t>：</w:t>
            </w:r>
            <w:r>
              <w:rPr>
                <w:rFonts w:ascii="仿宋" w:hAnsi="仿宋" w:eastAsia="仿宋" w:cs="Arial"/>
                <w:b/>
                <w:color w:val="000000" w:themeColor="text1"/>
                <w:kern w:val="0"/>
                <w:sz w:val="24"/>
                <w:highlight w:val="none"/>
                <w14:textFill>
                  <w14:solidFill>
                    <w14:schemeClr w14:val="tx1"/>
                  </w14:solidFill>
                </w14:textFill>
              </w:rPr>
              <w:sym w:font="Wingdings" w:char="00A8"/>
            </w:r>
            <w:r>
              <w:rPr>
                <w:rFonts w:ascii="仿宋" w:hAnsi="仿宋" w:eastAsia="仿宋"/>
                <w:b/>
                <w:color w:val="000000" w:themeColor="text1"/>
                <w:kern w:val="0"/>
                <w:sz w:val="24"/>
                <w:highlight w:val="none"/>
                <w14:textFill>
                  <w14:solidFill>
                    <w14:schemeClr w14:val="tx1"/>
                  </w14:solidFill>
                </w14:textFill>
              </w:rPr>
              <w:t>否；</w:t>
            </w:r>
            <w:r>
              <w:rPr>
                <w:rFonts w:ascii="仿宋" w:hAnsi="MS Gothic" w:eastAsia="仿宋" w:cs="Arial"/>
                <w:b/>
                <w:color w:val="000000" w:themeColor="text1"/>
                <w:kern w:val="0"/>
                <w:sz w:val="24"/>
                <w:highlight w:val="none"/>
                <w14:textFill>
                  <w14:solidFill>
                    <w14:schemeClr w14:val="tx1"/>
                  </w14:solidFill>
                </w14:textFill>
              </w:rPr>
              <w:t>☐</w:t>
            </w:r>
            <w:r>
              <w:rPr>
                <w:rFonts w:ascii="仿宋" w:hAnsi="仿宋" w:eastAsia="仿宋"/>
                <w:b/>
                <w:color w:val="000000" w:themeColor="text1"/>
                <w:kern w:val="0"/>
                <w:sz w:val="24"/>
                <w:highlight w:val="none"/>
                <w14:textFill>
                  <w14:solidFill>
                    <w14:schemeClr w14:val="tx1"/>
                  </w14:solidFill>
                </w14:textFill>
              </w:rPr>
              <w:t>是，检测机构的要求</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；检测内容</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0"/>
                <w:sz w:val="24"/>
                <w:highlight w:val="none"/>
                <w14:textFill>
                  <w14:solidFill>
                    <w14:schemeClr w14:val="tx1"/>
                  </w14:solidFill>
                </w14:textFill>
              </w:rPr>
              <w:t>。</w:t>
            </w:r>
          </w:p>
          <w:p w14:paraId="4E7F3B32">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5）提供样品的时间：</w:t>
            </w:r>
            <w:r>
              <w:rPr>
                <w:rFonts w:hint="eastAsia" w:ascii="仿宋" w:hAnsi="仿宋" w:eastAsia="仿宋"/>
                <w:b/>
                <w:color w:val="000000" w:themeColor="text1"/>
                <w:kern w:val="0"/>
                <w:sz w:val="24"/>
                <w:highlight w:val="none"/>
                <w14:textFill>
                  <w14:solidFill>
                    <w14:schemeClr w14:val="tx1"/>
                  </w14:solidFill>
                </w14:textFill>
              </w:rPr>
              <w:t>；地点：；联系人</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kern w:val="28"/>
                <w:sz w:val="24"/>
                <w:highlight w:val="none"/>
                <w14:textFill>
                  <w14:solidFill>
                    <w14:schemeClr w14:val="tx1"/>
                  </w14:solidFill>
                </w14:textFill>
              </w:rPr>
              <w:t>联系电话：</w:t>
            </w:r>
            <w:r>
              <w:rPr>
                <w:rFonts w:hint="eastAsia" w:ascii="仿宋" w:hAnsi="仿宋" w:eastAsia="仿宋"/>
                <w:b/>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70CB1BB6">
            <w:pPr>
              <w:spacing w:line="360" w:lineRule="auto"/>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▲（6）本条要求提供样品但投标人不提供样品的则其投标无效。</w:t>
            </w:r>
          </w:p>
          <w:p w14:paraId="54646F5E">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（7）投标人样品提供不全或外观尺寸不符合招标文件要求或技术参数明显不符合招标文件要求的则样品分为0分；</w:t>
            </w:r>
          </w:p>
          <w:p w14:paraId="241566AF">
            <w:pPr>
              <w:spacing w:line="360" w:lineRule="auto"/>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14:textFill>
                  <w14:solidFill>
                    <w14:schemeClr w14:val="tx1"/>
                  </w14:solidFill>
                </w14:textFill>
              </w:rPr>
              <w:t>8</w:t>
            </w:r>
            <w:r>
              <w:rPr>
                <w:rFonts w:ascii="仿宋" w:hAnsi="仿宋" w:eastAsia="仿宋"/>
                <w:b/>
                <w:color w:val="000000" w:themeColor="text1"/>
                <w:sz w:val="24"/>
                <w:highlight w:val="none"/>
                <w14:textFill>
                  <w14:solidFill>
                    <w14:schemeClr w14:val="tx1"/>
                  </w14:solidFill>
                </w14:textFill>
              </w:rPr>
              <w:t>)采购活动结束后，对于未中标人提供的样品，</w:t>
            </w:r>
            <w:r>
              <w:rPr>
                <w:rFonts w:hint="eastAsia" w:ascii="仿宋" w:hAnsi="仿宋" w:eastAsia="仿宋"/>
                <w:b/>
                <w:color w:val="000000" w:themeColor="text1"/>
                <w:sz w:val="24"/>
                <w:highlight w:val="none"/>
                <w14:textFill>
                  <w14:solidFill>
                    <w14:schemeClr w14:val="tx1"/>
                  </w14:solidFill>
                </w14:textFill>
              </w:rPr>
              <w:t>采购人、采购机构将通知</w:t>
            </w:r>
            <w:r>
              <w:rPr>
                <w:rFonts w:ascii="仿宋" w:hAnsi="仿宋" w:eastAsia="仿宋"/>
                <w:b/>
                <w:color w:val="000000" w:themeColor="text1"/>
                <w:sz w:val="24"/>
                <w:highlight w:val="none"/>
                <w14:textFill>
                  <w14:solidFill>
                    <w14:schemeClr w14:val="tx1"/>
                  </w14:solidFill>
                </w14:textFill>
              </w:rPr>
              <w:t>未中标人</w:t>
            </w:r>
            <w:r>
              <w:rPr>
                <w:rFonts w:hint="eastAsia" w:ascii="仿宋" w:hAnsi="仿宋" w:eastAsia="仿宋"/>
                <w:b/>
                <w:color w:val="000000" w:themeColor="text1"/>
                <w:sz w:val="24"/>
                <w:highlight w:val="none"/>
                <w14:textFill>
                  <w14:solidFill>
                    <w14:schemeClr w14:val="tx1"/>
                  </w14:solidFill>
                </w14:textFill>
              </w:rPr>
              <w:t>在规定的时间内取回，逾期未取回的，采购人、采购机构不负保管义务</w:t>
            </w:r>
            <w:r>
              <w:rPr>
                <w:rFonts w:ascii="仿宋" w:hAnsi="仿宋" w:eastAsia="仿宋"/>
                <w:b/>
                <w:color w:val="000000" w:themeColor="text1"/>
                <w:sz w:val="24"/>
                <w:highlight w:val="none"/>
                <w14:textFill>
                  <w14:solidFill>
                    <w14:schemeClr w14:val="tx1"/>
                  </w14:solidFill>
                </w14:textFill>
              </w:rPr>
              <w:t>；对于中标人提供的样品，</w:t>
            </w:r>
            <w:r>
              <w:rPr>
                <w:rFonts w:hint="eastAsia" w:ascii="仿宋" w:hAnsi="仿宋" w:eastAsia="仿宋"/>
                <w:b/>
                <w:color w:val="000000" w:themeColor="text1"/>
                <w:sz w:val="24"/>
                <w:highlight w:val="none"/>
                <w14:textFill>
                  <w14:solidFill>
                    <w14:schemeClr w14:val="tx1"/>
                  </w14:solidFill>
                </w14:textFill>
              </w:rPr>
              <w:t>采购人将进</w:t>
            </w:r>
            <w:r>
              <w:rPr>
                <w:rFonts w:ascii="仿宋" w:hAnsi="仿宋" w:eastAsia="仿宋"/>
                <w:b/>
                <w:color w:val="000000" w:themeColor="text1"/>
                <w:sz w:val="24"/>
                <w:highlight w:val="none"/>
                <w14:textFill>
                  <w14:solidFill>
                    <w14:schemeClr w14:val="tx1"/>
                  </w14:solidFill>
                </w14:textFill>
              </w:rPr>
              <w:t>行保管、封存，并作为履约验收的参考。</w:t>
            </w:r>
          </w:p>
          <w:p w14:paraId="0E5B863D">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w:t>
            </w:r>
            <w:r>
              <w:rPr>
                <w:rFonts w:ascii="仿宋" w:hAnsi="仿宋" w:eastAsia="仿宋"/>
                <w:b/>
                <w:color w:val="000000" w:themeColor="text1"/>
                <w:sz w:val="24"/>
                <w:highlight w:val="none"/>
                <w14:textFill>
                  <w14:solidFill>
                    <w14:schemeClr w14:val="tx1"/>
                  </w14:solidFill>
                </w14:textFill>
              </w:rPr>
              <w:t>）制作、运输、安装和保管样品所发生的一切费用由投标人自理。</w:t>
            </w:r>
          </w:p>
        </w:tc>
      </w:tr>
      <w:tr w14:paraId="6F42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05925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C55EE8F">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方案讲解演示</w:t>
            </w:r>
          </w:p>
        </w:tc>
        <w:tc>
          <w:tcPr>
            <w:tcW w:w="6910" w:type="dxa"/>
            <w:vAlign w:val="center"/>
          </w:tcPr>
          <w:p w14:paraId="648569B5">
            <w:pPr>
              <w:spacing w:line="360" w:lineRule="auto"/>
              <w:rPr>
                <w:rFonts w:ascii="仿宋" w:hAnsi="仿宋" w:eastAsia="仿宋" w:cs="宋体"/>
                <w:b/>
                <w:color w:val="000000" w:themeColor="text1"/>
                <w:sz w:val="24"/>
                <w:highlight w:val="none"/>
                <w14:textFill>
                  <w14:solidFill>
                    <w14:schemeClr w14:val="tx1"/>
                  </w14:solidFill>
                </w14:textFill>
              </w:rPr>
            </w:pPr>
            <w:r>
              <w:rPr>
                <w:rFonts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kern w:val="0"/>
                <w:sz w:val="24"/>
                <w:highlight w:val="none"/>
                <w14:textFill>
                  <w14:solidFill>
                    <w14:schemeClr w14:val="tx1"/>
                  </w14:solidFill>
                </w14:textFill>
              </w:rPr>
              <w:t>A</w:t>
            </w:r>
            <w:r>
              <w:rPr>
                <w:rFonts w:hint="eastAsia" w:ascii="仿宋" w:hAnsi="仿宋" w:eastAsia="仿宋" w:cs="宋体"/>
                <w:b/>
                <w:color w:val="000000" w:themeColor="text1"/>
                <w:sz w:val="24"/>
                <w:highlight w:val="none"/>
                <w14:textFill>
                  <w14:solidFill>
                    <w14:schemeClr w14:val="tx1"/>
                  </w14:solidFill>
                </w14:textFill>
              </w:rPr>
              <w:t>不组织。</w:t>
            </w:r>
          </w:p>
          <w:p w14:paraId="5745CFB2">
            <w:pPr>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en-US" w:eastAsia="zh-CN"/>
                <w14:textFill>
                  <w14:solidFill>
                    <w14:schemeClr w14:val="tx1"/>
                  </w14:solidFill>
                </w14:textFill>
              </w:rPr>
              <w:t>B</w:t>
            </w:r>
            <w:r>
              <w:rPr>
                <w:rFonts w:hint="eastAsia" w:ascii="仿宋" w:hAnsi="仿宋" w:eastAsia="仿宋" w:cs="宋体"/>
                <w:b/>
                <w:color w:val="000000" w:themeColor="text1"/>
                <w:kern w:val="0"/>
                <w:sz w:val="24"/>
                <w:highlight w:val="none"/>
                <w14:textFill>
                  <w14:solidFill>
                    <w14:schemeClr w14:val="tx1"/>
                  </w14:solidFill>
                </w14:textFill>
              </w:rPr>
              <w:t>组织。</w:t>
            </w:r>
          </w:p>
          <w:p w14:paraId="4249F43A">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（1）评标时安排每个投标人进行方案演示。每个投标人时间不超过10分钟，演示次序以投标文件解密时间先后次序为准，演示人员不超过3人。</w:t>
            </w:r>
          </w:p>
          <w:p w14:paraId="7DC14433">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（2）现场方案演示：</w:t>
            </w:r>
          </w:p>
          <w:p w14:paraId="77C5CDDE">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①现场演示签到截止时间：</w:t>
            </w:r>
            <w:r>
              <w:rPr>
                <w:rFonts w:hint="eastAsia" w:ascii="仿宋" w:hAnsi="仿宋" w:eastAsia="仿宋" w:cs="宋体"/>
                <w:b/>
                <w:color w:val="000000" w:themeColor="text1"/>
                <w:kern w:val="0"/>
                <w:sz w:val="24"/>
                <w:highlight w:val="none"/>
                <w:u w:val="single"/>
                <w14:textFill>
                  <w14:solidFill>
                    <w14:schemeClr w14:val="tx1"/>
                  </w14:solidFill>
                </w14:textFill>
              </w:rPr>
              <w:t>同本项目</w:t>
            </w:r>
            <w:r>
              <w:rPr>
                <w:rFonts w:hint="eastAsia" w:ascii="仿宋" w:hAnsi="仿宋" w:eastAsia="仿宋" w:cs="宋体"/>
                <w:b/>
                <w:color w:val="000000" w:themeColor="text1"/>
                <w:sz w:val="24"/>
                <w:highlight w:val="none"/>
                <w:u w:val="single"/>
                <w14:textFill>
                  <w14:solidFill>
                    <w14:schemeClr w14:val="tx1"/>
                  </w14:solidFill>
                </w14:textFill>
              </w:rPr>
              <w:t>提交投标文件截止时间；迟到或未到视作放弃演示</w:t>
            </w:r>
            <w:r>
              <w:rPr>
                <w:rFonts w:hint="eastAsia" w:ascii="仿宋" w:hAnsi="仿宋" w:eastAsia="仿宋" w:cs="宋体"/>
                <w:b/>
                <w:color w:val="000000" w:themeColor="text1"/>
                <w:sz w:val="24"/>
                <w:highlight w:val="none"/>
                <w14:textFill>
                  <w14:solidFill>
                    <w14:schemeClr w14:val="tx1"/>
                  </w14:solidFill>
                </w14:textFill>
              </w:rPr>
              <w:t>。</w:t>
            </w:r>
          </w:p>
          <w:p w14:paraId="5B1E1CB0">
            <w:pPr>
              <w:snapToGrid w:val="0"/>
              <w:spacing w:line="360" w:lineRule="auto"/>
              <w:rPr>
                <w:rFonts w:ascii="仿宋" w:hAnsi="仿宋" w:eastAsia="仿宋"/>
                <w:b/>
                <w:color w:val="000000" w:themeColor="text1"/>
                <w:kern w:val="0"/>
                <w:sz w:val="24"/>
                <w:highlight w:val="none"/>
                <w:u w:val="singl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②现场演示地点：</w:t>
            </w:r>
            <w:r>
              <w:rPr>
                <w:rFonts w:hint="eastAsia" w:ascii="仿宋" w:hAnsi="仿宋" w:eastAsia="仿宋"/>
                <w:b/>
                <w:color w:val="000000" w:themeColor="text1"/>
                <w:kern w:val="0"/>
                <w:sz w:val="24"/>
                <w:highlight w:val="none"/>
                <w14:textFill>
                  <w14:solidFill>
                    <w14:schemeClr w14:val="tx1"/>
                  </w14:solidFill>
                </w14:textFill>
              </w:rPr>
              <w:t>。</w:t>
            </w:r>
          </w:p>
          <w:p w14:paraId="4F4C82A2">
            <w:pPr>
              <w:pStyle w:val="6"/>
              <w:ind w:left="0" w:firstLine="0"/>
              <w:jc w:val="both"/>
              <w:outlineLvl w:val="1"/>
              <w:rPr>
                <w:rFonts w:ascii="仿宋" w:eastAsia="仿宋"/>
                <w:bCs w:val="0"/>
                <w:color w:val="000000" w:themeColor="text1"/>
                <w:kern w:val="0"/>
                <w:sz w:val="24"/>
                <w:szCs w:val="24"/>
                <w:highlight w:val="none"/>
                <w:u w:val="single"/>
                <w:lang w:val="en-US"/>
                <w14:textFill>
                  <w14:solidFill>
                    <w14:schemeClr w14:val="tx1"/>
                  </w14:solidFill>
                </w14:textFill>
              </w:rPr>
            </w:pPr>
            <w:r>
              <w:rPr>
                <w:rFonts w:hint="eastAsia" w:ascii="仿宋" w:eastAsia="仿宋"/>
                <w:bCs w:val="0"/>
                <w:color w:val="000000" w:themeColor="text1"/>
                <w:kern w:val="0"/>
                <w:sz w:val="24"/>
                <w:szCs w:val="24"/>
                <w:highlight w:val="none"/>
                <w:lang w:val="en-US"/>
                <w14:textFill>
                  <w14:solidFill>
                    <w14:schemeClr w14:val="tx1"/>
                  </w14:solidFill>
                </w14:textFill>
              </w:rPr>
              <w:t>③参加现场演示人员：</w:t>
            </w:r>
            <w:r>
              <w:rPr>
                <w:rFonts w:hint="eastAsia" w:ascii="仿宋" w:eastAsia="仿宋"/>
                <w:bCs w:val="0"/>
                <w:color w:val="000000" w:themeColor="text1"/>
                <w:kern w:val="0"/>
                <w:sz w:val="24"/>
                <w:szCs w:val="24"/>
                <w:highlight w:val="none"/>
                <w:u w:val="single"/>
                <w:lang w:val="en-US"/>
                <w14:textFill>
                  <w14:solidFill>
                    <w14:schemeClr w14:val="tx1"/>
                  </w14:solidFill>
                </w14:textFill>
              </w:rPr>
              <w:t>必须携带本人身份证及加盖投标人公章的演示人员名单，否则视作放弃演示。</w:t>
            </w:r>
          </w:p>
          <w:p w14:paraId="3E29376B">
            <w:pPr>
              <w:snapToGrid w:val="0"/>
              <w:spacing w:line="360" w:lineRule="auto"/>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④演示所用电脑等设备由投标人自备。</w:t>
            </w:r>
          </w:p>
          <w:p w14:paraId="77CF3BD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注：因投标人自身原因导致无法演示或者演示效果不理想的，责任自负。</w:t>
            </w:r>
          </w:p>
        </w:tc>
      </w:tr>
      <w:tr w14:paraId="38FF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141EBB87">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19D67506">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投标人应当提供的资格、资信证明文件</w:t>
            </w:r>
          </w:p>
        </w:tc>
        <w:tc>
          <w:tcPr>
            <w:tcW w:w="6910" w:type="dxa"/>
            <w:vAlign w:val="center"/>
          </w:tcPr>
          <w:p w14:paraId="08ABABFE">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（1）资格证明文件：见招标文件第二部分11.1。</w:t>
            </w:r>
          </w:p>
          <w:p w14:paraId="48F24D2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6E3C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2547D5ED">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3C9F897A">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p>
        </w:tc>
        <w:tc>
          <w:tcPr>
            <w:tcW w:w="6910" w:type="dxa"/>
            <w:vAlign w:val="center"/>
          </w:tcPr>
          <w:p w14:paraId="192E98F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（2）资信证明文件：根据招标文件第四部分评标标准提供。</w:t>
            </w:r>
          </w:p>
        </w:tc>
      </w:tr>
      <w:tr w14:paraId="3338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0EAACA">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9CF69E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节能产品、环境标志产品</w:t>
            </w:r>
          </w:p>
        </w:tc>
        <w:tc>
          <w:tcPr>
            <w:tcW w:w="6910" w:type="dxa"/>
            <w:vAlign w:val="center"/>
          </w:tcPr>
          <w:p w14:paraId="4D74C2C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C1B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4A142C">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330F46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报价要求</w:t>
            </w:r>
          </w:p>
        </w:tc>
        <w:tc>
          <w:tcPr>
            <w:tcW w:w="6910" w:type="dxa"/>
            <w:vAlign w:val="center"/>
          </w:tcPr>
          <w:p w14:paraId="1ABD0C97">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highlight w:val="none"/>
                <w:lang w:val="zh-CN"/>
                <w14:textFill>
                  <w14:solidFill>
                    <w14:schemeClr w14:val="tx1"/>
                  </w14:solidFill>
                </w14:textFill>
              </w:rPr>
              <w:t>投标文件</w:t>
            </w:r>
            <w:r>
              <w:rPr>
                <w:rFonts w:hint="eastAsia" w:ascii="仿宋" w:hAnsi="仿宋" w:eastAsia="仿宋"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5D23D843">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投标报价出现下列情形的，投标无效：</w:t>
            </w:r>
          </w:p>
          <w:p w14:paraId="42B7BEF7">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投标文件出现不是唯一的、有选择性投标报价的；</w:t>
            </w:r>
          </w:p>
          <w:p w14:paraId="051C4C99">
            <w:pPr>
              <w:snapToGrid w:val="0"/>
              <w:spacing w:line="360" w:lineRule="auto"/>
              <w:ind w:firstLine="241" w:firstLineChars="10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2004FDB0">
            <w:pPr>
              <w:spacing w:line="360" w:lineRule="auto"/>
              <w:ind w:firstLine="241" w:firstLineChars="1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4EFFAAC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highlight w:val="none"/>
                <w14:textFill>
                  <w14:solidFill>
                    <w14:schemeClr w14:val="tx1"/>
                  </w14:solidFill>
                </w14:textFill>
              </w:rPr>
              <w:t>。</w:t>
            </w:r>
          </w:p>
        </w:tc>
      </w:tr>
      <w:tr w14:paraId="5093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D102C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46C40983">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中小企业信用融资</w:t>
            </w:r>
          </w:p>
        </w:tc>
        <w:tc>
          <w:tcPr>
            <w:tcW w:w="6910" w:type="dxa"/>
            <w:vAlign w:val="center"/>
          </w:tcPr>
          <w:p w14:paraId="24969CA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B7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ABA224">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3A9108E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备份投标文件送达地点和签收人员</w:t>
            </w:r>
          </w:p>
        </w:tc>
        <w:tc>
          <w:tcPr>
            <w:tcW w:w="6910" w:type="dxa"/>
            <w:vAlign w:val="center"/>
          </w:tcPr>
          <w:p w14:paraId="4715106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kern w:val="28"/>
                <w:sz w:val="24"/>
                <w:highlight w:val="none"/>
                <w14:textFill>
                  <w14:solidFill>
                    <w14:schemeClr w14:val="tx1"/>
                  </w14:solidFill>
                </w14:textFill>
              </w:rPr>
              <w:t>备份投标文件送达地点：杭州市临平区南苑街道玩月街88号1幢10楼招标代理部前台；备份投标文件签收人员联系电话：丁敏0571-86235827。采购人、采购机构不强制或变相强制投标人提交备份投标文件。</w:t>
            </w:r>
          </w:p>
        </w:tc>
      </w:tr>
      <w:tr w14:paraId="0232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666DF662">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restart"/>
            <w:vAlign w:val="center"/>
          </w:tcPr>
          <w:p w14:paraId="5BF8F971">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特别说明</w:t>
            </w:r>
          </w:p>
        </w:tc>
        <w:tc>
          <w:tcPr>
            <w:tcW w:w="6910" w:type="dxa"/>
            <w:vAlign w:val="center"/>
          </w:tcPr>
          <w:p w14:paraId="3A75E765">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联合体投标的，联合体各方分别提供与联合体协议中规定的分工内容相应的业绩证明材料，业绩数量以提供材料较少的一方为准。招标文件第四部分评分标准有其他规定的，从其规定。</w:t>
            </w:r>
          </w:p>
        </w:tc>
      </w:tr>
      <w:tr w14:paraId="4CDD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773A0F1A">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6C922EB9">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55412A62">
            <w:pPr>
              <w:spacing w:line="360" w:lineRule="auto"/>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MS Mincho" w:cs="MS Mincho"/>
                <w:b/>
                <w:color w:val="000000" w:themeColor="text1"/>
                <w:kern w:val="0"/>
                <w:sz w:val="24"/>
                <w:highlight w:val="none"/>
                <w14:textFill>
                  <w14:solidFill>
                    <w14:schemeClr w14:val="tx1"/>
                  </w14:solidFill>
                </w14:textFill>
              </w:rPr>
              <w:t>☐</w:t>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7BBEABF6">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98B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78DDECE">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Merge w:val="continue"/>
            <w:vAlign w:val="center"/>
          </w:tcPr>
          <w:p w14:paraId="59EF9A09">
            <w:pPr>
              <w:adjustRightInd/>
              <w:spacing w:line="360" w:lineRule="auto"/>
              <w:outlineLvl w:val="0"/>
              <w:rPr>
                <w:rFonts w:ascii="仿宋" w:hAnsi="仿宋" w:eastAsia="仿宋" w:cs="仿宋_GB2312"/>
                <w:b/>
                <w:color w:val="000000" w:themeColor="text1"/>
                <w:sz w:val="24"/>
                <w:highlight w:val="none"/>
                <w14:textFill>
                  <w14:solidFill>
                    <w14:schemeClr w14:val="tx1"/>
                  </w14:solidFill>
                </w14:textFill>
              </w:rPr>
            </w:pPr>
          </w:p>
        </w:tc>
        <w:tc>
          <w:tcPr>
            <w:tcW w:w="6910" w:type="dxa"/>
            <w:vAlign w:val="center"/>
          </w:tcPr>
          <w:p w14:paraId="5F59A94C">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▲供应商以联合体形式投标的：在按招标文件要求提供联合协议，联合体投标的联合体各方承担连带责任。</w:t>
            </w:r>
          </w:p>
          <w:p w14:paraId="79E9633D">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69B460CA">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D364FF6">
            <w:pPr>
              <w:adjustRightInd/>
              <w:spacing w:line="360" w:lineRule="auto"/>
              <w:outlineLvl w:val="0"/>
              <w:rPr>
                <w:rFonts w:ascii="仿宋" w:hAnsi="仿宋" w:eastAsia="仿宋" w:cs="宋体"/>
                <w:b/>
                <w:snapToGrid w:val="0"/>
                <w:color w:val="000000" w:themeColor="text1"/>
                <w:kern w:val="28"/>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tc>
      </w:tr>
      <w:tr w14:paraId="4879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AA21F0">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00C541B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中标服务费</w:t>
            </w:r>
          </w:p>
        </w:tc>
        <w:tc>
          <w:tcPr>
            <w:tcW w:w="6910" w:type="dxa"/>
            <w:vAlign w:val="center"/>
          </w:tcPr>
          <w:p w14:paraId="00899D27">
            <w:pPr>
              <w:spacing w:line="360" w:lineRule="auto"/>
              <w:rPr>
                <w:rFonts w:ascii="仿宋" w:hAnsi="仿宋" w:eastAsia="仿宋"/>
                <w:b/>
                <w:snapToGrid w:val="0"/>
                <w:kern w:val="28"/>
                <w:sz w:val="24"/>
                <w:highlight w:val="none"/>
              </w:rPr>
            </w:pPr>
            <w:r>
              <w:rPr>
                <w:rFonts w:hint="eastAsia" w:ascii="仿宋" w:hAnsi="仿宋" w:eastAsia="仿宋"/>
                <w:b/>
                <w:snapToGrid w:val="0"/>
                <w:kern w:val="28"/>
                <w:sz w:val="24"/>
                <w:highlight w:val="none"/>
              </w:rPr>
              <w:t>中标人在领取中标通知书时需向招标代理机构支付人民</w:t>
            </w:r>
            <w:r>
              <w:rPr>
                <w:rFonts w:hint="eastAsia" w:ascii="仿宋" w:hAnsi="仿宋" w:eastAsia="仿宋"/>
                <w:b/>
                <w:snapToGrid w:val="0"/>
                <w:color w:val="auto"/>
                <w:kern w:val="28"/>
                <w:sz w:val="24"/>
                <w:highlight w:val="none"/>
              </w:rPr>
              <w:t>币</w:t>
            </w:r>
            <w:r>
              <w:rPr>
                <w:rFonts w:hint="eastAsia" w:ascii="仿宋" w:hAnsi="仿宋" w:eastAsia="仿宋"/>
                <w:b/>
                <w:snapToGrid w:val="0"/>
                <w:kern w:val="28"/>
                <w:sz w:val="24"/>
                <w:highlight w:val="none"/>
                <w:lang w:val="en-US" w:eastAsia="zh-CN"/>
              </w:rPr>
              <w:t>18000</w:t>
            </w:r>
            <w:r>
              <w:rPr>
                <w:rFonts w:hint="eastAsia" w:ascii="仿宋" w:hAnsi="仿宋" w:eastAsia="仿宋"/>
                <w:b/>
                <w:snapToGrid w:val="0"/>
                <w:color w:val="auto"/>
                <w:kern w:val="28"/>
                <w:sz w:val="24"/>
                <w:highlight w:val="none"/>
              </w:rPr>
              <w:t>元中标服务费</w:t>
            </w:r>
            <w:r>
              <w:rPr>
                <w:rFonts w:hint="eastAsia" w:ascii="仿宋" w:hAnsi="仿宋" w:eastAsia="仿宋"/>
                <w:b/>
                <w:snapToGrid w:val="0"/>
                <w:kern w:val="28"/>
                <w:sz w:val="24"/>
                <w:highlight w:val="none"/>
              </w:rPr>
              <w:t>，费用包含在总报价中，不单独列项报价。</w:t>
            </w:r>
          </w:p>
          <w:p w14:paraId="08A53CE3">
            <w:pPr>
              <w:spacing w:line="360" w:lineRule="auto"/>
              <w:rPr>
                <w:rFonts w:hint="eastAsia" w:ascii="仿宋" w:hAnsi="仿宋" w:eastAsia="仿宋"/>
                <w:b/>
                <w:snapToGrid w:val="0"/>
                <w:kern w:val="28"/>
                <w:sz w:val="24"/>
                <w:highlight w:val="none"/>
              </w:rPr>
            </w:pPr>
            <w:r>
              <w:rPr>
                <w:rFonts w:hint="eastAsia" w:ascii="仿宋" w:hAnsi="仿宋" w:eastAsia="仿宋"/>
                <w:b/>
                <w:snapToGrid w:val="0"/>
                <w:kern w:val="28"/>
                <w:sz w:val="24"/>
                <w:highlight w:val="none"/>
              </w:rPr>
              <w:t>中标服务费的交纳方式：以转帐或支票的形式支付，开户名：天阳建设管理有限公司余杭分公司；开户行名称：中信银行杭州余杭支行 帐号：8110801012202411396</w:t>
            </w:r>
          </w:p>
          <w:p w14:paraId="62773599">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kern w:val="28"/>
                <w:sz w:val="24"/>
                <w:highlight w:val="none"/>
              </w:rPr>
              <w:t>中标单位需在领取中标通知书时缴纳中标服务费，缴纳时注明招标编号。</w:t>
            </w:r>
          </w:p>
        </w:tc>
      </w:tr>
      <w:tr w14:paraId="3F18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49B4F3">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20800C8E">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纸质投标文件</w:t>
            </w:r>
          </w:p>
        </w:tc>
        <w:tc>
          <w:tcPr>
            <w:tcW w:w="6910" w:type="dxa"/>
            <w:vAlign w:val="center"/>
          </w:tcPr>
          <w:p w14:paraId="75A56452">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b/>
                <w:snapToGrid w:val="0"/>
                <w:color w:val="000000" w:themeColor="text1"/>
                <w:kern w:val="28"/>
                <w:sz w:val="24"/>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tr w14:paraId="56AB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926D4D">
            <w:pPr>
              <w:numPr>
                <w:ilvl w:val="0"/>
                <w:numId w:val="3"/>
              </w:numPr>
              <w:adjustRightInd/>
              <w:spacing w:line="360" w:lineRule="auto"/>
              <w:outlineLvl w:val="0"/>
              <w:rPr>
                <w:rFonts w:ascii="仿宋" w:hAnsi="仿宋" w:eastAsia="仿宋" w:cs="宋体"/>
                <w:b/>
                <w:color w:val="000000" w:themeColor="text1"/>
                <w:sz w:val="28"/>
                <w:szCs w:val="28"/>
                <w:highlight w:val="none"/>
                <w14:textFill>
                  <w14:solidFill>
                    <w14:schemeClr w14:val="tx1"/>
                  </w14:solidFill>
                </w14:textFill>
              </w:rPr>
            </w:pPr>
          </w:p>
        </w:tc>
        <w:tc>
          <w:tcPr>
            <w:tcW w:w="1559" w:type="dxa"/>
            <w:vAlign w:val="center"/>
          </w:tcPr>
          <w:p w14:paraId="5434C70B">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评标委员会推荐中标候选人的个数</w:t>
            </w:r>
          </w:p>
        </w:tc>
        <w:tc>
          <w:tcPr>
            <w:tcW w:w="6910" w:type="dxa"/>
            <w:vAlign w:val="center"/>
          </w:tcPr>
          <w:p w14:paraId="505951E4">
            <w:pPr>
              <w:adjustRightInd/>
              <w:spacing w:line="360" w:lineRule="auto"/>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1个。</w:t>
            </w:r>
          </w:p>
        </w:tc>
      </w:tr>
    </w:tbl>
    <w:p w14:paraId="2A0F6FE6">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p>
    <w:p w14:paraId="1A63A2B5">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一、总则</w:t>
      </w:r>
    </w:p>
    <w:p w14:paraId="37FBA0A4">
      <w:pPr>
        <w:snapToGrid w:val="0"/>
        <w:spacing w:line="360" w:lineRule="auto"/>
        <w:ind w:firstLine="0" w:firstLineChars="0"/>
        <w:jc w:val="left"/>
        <w:outlineLvl w:val="1"/>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 适用范围</w:t>
      </w:r>
    </w:p>
    <w:p w14:paraId="60116CF7">
      <w:pPr>
        <w:snapToGrid w:val="0"/>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5DF73E64">
      <w:pPr>
        <w:adjustRightInd/>
        <w:spacing w:line="360" w:lineRule="auto"/>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2.定义</w:t>
      </w:r>
    </w:p>
    <w:p w14:paraId="0B659B6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 “采购人”系指招标公告中载明的本项目的采购人。</w:t>
      </w:r>
    </w:p>
    <w:p w14:paraId="64F3597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 “采购代理机构”系指招标公告中载明的本项目的采购代理机构。</w:t>
      </w:r>
    </w:p>
    <w:p w14:paraId="1878040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 “投标人”系指是指响应招标、参加投标竞争的法人、其他组织或者自然人。</w:t>
      </w:r>
    </w:p>
    <w:p w14:paraId="0C15883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4BE688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8CDEC98">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2.6“电子交易平台”是指本项目政府采购活动所依托的政府采购云平台（https://www.zcygov.cn/）。</w:t>
      </w:r>
    </w:p>
    <w:p w14:paraId="45F5465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2.7 “▲”系指实质性要求条款，“</w:t>
      </w:r>
      <w:r>
        <w:rPr>
          <w:rFonts w:hint="eastAsia" w:ascii="仿宋" w:hAnsi="仿宋" w:eastAsia="仿宋" w:cs="Arial"/>
          <w:b/>
          <w:color w:val="000000" w:themeColor="text1"/>
          <w:kern w:val="0"/>
          <w:sz w:val="24"/>
          <w:highlight w:val="none"/>
          <w14:textFill>
            <w14:solidFill>
              <w14:schemeClr w14:val="tx1"/>
            </w14:solidFill>
          </w14:textFill>
        </w:rPr>
        <w:sym w:font="Wingdings" w:char="F0FE"/>
      </w:r>
      <w:r>
        <w:rPr>
          <w:rFonts w:hint="eastAsia" w:ascii="仿宋" w:hAnsi="仿宋" w:eastAsia="仿宋" w:cs="宋体"/>
          <w:color w:val="000000" w:themeColor="text1"/>
          <w:sz w:val="24"/>
          <w:highlight w:val="none"/>
          <w14:textFill>
            <w14:solidFill>
              <w14:schemeClr w14:val="tx1"/>
            </w14:solidFill>
          </w14:textFill>
        </w:rPr>
        <w:t>”系指适用本项目的要求，“</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”系指不适用本项目的要求。</w:t>
      </w:r>
    </w:p>
    <w:p w14:paraId="7DC364F9">
      <w:pPr>
        <w:spacing w:line="360" w:lineRule="auto"/>
        <w:ind w:firstLine="0" w:firstLineChars="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3.采购项目需要落实的政府采购政策</w:t>
      </w:r>
    </w:p>
    <w:p w14:paraId="7DA3AB8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1C64EA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 支持绿色发展</w:t>
      </w:r>
    </w:p>
    <w:p w14:paraId="2A1DF6FA">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2736824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3.2.2修缮、装修类项目采购建材的，采购人应将绿色建筑和绿色建材性能、指标等作为实质性条件纳入招标文件和合同。</w:t>
      </w:r>
    </w:p>
    <w:p w14:paraId="733C953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0116B97">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3.3支持中小企业发展</w:t>
      </w:r>
    </w:p>
    <w:p w14:paraId="1E54B24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82CD7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符合中小企业划分标准的个体工商户，在政府采购活动中视同中小企业。</w:t>
      </w:r>
    </w:p>
    <w:p w14:paraId="66FA7043">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bCs/>
          <w:color w:val="000000" w:themeColor="text1"/>
          <w:sz w:val="24"/>
          <w:highlight w:val="none"/>
          <w14:textFill>
            <w14:solidFill>
              <w14:schemeClr w14:val="tx1"/>
            </w14:solidFill>
          </w14:textFill>
        </w:rPr>
        <w:t>3.3.2</w:t>
      </w:r>
      <w:r>
        <w:rPr>
          <w:rFonts w:hint="eastAsia" w:ascii="仿宋" w:hAnsi="仿宋" w:eastAsia="仿宋"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342075">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C89FBE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66BFCCA">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C6F7701">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6E8EF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7C691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7E467E4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w:t>
      </w:r>
      <w:r>
        <w:rPr>
          <w:rFonts w:hint="eastAsia" w:ascii="仿宋" w:hAnsi="仿宋" w:eastAsia="仿宋" w:cs="宋体"/>
          <w:bCs/>
          <w:color w:val="000000" w:themeColor="text1"/>
          <w:sz w:val="24"/>
          <w:highlight w:val="none"/>
          <w14:textFill>
            <w14:solidFill>
              <w14:schemeClr w14:val="tx1"/>
            </w14:solidFill>
          </w14:textFill>
        </w:rPr>
        <w:t>支持创新发展</w:t>
      </w:r>
    </w:p>
    <w:p w14:paraId="07B0736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3.4.1 采购人优先采购被认定为首台套产品和“制造精品”的自主创新产品。</w:t>
      </w:r>
    </w:p>
    <w:p w14:paraId="798A383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3.4.2首台套产品被纳入《首台套产品推广应用指导目录》之日起</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43936E0B">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3.4.3 </w:t>
      </w:r>
      <w:r>
        <w:rPr>
          <w:rFonts w:hint="eastAsia" w:ascii="仿宋" w:hAnsi="仿宋" w:eastAsia="仿宋" w:cs="宋体"/>
          <w:color w:val="000000" w:themeColor="text1"/>
          <w:sz w:val="24"/>
          <w:highlight w:val="none"/>
          <w:lang w:val="en-US" w:eastAsia="zh-CN"/>
          <w14:textFill>
            <w14:solidFill>
              <w14:schemeClr w14:val="tx1"/>
            </w14:solidFill>
          </w14:textFill>
        </w:rPr>
        <w:t>采购人应当贯彻落实知识产权保护相关法律法规，</w:t>
      </w:r>
      <w:r>
        <w:rPr>
          <w:rFonts w:hint="eastAsia" w:ascii="仿宋" w:hAnsi="仿宋" w:eastAsia="仿宋" w:cs="宋体"/>
          <w:color w:val="000000" w:themeColor="text1"/>
          <w:sz w:val="24"/>
          <w:highlight w:val="none"/>
          <w:lang w:val="en-US"/>
          <w14:textFill>
            <w14:solidFill>
              <w14:schemeClr w14:val="tx1"/>
            </w14:solidFill>
          </w14:textFill>
        </w:rPr>
        <w:t>应当采购使用正版软件。</w:t>
      </w:r>
    </w:p>
    <w:p w14:paraId="227F3C17">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3.5平等对待内外资企业和符合条件的破产重整企业</w:t>
      </w:r>
    </w:p>
    <w:p w14:paraId="2F0F1F2D">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宋体"/>
          <w:color w:val="000000" w:themeColor="text1"/>
          <w:sz w:val="24"/>
          <w:highlight w:val="none"/>
          <w14:textFill>
            <w14:solidFill>
              <w14:schemeClr w14:val="tx1"/>
            </w14:solidFill>
          </w14:textFill>
        </w:rPr>
        <w:cr/>
      </w:r>
      <w:r>
        <w:rPr>
          <w:rFonts w:hint="eastAsia" w:ascii="仿宋" w:hAnsi="仿宋" w:eastAsia="仿宋" w:cs="宋体"/>
          <w:b/>
          <w:color w:val="000000" w:themeColor="text1"/>
          <w:sz w:val="24"/>
          <w:highlight w:val="none"/>
          <w14:textFill>
            <w14:solidFill>
              <w14:schemeClr w14:val="tx1"/>
            </w14:solidFill>
          </w14:textFill>
        </w:rPr>
        <w:t>4. 询问、质疑、投诉、补偿救济</w:t>
      </w:r>
    </w:p>
    <w:p w14:paraId="22E2CEE5">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96A062">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4.2供应商询问</w:t>
      </w:r>
    </w:p>
    <w:p w14:paraId="5587210F">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9274E8">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4.3供应商质疑</w:t>
      </w:r>
    </w:p>
    <w:p w14:paraId="14124585">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FB8EE7D">
      <w:pPr>
        <w:pStyle w:val="35"/>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w:t>
      </w:r>
      <w:r>
        <w:rPr>
          <w:rFonts w:hint="eastAsia" w:ascii="仿宋" w:hAnsi="仿宋" w:eastAsia="仿宋"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7DD1DFB">
      <w:pPr>
        <w:pStyle w:val="8"/>
        <w:spacing w:line="360" w:lineRule="auto"/>
        <w:ind w:firstLine="480" w:firstLineChars="200"/>
        <w:rPr>
          <w:rFonts w:ascii="仿宋" w:hAnsi="仿宋" w:eastAsia="仿宋" w:cs="宋体"/>
          <w:color w:val="000000" w:themeColor="text1"/>
          <w:kern w:val="2"/>
          <w:sz w:val="24"/>
          <w:highlight w:val="none"/>
          <w14:textFill>
            <w14:solidFill>
              <w14:schemeClr w14:val="tx1"/>
            </w14:solidFill>
          </w14:textFill>
        </w:rPr>
      </w:pPr>
      <w:r>
        <w:rPr>
          <w:rFonts w:hint="eastAsia" w:ascii="仿宋" w:hAnsi="仿宋" w:eastAsia="仿宋"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DD4BC1C">
      <w:pPr>
        <w:pStyle w:val="35"/>
        <w:spacing w:line="360" w:lineRule="auto"/>
        <w:ind w:left="479" w:leftChars="228"/>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2367A97">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w:t>
      </w:r>
      <w:r>
        <w:rPr>
          <w:rFonts w:hint="eastAsia" w:ascii="仿宋" w:hAnsi="仿宋" w:eastAsia="仿宋" w:cs="宋体"/>
          <w:color w:val="000000" w:themeColor="text1"/>
          <w:sz w:val="24"/>
          <w:highlight w:val="none"/>
          <w14:textFill>
            <w14:solidFill>
              <w14:schemeClr w14:val="tx1"/>
            </w14:solidFill>
          </w14:textFill>
        </w:rPr>
        <w:t>供应商提出质疑应当提交质疑函和必要的证明材料。质疑函应当包括下列内容：</w:t>
      </w:r>
    </w:p>
    <w:p w14:paraId="51FC7B06">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4.3.3.1供应商的姓名或者名称、地址、邮编、联系人及联系电话；</w:t>
      </w:r>
    </w:p>
    <w:p w14:paraId="186CEC20">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4.3.3.2质疑项目的名称、编号；</w:t>
      </w:r>
    </w:p>
    <w:p w14:paraId="738DD767">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4.3.3.3具体、明确的质疑事项和与质疑事项相关的请求；</w:t>
      </w:r>
    </w:p>
    <w:p w14:paraId="2FF14DEE">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4.3.3.4事实依据；</w:t>
      </w:r>
    </w:p>
    <w:p w14:paraId="5D242830">
      <w:pPr>
        <w:pStyle w:val="35"/>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4.3.3.5必要的法律依据；</w:t>
      </w:r>
    </w:p>
    <w:p w14:paraId="534E8808">
      <w:pPr>
        <w:pStyle w:val="35"/>
        <w:spacing w:line="360" w:lineRule="auto"/>
        <w:ind w:firstLine="960" w:firstLineChars="4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4.3.3.6提出质疑的日期。</w:t>
      </w:r>
    </w:p>
    <w:p w14:paraId="225C4A1F">
      <w:pPr>
        <w:pStyle w:val="573"/>
        <w:shd w:val="clear" w:color="auto" w:fill="FFFFFF"/>
        <w:snapToGrid w:val="0"/>
        <w:spacing w:before="0" w:beforeAutospacing="0" w:after="0" w:afterAutospacing="0" w:line="360" w:lineRule="auto"/>
        <w:ind w:firstLine="403"/>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B55510A">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质疑函范本及制作说明详见附件2。</w:t>
      </w:r>
    </w:p>
    <w:p w14:paraId="2959D7CA">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4.3.4对同一采购程序环节的质疑，供应商须在法定质疑期内一次性提出。</w:t>
      </w:r>
    </w:p>
    <w:p w14:paraId="5B8E102C">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03107A3">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4.3</w:t>
      </w:r>
      <w:r>
        <w:rPr>
          <w:rFonts w:hint="eastAsia" w:ascii="仿宋" w:hAnsi="仿宋" w:eastAsia="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5EE3C51B">
      <w:pPr>
        <w:pStyle w:val="573"/>
        <w:shd w:val="clear" w:color="auto" w:fill="FFFFFF"/>
        <w:snapToGrid w:val="0"/>
        <w:spacing w:after="240" w:afterAutospacing="0" w:line="360" w:lineRule="auto"/>
        <w:ind w:firstLine="480" w:firstLineChars="200"/>
        <w:contextualSpacing/>
        <w:rPr>
          <w:rFonts w:ascii="仿宋" w:hAnsi="仿宋" w:eastAsia="仿宋"/>
          <w:color w:val="000000" w:themeColor="text1"/>
          <w:highlight w:val="none"/>
          <w:lang w:val="zh-CN"/>
          <w14:textFill>
            <w14:solidFill>
              <w14:schemeClr w14:val="tx1"/>
            </w14:solidFill>
          </w14:textFill>
        </w:rPr>
      </w:pPr>
      <w:r>
        <w:rPr>
          <w:rFonts w:hint="eastAsia" w:ascii="仿宋" w:hAnsi="仿宋" w:eastAsia="仿宋"/>
          <w:color w:val="000000" w:themeColor="text1"/>
          <w:highlight w:val="none"/>
          <w:lang w:val="zh-CN"/>
          <w14:textFill>
            <w14:solidFill>
              <w14:schemeClr w14:val="tx1"/>
            </w14:solidFill>
          </w14:textFill>
        </w:rPr>
        <w:t>4.4供应商投诉</w:t>
      </w:r>
    </w:p>
    <w:p w14:paraId="29165399">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40C7AAC5">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w:t>
      </w:r>
      <w:r>
        <w:rPr>
          <w:rFonts w:hint="eastAsia" w:ascii="仿宋" w:hAnsi="仿宋" w:eastAsia="仿宋"/>
          <w:color w:val="000000" w:themeColor="text1"/>
          <w:highlight w:val="none"/>
          <w:lang w:val="zh-CN"/>
          <w14:textFill>
            <w14:solidFill>
              <w14:schemeClr w14:val="tx1"/>
            </w14:solidFill>
          </w14:textFill>
        </w:rPr>
        <w:t>2</w:t>
      </w:r>
      <w:r>
        <w:rPr>
          <w:rFonts w:hint="eastAsia" w:ascii="仿宋" w:hAnsi="仿宋" w:eastAsia="仿宋"/>
          <w:color w:val="000000" w:themeColor="text1"/>
          <w:highlight w:val="none"/>
          <w14:textFill>
            <w14:solidFill>
              <w14:schemeClr w14:val="tx1"/>
            </w14:solidFill>
          </w14:textFill>
        </w:rPr>
        <w:t>供应商投诉的事项不得超出已质疑事项的范围，基于质疑答复内容提出的投诉事项除外。</w:t>
      </w:r>
    </w:p>
    <w:p w14:paraId="577AE759">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4.4.3供应商投诉应当有明确的请求和必要的证明材料。</w:t>
      </w:r>
    </w:p>
    <w:p w14:paraId="14809B30">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4.4.4以联合体形式参加政府采购活动的，其投诉应当由组成联合体的所有供应商共同提出。</w:t>
      </w:r>
    </w:p>
    <w:p w14:paraId="388041C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投诉书范本及制作说明详见附件3。</w:t>
      </w:r>
    </w:p>
    <w:p w14:paraId="4EDD14DB">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4.5 补偿救济</w:t>
      </w:r>
    </w:p>
    <w:p w14:paraId="298D141A">
      <w:pPr>
        <w:pStyle w:val="573"/>
        <w:shd w:val="clear" w:color="auto" w:fill="FFFFFF"/>
        <w:snapToGrid w:val="0"/>
        <w:spacing w:after="240" w:afterAutospacing="0" w:line="360" w:lineRule="auto"/>
        <w:ind w:firstLine="400"/>
        <w:contextualSpacing/>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629025C8">
      <w:pPr>
        <w:pStyle w:val="87"/>
        <w:snapToGrid w:val="0"/>
        <w:spacing w:before="0"/>
        <w:ind w:firstLine="360"/>
        <w:rPr>
          <w:rFonts w:ascii="仿宋" w:hAnsi="仿宋" w:eastAsia="仿宋" w:cs="宋体"/>
          <w:color w:val="000000" w:themeColor="text1"/>
          <w:sz w:val="18"/>
          <w:szCs w:val="18"/>
          <w:highlight w:val="none"/>
          <w14:textFill>
            <w14:solidFill>
              <w14:schemeClr w14:val="tx1"/>
            </w14:solidFill>
          </w14:textFill>
        </w:rPr>
      </w:pPr>
    </w:p>
    <w:p w14:paraId="4EEF9867">
      <w:pPr>
        <w:adjustRightInd/>
        <w:spacing w:line="360" w:lineRule="auto"/>
        <w:jc w:val="center"/>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 xml:space="preserve">      二、招标文件的构成、澄清、修改</w:t>
      </w:r>
    </w:p>
    <w:p w14:paraId="0EE45A2B">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5．招标文件的构成</w:t>
      </w:r>
    </w:p>
    <w:p w14:paraId="5C33BAA0">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 招标文件包括下列文件及附件：</w:t>
      </w:r>
    </w:p>
    <w:p w14:paraId="227EA61E">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5.1.1招标公告；</w:t>
      </w:r>
    </w:p>
    <w:p w14:paraId="34093345">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5.1.2投标人须知；</w:t>
      </w:r>
    </w:p>
    <w:p w14:paraId="2307736F">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5.1.3采购需求；</w:t>
      </w:r>
    </w:p>
    <w:p w14:paraId="43876B9B">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5.1.4评标办法；</w:t>
      </w:r>
    </w:p>
    <w:p w14:paraId="10565A2B">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5.1.5拟签订的合同文本；</w:t>
      </w:r>
    </w:p>
    <w:p w14:paraId="428B2ADB">
      <w:pPr>
        <w:pStyle w:val="35"/>
        <w:tabs>
          <w:tab w:val="left" w:pos="840"/>
        </w:tabs>
        <w:spacing w:line="360" w:lineRule="auto"/>
        <w:ind w:firstLine="960" w:firstLineChars="4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5.1.6</w:t>
      </w:r>
      <w:r>
        <w:rPr>
          <w:rFonts w:hint="eastAsia" w:ascii="仿宋" w:hAnsi="仿宋" w:eastAsia="仿宋" w:cs="宋体"/>
          <w:color w:val="000000" w:themeColor="text1"/>
          <w:sz w:val="24"/>
          <w:szCs w:val="24"/>
          <w:highlight w:val="none"/>
          <w14:textFill>
            <w14:solidFill>
              <w14:schemeClr w14:val="tx1"/>
            </w14:solidFill>
          </w14:textFill>
        </w:rPr>
        <w:t>应提交的有关格式范例。</w:t>
      </w:r>
    </w:p>
    <w:p w14:paraId="73A9032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5.2与本项目有关的</w:t>
      </w:r>
      <w:r>
        <w:rPr>
          <w:rFonts w:hint="eastAsia" w:ascii="仿宋" w:hAnsi="仿宋" w:eastAsia="仿宋" w:cs="宋体"/>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宋体"/>
          <w:color w:val="000000" w:themeColor="text1"/>
          <w:sz w:val="24"/>
          <w:highlight w:val="none"/>
          <w14:textFill>
            <w14:solidFill>
              <w14:schemeClr w14:val="tx1"/>
            </w14:solidFill>
          </w14:textFill>
        </w:rPr>
        <w:t>。</w:t>
      </w:r>
    </w:p>
    <w:p w14:paraId="11B704C3">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6. 招标文件的澄清、修改</w:t>
      </w:r>
    </w:p>
    <w:p w14:paraId="38D0E22B">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43E4684">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94EB26">
      <w:pPr>
        <w:pStyle w:val="2"/>
        <w:rPr>
          <w:rFonts w:ascii="仿宋" w:hAnsi="仿宋" w:eastAsia="仿宋" w:cs="宋体"/>
          <w:color w:val="000000" w:themeColor="text1"/>
          <w:sz w:val="18"/>
          <w:szCs w:val="18"/>
          <w:highlight w:val="none"/>
          <w:lang w:val="en-US"/>
          <w14:textFill>
            <w14:solidFill>
              <w14:schemeClr w14:val="tx1"/>
            </w14:solidFill>
          </w14:textFill>
        </w:rPr>
      </w:pPr>
    </w:p>
    <w:p w14:paraId="5D5CB676">
      <w:pPr>
        <w:adjustRightInd/>
        <w:spacing w:line="360" w:lineRule="auto"/>
        <w:jc w:val="center"/>
        <w:outlineLvl w:val="0"/>
        <w:rPr>
          <w:rFonts w:ascii="仿宋" w:hAnsi="仿宋" w:eastAsia="仿宋" w:cs="宋体"/>
          <w:b/>
          <w:color w:val="000000" w:themeColor="text1"/>
          <w:sz w:val="30"/>
          <w:szCs w:val="20"/>
          <w:highlight w:val="none"/>
          <w14:textFill>
            <w14:solidFill>
              <w14:schemeClr w14:val="tx1"/>
            </w14:solidFill>
          </w14:textFill>
        </w:rPr>
      </w:pPr>
      <w:r>
        <w:rPr>
          <w:rFonts w:hint="eastAsia" w:ascii="仿宋" w:hAnsi="仿宋" w:eastAsia="仿宋" w:cs="宋体"/>
          <w:b/>
          <w:color w:val="000000" w:themeColor="text1"/>
          <w:sz w:val="30"/>
          <w:szCs w:val="20"/>
          <w:highlight w:val="none"/>
          <w14:textFill>
            <w14:solidFill>
              <w14:schemeClr w14:val="tx1"/>
            </w14:solidFill>
          </w14:textFill>
        </w:rPr>
        <w:t>三、投标</w:t>
      </w:r>
    </w:p>
    <w:p w14:paraId="413FFEF1">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7. 招标文件的获取</w:t>
      </w:r>
    </w:p>
    <w:p w14:paraId="1FBF7E00">
      <w:pPr>
        <w:spacing w:line="360" w:lineRule="auto"/>
        <w:ind w:firstLine="480" w:firstLineChars="200"/>
        <w:rPr>
          <w:rFonts w:ascii="仿宋" w:hAnsi="仿宋" w:eastAsia="仿宋" w:cs="宋体"/>
          <w:snapToGrid w:val="0"/>
          <w:color w:val="000000" w:themeColor="text1"/>
          <w:kern w:val="28"/>
          <w:sz w:val="24"/>
          <w:highlight w:val="none"/>
          <w14:textFill>
            <w14:solidFill>
              <w14:schemeClr w14:val="tx1"/>
            </w14:solidFill>
          </w14:textFill>
        </w:rPr>
      </w:pPr>
      <w:r>
        <w:rPr>
          <w:rFonts w:hint="eastAsia" w:ascii="仿宋" w:hAnsi="仿宋" w:eastAsia="仿宋"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4EA2C9D">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8.开标前答疑会或现场考察</w:t>
      </w:r>
    </w:p>
    <w:p w14:paraId="7575000E">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25771686">
      <w:pPr>
        <w:pStyle w:val="35"/>
        <w:spacing w:line="360" w:lineRule="auto"/>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kern w:val="28"/>
          <w:sz w:val="24"/>
          <w:szCs w:val="24"/>
          <w:highlight w:val="none"/>
          <w14:textFill>
            <w14:solidFill>
              <w14:schemeClr w14:val="tx1"/>
            </w14:solidFill>
          </w14:textFill>
        </w:rPr>
        <w:t>9.投标保证金</w:t>
      </w:r>
    </w:p>
    <w:p w14:paraId="2540ADFF">
      <w:pPr>
        <w:pStyle w:val="8"/>
        <w:spacing w:line="360" w:lineRule="auto"/>
        <w:ind w:firstLine="470" w:firstLineChars="19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本项目不需缴纳投标保证金。</w:t>
      </w:r>
    </w:p>
    <w:p w14:paraId="0D8C4B01">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10. 投标文件的语言</w:t>
      </w:r>
    </w:p>
    <w:p w14:paraId="5FF3D4F1">
      <w:pPr>
        <w:autoSpaceDE w:val="0"/>
        <w:autoSpaceDN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投标文件及投标人与采购有关的来往通知、函件和文件均应使用中文。</w:t>
      </w:r>
    </w:p>
    <w:p w14:paraId="1B5F3C1A">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11. 投标文件的组成</w:t>
      </w:r>
    </w:p>
    <w:p w14:paraId="127443D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hint="eastAsia" w:ascii="仿宋" w:hAnsi="仿宋" w:eastAsia="仿宋" w:cs="宋体"/>
          <w:b/>
          <w:color w:val="000000" w:themeColor="text1"/>
          <w:sz w:val="24"/>
          <w:highlight w:val="none"/>
          <w14:textFill>
            <w14:solidFill>
              <w14:schemeClr w14:val="tx1"/>
            </w14:solidFill>
          </w14:textFill>
        </w:rPr>
        <w:t>资格文件</w:t>
      </w:r>
      <w:r>
        <w:rPr>
          <w:rFonts w:hint="eastAsia" w:ascii="仿宋" w:hAnsi="仿宋" w:eastAsia="仿宋" w:cs="宋体"/>
          <w:color w:val="000000" w:themeColor="text1"/>
          <w:sz w:val="24"/>
          <w:highlight w:val="none"/>
          <w14:textFill>
            <w14:solidFill>
              <w14:schemeClr w14:val="tx1"/>
            </w14:solidFill>
          </w14:textFill>
        </w:rPr>
        <w:t>：</w:t>
      </w:r>
    </w:p>
    <w:p w14:paraId="79BE314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11.1.1符合参加政府采购活动应当具备的一般条件的承诺函；</w:t>
      </w:r>
    </w:p>
    <w:p w14:paraId="2C6585E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ascii="仿宋" w:hAnsi="仿宋" w:eastAsia="仿宋" w:cs="宋体"/>
          <w:color w:val="000000" w:themeColor="text1"/>
          <w:sz w:val="24"/>
          <w:highlight w:val="none"/>
          <w14:textFill>
            <w14:solidFill>
              <w14:schemeClr w14:val="tx1"/>
            </w14:solidFill>
          </w14:textFill>
        </w:rPr>
        <w:t>1.1.2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联合协议（如果有)；</w:t>
      </w:r>
    </w:p>
    <w:p w14:paraId="0BC5678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0175EA27">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1BE57D8">
      <w:pPr>
        <w:snapToGrid w:val="0"/>
        <w:spacing w:line="360" w:lineRule="auto"/>
        <w:ind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3EBC997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11.2.1投标函；</w:t>
      </w:r>
    </w:p>
    <w:p w14:paraId="7196BDF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11.2.2授权委托书或法定代表人（单位负责人、自然人本人）身份证明；</w:t>
      </w:r>
    </w:p>
    <w:p w14:paraId="757CE9C1">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098D1908">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2E2407A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71FDAC1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4BE32C3C">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01FBC00D">
      <w:pPr>
        <w:snapToGrid w:val="0"/>
        <w:spacing w:line="360" w:lineRule="auto"/>
        <w:ind w:firstLine="960" w:firstLineChars="4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11.</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135AA290">
      <w:pPr>
        <w:snapToGrid w:val="0"/>
        <w:spacing w:line="360" w:lineRule="auto"/>
        <w:ind w:firstLine="480" w:firstLineChars="200"/>
        <w:rPr>
          <w:rFonts w:ascii="仿宋" w:hAnsi="仿宋" w:eastAsia="仿宋" w:cs="宋体"/>
          <w:color w:val="000000" w:themeColor="text1"/>
          <w:sz w:val="24"/>
          <w:highlight w:val="none"/>
          <w:u w:val="singl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11.</w:t>
      </w:r>
      <w:r>
        <w:rPr>
          <w:rFonts w:hint="eastAsia" w:ascii="仿宋" w:hAnsi="仿宋" w:eastAsia="仿宋" w:cs="宋体"/>
          <w:color w:val="000000" w:themeColor="text1"/>
          <w:kern w:val="0"/>
          <w:sz w:val="24"/>
          <w:highlight w:val="none"/>
          <w14:textFill>
            <w14:solidFill>
              <w14:schemeClr w14:val="tx1"/>
            </w14:solidFill>
          </w14:textFill>
        </w:rPr>
        <w:t>3</w:t>
      </w:r>
      <w:r>
        <w:rPr>
          <w:rFonts w:hint="eastAsia" w:ascii="仿宋" w:hAnsi="仿宋" w:eastAsia="仿宋" w:cs="宋体"/>
          <w:b/>
          <w:color w:val="000000" w:themeColor="text1"/>
          <w:sz w:val="24"/>
          <w:highlight w:val="none"/>
          <w14:textFill>
            <w14:solidFill>
              <w14:schemeClr w14:val="tx1"/>
            </w14:solidFill>
          </w14:textFill>
        </w:rPr>
        <w:t>报价文件：</w:t>
      </w:r>
    </w:p>
    <w:p w14:paraId="7E2C0593">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11.3.1开标一览表（报价表）；</w:t>
      </w:r>
    </w:p>
    <w:p w14:paraId="4A9EAF79">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11.3.2 报价情况说明（如供应商报价低于项目预算50%的，应当提交本文档，详细阐述不影响产品质量或者诚信履约的具体原因）；</w:t>
      </w:r>
    </w:p>
    <w:p w14:paraId="17502292">
      <w:pPr>
        <w:snapToGrid w:val="0"/>
        <w:spacing w:line="360" w:lineRule="auto"/>
        <w:ind w:firstLine="960" w:firstLineChars="4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11.3.3中小企业声明函</w:t>
      </w:r>
      <w:r>
        <w:rPr>
          <w:rFonts w:hint="eastAsia" w:ascii="仿宋" w:hAnsi="仿宋" w:eastAsia="仿宋" w:cs="宋体"/>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宋体"/>
          <w:color w:val="000000" w:themeColor="text1"/>
          <w:sz w:val="24"/>
          <w:highlight w:val="none"/>
          <w14:textFill>
            <w14:solidFill>
              <w14:schemeClr w14:val="tx1"/>
            </w14:solidFill>
          </w14:textFill>
        </w:rPr>
        <w:t>。</w:t>
      </w:r>
    </w:p>
    <w:p w14:paraId="7D18DF60">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0F36551B">
      <w:pPr>
        <w:spacing w:line="360" w:lineRule="auto"/>
        <w:ind w:firstLine="723" w:firstLineChars="3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投标人提供虚假材料投标的，投标无效。</w:t>
      </w:r>
    </w:p>
    <w:p w14:paraId="759F4DE9">
      <w:pPr>
        <w:spacing w:line="360" w:lineRule="auto"/>
        <w:ind w:firstLine="723" w:firstLineChars="3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投标人应对投标文件中材料的真实性、合法性负责。</w:t>
      </w:r>
    </w:p>
    <w:p w14:paraId="3069FBB9">
      <w:pPr>
        <w:pStyle w:val="87"/>
        <w:snapToGrid w:val="0"/>
        <w:spacing w:before="0"/>
        <w:ind w:firstLine="0" w:firstLineChars="0"/>
        <w:outlineLvl w:val="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12</w:t>
      </w:r>
      <w:r>
        <w:rPr>
          <w:rFonts w:hint="eastAsia" w:ascii="仿宋" w:hAnsi="仿宋" w:eastAsia="仿宋" w:cs="宋体"/>
          <w:b/>
          <w:color w:val="000000" w:themeColor="text1"/>
          <w:kern w:val="0"/>
          <w:szCs w:val="24"/>
          <w:highlight w:val="none"/>
          <w:lang w:val="zh-CN"/>
          <w14:textFill>
            <w14:solidFill>
              <w14:schemeClr w14:val="tx1"/>
            </w14:solidFill>
          </w14:textFill>
        </w:rPr>
        <w:t xml:space="preserve">. </w:t>
      </w:r>
      <w:r>
        <w:rPr>
          <w:rFonts w:hint="eastAsia" w:ascii="仿宋" w:hAnsi="仿宋" w:eastAsia="仿宋" w:cs="宋体"/>
          <w:b/>
          <w:color w:val="000000" w:themeColor="text1"/>
          <w:szCs w:val="24"/>
          <w:highlight w:val="none"/>
          <w14:textFill>
            <w14:solidFill>
              <w14:schemeClr w14:val="tx1"/>
            </w14:solidFill>
          </w14:textFill>
        </w:rPr>
        <w:t>投标文件的编制</w:t>
      </w:r>
    </w:p>
    <w:p w14:paraId="4C8ADA4E">
      <w:pPr>
        <w:spacing w:line="360" w:lineRule="auto"/>
        <w:ind w:firstLine="480"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690708">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B459049">
      <w:pPr>
        <w:spacing w:line="360" w:lineRule="auto"/>
        <w:ind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FB2C06B">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13.投标文件的签署、盖章</w:t>
      </w:r>
    </w:p>
    <w:p w14:paraId="33DCFD20">
      <w:pPr>
        <w:pStyle w:val="87"/>
        <w:snapToGrid w:val="0"/>
        <w:spacing w:before="0"/>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宋体"/>
          <w:color w:val="000000" w:themeColor="text1"/>
          <w:highlight w:val="none"/>
          <w14:textFill>
            <w14:solidFill>
              <w14:schemeClr w14:val="tx1"/>
            </w14:solidFill>
          </w14:textFill>
        </w:rPr>
        <w:t>求进行签署、盖章。</w:t>
      </w:r>
      <w:r>
        <w:rPr>
          <w:rFonts w:hint="eastAsia" w:ascii="仿宋" w:hAnsi="仿宋" w:eastAsia="仿宋" w:cs="宋体"/>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宋体"/>
          <w:color w:val="000000" w:themeColor="text1"/>
          <w:szCs w:val="24"/>
          <w:highlight w:val="none"/>
          <w14:textFill>
            <w14:solidFill>
              <w14:schemeClr w14:val="tx1"/>
            </w14:solidFill>
          </w14:textFill>
        </w:rPr>
        <w:t>。</w:t>
      </w:r>
    </w:p>
    <w:p w14:paraId="67F18FE2">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3B94EEF">
      <w:pPr>
        <w:pStyle w:val="87"/>
        <w:snapToGrid w:val="0"/>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13.3招标文件对投标文件签署、盖章的要求适用于电子签名。</w:t>
      </w:r>
    </w:p>
    <w:p w14:paraId="5E9705E3">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14. 投标文件的提交、补充、修改、撤回</w:t>
      </w:r>
    </w:p>
    <w:p w14:paraId="063B602B">
      <w:pPr>
        <w:pStyle w:val="87"/>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8E713D">
      <w:pPr>
        <w:pStyle w:val="87"/>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FB72459">
      <w:pPr>
        <w:pStyle w:val="87"/>
        <w:spacing w:before="0"/>
        <w:ind w:firstLine="480"/>
        <w:rPr>
          <w:rFonts w:ascii="仿宋" w:hAnsi="仿宋" w:eastAsia="仿宋" w:cs="宋体"/>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2BBC9B0">
      <w:pPr>
        <w:pStyle w:val="35"/>
        <w:spacing w:line="360" w:lineRule="auto"/>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15.备份投标文件</w:t>
      </w:r>
    </w:p>
    <w:p w14:paraId="6BFF2881">
      <w:pPr>
        <w:pStyle w:val="35"/>
        <w:spacing w:line="360" w:lineRule="auto"/>
        <w:ind w:firstLine="360" w:firstLineChars="15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92B9C7C">
      <w:pPr>
        <w:pStyle w:val="35"/>
        <w:spacing w:line="360" w:lineRule="auto"/>
        <w:ind w:firstLine="480" w:firstLineChars="200"/>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000000" w:themeColor="text1"/>
          <w:sz w:val="24"/>
          <w:highlight w:val="none"/>
          <w14:textFill>
            <w14:solidFill>
              <w14:schemeClr w14:val="tx1"/>
            </w14:solidFill>
          </w14:textFill>
        </w:rPr>
        <w:t>不符合上述制作、</w:t>
      </w:r>
      <w:r>
        <w:rPr>
          <w:rFonts w:hint="eastAsia" w:ascii="仿宋" w:hAnsi="仿宋" w:eastAsia="仿宋" w:cs="宋体"/>
          <w:b/>
          <w:color w:val="000000" w:themeColor="text1"/>
          <w:sz w:val="24"/>
          <w:szCs w:val="24"/>
          <w:highlight w:val="none"/>
          <w14:textFill>
            <w14:solidFill>
              <w14:schemeClr w14:val="tx1"/>
            </w14:solidFill>
          </w14:textFill>
        </w:rPr>
        <w:t>存储、密封规定的备份投标文件将被视为无效或者被拒绝接收。</w:t>
      </w:r>
    </w:p>
    <w:p w14:paraId="0F1F8609">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C693048">
      <w:pPr>
        <w:pStyle w:val="35"/>
        <w:spacing w:line="360" w:lineRule="auto"/>
        <w:ind w:firstLine="480" w:firstLineChars="200"/>
        <w:rPr>
          <w:rFonts w:ascii="仿宋" w:hAnsi="仿宋" w:eastAsia="仿宋" w:cs="宋体"/>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920B7ED">
      <w:pPr>
        <w:pStyle w:val="35"/>
        <w:spacing w:line="360" w:lineRule="auto"/>
        <w:ind w:firstLine="479" w:firstLineChars="199"/>
        <w:rPr>
          <w:rFonts w:ascii="仿宋" w:hAnsi="仿宋" w:eastAsia="仿宋" w:cs="宋体"/>
          <w:b/>
          <w:color w:val="000000" w:themeColor="text1"/>
          <w:sz w:val="24"/>
          <w:szCs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1B61D98E">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16.投标文件的无效处理</w:t>
      </w:r>
    </w:p>
    <w:p w14:paraId="16B0BDAA">
      <w:pPr>
        <w:pStyle w:val="26"/>
        <w:spacing w:line="360" w:lineRule="auto"/>
        <w:ind w:firstLine="360" w:firstLineChars="15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有招标文件第四部分</w:t>
      </w:r>
      <w:r>
        <w:rPr>
          <w:rFonts w:ascii="仿宋" w:hAnsi="仿宋" w:eastAsia="仿宋" w:cs="宋体"/>
          <w:color w:val="000000" w:themeColor="text1"/>
          <w:szCs w:val="21"/>
          <w:highlight w:val="none"/>
          <w14:textFill>
            <w14:solidFill>
              <w14:schemeClr w14:val="tx1"/>
            </w14:solidFill>
          </w14:textFill>
        </w:rPr>
        <w:t>4.2规定</w:t>
      </w:r>
      <w:r>
        <w:rPr>
          <w:rFonts w:hint="eastAsia" w:ascii="仿宋" w:hAnsi="仿宋" w:eastAsia="仿宋" w:cs="宋体"/>
          <w:color w:val="000000" w:themeColor="text1"/>
          <w:szCs w:val="21"/>
          <w:highlight w:val="none"/>
          <w14:textFill>
            <w14:solidFill>
              <w14:schemeClr w14:val="tx1"/>
            </w14:solidFill>
          </w14:textFill>
        </w:rPr>
        <w:t>的情形之一的，投标无效：</w:t>
      </w:r>
    </w:p>
    <w:p w14:paraId="6C614D37">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17.投标有效期</w:t>
      </w:r>
    </w:p>
    <w:p w14:paraId="473024EF">
      <w:pPr>
        <w:spacing w:line="360" w:lineRule="auto"/>
        <w:ind w:firstLine="480" w:firstLineChars="200"/>
        <w:rPr>
          <w:rFonts w:ascii="仿宋" w:hAnsi="仿宋" w:eastAsia="仿宋" w:cs="宋体"/>
          <w:b/>
          <w:color w:val="000000" w:themeColor="text1"/>
          <w:sz w:val="24"/>
          <w:szCs w:val="21"/>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宋体"/>
          <w:b/>
          <w:color w:val="000000" w:themeColor="text1"/>
          <w:sz w:val="24"/>
          <w:szCs w:val="20"/>
          <w:highlight w:val="none"/>
          <w14:textFill>
            <w14:solidFill>
              <w14:schemeClr w14:val="tx1"/>
            </w14:solidFill>
          </w14:textFill>
        </w:rPr>
        <w:t>投标人的投标文件中承</w:t>
      </w:r>
      <w:r>
        <w:rPr>
          <w:rFonts w:hint="eastAsia" w:ascii="仿宋" w:hAnsi="仿宋" w:eastAsia="仿宋" w:cs="宋体"/>
          <w:b/>
          <w:color w:val="000000" w:themeColor="text1"/>
          <w:sz w:val="24"/>
          <w:szCs w:val="21"/>
          <w:highlight w:val="none"/>
          <w14:textFill>
            <w14:solidFill>
              <w14:schemeClr w14:val="tx1"/>
            </w14:solidFill>
          </w14:textFill>
        </w:rPr>
        <w:t>诺的投标有效期少于招标文件中载明的投标有效期的，投标无效。</w:t>
      </w:r>
    </w:p>
    <w:p w14:paraId="58384BA9">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17.2投标文件合格投递后，自投标截止日期起，在投标有效期内有效。</w:t>
      </w:r>
    </w:p>
    <w:p w14:paraId="4B4CB2D9">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22F656B">
      <w:pPr>
        <w:pStyle w:val="87"/>
        <w:spacing w:before="0"/>
        <w:ind w:firstLine="643"/>
        <w:rPr>
          <w:rFonts w:ascii="仿宋" w:hAnsi="仿宋" w:eastAsia="仿宋" w:cs="宋体"/>
          <w:b/>
          <w:color w:val="000000" w:themeColor="text1"/>
          <w:sz w:val="32"/>
          <w:highlight w:val="none"/>
          <w14:textFill>
            <w14:solidFill>
              <w14:schemeClr w14:val="tx1"/>
            </w14:solidFill>
          </w14:textFill>
        </w:rPr>
      </w:pPr>
    </w:p>
    <w:p w14:paraId="28867533">
      <w:pPr>
        <w:pStyle w:val="87"/>
        <w:spacing w:before="0"/>
        <w:ind w:firstLine="1928" w:firstLineChars="600"/>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四、开标、资格审查与信用信息查询</w:t>
      </w:r>
    </w:p>
    <w:p w14:paraId="41EDCC2C">
      <w:pPr>
        <w:pStyle w:val="242"/>
        <w:spacing w:before="0" w:line="360" w:lineRule="auto"/>
        <w:ind w:left="0" w:firstLine="0" w:firstLineChars="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szCs w:val="24"/>
          <w:highlight w:val="none"/>
          <w14:textFill>
            <w14:solidFill>
              <w14:schemeClr w14:val="tx1"/>
            </w14:solidFill>
          </w14:textFill>
        </w:rPr>
        <w:t>18.开标</w:t>
      </w:r>
    </w:p>
    <w:p w14:paraId="4C55A6DA">
      <w:pPr>
        <w:pStyle w:val="242"/>
        <w:spacing w:before="0" w:line="360" w:lineRule="auto"/>
        <w:ind w:left="0" w:firstLine="480" w:firstLineChars="2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4B5DCB05">
      <w:pPr>
        <w:pStyle w:val="242"/>
        <w:spacing w:before="0" w:line="360" w:lineRule="auto"/>
        <w:ind w:left="0" w:firstLine="240" w:firstLineChars="100"/>
        <w:contextualSpacing/>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B9B57B0">
      <w:pPr>
        <w:pStyle w:val="242"/>
        <w:spacing w:before="0" w:line="360" w:lineRule="auto"/>
        <w:ind w:left="0" w:firstLine="240" w:firstLineChars="100"/>
        <w:contextualSpacing/>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b/>
          <w:color w:val="000000" w:themeColor="text1"/>
          <w:sz w:val="24"/>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14:paraId="3A654754">
      <w:pPr>
        <w:widowControl/>
        <w:spacing w:before="0" w:beforeAutospacing="0" w:after="0" w:line="360" w:lineRule="auto"/>
        <w:jc w:val="left"/>
        <w:rPr>
          <w:rFonts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19</w:t>
      </w:r>
      <w:r>
        <w:rPr>
          <w:rFonts w:hint="eastAsia" w:ascii="仿宋" w:hAnsi="仿宋" w:eastAsia="仿宋" w:cs="宋体"/>
          <w:b/>
          <w:color w:val="000000" w:themeColor="text1"/>
          <w:sz w:val="24"/>
          <w:szCs w:val="20"/>
          <w:highlight w:val="none"/>
          <w:lang w:val="en-US" w:eastAsia="zh-CN"/>
          <w14:textFill>
            <w14:solidFill>
              <w14:schemeClr w14:val="tx1"/>
            </w14:solidFill>
          </w14:textFill>
        </w:rPr>
        <w:t>.</w:t>
      </w:r>
      <w:r>
        <w:rPr>
          <w:rFonts w:hint="eastAsia" w:ascii="仿宋" w:hAnsi="仿宋" w:eastAsia="仿宋" w:cs="宋体"/>
          <w:b/>
          <w:color w:val="000000" w:themeColor="text1"/>
          <w:sz w:val="24"/>
          <w:szCs w:val="20"/>
          <w:highlight w:val="none"/>
          <w14:textFill>
            <w14:solidFill>
              <w14:schemeClr w14:val="tx1"/>
            </w14:solidFill>
          </w14:textFill>
        </w:rPr>
        <w:t>资格审查</w:t>
      </w:r>
    </w:p>
    <w:p w14:paraId="5AC20E67">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19.1采购人或采购代理机构依据法律法规和招标文件的规定，对投标人的资格进行审查。</w:t>
      </w:r>
    </w:p>
    <w:p w14:paraId="59BC5B58">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19.2</w:t>
      </w:r>
      <w:r>
        <w:rPr>
          <w:rFonts w:hint="eastAsia" w:ascii="仿宋" w:hAnsi="仿宋" w:eastAsia="仿宋" w:cs="宋体"/>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20BCF4B6">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19.3对未通过资格审查的投标人，采购人或采购代理机构告知其未通过的原因。</w:t>
      </w:r>
    </w:p>
    <w:p w14:paraId="37FA1AA0">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19.</w:t>
      </w:r>
      <w:r>
        <w:rPr>
          <w:rFonts w:hint="eastAsia" w:ascii="仿宋" w:hAnsi="仿宋" w:eastAsia="仿宋" w:cs="宋体"/>
          <w:color w:val="000000" w:themeColor="text1"/>
          <w:highlight w:val="none"/>
          <w14:textFill>
            <w14:solidFill>
              <w14:schemeClr w14:val="tx1"/>
            </w14:solidFill>
          </w14:textFill>
        </w:rPr>
        <w:t>4合格投标人不足3家的，不再评标。</w:t>
      </w:r>
    </w:p>
    <w:p w14:paraId="62428A10">
      <w:pPr>
        <w:pStyle w:val="87"/>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20</w:t>
      </w:r>
      <w:r>
        <w:rPr>
          <w:rFonts w:hint="eastAsia" w:ascii="仿宋" w:hAnsi="仿宋" w:eastAsia="仿宋" w:cs="宋体"/>
          <w:b/>
          <w:color w:val="000000" w:themeColor="text1"/>
          <w:szCs w:val="24"/>
          <w:highlight w:val="none"/>
          <w:lang w:val="en-US" w:eastAsia="zh-CN"/>
          <w14:textFill>
            <w14:solidFill>
              <w14:schemeClr w14:val="tx1"/>
            </w14:solidFill>
          </w14:textFill>
        </w:rPr>
        <w:t>.</w:t>
      </w:r>
      <w:r>
        <w:rPr>
          <w:rFonts w:hint="eastAsia" w:ascii="仿宋" w:hAnsi="仿宋" w:eastAsia="仿宋" w:cs="宋体"/>
          <w:b/>
          <w:color w:val="000000" w:themeColor="text1"/>
          <w:szCs w:val="24"/>
          <w:highlight w:val="none"/>
          <w14:textFill>
            <w14:solidFill>
              <w14:schemeClr w14:val="tx1"/>
            </w14:solidFill>
          </w14:textFill>
        </w:rPr>
        <w:t>信用信息查询</w:t>
      </w:r>
    </w:p>
    <w:p w14:paraId="51D6DD8A">
      <w:pPr>
        <w:pStyle w:val="87"/>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7DE9F221">
      <w:pPr>
        <w:pStyle w:val="87"/>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621332E2">
      <w:pPr>
        <w:pStyle w:val="87"/>
        <w:spacing w:before="0"/>
        <w:ind w:firstLine="495" w:firstLineChars="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1C271381">
      <w:pPr>
        <w:pStyle w:val="87"/>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000000" w:themeColor="text1"/>
          <w:highlight w:val="none"/>
          <w14:textFill>
            <w14:solidFill>
              <w14:schemeClr w14:val="tx1"/>
            </w14:solidFill>
          </w14:textFill>
        </w:rPr>
        <w:t>。</w:t>
      </w:r>
    </w:p>
    <w:p w14:paraId="2530D84D">
      <w:pPr>
        <w:pStyle w:val="87"/>
        <w:spacing w:before="0"/>
        <w:ind w:firstLine="0" w:firstLineChars="0"/>
        <w:rPr>
          <w:rFonts w:ascii="仿宋" w:hAnsi="仿宋" w:eastAsia="仿宋" w:cs="宋体"/>
          <w:color w:val="000000" w:themeColor="text1"/>
          <w:kern w:val="0"/>
          <w:szCs w:val="24"/>
          <w:highlight w:val="none"/>
          <w14:textFill>
            <w14:solidFill>
              <w14:schemeClr w14:val="tx1"/>
            </w14:solidFill>
          </w14:textFill>
        </w:rPr>
      </w:pPr>
    </w:p>
    <w:p w14:paraId="182563A3">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五、评标</w:t>
      </w:r>
    </w:p>
    <w:p w14:paraId="6F8E5B13">
      <w:pPr>
        <w:spacing w:line="360" w:lineRule="auto"/>
        <w:rPr>
          <w:rFonts w:ascii="仿宋" w:hAnsi="仿宋" w:eastAsia="仿宋" w:cs="宋体"/>
          <w:b/>
          <w:color w:val="000000" w:themeColor="text1"/>
          <w:sz w:val="24"/>
          <w:highlight w:val="none"/>
          <w14:textFill>
            <w14:solidFill>
              <w14:schemeClr w14:val="tx1"/>
            </w14:solidFill>
          </w14:textFill>
        </w:rPr>
      </w:pPr>
      <w:bookmarkStart w:id="13" w:name="_Toc91899903"/>
      <w:r>
        <w:rPr>
          <w:rFonts w:hint="eastAsia" w:ascii="仿宋" w:hAnsi="仿宋" w:eastAsia="仿宋" w:cs="宋体"/>
          <w:b/>
          <w:color w:val="000000" w:themeColor="text1"/>
          <w:sz w:val="24"/>
          <w:highlight w:val="none"/>
          <w14:textFill>
            <w14:solidFill>
              <w14:schemeClr w14:val="tx1"/>
            </w14:solidFill>
          </w14:textFill>
        </w:rPr>
        <w:t>21.</w:t>
      </w:r>
      <w:r>
        <w:rPr>
          <w:rFonts w:hint="eastAsia" w:ascii="仿宋" w:hAnsi="仿宋" w:eastAsia="仿宋"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000000" w:themeColor="text1"/>
          <w:sz w:val="24"/>
          <w:highlight w:val="none"/>
          <w14:textFill>
            <w14:solidFill>
              <w14:schemeClr w14:val="tx1"/>
            </w14:solidFill>
          </w14:textFill>
        </w:rPr>
        <w:t>详见招标文件第四部分评标办法。</w:t>
      </w:r>
    </w:p>
    <w:p w14:paraId="25121EBA">
      <w:pPr>
        <w:spacing w:line="360" w:lineRule="auto"/>
        <w:rPr>
          <w:rFonts w:ascii="仿宋" w:hAnsi="仿宋" w:eastAsia="仿宋" w:cs="宋体"/>
          <w:b/>
          <w:color w:val="000000" w:themeColor="text1"/>
          <w:sz w:val="24"/>
          <w:highlight w:val="none"/>
          <w14:textFill>
            <w14:solidFill>
              <w14:schemeClr w14:val="tx1"/>
            </w14:solidFill>
          </w14:textFill>
        </w:rPr>
      </w:pPr>
    </w:p>
    <w:p w14:paraId="37429B2D">
      <w:pPr>
        <w:snapToGrid w:val="0"/>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六、定 标</w:t>
      </w:r>
    </w:p>
    <w:p w14:paraId="6FC5F71D">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22.确定中标供应商</w:t>
      </w:r>
    </w:p>
    <w:p w14:paraId="12CEBA0C">
      <w:pPr>
        <w:pStyle w:val="87"/>
        <w:snapToGrid w:val="0"/>
        <w:spacing w:before="0"/>
        <w:ind w:firstLine="4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color w:val="000000" w:themeColor="text1"/>
          <w:szCs w:val="24"/>
          <w:highlight w:val="none"/>
          <w14:textFill>
            <w14:solidFill>
              <w14:schemeClr w14:val="tx1"/>
            </w14:solidFill>
          </w14:textFill>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96BC993">
      <w:pPr>
        <w:pStyle w:val="87"/>
        <w:snapToGrid w:val="0"/>
        <w:spacing w:before="0"/>
        <w:ind w:firstLine="0" w:firstLineChars="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23.中标通知与中标结果公告</w:t>
      </w:r>
    </w:p>
    <w:p w14:paraId="34768DC1">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F0EF2F3">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271FE77">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23.3公告期限为1个工作日。</w:t>
      </w:r>
    </w:p>
    <w:p w14:paraId="386254FA">
      <w:pPr>
        <w:widowControl/>
        <w:shd w:val="clear" w:color="auto" w:fill="FFFFFF"/>
        <w:spacing w:line="360" w:lineRule="auto"/>
        <w:ind w:firstLine="48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23.4由于中标、成交供应商原因导致重新采购的，应当承担支付代理费和专家评审费等费用在内的赔偿责任。</w:t>
      </w:r>
    </w:p>
    <w:p w14:paraId="00B2F6C6">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p>
    <w:p w14:paraId="57441A26">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七、合同授予</w:t>
      </w:r>
    </w:p>
    <w:p w14:paraId="02394B56">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24.</w:t>
      </w:r>
      <w:r>
        <w:rPr>
          <w:rFonts w:hint="eastAsia" w:ascii="仿宋" w:hAnsi="仿宋" w:eastAsia="仿宋" w:cs="宋体"/>
          <w:color w:val="000000" w:themeColor="text1"/>
          <w:highlight w:val="none"/>
          <w14:textFill>
            <w14:solidFill>
              <w14:schemeClr w14:val="tx1"/>
            </w14:solidFill>
          </w14:textFill>
        </w:rPr>
        <w:t>合同主要条款详见第五部分拟签订的合同文本。</w:t>
      </w:r>
    </w:p>
    <w:p w14:paraId="12054326">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25.合同的签订</w:t>
      </w:r>
    </w:p>
    <w:p w14:paraId="17956A8B">
      <w:pPr>
        <w:widowControl/>
        <w:shd w:val="clear" w:color="auto" w:fill="FFFFFF"/>
        <w:spacing w:line="360" w:lineRule="auto"/>
        <w:ind w:firstLine="48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25.1</w:t>
      </w:r>
      <w:r>
        <w:rPr>
          <w:rFonts w:hint="eastAsia" w:ascii="仿宋" w:hAnsi="仿宋" w:eastAsia="仿宋"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24EF7A">
      <w:pPr>
        <w:pStyle w:val="87"/>
        <w:snapToGrid w:val="0"/>
        <w:spacing w:before="0"/>
        <w:ind w:firstLine="480"/>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6C0A53E6">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D23A95E">
      <w:pPr>
        <w:pStyle w:val="87"/>
        <w:snapToGrid w:val="0"/>
        <w:spacing w:before="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4E14A39">
      <w:pPr>
        <w:pStyle w:val="87"/>
        <w:snapToGrid w:val="0"/>
        <w:spacing w:before="0" w:after="120"/>
        <w:ind w:firstLine="48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3DCEA64F">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26.履约保证金</w:t>
      </w:r>
    </w:p>
    <w:p w14:paraId="1CC87D38">
      <w:pPr>
        <w:tabs>
          <w:tab w:val="left" w:pos="0"/>
        </w:tabs>
        <w:spacing w:line="360" w:lineRule="auto"/>
        <w:ind w:firstLine="482"/>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仿宋" w:hAnsi="仿宋" w:eastAsia="仿宋" w:cs="宋体"/>
          <w:color w:val="000000" w:themeColor="text1"/>
          <w:sz w:val="24"/>
          <w:highlight w:val="none"/>
          <w14:textFill>
            <w14:solidFill>
              <w14:schemeClr w14:val="tx1"/>
            </w14:solidFill>
          </w14:textFill>
        </w:rPr>
        <w:t>。</w:t>
      </w:r>
    </w:p>
    <w:p w14:paraId="426CE6B9">
      <w:pPr>
        <w:pStyle w:val="6"/>
        <w:ind w:left="0" w:firstLine="480" w:firstLineChars="200"/>
        <w:rPr>
          <w:rFonts w:ascii="仿宋" w:eastAsia="仿宋" w:cs="宋体"/>
          <w:color w:val="000000" w:themeColor="text1"/>
          <w:highlight w:val="none"/>
          <w:lang w:val="en-US"/>
          <w14:textFill>
            <w14:solidFill>
              <w14:schemeClr w14:val="tx1"/>
            </w14:solidFill>
          </w14:textFill>
        </w:rPr>
      </w:pPr>
      <w:r>
        <w:rPr>
          <w:rFonts w:hint="eastAsia" w:ascii="仿宋" w:eastAsia="仿宋" w:cs="宋体"/>
          <w:b w:val="0"/>
          <w:bCs w:val="0"/>
          <w:snapToGrid w:val="0"/>
          <w:color w:val="000000" w:themeColor="text1"/>
          <w:kern w:val="28"/>
          <w:sz w:val="24"/>
          <w:highlight w:val="none"/>
          <w14:textFill>
            <w14:solidFill>
              <w14:schemeClr w14:val="tx1"/>
            </w14:solidFill>
          </w14:textFill>
        </w:rPr>
        <w:t>供应商</w:t>
      </w:r>
      <w:r>
        <w:rPr>
          <w:rFonts w:hint="eastAsia" w:ascii="仿宋" w:eastAsia="仿宋" w:cs="宋体"/>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仿宋" w:eastAsia="仿宋" w:cs="宋体"/>
          <w:b w:val="0"/>
          <w:bCs w:val="0"/>
          <w:snapToGrid w:val="0"/>
          <w:color w:val="000000" w:themeColor="text1"/>
          <w:kern w:val="28"/>
          <w:sz w:val="24"/>
          <w:highlight w:val="none"/>
          <w14:textFill>
            <w14:solidFill>
              <w14:schemeClr w14:val="tx1"/>
            </w14:solidFill>
          </w14:textFill>
        </w:rPr>
        <w:t>。</w:t>
      </w:r>
    </w:p>
    <w:p w14:paraId="356FB59F">
      <w:pPr>
        <w:pStyle w:val="26"/>
        <w:spacing w:line="360" w:lineRule="auto"/>
        <w:ind w:left="479" w:hanging="479" w:hangingChars="199"/>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27.预付款</w:t>
      </w:r>
    </w:p>
    <w:p w14:paraId="7F26D940">
      <w:pPr>
        <w:snapToGrid w:val="0"/>
        <w:spacing w:line="360" w:lineRule="auto"/>
        <w:ind w:firstLine="480" w:firstLineChars="200"/>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pPr>
      <w:r>
        <w:rPr>
          <w:rFonts w:hint="eastAsia" w:ascii="仿宋" w:hAnsi="仿宋" w:eastAsia="仿宋" w:cs="宋体"/>
          <w:snapToGrid w:val="0"/>
          <w:color w:val="000000" w:themeColor="text1"/>
          <w:kern w:val="28"/>
          <w:sz w:val="24"/>
          <w:szCs w:val="32"/>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08BE22F">
      <w:pPr>
        <w:pStyle w:val="80"/>
        <w:rPr>
          <w:lang w:val="zh-CN"/>
        </w:rPr>
      </w:pPr>
    </w:p>
    <w:p w14:paraId="5DE0DB2F">
      <w:pPr>
        <w:snapToGrid w:val="0"/>
        <w:spacing w:line="360" w:lineRule="auto"/>
        <w:ind w:firstLine="3357" w:firstLineChars="1045"/>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八、电子交易活动的中止</w:t>
      </w:r>
    </w:p>
    <w:p w14:paraId="7A688E32">
      <w:pPr>
        <w:tabs>
          <w:tab w:val="left" w:pos="0"/>
        </w:tabs>
        <w:spacing w:line="360" w:lineRule="auto"/>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28.电子交易活动的中止。</w:t>
      </w:r>
      <w:r>
        <w:rPr>
          <w:rFonts w:hint="eastAsia" w:ascii="仿宋" w:hAnsi="仿宋" w:eastAsia="仿宋" w:cs="宋体"/>
          <w:color w:val="000000" w:themeColor="text1"/>
          <w:sz w:val="24"/>
          <w:szCs w:val="20"/>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1673D91">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28.1电子交易平台发生故障而无法登录访问的； </w:t>
      </w:r>
    </w:p>
    <w:p w14:paraId="59002F28">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28.2电子交易平台应用或数据库出现错误，不能进行正常操作的；</w:t>
      </w:r>
    </w:p>
    <w:p w14:paraId="58D73203">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28.3电子交易平台发现严重安全漏洞，有潜在泄密危险的；</w:t>
      </w:r>
    </w:p>
    <w:p w14:paraId="03703191">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28.4病毒发作导致不能进行正常操作的； </w:t>
      </w:r>
    </w:p>
    <w:p w14:paraId="3453C94B">
      <w:pPr>
        <w:tabs>
          <w:tab w:val="left" w:pos="0"/>
        </w:tabs>
        <w:spacing w:line="360" w:lineRule="auto"/>
        <w:ind w:firstLine="480"/>
        <w:rPr>
          <w:rFonts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28.5其他无法保证电子交易的公平、公正和安全的情况。</w:t>
      </w:r>
    </w:p>
    <w:p w14:paraId="77CFE11D">
      <w:pPr>
        <w:numPr>
          <w:ilvl w:val="-1"/>
          <w:numId w:val="0"/>
        </w:numPr>
        <w:tabs>
          <w:tab w:val="left" w:pos="0"/>
        </w:tabs>
        <w:spacing w:line="360" w:lineRule="auto"/>
        <w:rPr>
          <w:rFonts w:hint="eastAsia"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29.</w:t>
      </w:r>
      <w:r>
        <w:rPr>
          <w:rFonts w:hint="eastAsia" w:ascii="仿宋" w:hAnsi="仿宋" w:eastAsia="仿宋" w:cs="宋体"/>
          <w:b/>
          <w:color w:val="000000" w:themeColor="text1"/>
          <w:sz w:val="24"/>
          <w:szCs w:val="20"/>
          <w:highlight w:val="none"/>
          <w14:textFill>
            <w14:solidFill>
              <w14:schemeClr w14:val="tx1"/>
            </w14:solidFill>
          </w14:textFill>
        </w:rPr>
        <w:t>出现以上情形，</w:t>
      </w:r>
      <w:r>
        <w:rPr>
          <w:rFonts w:hint="eastAsia" w:ascii="仿宋" w:hAnsi="仿宋" w:eastAsia="仿宋" w:cs="宋体"/>
          <w:color w:val="000000" w:themeColor="text1"/>
          <w:sz w:val="24"/>
          <w:szCs w:val="20"/>
          <w:highlight w:val="none"/>
          <w14:textFill>
            <w14:solidFill>
              <w14:schemeClr w14:val="tx1"/>
            </w14:solidFill>
          </w14:textFill>
        </w:rPr>
        <w:t>不影响采购公平、公正性的，采购组织机构可以待上述情形消除后继续组织电子交易活动，也可以决定某些环节以纸质形式进行；影响或可能影响采购公平、公正性的，应当重新采购。</w:t>
      </w:r>
    </w:p>
    <w:p w14:paraId="6F7EF295">
      <w:pPr>
        <w:pStyle w:val="80"/>
        <w:numPr>
          <w:ilvl w:val="-1"/>
          <w:numId w:val="0"/>
        </w:numPr>
        <w:ind w:firstLine="0" w:firstLineChars="0"/>
      </w:pPr>
    </w:p>
    <w:p w14:paraId="11BA62C4">
      <w:pPr>
        <w:snapToGrid w:val="0"/>
        <w:spacing w:line="360" w:lineRule="auto"/>
        <w:ind w:left="120" w:leftChars="57" w:firstLine="482" w:firstLineChars="150"/>
        <w:jc w:val="center"/>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九、验收</w:t>
      </w:r>
    </w:p>
    <w:p w14:paraId="2345DA4B">
      <w:pPr>
        <w:pStyle w:val="26"/>
        <w:spacing w:line="360" w:lineRule="auto"/>
        <w:ind w:firstLine="0" w:firstLineChars="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30.验收</w:t>
      </w:r>
    </w:p>
    <w:p w14:paraId="159D4227">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4A0C94">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9F39B15">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8BFAB31">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13E825C">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5" w:h="16838"/>
          <w:pgMar w:top="680" w:right="1417" w:bottom="680" w:left="1417" w:header="851" w:footer="992" w:gutter="0"/>
          <w:cols w:space="0" w:num="1"/>
          <w:titlePg/>
          <w:rtlGutter w:val="0"/>
          <w:docGrid w:linePitch="312" w:charSpace="0"/>
        </w:sectPr>
      </w:pPr>
      <w:bookmarkStart w:id="14" w:name="_Hlt68073093"/>
      <w:bookmarkEnd w:id="14"/>
      <w:bookmarkStart w:id="15" w:name="_Hlt75236101"/>
      <w:bookmarkEnd w:id="15"/>
      <w:bookmarkStart w:id="16" w:name="_Hlt74707468"/>
      <w:bookmarkEnd w:id="16"/>
      <w:bookmarkStart w:id="17" w:name="_Hlt75236011"/>
      <w:bookmarkEnd w:id="17"/>
      <w:bookmarkStart w:id="18" w:name="_Hlt74714665"/>
      <w:bookmarkEnd w:id="18"/>
      <w:bookmarkStart w:id="19" w:name="_Hlt75236290"/>
      <w:bookmarkEnd w:id="19"/>
      <w:bookmarkStart w:id="20" w:name="_Hlt68072990"/>
      <w:bookmarkEnd w:id="20"/>
      <w:bookmarkStart w:id="21" w:name="_Hlt74729768"/>
      <w:bookmarkEnd w:id="21"/>
      <w:bookmarkStart w:id="22" w:name="_Hlt68403820"/>
      <w:bookmarkEnd w:id="22"/>
      <w:bookmarkStart w:id="23" w:name="_Hlt68072998"/>
      <w:bookmarkEnd w:id="23"/>
      <w:bookmarkStart w:id="24" w:name="_Hlt68057669"/>
      <w:bookmarkEnd w:id="24"/>
      <w:bookmarkStart w:id="25" w:name="_Hlt74730295"/>
      <w:bookmarkEnd w:id="25"/>
      <w:r>
        <w:rPr>
          <w:rFonts w:hint="eastAsia" w:ascii="仿宋" w:hAnsi="仿宋" w:eastAsia="仿宋"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F4034E6">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6"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0E9C6558">
      <w:pPr>
        <w:tabs>
          <w:tab w:val="left" w:pos="8280"/>
        </w:tabs>
        <w:autoSpaceDE w:val="0"/>
        <w:autoSpaceDN w:val="0"/>
        <w:adjustRightInd w:val="0"/>
        <w:spacing w:line="560" w:lineRule="exact"/>
        <w:ind w:firstLine="482" w:firstLineChars="200"/>
        <w:rPr>
          <w:rFonts w:hint="eastAsia" w:ascii="国标黑体" w:hAnsi="国标黑体" w:eastAsia="国标黑体" w:cs="国标黑体"/>
          <w:b w:val="0"/>
          <w:bCs w:val="0"/>
          <w:color w:val="auto"/>
          <w:sz w:val="24"/>
          <w:szCs w:val="24"/>
          <w:highlight w:val="none"/>
        </w:rPr>
      </w:pPr>
      <w:r>
        <w:rPr>
          <w:rFonts w:hint="eastAsia" w:ascii="宋体" w:hAnsi="宋体" w:eastAsia="宋体" w:cs="宋体"/>
          <w:b/>
          <w:color w:val="auto"/>
          <w:sz w:val="24"/>
          <w:highlight w:val="none"/>
        </w:rPr>
        <w:t>采购需求中带“</w:t>
      </w:r>
      <w:r>
        <w:rPr>
          <w:rFonts w:hint="eastAsia" w:ascii="国标仿宋" w:hAnsi="国标仿宋" w:eastAsia="国标仿宋" w:cs="国标仿宋"/>
          <w:color w:val="auto"/>
          <w:sz w:val="24"/>
          <w:szCs w:val="24"/>
          <w:highlight w:val="none"/>
          <w:lang w:val="zh-CN"/>
        </w:rPr>
        <w:t>▲</w:t>
      </w:r>
      <w:r>
        <w:rPr>
          <w:rFonts w:hint="eastAsia" w:ascii="宋体" w:hAnsi="宋体" w:eastAsia="宋体" w:cs="宋体"/>
          <w:b/>
          <w:color w:val="auto"/>
          <w:sz w:val="24"/>
          <w:highlight w:val="none"/>
        </w:rPr>
        <w:t>”条款为实质性内容，投标人须在投标文件中提供《采购需求实质性内容响应表》，如有任意一条未响应或不满足，将被视为无效。</w:t>
      </w:r>
    </w:p>
    <w:p w14:paraId="75D19068">
      <w:pPr>
        <w:tabs>
          <w:tab w:val="left" w:pos="8280"/>
        </w:tabs>
        <w:autoSpaceDE w:val="0"/>
        <w:autoSpaceDN w:val="0"/>
        <w:adjustRightInd w:val="0"/>
        <w:spacing w:line="560" w:lineRule="exact"/>
        <w:ind w:firstLine="480" w:firstLineChars="200"/>
        <w:rPr>
          <w:rFonts w:hint="eastAsia" w:ascii="国标黑体" w:hAnsi="国标黑体" w:eastAsia="国标黑体" w:cs="国标黑体"/>
          <w:b w:val="0"/>
          <w:bCs w:val="0"/>
          <w:color w:val="auto"/>
          <w:sz w:val="24"/>
          <w:szCs w:val="24"/>
          <w:highlight w:val="none"/>
        </w:rPr>
      </w:pPr>
      <w:r>
        <w:rPr>
          <w:rFonts w:hint="eastAsia" w:ascii="国标黑体" w:hAnsi="国标黑体" w:eastAsia="国标黑体" w:cs="国标黑体"/>
          <w:b w:val="0"/>
          <w:bCs w:val="0"/>
          <w:color w:val="auto"/>
          <w:sz w:val="24"/>
          <w:szCs w:val="24"/>
          <w:highlight w:val="none"/>
        </w:rPr>
        <w:t>一、项目概况</w:t>
      </w:r>
    </w:p>
    <w:p w14:paraId="4B67CB52">
      <w:pPr>
        <w:widowControl/>
        <w:adjustRightInd/>
        <w:snapToGrid/>
        <w:spacing w:line="560" w:lineRule="exact"/>
        <w:ind w:firstLine="480" w:firstLineChars="200"/>
        <w:jc w:val="left"/>
        <w:rPr>
          <w:rFonts w:hint="eastAsia" w:ascii="国标仿宋" w:hAnsi="国标仿宋" w:eastAsia="国标仿宋" w:cs="国标仿宋"/>
          <w:color w:val="auto"/>
          <w:sz w:val="24"/>
          <w:szCs w:val="24"/>
          <w:highlight w:val="none"/>
          <w:shd w:val="clear" w:color="auto" w:fill="auto"/>
        </w:rPr>
      </w:pPr>
      <w:r>
        <w:rPr>
          <w:rFonts w:hint="eastAsia" w:ascii="国标仿宋" w:hAnsi="国标仿宋" w:eastAsia="国标仿宋" w:cs="国标仿宋"/>
          <w:color w:val="auto"/>
          <w:sz w:val="24"/>
          <w:szCs w:val="24"/>
          <w:highlight w:val="none"/>
          <w:shd w:val="clear" w:color="auto" w:fill="auto"/>
          <w:lang w:eastAsia="zh-CN"/>
        </w:rPr>
        <w:t>本项目位于杭州西站枢纽区域，四至：</w:t>
      </w:r>
      <w:r>
        <w:rPr>
          <w:rFonts w:hint="eastAsia" w:ascii="国标仿宋" w:hAnsi="国标仿宋" w:eastAsia="国标仿宋" w:cs="国标仿宋"/>
          <w:color w:val="auto"/>
          <w:sz w:val="24"/>
          <w:szCs w:val="24"/>
          <w:highlight w:val="none"/>
          <w:shd w:val="clear" w:color="auto" w:fill="auto"/>
        </w:rPr>
        <w:t>东至良睦路、南至规划云门大街、西至运溪路、北至规划振华西路</w:t>
      </w:r>
      <w:r>
        <w:rPr>
          <w:rFonts w:hint="eastAsia" w:ascii="国标仿宋" w:hAnsi="国标仿宋" w:eastAsia="国标仿宋" w:cs="国标仿宋"/>
          <w:color w:val="auto"/>
          <w:sz w:val="24"/>
          <w:szCs w:val="24"/>
          <w:highlight w:val="none"/>
          <w:shd w:val="clear" w:color="auto" w:fill="auto"/>
          <w:lang w:eastAsia="zh-CN"/>
        </w:rPr>
        <w:t>，合围区域面积约</w:t>
      </w:r>
      <w:r>
        <w:rPr>
          <w:rFonts w:hint="eastAsia" w:ascii="国标仿宋" w:hAnsi="国标仿宋" w:eastAsia="国标仿宋" w:cs="国标仿宋"/>
          <w:color w:val="auto"/>
          <w:sz w:val="24"/>
          <w:szCs w:val="24"/>
          <w:highlight w:val="none"/>
          <w:shd w:val="clear" w:color="auto" w:fill="auto"/>
          <w:lang w:val="en-US" w:eastAsia="zh-CN"/>
        </w:rPr>
        <w:t>3.16平方公里</w:t>
      </w:r>
      <w:r>
        <w:rPr>
          <w:rFonts w:hint="eastAsia" w:ascii="国标仿宋" w:hAnsi="国标仿宋" w:eastAsia="国标仿宋" w:cs="国标仿宋"/>
          <w:color w:val="auto"/>
          <w:sz w:val="24"/>
          <w:szCs w:val="24"/>
          <w:highlight w:val="none"/>
          <w:shd w:val="clear" w:color="auto" w:fill="auto"/>
          <w:lang w:eastAsia="zh-CN"/>
        </w:rPr>
        <w:t>。</w:t>
      </w:r>
      <w:r>
        <w:rPr>
          <w:rFonts w:hint="eastAsia" w:ascii="国标仿宋" w:hAnsi="国标仿宋" w:eastAsia="国标仿宋" w:cs="国标仿宋"/>
          <w:color w:val="auto"/>
          <w:sz w:val="24"/>
          <w:szCs w:val="24"/>
          <w:highlight w:val="none"/>
          <w:shd w:val="clear" w:color="auto" w:fill="auto"/>
        </w:rPr>
        <w:t>为全力提升</w:t>
      </w:r>
      <w:r>
        <w:rPr>
          <w:rFonts w:hint="eastAsia" w:ascii="国标仿宋" w:hAnsi="国标仿宋" w:eastAsia="国标仿宋" w:cs="国标仿宋"/>
          <w:color w:val="auto"/>
          <w:sz w:val="24"/>
          <w:szCs w:val="24"/>
          <w:highlight w:val="none"/>
          <w:shd w:val="clear" w:color="auto" w:fill="auto"/>
          <w:lang w:eastAsia="zh-CN"/>
        </w:rPr>
        <w:t>上述区域</w:t>
      </w:r>
      <w:r>
        <w:rPr>
          <w:rFonts w:hint="eastAsia" w:ascii="国标仿宋" w:hAnsi="国标仿宋" w:eastAsia="国标仿宋" w:cs="国标仿宋"/>
          <w:color w:val="auto"/>
          <w:sz w:val="24"/>
          <w:szCs w:val="24"/>
          <w:highlight w:val="none"/>
          <w:shd w:val="clear" w:color="auto" w:fill="auto"/>
        </w:rPr>
        <w:t>城市管理工作精细化水平，</w:t>
      </w:r>
      <w:r>
        <w:rPr>
          <w:rFonts w:hint="eastAsia" w:ascii="国标仿宋" w:hAnsi="国标仿宋" w:eastAsia="国标仿宋" w:cs="国标仿宋"/>
          <w:color w:val="auto"/>
          <w:sz w:val="24"/>
          <w:szCs w:val="24"/>
          <w:highlight w:val="none"/>
          <w:shd w:val="clear" w:color="auto" w:fill="auto"/>
          <w:lang w:eastAsia="zh-CN"/>
        </w:rPr>
        <w:t>保障杭州西站枢纽高效有序运行</w:t>
      </w:r>
      <w:r>
        <w:rPr>
          <w:rFonts w:hint="eastAsia" w:ascii="国标仿宋" w:hAnsi="国标仿宋" w:eastAsia="国标仿宋" w:cs="国标仿宋"/>
          <w:color w:val="auto"/>
          <w:sz w:val="24"/>
          <w:szCs w:val="24"/>
          <w:highlight w:val="none"/>
          <w:shd w:val="clear" w:color="auto" w:fill="auto"/>
        </w:rPr>
        <w:t>，</w:t>
      </w:r>
      <w:r>
        <w:rPr>
          <w:rFonts w:hint="eastAsia" w:ascii="国标仿宋" w:hAnsi="国标仿宋" w:eastAsia="国标仿宋" w:cs="国标仿宋"/>
          <w:color w:val="auto"/>
          <w:sz w:val="24"/>
          <w:szCs w:val="24"/>
          <w:highlight w:val="none"/>
          <w:shd w:val="clear" w:color="auto" w:fill="auto"/>
          <w:lang w:eastAsia="zh-CN"/>
        </w:rPr>
        <w:t>现通过政府</w:t>
      </w:r>
      <w:r>
        <w:rPr>
          <w:rFonts w:hint="eastAsia" w:ascii="国标仿宋" w:hAnsi="国标仿宋" w:eastAsia="国标仿宋" w:cs="国标仿宋"/>
          <w:color w:val="auto"/>
          <w:sz w:val="24"/>
          <w:szCs w:val="24"/>
          <w:highlight w:val="none"/>
          <w:shd w:val="clear" w:color="auto" w:fill="auto"/>
        </w:rPr>
        <w:t>采购</w:t>
      </w:r>
      <w:r>
        <w:rPr>
          <w:rFonts w:hint="eastAsia" w:ascii="国标仿宋" w:hAnsi="国标仿宋" w:eastAsia="国标仿宋" w:cs="国标仿宋"/>
          <w:color w:val="auto"/>
          <w:sz w:val="24"/>
          <w:szCs w:val="24"/>
          <w:highlight w:val="none"/>
          <w:shd w:val="clear" w:color="auto" w:fill="auto"/>
          <w:lang w:eastAsia="zh-CN"/>
        </w:rPr>
        <w:t>购买</w:t>
      </w:r>
      <w:r>
        <w:rPr>
          <w:rFonts w:hint="eastAsia" w:ascii="国标仿宋" w:hAnsi="国标仿宋" w:eastAsia="国标仿宋" w:cs="国标仿宋"/>
          <w:color w:val="auto"/>
          <w:sz w:val="24"/>
          <w:szCs w:val="24"/>
          <w:highlight w:val="none"/>
          <w:shd w:val="clear" w:color="auto" w:fill="auto"/>
        </w:rPr>
        <w:t>序化</w:t>
      </w:r>
      <w:r>
        <w:rPr>
          <w:rFonts w:hint="eastAsia" w:ascii="国标仿宋" w:hAnsi="国标仿宋" w:eastAsia="国标仿宋" w:cs="国标仿宋"/>
          <w:color w:val="auto"/>
          <w:sz w:val="24"/>
          <w:szCs w:val="24"/>
          <w:highlight w:val="none"/>
          <w:shd w:val="clear" w:color="auto" w:fill="auto"/>
          <w:lang w:eastAsia="zh-CN"/>
        </w:rPr>
        <w:t>管理</w:t>
      </w:r>
      <w:r>
        <w:rPr>
          <w:rFonts w:hint="eastAsia" w:ascii="国标仿宋" w:hAnsi="国标仿宋" w:eastAsia="国标仿宋" w:cs="国标仿宋"/>
          <w:color w:val="auto"/>
          <w:sz w:val="24"/>
          <w:szCs w:val="24"/>
          <w:highlight w:val="none"/>
          <w:shd w:val="clear" w:color="auto" w:fill="auto"/>
        </w:rPr>
        <w:t>服务。</w:t>
      </w:r>
    </w:p>
    <w:p w14:paraId="0B16A35F">
      <w:pPr>
        <w:widowControl/>
        <w:adjustRightInd/>
        <w:snapToGrid/>
        <w:spacing w:line="560" w:lineRule="exact"/>
        <w:ind w:firstLine="480" w:firstLineChars="200"/>
        <w:jc w:val="left"/>
        <w:rPr>
          <w:rFonts w:hint="eastAsia" w:ascii="国标仿宋" w:hAnsi="国标仿宋" w:eastAsia="国标仿宋" w:cs="国标仿宋"/>
          <w:color w:val="auto"/>
          <w:sz w:val="24"/>
          <w:szCs w:val="24"/>
          <w:highlight w:val="none"/>
          <w:shd w:val="clear" w:color="FFFFFF" w:fill="D9D9D9"/>
        </w:rPr>
      </w:pPr>
      <w:r>
        <w:rPr>
          <w:rFonts w:hint="eastAsia" w:ascii="国标仿宋" w:hAnsi="国标仿宋" w:eastAsia="国标仿宋" w:cs="国标仿宋"/>
          <w:color w:val="auto"/>
          <w:sz w:val="24"/>
          <w:szCs w:val="24"/>
          <w:highlight w:val="none"/>
          <w:shd w:val="clear" w:color="auto" w:fill="auto"/>
          <w:lang w:eastAsia="zh-CN"/>
        </w:rPr>
        <w:t>主要负责杭州西站枢纽区域（即</w:t>
      </w:r>
      <w:r>
        <w:rPr>
          <w:rFonts w:hint="eastAsia" w:ascii="国标仿宋" w:hAnsi="国标仿宋" w:eastAsia="国标仿宋" w:cs="国标仿宋"/>
          <w:color w:val="auto"/>
          <w:sz w:val="24"/>
          <w:szCs w:val="24"/>
          <w:highlight w:val="none"/>
          <w:shd w:val="clear" w:color="auto" w:fill="auto"/>
          <w:lang w:val="en-US" w:eastAsia="zh-CN"/>
        </w:rPr>
        <w:t>3.16平方公里</w:t>
      </w:r>
      <w:r>
        <w:rPr>
          <w:rFonts w:hint="eastAsia" w:ascii="国标仿宋" w:hAnsi="国标仿宋" w:eastAsia="国标仿宋" w:cs="国标仿宋"/>
          <w:color w:val="auto"/>
          <w:sz w:val="24"/>
          <w:szCs w:val="24"/>
          <w:highlight w:val="none"/>
          <w:shd w:val="clear" w:color="auto" w:fill="auto"/>
          <w:lang w:eastAsia="zh-CN"/>
        </w:rPr>
        <w:t>）内综合行政执法辅助工作</w:t>
      </w:r>
      <w:r>
        <w:rPr>
          <w:rFonts w:hint="eastAsia" w:ascii="国标仿宋" w:hAnsi="国标仿宋" w:eastAsia="国标仿宋" w:cs="国标仿宋"/>
          <w:color w:val="auto"/>
          <w:sz w:val="24"/>
          <w:szCs w:val="24"/>
          <w:highlight w:val="none"/>
          <w:shd w:val="clear" w:color="auto" w:fill="auto"/>
        </w:rPr>
        <w:t>，</w:t>
      </w:r>
      <w:r>
        <w:rPr>
          <w:rFonts w:hint="eastAsia" w:ascii="国标仿宋" w:hAnsi="国标仿宋" w:eastAsia="国标仿宋" w:cs="国标仿宋"/>
          <w:color w:val="auto"/>
          <w:sz w:val="24"/>
          <w:szCs w:val="24"/>
          <w:highlight w:val="none"/>
          <w:shd w:val="clear" w:color="auto" w:fill="auto"/>
          <w:lang w:eastAsia="zh-CN"/>
        </w:rPr>
        <w:t>包括但不限于城市公共区域秩序管理维护、市容市貌辅助监督管理、行政执法综合辅助、</w:t>
      </w:r>
      <w:r>
        <w:rPr>
          <w:rFonts w:hint="eastAsia" w:ascii="国标仿宋" w:hAnsi="国标仿宋" w:eastAsia="国标仿宋" w:cs="国标仿宋"/>
          <w:color w:val="auto"/>
          <w:sz w:val="24"/>
          <w:szCs w:val="24"/>
          <w:highlight w:val="none"/>
          <w:shd w:val="clear" w:color="auto" w:fill="auto"/>
        </w:rPr>
        <w:t>上级</w:t>
      </w:r>
      <w:r>
        <w:rPr>
          <w:rFonts w:hint="eastAsia" w:ascii="国标仿宋" w:hAnsi="国标仿宋" w:eastAsia="国标仿宋" w:cs="国标仿宋"/>
          <w:color w:val="auto"/>
          <w:sz w:val="24"/>
          <w:szCs w:val="24"/>
          <w:highlight w:val="none"/>
          <w:shd w:val="clear" w:color="auto" w:fill="auto"/>
          <w:lang w:eastAsia="zh-CN"/>
        </w:rPr>
        <w:t>行业主管</w:t>
      </w:r>
      <w:r>
        <w:rPr>
          <w:rFonts w:hint="eastAsia" w:ascii="国标仿宋" w:hAnsi="国标仿宋" w:eastAsia="国标仿宋" w:cs="国标仿宋"/>
          <w:color w:val="auto"/>
          <w:sz w:val="24"/>
          <w:szCs w:val="24"/>
          <w:highlight w:val="none"/>
          <w:shd w:val="clear" w:color="auto" w:fill="auto"/>
        </w:rPr>
        <w:t>部门</w:t>
      </w:r>
      <w:r>
        <w:rPr>
          <w:rFonts w:hint="eastAsia" w:ascii="国标仿宋" w:hAnsi="国标仿宋" w:eastAsia="国标仿宋" w:cs="国标仿宋"/>
          <w:color w:val="auto"/>
          <w:sz w:val="24"/>
          <w:szCs w:val="24"/>
          <w:highlight w:val="none"/>
          <w:shd w:val="clear" w:color="auto" w:fill="auto"/>
          <w:lang w:eastAsia="zh-CN"/>
        </w:rPr>
        <w:t>抄告</w:t>
      </w:r>
      <w:r>
        <w:rPr>
          <w:rFonts w:hint="eastAsia" w:ascii="国标仿宋" w:hAnsi="国标仿宋" w:eastAsia="国标仿宋" w:cs="国标仿宋"/>
          <w:color w:val="auto"/>
          <w:sz w:val="24"/>
          <w:szCs w:val="24"/>
          <w:highlight w:val="none"/>
          <w:shd w:val="clear" w:color="auto" w:fill="auto"/>
        </w:rPr>
        <w:t>问题</w:t>
      </w:r>
      <w:r>
        <w:rPr>
          <w:rFonts w:hint="eastAsia" w:ascii="国标仿宋" w:hAnsi="国标仿宋" w:eastAsia="国标仿宋" w:cs="国标仿宋"/>
          <w:color w:val="auto"/>
          <w:sz w:val="24"/>
          <w:szCs w:val="24"/>
          <w:highlight w:val="none"/>
          <w:shd w:val="clear" w:color="auto" w:fill="auto"/>
          <w:lang w:eastAsia="zh-CN"/>
        </w:rPr>
        <w:t>的</w:t>
      </w:r>
      <w:r>
        <w:rPr>
          <w:rFonts w:hint="eastAsia" w:ascii="国标仿宋" w:hAnsi="国标仿宋" w:eastAsia="国标仿宋" w:cs="国标仿宋"/>
          <w:color w:val="auto"/>
          <w:sz w:val="24"/>
          <w:szCs w:val="24"/>
          <w:highlight w:val="none"/>
          <w:shd w:val="clear" w:color="auto" w:fill="auto"/>
        </w:rPr>
        <w:t>长效序化管理</w:t>
      </w:r>
      <w:r>
        <w:rPr>
          <w:rFonts w:hint="eastAsia" w:ascii="国标仿宋" w:hAnsi="国标仿宋" w:eastAsia="国标仿宋" w:cs="国标仿宋"/>
          <w:color w:val="auto"/>
          <w:sz w:val="24"/>
          <w:szCs w:val="24"/>
          <w:highlight w:val="none"/>
          <w:shd w:val="clear" w:color="auto" w:fill="auto"/>
          <w:lang w:eastAsia="zh-CN"/>
        </w:rPr>
        <w:t>等工作，以及其他</w:t>
      </w:r>
      <w:r>
        <w:rPr>
          <w:rFonts w:hint="eastAsia" w:ascii="国标仿宋" w:hAnsi="国标仿宋" w:eastAsia="国标仿宋" w:cs="国标仿宋"/>
          <w:color w:val="auto"/>
          <w:sz w:val="24"/>
          <w:szCs w:val="24"/>
          <w:highlight w:val="none"/>
          <w:shd w:val="clear" w:color="auto" w:fill="auto"/>
        </w:rPr>
        <w:t>配合</w:t>
      </w:r>
      <w:r>
        <w:rPr>
          <w:rFonts w:hint="eastAsia" w:ascii="国标仿宋" w:hAnsi="国标仿宋" w:eastAsia="国标仿宋" w:cs="国标仿宋"/>
          <w:color w:val="auto"/>
          <w:sz w:val="24"/>
          <w:szCs w:val="24"/>
          <w:highlight w:val="none"/>
          <w:shd w:val="clear" w:color="auto" w:fill="auto"/>
          <w:lang w:eastAsia="zh-CN"/>
        </w:rPr>
        <w:t>做好</w:t>
      </w:r>
      <w:r>
        <w:rPr>
          <w:rFonts w:hint="eastAsia" w:ascii="国标仿宋" w:hAnsi="国标仿宋" w:eastAsia="国标仿宋" w:cs="国标仿宋"/>
          <w:color w:val="auto"/>
          <w:sz w:val="24"/>
          <w:szCs w:val="24"/>
          <w:highlight w:val="none"/>
          <w:shd w:val="clear" w:color="auto" w:fill="auto"/>
        </w:rPr>
        <w:t>案件分派、台账整理、效能督查、宣传报道</w:t>
      </w:r>
      <w:r>
        <w:rPr>
          <w:rFonts w:hint="eastAsia" w:ascii="国标仿宋" w:hAnsi="国标仿宋" w:eastAsia="国标仿宋" w:cs="国标仿宋"/>
          <w:color w:val="auto"/>
          <w:sz w:val="24"/>
          <w:szCs w:val="24"/>
          <w:highlight w:val="none"/>
          <w:shd w:val="clear" w:color="auto" w:fill="auto"/>
          <w:lang w:eastAsia="zh-CN"/>
        </w:rPr>
        <w:t>等城市管理综合性事务</w:t>
      </w:r>
      <w:r>
        <w:rPr>
          <w:rFonts w:hint="eastAsia" w:ascii="国标仿宋" w:hAnsi="国标仿宋" w:eastAsia="国标仿宋" w:cs="国标仿宋"/>
          <w:color w:val="auto"/>
          <w:sz w:val="24"/>
          <w:szCs w:val="24"/>
          <w:highlight w:val="none"/>
          <w:shd w:val="clear" w:color="auto" w:fill="auto"/>
        </w:rPr>
        <w:t>。</w:t>
      </w:r>
    </w:p>
    <w:p w14:paraId="3664888C">
      <w:pPr>
        <w:snapToGrid w:val="0"/>
        <w:spacing w:line="560" w:lineRule="exact"/>
        <w:ind w:firstLine="480" w:firstLineChars="200"/>
        <w:jc w:val="left"/>
        <w:rPr>
          <w:rFonts w:hint="eastAsia" w:ascii="国标仿宋" w:hAnsi="国标仿宋" w:eastAsia="国标仿宋" w:cs="国标仿宋"/>
          <w:b/>
          <w:bCs/>
          <w:color w:val="auto"/>
          <w:sz w:val="24"/>
          <w:szCs w:val="24"/>
          <w:highlight w:val="none"/>
        </w:rPr>
      </w:pPr>
      <w:r>
        <w:rPr>
          <w:rFonts w:hint="eastAsia" w:ascii="国标黑体" w:hAnsi="国标黑体" w:eastAsia="国标黑体" w:cs="国标黑体"/>
          <w:b w:val="0"/>
          <w:bCs w:val="0"/>
          <w:color w:val="auto"/>
          <w:sz w:val="24"/>
          <w:szCs w:val="24"/>
          <w:highlight w:val="none"/>
          <w:lang w:eastAsia="zh-CN"/>
        </w:rPr>
        <w:t>二、项目基本需求</w:t>
      </w:r>
    </w:p>
    <w:p w14:paraId="2C7DD13A">
      <w:pPr>
        <w:spacing w:line="560" w:lineRule="exact"/>
        <w:ind w:firstLine="480" w:firstLineChars="200"/>
        <w:jc w:val="left"/>
        <w:rPr>
          <w:rFonts w:hint="eastAsia" w:ascii="国标仿宋" w:hAnsi="国标仿宋" w:eastAsia="国标仿宋" w:cs="国标仿宋"/>
          <w:b w:val="0"/>
          <w:color w:val="auto"/>
          <w:sz w:val="24"/>
          <w:szCs w:val="24"/>
          <w:highlight w:val="none"/>
          <w:u w:val="none"/>
          <w:shd w:val="clear"/>
        </w:rPr>
      </w:pPr>
      <w:r>
        <w:rPr>
          <w:rFonts w:hint="eastAsia" w:ascii="国标仿宋" w:hAnsi="国标仿宋" w:eastAsia="国标仿宋" w:cs="国标仿宋"/>
          <w:color w:val="auto"/>
          <w:sz w:val="24"/>
          <w:szCs w:val="24"/>
          <w:highlight w:val="none"/>
          <w:lang w:val="en-US" w:eastAsia="zh-CN"/>
        </w:rPr>
        <w:t>1、基本需求：</w:t>
      </w:r>
      <w:r>
        <w:rPr>
          <w:rFonts w:hint="eastAsia" w:ascii="国标仿宋" w:hAnsi="国标仿宋" w:eastAsia="国标仿宋" w:cs="国标仿宋"/>
          <w:color w:val="auto"/>
          <w:sz w:val="24"/>
          <w:szCs w:val="24"/>
          <w:highlight w:val="none"/>
          <w:lang w:eastAsia="zh-CN"/>
        </w:rPr>
        <w:t>为加强杭州西站枢纽区域秩序管理，提升辖区内市容市貌，要求提供一支不少于</w:t>
      </w:r>
      <w:r>
        <w:rPr>
          <w:rFonts w:hint="eastAsia" w:ascii="国标仿宋" w:hAnsi="国标仿宋" w:eastAsia="国标仿宋" w:cs="国标仿宋"/>
          <w:color w:val="auto"/>
          <w:sz w:val="24"/>
          <w:szCs w:val="24"/>
          <w:highlight w:val="none"/>
          <w:lang w:val="en-US" w:eastAsia="zh-CN"/>
        </w:rPr>
        <w:t>18人的序化管理队伍，</w:t>
      </w:r>
      <w:r>
        <w:rPr>
          <w:rFonts w:hint="eastAsia" w:ascii="国标仿宋" w:hAnsi="国标仿宋" w:eastAsia="国标仿宋" w:cs="国标仿宋"/>
          <w:color w:val="auto"/>
          <w:sz w:val="24"/>
          <w:szCs w:val="24"/>
          <w:highlight w:val="none"/>
          <w:lang w:eastAsia="zh-CN"/>
        </w:rPr>
        <w:t>要求每天在岗人数不少于</w:t>
      </w:r>
      <w:r>
        <w:rPr>
          <w:rFonts w:hint="eastAsia" w:ascii="国标仿宋" w:hAnsi="国标仿宋" w:eastAsia="国标仿宋" w:cs="国标仿宋"/>
          <w:color w:val="auto"/>
          <w:sz w:val="24"/>
          <w:szCs w:val="24"/>
          <w:highlight w:val="none"/>
          <w:lang w:val="en-US" w:eastAsia="zh-CN"/>
        </w:rPr>
        <w:t>13人（含双休日及节假日），在岗时间不低于12小时，对市政道路（河道）及两侧、桥下空间、住宅小区及建设工地周边秩序进行管理，协助做好执法辅助工作，</w:t>
      </w:r>
      <w:r>
        <w:rPr>
          <w:rFonts w:hint="eastAsia" w:ascii="国标仿宋" w:hAnsi="国标仿宋" w:eastAsia="国标仿宋" w:cs="国标仿宋"/>
          <w:b w:val="0"/>
          <w:color w:val="auto"/>
          <w:sz w:val="24"/>
          <w:szCs w:val="24"/>
          <w:highlight w:val="none"/>
          <w:u w:val="none"/>
          <w:shd w:val="clear"/>
        </w:rPr>
        <w:t>具体工作时间及工作内容按采购人要求。</w:t>
      </w:r>
    </w:p>
    <w:p w14:paraId="4629EC3F">
      <w:pPr>
        <w:spacing w:line="560" w:lineRule="exact"/>
        <w:ind w:firstLine="480" w:firstLineChars="200"/>
        <w:jc w:val="left"/>
        <w:rPr>
          <w:rFonts w:hint="eastAsia" w:ascii="国标仿宋" w:hAnsi="国标仿宋" w:eastAsia="国标仿宋" w:cs="国标仿宋"/>
          <w:b/>
          <w:color w:val="auto"/>
          <w:sz w:val="24"/>
          <w:szCs w:val="24"/>
          <w:highlight w:val="none"/>
          <w:u w:val="single"/>
          <w:shd w:val="clear" w:color="FFFFFF" w:fill="D9D9D9"/>
        </w:rPr>
      </w:pPr>
      <w:r>
        <w:rPr>
          <w:rFonts w:hint="eastAsia" w:ascii="国标仿宋" w:hAnsi="国标仿宋" w:eastAsia="国标仿宋" w:cs="国标仿宋"/>
          <w:color w:val="auto"/>
          <w:sz w:val="24"/>
          <w:szCs w:val="24"/>
          <w:highlight w:val="none"/>
          <w:lang w:val="en-US" w:eastAsia="zh-CN"/>
        </w:rPr>
        <w:t>2、岗位要求：</w:t>
      </w:r>
    </w:p>
    <w:p w14:paraId="6B8DCD71">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鉴于工作性质，所涉岗位配备专业人员并</w:t>
      </w:r>
      <w:r>
        <w:rPr>
          <w:rFonts w:hint="eastAsia" w:ascii="国标仿宋" w:hAnsi="国标仿宋" w:eastAsia="国标仿宋" w:cs="国标仿宋"/>
          <w:color w:val="auto"/>
          <w:kern w:val="0"/>
          <w:sz w:val="24"/>
          <w:szCs w:val="24"/>
          <w:highlight w:val="none"/>
        </w:rPr>
        <w:t>不得和其他项目兼任</w:t>
      </w:r>
      <w:r>
        <w:rPr>
          <w:rFonts w:hint="eastAsia" w:ascii="国标仿宋" w:hAnsi="国标仿宋" w:eastAsia="国标仿宋" w:cs="国标仿宋"/>
          <w:color w:val="auto"/>
          <w:sz w:val="24"/>
          <w:szCs w:val="24"/>
          <w:highlight w:val="none"/>
        </w:rPr>
        <w:t>。其中涉及到人员休息、轮岗、轮休的，由</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制订相应排班表。</w:t>
      </w:r>
    </w:p>
    <w:p w14:paraId="1AC16333">
      <w:pPr>
        <w:pStyle w:val="409"/>
        <w:spacing w:line="560" w:lineRule="exact"/>
        <w:ind w:firstLine="0" w:firstLineChars="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应确保不影响采购人的实际服务需要。除正常休假人员外，确保不缺人、不缺岗。如缺岗按实际缺岗人数扣除当月劳务费（实际支付款项按具体岗位人员支付）并按考核额外扣款。</w:t>
      </w:r>
    </w:p>
    <w:p w14:paraId="42EB3F24">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所有序化人员实行“数字化人员管理”考核，需</w:t>
      </w:r>
      <w:r>
        <w:rPr>
          <w:rFonts w:hint="eastAsia" w:ascii="国标仿宋" w:hAnsi="国标仿宋" w:eastAsia="国标仿宋" w:cs="国标仿宋"/>
          <w:color w:val="auto"/>
          <w:sz w:val="24"/>
          <w:szCs w:val="24"/>
          <w:highlight w:val="none"/>
          <w:lang w:eastAsia="zh-CN"/>
        </w:rPr>
        <w:t>每</w:t>
      </w:r>
      <w:r>
        <w:rPr>
          <w:rFonts w:hint="eastAsia" w:ascii="国标仿宋" w:hAnsi="国标仿宋" w:eastAsia="国标仿宋" w:cs="国标仿宋"/>
          <w:color w:val="auto"/>
          <w:sz w:val="24"/>
          <w:szCs w:val="24"/>
          <w:highlight w:val="none"/>
        </w:rPr>
        <w:t>人配备智能手机，由公司负责培训能并能熟练操作智能手机</w:t>
      </w:r>
      <w:r>
        <w:rPr>
          <w:rFonts w:hint="eastAsia" w:ascii="国标仿宋" w:hAnsi="国标仿宋" w:eastAsia="国标仿宋" w:cs="国标仿宋"/>
          <w:color w:val="auto"/>
          <w:sz w:val="24"/>
          <w:szCs w:val="24"/>
          <w:highlight w:val="none"/>
          <w:lang w:eastAsia="zh-CN"/>
        </w:rPr>
        <w:t>，小组长等管理人员应</w:t>
      </w:r>
      <w:r>
        <w:rPr>
          <w:rFonts w:hint="eastAsia" w:ascii="国标仿宋" w:hAnsi="国标仿宋" w:eastAsia="国标仿宋" w:cs="国标仿宋"/>
          <w:color w:val="auto"/>
          <w:sz w:val="24"/>
          <w:szCs w:val="24"/>
          <w:highlight w:val="none"/>
        </w:rPr>
        <w:t>熟悉电脑</w:t>
      </w:r>
      <w:r>
        <w:rPr>
          <w:rFonts w:hint="eastAsia" w:ascii="国标仿宋" w:hAnsi="国标仿宋" w:eastAsia="国标仿宋" w:cs="国标仿宋"/>
          <w:color w:val="auto"/>
          <w:sz w:val="24"/>
          <w:szCs w:val="24"/>
          <w:highlight w:val="none"/>
          <w:lang w:eastAsia="zh-CN"/>
        </w:rPr>
        <w:t>基本</w:t>
      </w:r>
      <w:r>
        <w:rPr>
          <w:rFonts w:hint="eastAsia" w:ascii="国标仿宋" w:hAnsi="国标仿宋" w:eastAsia="国标仿宋" w:cs="国标仿宋"/>
          <w:color w:val="auto"/>
          <w:sz w:val="24"/>
          <w:szCs w:val="24"/>
          <w:highlight w:val="none"/>
        </w:rPr>
        <w:t>操作</w:t>
      </w:r>
      <w:r>
        <w:rPr>
          <w:rFonts w:hint="eastAsia" w:ascii="国标仿宋" w:hAnsi="国标仿宋" w:eastAsia="国标仿宋" w:cs="国标仿宋"/>
          <w:color w:val="auto"/>
          <w:sz w:val="24"/>
          <w:szCs w:val="24"/>
          <w:highlight w:val="none"/>
          <w:lang w:eastAsia="zh-CN"/>
        </w:rPr>
        <w:t>，具备电子化办公能力</w:t>
      </w:r>
      <w:r>
        <w:rPr>
          <w:rFonts w:hint="eastAsia" w:ascii="国标仿宋" w:hAnsi="国标仿宋" w:eastAsia="国标仿宋" w:cs="国标仿宋"/>
          <w:color w:val="auto"/>
          <w:sz w:val="24"/>
          <w:szCs w:val="24"/>
          <w:highlight w:val="none"/>
        </w:rPr>
        <w:t>。</w:t>
      </w:r>
    </w:p>
    <w:p w14:paraId="244D84A8">
      <w:pPr>
        <w:pStyle w:val="409"/>
        <w:numPr>
          <w:ilvl w:val="-1"/>
          <w:numId w:val="0"/>
        </w:numPr>
        <w:spacing w:line="560" w:lineRule="exact"/>
        <w:ind w:firstLine="480" w:firstLineChars="200"/>
        <w:jc w:val="left"/>
        <w:rPr>
          <w:rFonts w:hint="eastAsia" w:ascii="国标黑体" w:hAnsi="国标黑体" w:eastAsia="国标黑体" w:cs="国标黑体"/>
          <w:b w:val="0"/>
          <w:bCs w:val="0"/>
          <w:color w:val="auto"/>
          <w:sz w:val="24"/>
          <w:szCs w:val="24"/>
          <w:highlight w:val="none"/>
        </w:rPr>
      </w:pPr>
      <w:r>
        <w:rPr>
          <w:rFonts w:hint="eastAsia" w:ascii="国标黑体" w:hAnsi="国标黑体" w:eastAsia="国标黑体" w:cs="国标黑体"/>
          <w:b w:val="0"/>
          <w:bCs w:val="0"/>
          <w:color w:val="auto"/>
          <w:sz w:val="24"/>
          <w:szCs w:val="24"/>
          <w:highlight w:val="none"/>
          <w:lang w:eastAsia="zh-CN"/>
        </w:rPr>
        <w:t>三、</w:t>
      </w:r>
      <w:r>
        <w:rPr>
          <w:rFonts w:hint="eastAsia" w:ascii="国标黑体" w:hAnsi="国标黑体" w:eastAsia="国标黑体" w:cs="国标黑体"/>
          <w:b w:val="0"/>
          <w:bCs w:val="0"/>
          <w:color w:val="auto"/>
          <w:sz w:val="24"/>
          <w:szCs w:val="24"/>
          <w:highlight w:val="none"/>
        </w:rPr>
        <w:t>工作范围</w:t>
      </w:r>
    </w:p>
    <w:p w14:paraId="09081C97">
      <w:pPr>
        <w:widowControl/>
        <w:spacing w:before="0" w:beforeLines="-2147483648" w:line="560" w:lineRule="exact"/>
        <w:ind w:firstLine="482" w:firstLineChars="200"/>
        <w:jc w:val="left"/>
        <w:rPr>
          <w:rFonts w:hint="eastAsia" w:ascii="国标仿宋" w:hAnsi="国标仿宋" w:eastAsia="国标仿宋" w:cs="国标仿宋"/>
          <w:b/>
          <w:bCs/>
          <w:color w:val="auto"/>
          <w:sz w:val="24"/>
          <w:szCs w:val="24"/>
          <w:highlight w:val="none"/>
          <w:lang w:val="zh-CN"/>
        </w:rPr>
      </w:pPr>
      <w:bookmarkStart w:id="27" w:name="_Hlk79679457"/>
      <w:r>
        <w:rPr>
          <w:rFonts w:hint="eastAsia" w:ascii="国标仿宋" w:hAnsi="国标仿宋" w:eastAsia="国标仿宋" w:cs="国标仿宋"/>
          <w:b/>
          <w:bCs/>
          <w:color w:val="auto"/>
          <w:sz w:val="24"/>
          <w:szCs w:val="24"/>
          <w:highlight w:val="none"/>
          <w:lang w:val="zh-CN"/>
        </w:rPr>
        <w:t>对采购人下发任务落实检查治理工作，管辖治理范围包含问题点位及周边100米范围内类似问题，具体按采购人要求为准。</w:t>
      </w:r>
      <w:bookmarkEnd w:id="27"/>
    </w:p>
    <w:p w14:paraId="49403EC3">
      <w:pPr>
        <w:widowControl/>
        <w:spacing w:line="560" w:lineRule="exact"/>
        <w:ind w:firstLine="482" w:firstLineChars="200"/>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具体序化管理标准如下：</w:t>
      </w:r>
    </w:p>
    <w:p w14:paraId="7F04662A">
      <w:pPr>
        <w:widowControl/>
        <w:spacing w:line="560" w:lineRule="exact"/>
        <w:ind w:firstLine="482"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1、</w:t>
      </w:r>
      <w:r>
        <w:rPr>
          <w:rFonts w:hint="eastAsia" w:ascii="国标仿宋" w:hAnsi="国标仿宋" w:eastAsia="国标仿宋" w:cs="国标仿宋"/>
          <w:b/>
          <w:bCs/>
          <w:color w:val="auto"/>
          <w:sz w:val="24"/>
          <w:szCs w:val="24"/>
          <w:highlight w:val="none"/>
        </w:rPr>
        <w:t>主要道路严禁：</w:t>
      </w:r>
      <w:r>
        <w:rPr>
          <w:rFonts w:hint="eastAsia" w:ascii="国标仿宋" w:hAnsi="国标仿宋" w:eastAsia="国标仿宋" w:cs="国标仿宋"/>
          <w:color w:val="auto"/>
          <w:sz w:val="24"/>
          <w:szCs w:val="24"/>
          <w:highlight w:val="none"/>
        </w:rPr>
        <w:t>严禁在城市主要道路违法出店经营、占道经营、占道堆放、流动无照经营、设置早点摊等；严禁在机动车道、非机动车道上非法兜售物品；禁止在人行道指定划线范围外停放机动车、非机动车。</w:t>
      </w:r>
    </w:p>
    <w:p w14:paraId="36BD30A2">
      <w:pPr>
        <w:pStyle w:val="2"/>
        <w:spacing w:line="560" w:lineRule="exact"/>
        <w:ind w:firstLine="482"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2、</w:t>
      </w:r>
      <w:r>
        <w:rPr>
          <w:rFonts w:hint="eastAsia" w:ascii="国标仿宋" w:hAnsi="国标仿宋" w:eastAsia="国标仿宋" w:cs="国标仿宋"/>
          <w:b/>
          <w:bCs/>
          <w:color w:val="auto"/>
          <w:sz w:val="24"/>
          <w:szCs w:val="24"/>
          <w:highlight w:val="none"/>
        </w:rPr>
        <w:t>次要道路严控</w:t>
      </w:r>
      <w:r>
        <w:rPr>
          <w:rFonts w:hint="eastAsia" w:ascii="国标仿宋" w:hAnsi="国标仿宋" w:eastAsia="国标仿宋" w:cs="国标仿宋"/>
          <w:color w:val="auto"/>
          <w:sz w:val="24"/>
          <w:szCs w:val="24"/>
          <w:highlight w:val="none"/>
        </w:rPr>
        <w:t>：在不影响市容、交通的前提下，按照“限地、限时、限量、提高档次”的要求，有序疏导早点摊、夜市并合理规划设置停车泊位。严格控制出点经营、占道经营、占道堆放、流动无照经营和机动车道、非机动车道上兜售物品以及机动车、非机动车乱停等违法行为。</w:t>
      </w:r>
    </w:p>
    <w:p w14:paraId="5A22A94E">
      <w:pPr>
        <w:pStyle w:val="409"/>
        <w:spacing w:line="560" w:lineRule="exact"/>
        <w:ind w:firstLine="482"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3、</w:t>
      </w:r>
      <w:r>
        <w:rPr>
          <w:rFonts w:hint="eastAsia" w:ascii="国标仿宋" w:hAnsi="国标仿宋" w:eastAsia="国标仿宋" w:cs="国标仿宋"/>
          <w:b/>
          <w:bCs/>
          <w:color w:val="auto"/>
          <w:sz w:val="24"/>
          <w:szCs w:val="24"/>
          <w:highlight w:val="none"/>
        </w:rPr>
        <w:t>背街小巷有序：</w:t>
      </w:r>
      <w:r>
        <w:rPr>
          <w:rFonts w:hint="eastAsia" w:ascii="国标仿宋" w:hAnsi="国标仿宋" w:eastAsia="国标仿宋" w:cs="国标仿宋"/>
          <w:color w:val="auto"/>
          <w:sz w:val="24"/>
          <w:szCs w:val="24"/>
          <w:highlight w:val="none"/>
        </w:rPr>
        <w:t>有序规范夜市、社区便民服务点等摊点设置行为，及时</w:t>
      </w:r>
      <w:r>
        <w:rPr>
          <w:rFonts w:hint="eastAsia" w:ascii="国标仿宋" w:hAnsi="国标仿宋" w:eastAsia="国标仿宋" w:cs="国标仿宋"/>
          <w:color w:val="auto"/>
          <w:sz w:val="24"/>
          <w:szCs w:val="24"/>
          <w:highlight w:val="none"/>
          <w:lang w:eastAsia="zh-CN"/>
        </w:rPr>
        <w:t>协助</w:t>
      </w:r>
      <w:r>
        <w:rPr>
          <w:rFonts w:hint="eastAsia" w:ascii="国标仿宋" w:hAnsi="国标仿宋" w:eastAsia="国标仿宋" w:cs="国标仿宋"/>
          <w:color w:val="auto"/>
          <w:sz w:val="24"/>
          <w:szCs w:val="24"/>
          <w:highlight w:val="none"/>
        </w:rPr>
        <w:t>查处出店经营、占道经营、流动无照经营行为，及时处理摊点扰民等市民群众投诉，有序规范机动车、非机动车停放到位。</w:t>
      </w:r>
    </w:p>
    <w:p w14:paraId="7C902FAA">
      <w:pPr>
        <w:pStyle w:val="409"/>
        <w:spacing w:line="560" w:lineRule="exact"/>
        <w:ind w:firstLine="482" w:firstLineChars="200"/>
        <w:jc w:val="left"/>
        <w:rPr>
          <w:rFonts w:hint="eastAsia" w:ascii="国标仿宋" w:hAnsi="国标仿宋" w:eastAsia="国标仿宋" w:cs="国标仿宋"/>
          <w:b/>
          <w:bCs/>
          <w:color w:val="auto"/>
          <w:sz w:val="24"/>
          <w:szCs w:val="24"/>
          <w:highlight w:val="none"/>
          <w:lang w:val="zh-CN"/>
        </w:rPr>
      </w:pPr>
      <w:r>
        <w:rPr>
          <w:rFonts w:hint="eastAsia" w:ascii="国标仿宋" w:hAnsi="国标仿宋" w:eastAsia="国标仿宋" w:cs="国标仿宋"/>
          <w:b/>
          <w:bCs/>
          <w:color w:val="auto"/>
          <w:sz w:val="24"/>
          <w:szCs w:val="24"/>
          <w:highlight w:val="none"/>
          <w:lang w:val="en-US" w:eastAsia="zh-CN"/>
        </w:rPr>
        <w:t>4、</w:t>
      </w:r>
      <w:r>
        <w:rPr>
          <w:rFonts w:hint="eastAsia" w:ascii="国标仿宋" w:hAnsi="国标仿宋" w:eastAsia="国标仿宋" w:cs="国标仿宋"/>
          <w:b/>
          <w:bCs/>
          <w:color w:val="auto"/>
          <w:sz w:val="24"/>
          <w:szCs w:val="24"/>
          <w:highlight w:val="none"/>
          <w:lang w:val="zh-CN"/>
        </w:rPr>
        <w:t>街面</w:t>
      </w:r>
      <w:r>
        <w:rPr>
          <w:rFonts w:hint="eastAsia" w:ascii="国标仿宋" w:hAnsi="国标仿宋" w:eastAsia="国标仿宋" w:cs="国标仿宋"/>
          <w:b/>
          <w:bCs/>
          <w:color w:val="auto"/>
          <w:sz w:val="24"/>
          <w:szCs w:val="24"/>
          <w:highlight w:val="none"/>
        </w:rPr>
        <w:t>序化管理</w:t>
      </w:r>
    </w:p>
    <w:p w14:paraId="34B735F6">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zh-CN"/>
        </w:rPr>
        <w:t>依照上级行业主管部门城市序化检查考核办法为依据，</w:t>
      </w:r>
      <w:r>
        <w:rPr>
          <w:rFonts w:hint="eastAsia" w:ascii="国标仿宋" w:hAnsi="国标仿宋" w:eastAsia="国标仿宋" w:cs="国标仿宋"/>
          <w:color w:val="auto"/>
          <w:sz w:val="24"/>
          <w:szCs w:val="24"/>
          <w:highlight w:val="none"/>
        </w:rPr>
        <w:t>以零扣分、零重复投诉为目标，对序化管理范围内的无证设摊、晾晒衣被、污水横流、出店经营、占道经营、违章停车、偷倒渣土、抛洒滴漏、施工工地污染道路等序化方面进行管理，并达到以下标准：</w:t>
      </w:r>
    </w:p>
    <w:p w14:paraId="7D9AEC97">
      <w:pPr>
        <w:numPr>
          <w:ilvl w:val="0"/>
          <w:numId w:val="4"/>
        </w:num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确保对占道设摊、流动摊贩行为有效得到控制。重点对沿街道路（街巷）流动设摊、沿街叫卖和机动车贩卖水果等，管控时间内必须做到全方位控制，不得出现无证流动摊点等违章行为。</w:t>
      </w:r>
    </w:p>
    <w:p w14:paraId="6F2E83E7">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（2）确保沿街商店出店经营、占道经营行为及时得到阻止。重点对沿街商店的出店经营、占道堆放等违章行为及时进行劝导、教育，做到无出店经营和占道经营等行为发生。</w:t>
      </w:r>
    </w:p>
    <w:p w14:paraId="44BF7C7F">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（3）确保渣土偷倒、污水横流及时得到发现。管区内违章偷倒渣土、抛洒滴漏、施工工地和沿街商店污水污染道路现象做到及时发现、及时阻止、及时报告，做到道路两侧偷倒渣土无扣分。</w:t>
      </w:r>
    </w:p>
    <w:p w14:paraId="49FFB6C9">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（4）确保机动车和非机动车辆乱停乱放及时得到整理。重点对人行道机动车违章乱停放及时有效地进行劝阻，对非机动车乱停放及时进行劝导、教育，及整理，对网约自行车乱停放及时得到搬移。</w:t>
      </w:r>
    </w:p>
    <w:p w14:paraId="6EBC1E3C">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（5）确保广告店招及时得到管理。重点对城市家居上、建筑物体上的户外广告，商家店招、墙体玻璃各类张贴及时有效地进行劝导、教育，及时劝离沿街散发小广告，及时发现检查店家促销活动。</w:t>
      </w:r>
    </w:p>
    <w:p w14:paraId="56971073">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（6）确保道路绿化和市政设施及时得到保护。重点对城市绿化和市政设施上乱吊乱挂、晾晒衣、乱涂乱画等影响城市市容行为及时进行劝导阻止，及时发现、协调处置绿化和市政内的堆积物、废弃物。</w:t>
      </w:r>
    </w:p>
    <w:p w14:paraId="69BD159A">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（7）确保规定时间持证遛犬。重点对道路上违规遛犬行为进行劝导，对发现不按规定时间遛犬和不符合养犬许可条件犬只的要及时进行劝导，对多次劝导无效的及时报告中队协助查处。</w:t>
      </w:r>
    </w:p>
    <w:p w14:paraId="29E2A445">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（8）确保管控队伍举止文明无投诉。切实加强队员的培训、教育、考核和督查，不断提高管理人员的管理水平和自身素质。</w:t>
      </w:r>
    </w:p>
    <w:p w14:paraId="1F7C26D4">
      <w:pPr>
        <w:pStyle w:val="26"/>
        <w:spacing w:line="560" w:lineRule="exact"/>
        <w:ind w:firstLine="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9）城市家具设置规范：1.指路牌、指示牌、警示牌、路名牌等设置不规范，破损、锈蚀、倒伏、污迹、内容错误；2.报刊亭、电话亭、公交站亭、岗亭等设置不规范，占用盲道、破损、污迹；3.路灯杆、交通信号灯杆、监控杆、交警 F 杆等设置不规范，破损、锈蚀、倒伏、污迹；4.交接箱、配电箱等设置不规范，占用盲道，破损、污迹。</w:t>
      </w:r>
    </w:p>
    <w:p w14:paraId="067A8F2F">
      <w:pPr>
        <w:pStyle w:val="26"/>
        <w:spacing w:line="560" w:lineRule="exact"/>
        <w:ind w:firstLine="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（10）无垃圾乱扔：1.暴露垃圾、垃圾焚烧； 2.垃圾桶（果壳箱）满溢； 3.路面不洁、积泥、污渍； 4.道路晴天积水、无卫生死角。</w:t>
      </w:r>
    </w:p>
    <w:p w14:paraId="120410A3">
      <w:pPr>
        <w:pStyle w:val="26"/>
        <w:spacing w:line="560" w:lineRule="exact"/>
        <w:ind w:firstLine="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11）</w:t>
      </w:r>
      <w:r>
        <w:rPr>
          <w:rFonts w:hint="eastAsia" w:ascii="国标仿宋" w:hAnsi="国标仿宋" w:eastAsia="国标仿宋" w:cs="国标仿宋"/>
          <w:color w:val="auto"/>
          <w:sz w:val="24"/>
          <w:szCs w:val="24"/>
          <w:highlight w:val="none"/>
        </w:rPr>
        <w:t>公厕整洁完好：1.不干净不整洁；2.设施破损、缺失；3.乱堆物； 4.厕纸、洗手液不足（相关物品由街道或社区另行提供）；5.有异味。</w:t>
      </w:r>
    </w:p>
    <w:p w14:paraId="0880C3C3">
      <w:pPr>
        <w:pStyle w:val="26"/>
        <w:spacing w:line="560" w:lineRule="exact"/>
        <w:ind w:firstLine="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（12）垃圾分类规范：1.分类不准确；2.分类设施设置不规范；3.分类设施配置不到位；4.垃圾清运不及时；5.集置点环境脏乱差。</w:t>
      </w:r>
    </w:p>
    <w:p w14:paraId="19A13CA7">
      <w:pPr>
        <w:pStyle w:val="26"/>
        <w:spacing w:line="560" w:lineRule="exact"/>
        <w:ind w:firstLine="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（13）环卫设施完好：1.垃圾桶（果壳箱、垃圾房）破损、污迹；2.垃圾桶（果壳箱、垃圾房）设置不规范。</w:t>
      </w:r>
    </w:p>
    <w:p w14:paraId="1F8535B3">
      <w:pPr>
        <w:widowControl/>
        <w:spacing w:line="560" w:lineRule="exact"/>
        <w:ind w:left="0" w:leftChars="0"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lang w:val="en-US" w:eastAsia="zh-CN"/>
        </w:rPr>
        <w:t>5、</w:t>
      </w:r>
      <w:r>
        <w:rPr>
          <w:rFonts w:hint="eastAsia" w:ascii="国标仿宋" w:hAnsi="国标仿宋" w:eastAsia="国标仿宋" w:cs="国标仿宋"/>
          <w:b/>
          <w:color w:val="auto"/>
          <w:sz w:val="24"/>
          <w:szCs w:val="24"/>
          <w:highlight w:val="none"/>
        </w:rPr>
        <w:t>城市道路（河道）两侧环境管理</w:t>
      </w:r>
    </w:p>
    <w:p w14:paraId="1918C3FF">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提升城市河道两侧环境管理水平，做到无水体黑臭、无漂浮垃圾。提升市政设施建设、养护、管理水平，做到无道路破损坑洼、无井盖缺失移位、无道路低洼积水、无管网堵塞满溢，城市指路牌、桥隧等市政设施整洁完好。</w:t>
      </w:r>
    </w:p>
    <w:p w14:paraId="46D6A881">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无道路（含施工便道）破损坑洼：车行道破损、坑洼、沉降；人行道板大面积破损、松动。</w:t>
      </w:r>
    </w:p>
    <w:p w14:paraId="605528B3">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无障碍设施完好</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 xml:space="preserve">无障碍设施破损、被侵占。 </w:t>
      </w:r>
    </w:p>
    <w:p w14:paraId="64A98486">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无井盖沉降破损</w:t>
      </w:r>
      <w:r>
        <w:rPr>
          <w:rFonts w:hint="eastAsia" w:ascii="国标仿宋" w:hAnsi="国标仿宋" w:eastAsia="国标仿宋" w:cs="国标仿宋"/>
          <w:color w:val="auto"/>
          <w:sz w:val="24"/>
          <w:szCs w:val="24"/>
          <w:highlight w:val="none"/>
          <w:lang w:eastAsia="zh-CN"/>
        </w:rPr>
        <w:t>，无</w:t>
      </w:r>
      <w:r>
        <w:rPr>
          <w:rFonts w:hint="eastAsia" w:ascii="国标仿宋" w:hAnsi="国标仿宋" w:eastAsia="国标仿宋" w:cs="国标仿宋"/>
          <w:color w:val="auto"/>
          <w:sz w:val="24"/>
          <w:szCs w:val="24"/>
          <w:highlight w:val="none"/>
        </w:rPr>
        <w:t xml:space="preserve">井盖缺失、破损、沉降。 </w:t>
      </w:r>
    </w:p>
    <w:p w14:paraId="68347A85">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无道路低洼积水</w:t>
      </w:r>
      <w:r>
        <w:rPr>
          <w:rFonts w:hint="eastAsia" w:ascii="国标仿宋" w:hAnsi="国标仿宋" w:eastAsia="国标仿宋" w:cs="国标仿宋"/>
          <w:color w:val="auto"/>
          <w:sz w:val="24"/>
          <w:szCs w:val="24"/>
          <w:highlight w:val="none"/>
          <w:lang w:eastAsia="zh-CN"/>
        </w:rPr>
        <w:t>，无</w:t>
      </w:r>
      <w:r>
        <w:rPr>
          <w:rFonts w:hint="eastAsia" w:ascii="国标仿宋" w:hAnsi="国标仿宋" w:eastAsia="国标仿宋" w:cs="国标仿宋"/>
          <w:color w:val="auto"/>
          <w:sz w:val="24"/>
          <w:szCs w:val="24"/>
          <w:highlight w:val="none"/>
        </w:rPr>
        <w:t xml:space="preserve">道路雨天积水。 </w:t>
      </w:r>
    </w:p>
    <w:p w14:paraId="2F2AE74D">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无管网堵塞满溢</w:t>
      </w:r>
      <w:r>
        <w:rPr>
          <w:rFonts w:hint="eastAsia" w:ascii="国标仿宋" w:hAnsi="国标仿宋" w:eastAsia="国标仿宋" w:cs="国标仿宋"/>
          <w:color w:val="auto"/>
          <w:sz w:val="24"/>
          <w:szCs w:val="24"/>
          <w:highlight w:val="none"/>
          <w:lang w:eastAsia="zh-CN"/>
        </w:rPr>
        <w:t>，无</w:t>
      </w:r>
      <w:r>
        <w:rPr>
          <w:rFonts w:hint="eastAsia" w:ascii="国标仿宋" w:hAnsi="国标仿宋" w:eastAsia="国标仿宋" w:cs="国标仿宋"/>
          <w:color w:val="auto"/>
          <w:sz w:val="24"/>
          <w:szCs w:val="24"/>
          <w:highlight w:val="none"/>
        </w:rPr>
        <w:t xml:space="preserve">污水满溢。 </w:t>
      </w:r>
    </w:p>
    <w:p w14:paraId="4BFF5040">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桥梁隧道设施完好</w:t>
      </w:r>
      <w:r>
        <w:rPr>
          <w:rFonts w:hint="eastAsia" w:ascii="国标仿宋" w:hAnsi="国标仿宋" w:eastAsia="国标仿宋" w:cs="国标仿宋"/>
          <w:color w:val="auto"/>
          <w:sz w:val="24"/>
          <w:szCs w:val="24"/>
          <w:highlight w:val="none"/>
          <w:lang w:eastAsia="zh-CN"/>
        </w:rPr>
        <w:t>，不</w:t>
      </w:r>
      <w:r>
        <w:rPr>
          <w:rFonts w:hint="eastAsia" w:ascii="国标仿宋" w:hAnsi="国标仿宋" w:eastAsia="国标仿宋" w:cs="国标仿宋"/>
          <w:color w:val="auto"/>
          <w:sz w:val="24"/>
          <w:szCs w:val="24"/>
          <w:highlight w:val="none"/>
        </w:rPr>
        <w:t xml:space="preserve">存在安全隐患、破损、环境脏乱差。 </w:t>
      </w:r>
    </w:p>
    <w:p w14:paraId="2A4D69E9">
      <w:pPr>
        <w:pStyle w:val="409"/>
        <w:spacing w:line="560" w:lineRule="exact"/>
        <w:ind w:firstLine="480" w:firstLineChars="200"/>
        <w:jc w:val="left"/>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 xml:space="preserve">无卫生死角：可视范围卫生死角。牛皮癣 </w:t>
      </w:r>
      <w:r>
        <w:rPr>
          <w:rFonts w:hint="eastAsia" w:ascii="国标仿宋" w:hAnsi="国标仿宋" w:eastAsia="国标仿宋" w:cs="国标仿宋"/>
          <w:color w:val="auto"/>
          <w:sz w:val="24"/>
          <w:szCs w:val="24"/>
          <w:highlight w:val="none"/>
          <w:lang w:eastAsia="zh-CN"/>
        </w:rPr>
        <w:t>。</w:t>
      </w:r>
    </w:p>
    <w:p w14:paraId="6AD9D0E4">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无漂浮垃圾：河面存在水草、垃圾、浮萍、蓝藻、死鱼、阻水物等。</w:t>
      </w:r>
    </w:p>
    <w:p w14:paraId="4F637490">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无水体黑臭：河道水体黑臭、污花。</w:t>
      </w:r>
    </w:p>
    <w:p w14:paraId="3B29F0C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 xml:space="preserve">无违法排污：沿河排水口晴天出污水； 污水溢流入河。 </w:t>
      </w:r>
    </w:p>
    <w:p w14:paraId="6E0C872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无违法倾倒污染物：违法向河道倾倒垃圾、污水、油等污染物。</w:t>
      </w:r>
    </w:p>
    <w:p w14:paraId="385B5C8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无违法垂钓、洗涤、游泳：在禁止水域垂钓、电鱼、网鱼、洗涤、游泳。</w:t>
      </w:r>
    </w:p>
    <w:p w14:paraId="154DF22E">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河道设施设置规范：河道挡墙、驳坎、护栏破损；河道指示牌破损、缺失、锈蚀、污迹、内容错误。</w:t>
      </w:r>
    </w:p>
    <w:p w14:paraId="3A3869EE">
      <w:pPr>
        <w:pStyle w:val="409"/>
        <w:spacing w:line="560" w:lineRule="exact"/>
        <w:ind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lang w:val="en-US" w:eastAsia="zh-CN"/>
        </w:rPr>
        <w:t>6、</w:t>
      </w:r>
      <w:r>
        <w:rPr>
          <w:rFonts w:hint="eastAsia" w:ascii="国标仿宋" w:hAnsi="国标仿宋" w:eastAsia="国标仿宋" w:cs="国标仿宋"/>
          <w:b/>
          <w:color w:val="auto"/>
          <w:sz w:val="24"/>
          <w:szCs w:val="24"/>
          <w:highlight w:val="none"/>
        </w:rPr>
        <w:t>园林绿化管理</w:t>
      </w:r>
    </w:p>
    <w:p w14:paraId="34B8F8B9">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提升城市绿化管理水平，加强道路、河道、公园、高架、小区的绿化管理，做到无死株缺株、无泥土裸露、无绿化积尘、无绿地不洁、无占绿毁绿，园林植物生长良好、行道树整齐茂盛、病虫害控制到位，绿化设施完好美观、绿地建构物完好整洁、公园环境整洁有序。</w:t>
      </w:r>
    </w:p>
    <w:p w14:paraId="461CB715">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绿地管理秩序良好：违章占绿、违法建设；乱堆乱放；晾晒衣物现象；树干有钉子、铁丝，擅自缠绕或悬挂亮灯装置。</w:t>
      </w:r>
    </w:p>
    <w:p w14:paraId="5AA0D0BE">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绿地环境卫生整洁：绿地内垃圾杂物多，卫生死角；绿地内乱吊挂现象，臭味、异味明显；绿地内水体不洁、漂浮杂物、杂生水生植物多；植物叶面不洁净、明显积尘积灰；园林废弃物随意倾倒或现场焚烧，未进行无害化处理。</w:t>
      </w:r>
    </w:p>
    <w:p w14:paraId="02D31B5C">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绿地设施维护良好：绿地内亭、座凳、路灯、垃圾箱、构件等附属设施破损严重；园路、铺装、游步道、木栈道等附属大面积不洁、破损；指示牌、禁令牌、宣传牌破损，不规范，影响整体景观；</w:t>
      </w:r>
    </w:p>
    <w:p w14:paraId="12C132DD">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园林绿化树木养护完好：绿地、灌木、行道树死株、缺株；树穴无植被、鹅卵石、盖板覆盖，树穴侧石破损造成黄土裸露；做好园林绿化的日常养护、植物病虫害防治工作，保持土壤肥力及透气性。</w:t>
      </w:r>
    </w:p>
    <w:p w14:paraId="1FC69074">
      <w:pPr>
        <w:pStyle w:val="409"/>
        <w:spacing w:line="560" w:lineRule="exact"/>
        <w:ind w:firstLine="482" w:firstLineChars="200"/>
        <w:jc w:val="left"/>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7、</w:t>
      </w:r>
      <w:r>
        <w:rPr>
          <w:rFonts w:hint="eastAsia" w:ascii="国标仿宋" w:hAnsi="国标仿宋" w:eastAsia="国标仿宋" w:cs="国标仿宋"/>
          <w:b/>
          <w:bCs/>
          <w:color w:val="auto"/>
          <w:sz w:val="24"/>
          <w:szCs w:val="24"/>
          <w:highlight w:val="none"/>
        </w:rPr>
        <w:t>建设工地环境管理</w:t>
      </w:r>
    </w:p>
    <w:p w14:paraId="4E9C4E38">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加强工地文明施工管理，做到无黄土裸露、无泥浆偷排、无卫生死角、无物料乱堆，出入口干净平整、工地围挡设置规范、扬尘治理措施到位、施工便道平整通畅、生活区管理有序。</w:t>
      </w:r>
    </w:p>
    <w:p w14:paraId="5F425CFF">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出入口干净平整：工地出入口、施工便道未硬化；工地出入口破损、坑洼、沉降；工地出入口积泥、积水；井盖及道路附属设施破损、缺失、沉降。</w:t>
      </w:r>
    </w:p>
    <w:p w14:paraId="6D14E022">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工地围挡设置规范：围挡未全封闭、破损（十字路口设置的围挡 20 米范围内应透视，无阻碍视线）；围挡高度未达标；围挡未按标准设置广告（无商业广告，公益广告不少于三分之一）。围挡保洁不到位。</w:t>
      </w:r>
    </w:p>
    <w:p w14:paraId="1A72C557">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无裸土扬尘：施工场地物料乱堆乱放；排水设施保护不到位，施工导致雨污管网破损溢流；非施工作业区域裸土未覆盖；施工过程扬尘严重；</w:t>
      </w:r>
    </w:p>
    <w:p w14:paraId="69D4FE6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生活区管理有序：垃圾分类不准确，分类设施设置不到位；卫生保洁不到位；垃圾清运不及时；晾晒不规范；民工管理不到位。</w:t>
      </w:r>
    </w:p>
    <w:p w14:paraId="45EBB4BD">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无偷排乱排：偷排、乱排泥浆、污水。</w:t>
      </w:r>
    </w:p>
    <w:p w14:paraId="53C954C8">
      <w:pPr>
        <w:pStyle w:val="409"/>
        <w:spacing w:line="560" w:lineRule="exact"/>
        <w:ind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lang w:val="en-US" w:eastAsia="zh-CN"/>
        </w:rPr>
        <w:t>8、</w:t>
      </w:r>
      <w:r>
        <w:rPr>
          <w:rFonts w:hint="eastAsia" w:ascii="国标仿宋" w:hAnsi="国标仿宋" w:eastAsia="国标仿宋" w:cs="国标仿宋"/>
          <w:b/>
          <w:color w:val="auto"/>
          <w:sz w:val="24"/>
          <w:szCs w:val="24"/>
          <w:highlight w:val="none"/>
        </w:rPr>
        <w:t>公路铁路两侧环境</w:t>
      </w:r>
    </w:p>
    <w:p w14:paraId="2CBF7384">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提升公路、铁路两侧环境管理水平，做到两路两侧无卫生死角、无建筑乱搭乱建、无违法大型广告、无绿化缺株死株，公路路面平整干净，入城口整洁有序，施工养护规范，防护设施完整美观。</w:t>
      </w:r>
    </w:p>
    <w:p w14:paraId="6CB9946E">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eastAsia="zh-CN"/>
        </w:rPr>
        <w:t>高铁枢纽进出通道</w:t>
      </w:r>
      <w:r>
        <w:rPr>
          <w:rFonts w:hint="eastAsia" w:ascii="国标仿宋" w:hAnsi="国标仿宋" w:eastAsia="国标仿宋" w:cs="国标仿宋"/>
          <w:color w:val="auto"/>
          <w:sz w:val="24"/>
          <w:szCs w:val="24"/>
          <w:highlight w:val="none"/>
        </w:rPr>
        <w:t>整洁有序：环境脏乱差；绿化缺株死株、泥土裸露；车辆乱停；摊点乱摆；垃圾分类不规范。</w:t>
      </w:r>
    </w:p>
    <w:p w14:paraId="324A023E">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公路及附属设施完好：隔离护栏、绿篱等防护设施破损；公路路面破损、坑洼、不洁；施工、养护不规范，文明施工不到位。</w:t>
      </w:r>
    </w:p>
    <w:p w14:paraId="574F014D">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桥下空间安全：堆放建筑垃圾、废渣土、易燃易爆品；车辆乱停乱放、摆摊设点。</w:t>
      </w:r>
    </w:p>
    <w:p w14:paraId="4C435CB1">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无乱搭乱建：可视范围违法建筑、违法搭建、废弃建筑物等。</w:t>
      </w:r>
    </w:p>
    <w:p w14:paraId="43C3A013">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无违法广告：可视范围大型违法广告、招牌。</w:t>
      </w:r>
    </w:p>
    <w:p w14:paraId="7796F816">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无缺株死株：可视范围绿化缺株死株、泥土裸露。</w:t>
      </w:r>
    </w:p>
    <w:p w14:paraId="15A51602">
      <w:pPr>
        <w:pStyle w:val="409"/>
        <w:spacing w:line="560" w:lineRule="exact"/>
        <w:ind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lang w:val="en-US" w:eastAsia="zh-CN"/>
        </w:rPr>
        <w:t>9、</w:t>
      </w:r>
      <w:r>
        <w:rPr>
          <w:rFonts w:hint="eastAsia" w:ascii="国标仿宋" w:hAnsi="国标仿宋" w:eastAsia="国标仿宋" w:cs="国标仿宋"/>
          <w:b/>
          <w:color w:val="auto"/>
          <w:sz w:val="24"/>
          <w:szCs w:val="24"/>
          <w:highlight w:val="none"/>
        </w:rPr>
        <w:t>城市道路交通秩序</w:t>
      </w:r>
    </w:p>
    <w:p w14:paraId="051EDFA2">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加强城市交通秩序管理，做到无车窗抛物、无车辆乱停乱放、无车辆乱鸣笛，电动自行车驾驶人佩带头盔、行车规范。</w:t>
      </w:r>
    </w:p>
    <w:p w14:paraId="79D29AA1">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加强“文明行车”管理：机动车驾驶人及乘客车窗抛物；机动车乱鸣号。</w:t>
      </w:r>
    </w:p>
    <w:p w14:paraId="18709CCC">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严处重点交通违法：桥梁、快速路等货运车辆超限、超速、超载、闯禁交通违法行为；酒驾、毒驾、闯红灯等重点违法行为。</w:t>
      </w:r>
    </w:p>
    <w:p w14:paraId="65ECE2A4">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 xml:space="preserve">严管电动自行车：电动自行车五类重点违法。 </w:t>
      </w:r>
    </w:p>
    <w:p w14:paraId="48EE4D8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严控违法停车：城市道路主干道机动车违法停放；</w:t>
      </w:r>
    </w:p>
    <w:p w14:paraId="3525C987">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交通护栏整洁完好：交通护栏破损、缺失、倒伏、污迹。</w:t>
      </w:r>
    </w:p>
    <w:p w14:paraId="1D61F275">
      <w:pPr>
        <w:pStyle w:val="409"/>
        <w:spacing w:line="560" w:lineRule="exact"/>
        <w:ind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lang w:val="en-US" w:eastAsia="zh-CN"/>
        </w:rPr>
        <w:t>10、</w:t>
      </w:r>
      <w:r>
        <w:rPr>
          <w:rFonts w:hint="eastAsia" w:ascii="国标仿宋" w:hAnsi="国标仿宋" w:eastAsia="国标仿宋" w:cs="国标仿宋"/>
          <w:b/>
          <w:color w:val="auto"/>
          <w:sz w:val="24"/>
          <w:szCs w:val="24"/>
          <w:highlight w:val="none"/>
        </w:rPr>
        <w:t>城市环境保护</w:t>
      </w:r>
    </w:p>
    <w:p w14:paraId="18343120">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加强城市生态环境管理，做到无环境噪声扰民、无大气扬尘污染、无餐饮油烟扰民、无恶臭异味扰民、无违法排污等行为。</w:t>
      </w:r>
    </w:p>
    <w:p w14:paraId="345B70EB">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无油烟污染：禁开区新增餐饮店家；餐饮油烟扰民；重点油烟污染信访问题整改不力；</w:t>
      </w:r>
    </w:p>
    <w:p w14:paraId="5BBC86F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 xml:space="preserve">无施工噪音：施工噪音扰民；特别禁噪期违规施工。 </w:t>
      </w:r>
    </w:p>
    <w:p w14:paraId="2984F2AB">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无违法排污 偷排、乱排污水，污染物。</w:t>
      </w:r>
    </w:p>
    <w:p w14:paraId="0CFC3ABC">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无恶臭异味：工业类恶臭异味；生活垃圾处置类恶臭异味；已投运的城镇污水处理厂和泵站恶臭异味；畜禽养规模化养殖场恶臭异味。</w:t>
      </w:r>
    </w:p>
    <w:p w14:paraId="42E7BD96">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“散乱污”企业：“散乱污”</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“低散乱”企业。</w:t>
      </w:r>
    </w:p>
    <w:p w14:paraId="3F7B28E0">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严控大气扬尘：非施工作业区域裸土未覆盖；施工现场、空地、道路扬尘严重；拆房工地扬尘严重；工地、储备用地、城乡结合部及公共区域、入城口、绿化用地裸土。焚烧垃圾。</w:t>
      </w:r>
    </w:p>
    <w:p w14:paraId="0BAB8CFC">
      <w:pPr>
        <w:pStyle w:val="409"/>
        <w:spacing w:line="560" w:lineRule="exact"/>
        <w:ind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lang w:val="en-US" w:eastAsia="zh-CN"/>
        </w:rPr>
        <w:t>11</w:t>
      </w:r>
      <w:r>
        <w:rPr>
          <w:rFonts w:hint="eastAsia" w:ascii="国标仿宋" w:hAnsi="国标仿宋" w:eastAsia="国标仿宋" w:cs="国标仿宋"/>
          <w:b/>
          <w:color w:val="auto"/>
          <w:sz w:val="24"/>
          <w:szCs w:val="24"/>
          <w:highlight w:val="none"/>
          <w:lang w:eastAsia="zh-CN"/>
        </w:rPr>
        <w:t>、</w:t>
      </w:r>
      <w:r>
        <w:rPr>
          <w:rFonts w:hint="eastAsia" w:ascii="国标仿宋" w:hAnsi="国标仿宋" w:eastAsia="国标仿宋" w:cs="国标仿宋"/>
          <w:b/>
          <w:color w:val="auto"/>
          <w:sz w:val="24"/>
          <w:szCs w:val="24"/>
          <w:highlight w:val="none"/>
        </w:rPr>
        <w:t>负面清单</w:t>
      </w:r>
    </w:p>
    <w:p w14:paraId="29D8F7A7">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无媒体负面曝光件，主流媒体和“杭州城管”微信公众号曝光的问题。</w:t>
      </w:r>
    </w:p>
    <w:p w14:paraId="4D7C90FE">
      <w:pPr>
        <w:pStyle w:val="409"/>
        <w:spacing w:before="120" w:beforeLines="50" w:line="560" w:lineRule="exact"/>
        <w:ind w:firstLine="482" w:firstLineChars="200"/>
        <w:jc w:val="left"/>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bCs w:val="0"/>
          <w:color w:val="auto"/>
          <w:sz w:val="24"/>
          <w:szCs w:val="24"/>
          <w:highlight w:val="none"/>
        </w:rPr>
        <w:t>1</w:t>
      </w:r>
      <w:r>
        <w:rPr>
          <w:rFonts w:hint="eastAsia" w:ascii="国标仿宋" w:hAnsi="国标仿宋" w:eastAsia="国标仿宋" w:cs="国标仿宋"/>
          <w:b/>
          <w:bCs w:val="0"/>
          <w:color w:val="auto"/>
          <w:sz w:val="24"/>
          <w:szCs w:val="24"/>
          <w:highlight w:val="none"/>
          <w:lang w:val="en-US" w:eastAsia="zh-CN"/>
        </w:rPr>
        <w:t>2</w:t>
      </w:r>
      <w:r>
        <w:rPr>
          <w:rFonts w:hint="eastAsia" w:ascii="国标仿宋" w:hAnsi="国标仿宋" w:eastAsia="国标仿宋" w:cs="国标仿宋"/>
          <w:b/>
          <w:bCs w:val="0"/>
          <w:color w:val="auto"/>
          <w:sz w:val="24"/>
          <w:szCs w:val="24"/>
          <w:highlight w:val="none"/>
          <w:lang w:eastAsia="zh-CN"/>
        </w:rPr>
        <w:t>、</w:t>
      </w:r>
      <w:r>
        <w:rPr>
          <w:rFonts w:hint="eastAsia" w:ascii="国标仿宋" w:hAnsi="国标仿宋" w:eastAsia="国标仿宋" w:cs="国标仿宋"/>
          <w:b/>
          <w:bCs w:val="0"/>
          <w:color w:val="auto"/>
          <w:sz w:val="24"/>
          <w:szCs w:val="24"/>
          <w:highlight w:val="none"/>
        </w:rPr>
        <w:t>须同时保障采购人的其他临时应急性工作（如</w:t>
      </w:r>
      <w:r>
        <w:rPr>
          <w:rFonts w:hint="eastAsia" w:ascii="国标仿宋" w:hAnsi="国标仿宋" w:eastAsia="国标仿宋" w:cs="国标仿宋"/>
          <w:b/>
          <w:bCs w:val="0"/>
          <w:color w:val="auto"/>
          <w:sz w:val="24"/>
          <w:szCs w:val="24"/>
          <w:highlight w:val="none"/>
          <w:lang w:eastAsia="zh-CN"/>
        </w:rPr>
        <w:t>重大任务保障、防灾减灾</w:t>
      </w:r>
      <w:r>
        <w:rPr>
          <w:rFonts w:hint="eastAsia" w:ascii="国标仿宋" w:hAnsi="国标仿宋" w:eastAsia="国标仿宋" w:cs="国标仿宋"/>
          <w:b/>
          <w:bCs w:val="0"/>
          <w:color w:val="auto"/>
          <w:sz w:val="24"/>
          <w:szCs w:val="24"/>
          <w:highlight w:val="none"/>
        </w:rPr>
        <w:t>等）。应急性任务</w:t>
      </w:r>
      <w:r>
        <w:rPr>
          <w:rFonts w:hint="eastAsia" w:ascii="国标仿宋" w:hAnsi="国标仿宋" w:eastAsia="国标仿宋" w:cs="国标仿宋"/>
          <w:b/>
          <w:bCs w:val="0"/>
          <w:color w:val="auto"/>
          <w:sz w:val="24"/>
          <w:szCs w:val="24"/>
          <w:highlight w:val="none"/>
          <w:lang w:eastAsia="zh-CN"/>
        </w:rPr>
        <w:t>期间产生的费用需考虑在投标报价内</w:t>
      </w:r>
      <w:r>
        <w:rPr>
          <w:rFonts w:hint="eastAsia" w:ascii="国标仿宋" w:hAnsi="国标仿宋" w:eastAsia="国标仿宋" w:cs="国标仿宋"/>
          <w:b/>
          <w:bCs w:val="0"/>
          <w:color w:val="auto"/>
          <w:sz w:val="24"/>
          <w:szCs w:val="24"/>
          <w:highlight w:val="none"/>
        </w:rPr>
        <w:t>，采购人不承担加班费餐费交通费等其他费用。</w:t>
      </w:r>
    </w:p>
    <w:p w14:paraId="6A9FE6C3">
      <w:pPr>
        <w:pStyle w:val="409"/>
        <w:numPr>
          <w:ilvl w:val="-1"/>
          <w:numId w:val="0"/>
        </w:numPr>
        <w:spacing w:line="560" w:lineRule="exact"/>
        <w:ind w:firstLine="480" w:firstLineChars="200"/>
        <w:jc w:val="left"/>
        <w:rPr>
          <w:rFonts w:hint="eastAsia" w:ascii="国标黑体" w:hAnsi="国标黑体" w:eastAsia="国标黑体" w:cs="国标黑体"/>
          <w:b w:val="0"/>
          <w:bCs w:val="0"/>
          <w:color w:val="auto"/>
          <w:sz w:val="24"/>
          <w:szCs w:val="24"/>
          <w:highlight w:val="none"/>
        </w:rPr>
      </w:pPr>
      <w:r>
        <w:rPr>
          <w:rFonts w:hint="eastAsia" w:ascii="国标黑体" w:hAnsi="国标黑体" w:eastAsia="国标黑体" w:cs="国标黑体"/>
          <w:b w:val="0"/>
          <w:bCs w:val="0"/>
          <w:color w:val="auto"/>
          <w:sz w:val="24"/>
          <w:szCs w:val="24"/>
          <w:highlight w:val="none"/>
        </w:rPr>
        <w:t>四、服务要求</w:t>
      </w:r>
    </w:p>
    <w:p w14:paraId="68FE7D89">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1、中标人应规范作业。相关人员</w:t>
      </w:r>
      <w:r>
        <w:rPr>
          <w:rFonts w:hint="eastAsia" w:ascii="国标仿宋" w:hAnsi="国标仿宋" w:eastAsia="国标仿宋" w:cs="国标仿宋"/>
          <w:color w:val="auto"/>
          <w:sz w:val="24"/>
          <w:szCs w:val="24"/>
          <w:highlight w:val="none"/>
          <w:lang w:eastAsia="zh-CN"/>
        </w:rPr>
        <w:t>持保安证</w:t>
      </w:r>
      <w:r>
        <w:rPr>
          <w:rFonts w:hint="eastAsia" w:ascii="国标仿宋" w:hAnsi="国标仿宋" w:eastAsia="国标仿宋" w:cs="国标仿宋"/>
          <w:color w:val="auto"/>
          <w:sz w:val="24"/>
          <w:szCs w:val="24"/>
          <w:highlight w:val="none"/>
        </w:rPr>
        <w:t>上岗；执勤期内不做与执勤无关的事；须遵守行政执法部门的规章制度，执行相应的工作要求。</w:t>
      </w:r>
    </w:p>
    <w:p w14:paraId="0FED6426">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2、中标人必须采取切实有效措施保持队伍的稳定，严格控制非违纪人员轮换岗比例；确保服务质量不因人员变动而受影响。</w:t>
      </w:r>
    </w:p>
    <w:p w14:paraId="63820974">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3、人员应聘、录用、离职等管理档案规范，手续齐全，相应资料必须报采购人备案。</w:t>
      </w:r>
    </w:p>
    <w:p w14:paraId="1F69B199">
      <w:pPr>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4、中标人负责提供人员值勤所需的防暑防雨用品、装备（含武装带、手电筒、巡逻包等）、器材、通讯设备、常用办公耗材等；</w:t>
      </w:r>
      <w:r>
        <w:rPr>
          <w:rFonts w:hint="eastAsia" w:ascii="国标仿宋" w:hAnsi="国标仿宋" w:eastAsia="国标仿宋" w:cs="国标仿宋"/>
          <w:b/>
          <w:bCs/>
          <w:color w:val="auto"/>
          <w:sz w:val="24"/>
          <w:szCs w:val="24"/>
          <w:highlight w:val="none"/>
          <w:lang w:eastAsia="zh-CN"/>
        </w:rPr>
        <w:t>供应商</w:t>
      </w:r>
      <w:r>
        <w:rPr>
          <w:rFonts w:hint="eastAsia" w:ascii="国标仿宋" w:hAnsi="国标仿宋" w:eastAsia="国标仿宋" w:cs="国标仿宋"/>
          <w:b/>
          <w:bCs/>
          <w:color w:val="auto"/>
          <w:sz w:val="24"/>
          <w:szCs w:val="24"/>
          <w:highlight w:val="none"/>
        </w:rPr>
        <w:t>自行承担所有人员服装费用，但服装样式需经过采购人认可，</w:t>
      </w:r>
      <w:r>
        <w:rPr>
          <w:rFonts w:hint="eastAsia" w:ascii="国标仿宋" w:hAnsi="国标仿宋" w:eastAsia="国标仿宋" w:cs="国标仿宋"/>
          <w:color w:val="auto"/>
          <w:sz w:val="24"/>
          <w:szCs w:val="24"/>
          <w:highlight w:val="none"/>
        </w:rPr>
        <w:t>办公、生活用水、电、通讯费用由</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自行承担，应按照采购人要求统一式样、标志标识。</w:t>
      </w:r>
    </w:p>
    <w:p w14:paraId="41744D1B">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5、中标人负责相关设备、车辆、器材的完好，不得影响正常使用。</w:t>
      </w:r>
    </w:p>
    <w:p w14:paraId="2CDB23DB">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6、配合做好防汛抗台、抗雪防冻等突发事件应急处理工作，确保突发事件及时处置得当。</w:t>
      </w:r>
    </w:p>
    <w:p w14:paraId="750E4685">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7、中标人确保服务响应时间及时。</w:t>
      </w:r>
    </w:p>
    <w:p w14:paraId="5D9C0BAD">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8、中标人应建立相应的制度，为项目派遣人员提供学习、培训。</w:t>
      </w:r>
    </w:p>
    <w:p w14:paraId="74164E9A">
      <w:pPr>
        <w:pStyle w:val="409"/>
        <w:spacing w:line="560" w:lineRule="exact"/>
        <w:ind w:firstLine="480" w:firstLineChars="200"/>
        <w:jc w:val="left"/>
        <w:rPr>
          <w:rFonts w:hint="eastAsia" w:ascii="国标仿宋" w:hAnsi="国标仿宋" w:eastAsia="国标仿宋" w:cs="国标仿宋"/>
          <w:color w:val="auto"/>
          <w:sz w:val="24"/>
          <w:szCs w:val="24"/>
          <w:highlight w:val="none"/>
          <w:shd w:val="clear"/>
        </w:rPr>
      </w:pPr>
      <w:r>
        <w:rPr>
          <w:rFonts w:hint="eastAsia" w:ascii="国标仿宋" w:hAnsi="国标仿宋" w:eastAsia="国标仿宋" w:cs="国标仿宋"/>
          <w:color w:val="auto"/>
          <w:sz w:val="24"/>
          <w:szCs w:val="24"/>
          <w:highlight w:val="none"/>
          <w:shd w:val="clear" w:color="auto" w:fill="auto"/>
        </w:rPr>
        <w:t>9、</w:t>
      </w:r>
      <w:r>
        <w:rPr>
          <w:rFonts w:hint="eastAsia" w:ascii="国标仿宋" w:hAnsi="国标仿宋" w:eastAsia="国标仿宋" w:cs="国标仿宋"/>
          <w:color w:val="auto"/>
          <w:sz w:val="24"/>
          <w:szCs w:val="24"/>
          <w:highlight w:val="none"/>
          <w:shd w:val="clear" w:color="auto" w:fill="auto"/>
          <w:lang w:eastAsia="zh-CN"/>
        </w:rPr>
        <w:t>中标人应合理安排</w:t>
      </w:r>
      <w:r>
        <w:rPr>
          <w:rFonts w:hint="eastAsia" w:ascii="国标仿宋" w:hAnsi="国标仿宋" w:eastAsia="国标仿宋" w:cs="国标仿宋"/>
          <w:color w:val="auto"/>
          <w:sz w:val="24"/>
          <w:szCs w:val="24"/>
          <w:highlight w:val="none"/>
          <w:shd w:val="clear" w:color="auto" w:fill="auto"/>
        </w:rPr>
        <w:t>人员岗位、组长、队长配置（组长队长须配备警通仪）</w:t>
      </w:r>
      <w:r>
        <w:rPr>
          <w:rFonts w:hint="eastAsia" w:ascii="国标仿宋" w:hAnsi="国标仿宋" w:eastAsia="国标仿宋" w:cs="国标仿宋"/>
          <w:color w:val="auto"/>
          <w:sz w:val="24"/>
          <w:szCs w:val="24"/>
          <w:highlight w:val="none"/>
          <w:shd w:val="clear" w:color="auto" w:fill="auto"/>
          <w:lang w:eastAsia="zh-CN"/>
        </w:rPr>
        <w:t>并报</w:t>
      </w:r>
      <w:r>
        <w:rPr>
          <w:rFonts w:hint="eastAsia" w:ascii="国标仿宋" w:hAnsi="国标仿宋" w:eastAsia="国标仿宋" w:cs="国标仿宋"/>
          <w:color w:val="auto"/>
          <w:sz w:val="24"/>
          <w:szCs w:val="24"/>
          <w:highlight w:val="none"/>
          <w:shd w:val="clear" w:color="auto" w:fill="auto"/>
          <w:lang w:val="en-US" w:eastAsia="zh-CN"/>
        </w:rPr>
        <w:t>采购</w:t>
      </w:r>
      <w:r>
        <w:rPr>
          <w:rFonts w:hint="eastAsia" w:ascii="国标仿宋" w:hAnsi="国标仿宋" w:eastAsia="国标仿宋" w:cs="国标仿宋"/>
          <w:color w:val="auto"/>
          <w:sz w:val="24"/>
          <w:szCs w:val="24"/>
          <w:highlight w:val="none"/>
          <w:shd w:val="clear"/>
          <w:lang w:val="en-US" w:eastAsia="zh-CN"/>
        </w:rPr>
        <w:t>人</w:t>
      </w:r>
      <w:r>
        <w:rPr>
          <w:rFonts w:hint="eastAsia" w:ascii="国标仿宋" w:hAnsi="国标仿宋" w:eastAsia="国标仿宋" w:cs="国标仿宋"/>
          <w:color w:val="auto"/>
          <w:sz w:val="24"/>
          <w:szCs w:val="24"/>
          <w:highlight w:val="none"/>
          <w:shd w:val="clear"/>
          <w:lang w:eastAsia="zh-CN"/>
        </w:rPr>
        <w:t>审核</w:t>
      </w:r>
      <w:r>
        <w:rPr>
          <w:rFonts w:hint="eastAsia" w:ascii="国标仿宋" w:hAnsi="国标仿宋" w:eastAsia="国标仿宋" w:cs="国标仿宋"/>
          <w:color w:val="auto"/>
          <w:sz w:val="24"/>
          <w:szCs w:val="24"/>
          <w:highlight w:val="none"/>
          <w:shd w:val="clear"/>
        </w:rPr>
        <w:t>。</w:t>
      </w:r>
    </w:p>
    <w:p w14:paraId="53741FF0">
      <w:pPr>
        <w:pStyle w:val="409"/>
        <w:spacing w:line="560" w:lineRule="exact"/>
        <w:ind w:firstLine="480" w:firstLineChars="200"/>
        <w:rPr>
          <w:rFonts w:hint="eastAsia" w:ascii="国标仿宋" w:hAnsi="国标仿宋" w:eastAsia="国标仿宋" w:cs="国标仿宋"/>
          <w:color w:val="auto"/>
          <w:sz w:val="24"/>
          <w:szCs w:val="24"/>
          <w:highlight w:val="none"/>
          <w:shd w:val="clear"/>
        </w:rPr>
      </w:pPr>
      <w:r>
        <w:rPr>
          <w:rFonts w:hint="eastAsia" w:ascii="国标仿宋" w:hAnsi="国标仿宋" w:eastAsia="国标仿宋" w:cs="国标仿宋"/>
          <w:color w:val="auto"/>
          <w:sz w:val="24"/>
          <w:szCs w:val="24"/>
          <w:highlight w:val="none"/>
          <w:shd w:val="clear"/>
        </w:rPr>
        <w:t>10、中标人须为每位序化管理人员购买人身意外保险。</w:t>
      </w:r>
    </w:p>
    <w:p w14:paraId="76E63AC3">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、接到责任区域投拆电话和新闻舆论批评，应在 24 小时内处理完毕和及时进行信息反馈。</w:t>
      </w:r>
    </w:p>
    <w:p w14:paraId="2D26DE0C">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、服务期间，如因中标人原因发生人身事故，由中标人承担全部责任，所产生费用由中标人全部承担；因中标人自身管理不善或使用不当造成的损失由中标人负责赔偿。</w:t>
      </w:r>
    </w:p>
    <w:p w14:paraId="32571FC3">
      <w:pPr>
        <w:pStyle w:val="409"/>
        <w:numPr>
          <w:ilvl w:val="0"/>
          <w:numId w:val="0"/>
        </w:numPr>
        <w:spacing w:line="560" w:lineRule="exact"/>
        <w:ind w:firstLine="480" w:firstLineChars="200"/>
        <w:jc w:val="left"/>
        <w:rPr>
          <w:rFonts w:hint="eastAsia" w:ascii="国标黑体" w:hAnsi="国标黑体" w:eastAsia="国标黑体" w:cs="国标黑体"/>
          <w:b w:val="0"/>
          <w:bCs w:val="0"/>
          <w:color w:val="auto"/>
          <w:sz w:val="24"/>
          <w:szCs w:val="24"/>
          <w:highlight w:val="none"/>
        </w:rPr>
      </w:pPr>
      <w:r>
        <w:rPr>
          <w:rFonts w:hint="eastAsia" w:ascii="国标黑体" w:hAnsi="国标黑体" w:eastAsia="国标黑体" w:cs="国标黑体"/>
          <w:b w:val="0"/>
          <w:bCs w:val="0"/>
          <w:color w:val="auto"/>
          <w:sz w:val="24"/>
          <w:szCs w:val="24"/>
          <w:highlight w:val="none"/>
        </w:rPr>
        <w:t>五、场地要求</w:t>
      </w:r>
    </w:p>
    <w:p w14:paraId="39232205">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为本项目配备一处办公区、停车区、休息区等各功能区齐备的工作场地</w:t>
      </w:r>
      <w:r>
        <w:rPr>
          <w:rFonts w:hint="eastAsia" w:ascii="国标仿宋" w:hAnsi="国标仿宋" w:eastAsia="国标仿宋" w:cs="国标仿宋"/>
          <w:color w:val="auto"/>
          <w:sz w:val="24"/>
          <w:szCs w:val="24"/>
          <w:highlight w:val="none"/>
          <w:lang w:eastAsia="zh-CN"/>
        </w:rPr>
        <w:t>，位置需设在杭州西站站体直线距离</w:t>
      </w:r>
      <w:r>
        <w:rPr>
          <w:rFonts w:hint="eastAsia" w:ascii="国标仿宋" w:hAnsi="国标仿宋" w:eastAsia="国标仿宋" w:cs="国标仿宋"/>
          <w:color w:val="auto"/>
          <w:sz w:val="24"/>
          <w:szCs w:val="24"/>
          <w:highlight w:val="none"/>
          <w:lang w:val="en-US" w:eastAsia="zh-CN"/>
        </w:rPr>
        <w:t>3公里之内</w:t>
      </w:r>
      <w:r>
        <w:rPr>
          <w:rFonts w:hint="eastAsia" w:ascii="国标仿宋" w:hAnsi="国标仿宋" w:eastAsia="国标仿宋" w:cs="国标仿宋"/>
          <w:color w:val="auto"/>
          <w:sz w:val="24"/>
          <w:szCs w:val="24"/>
          <w:highlight w:val="none"/>
        </w:rPr>
        <w:t>。</w:t>
      </w:r>
    </w:p>
    <w:p w14:paraId="60D98355">
      <w:pPr>
        <w:pStyle w:val="409"/>
        <w:numPr>
          <w:ilvl w:val="0"/>
          <w:numId w:val="0"/>
        </w:numPr>
        <w:spacing w:line="560" w:lineRule="exact"/>
        <w:ind w:firstLine="480" w:firstLineChars="200"/>
        <w:jc w:val="left"/>
        <w:rPr>
          <w:rFonts w:hint="eastAsia" w:ascii="国标仿宋" w:hAnsi="国标仿宋" w:eastAsia="国标仿宋" w:cs="国标仿宋"/>
          <w:b w:val="0"/>
          <w:bCs w:val="0"/>
          <w:color w:val="auto"/>
          <w:sz w:val="24"/>
          <w:szCs w:val="24"/>
          <w:highlight w:val="none"/>
        </w:rPr>
      </w:pPr>
      <w:r>
        <w:rPr>
          <w:rFonts w:hint="eastAsia" w:ascii="国标仿宋" w:hAnsi="国标仿宋" w:eastAsia="国标仿宋" w:cs="国标仿宋"/>
          <w:b w:val="0"/>
          <w:bCs w:val="0"/>
          <w:color w:val="auto"/>
          <w:sz w:val="24"/>
          <w:szCs w:val="24"/>
          <w:highlight w:val="none"/>
        </w:rPr>
        <w:t>六、人员要求</w:t>
      </w:r>
    </w:p>
    <w:p w14:paraId="317CE8E7">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w:t>
      </w:r>
      <w:r>
        <w:rPr>
          <w:rFonts w:hint="eastAsia" w:ascii="国标仿宋" w:hAnsi="国标仿宋" w:eastAsia="国标仿宋" w:cs="国标仿宋"/>
          <w:color w:val="auto"/>
          <w:sz w:val="24"/>
          <w:szCs w:val="24"/>
          <w:highlight w:val="none"/>
          <w:lang w:val="zh-CN"/>
        </w:rPr>
        <w:t>供应商所聘用的序化管理人员有吃苦耐劳的精神和高度的责任感，受过专门的岗前培训，熟知序化管理范围内的现状和序化管理工作的管理规定，严格履行岗位职责，具备一定的管理经验和处理事件能力。</w:t>
      </w:r>
    </w:p>
    <w:p w14:paraId="15D40442">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w:t>
      </w:r>
      <w:r>
        <w:rPr>
          <w:rFonts w:hint="eastAsia" w:ascii="国标仿宋" w:hAnsi="国标仿宋" w:eastAsia="国标仿宋" w:cs="国标仿宋"/>
          <w:color w:val="auto"/>
          <w:sz w:val="24"/>
          <w:szCs w:val="24"/>
          <w:highlight w:val="none"/>
          <w:lang w:val="zh-CN"/>
        </w:rPr>
        <w:t>供应商应设立项目负责人，负责日常序化管理队伍的管理，</w:t>
      </w:r>
      <w:r>
        <w:rPr>
          <w:rFonts w:hint="eastAsia" w:ascii="国标仿宋" w:hAnsi="国标仿宋" w:eastAsia="国标仿宋" w:cs="国标仿宋"/>
          <w:color w:val="auto"/>
          <w:sz w:val="24"/>
          <w:szCs w:val="24"/>
          <w:highlight w:val="none"/>
        </w:rPr>
        <w:t>项目负责人应具备有较高的政治思想素养和业务水平，有较强的组织协调能力，受过专门的业务培训，工作认真负责。</w:t>
      </w:r>
    </w:p>
    <w:p w14:paraId="20D66713">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3、人员要求</w:t>
      </w:r>
      <w:r>
        <w:rPr>
          <w:rFonts w:hint="eastAsia" w:ascii="国标仿宋" w:hAnsi="国标仿宋" w:eastAsia="国标仿宋" w:cs="国标仿宋"/>
          <w:color w:val="auto"/>
          <w:sz w:val="24"/>
          <w:szCs w:val="24"/>
          <w:highlight w:val="none"/>
          <w:lang w:val="en-US" w:eastAsia="zh-CN"/>
        </w:rPr>
        <w:t>20周岁以上且</w:t>
      </w:r>
      <w:r>
        <w:rPr>
          <w:rFonts w:hint="eastAsia" w:ascii="国标仿宋" w:hAnsi="国标仿宋" w:eastAsia="国标仿宋" w:cs="国标仿宋"/>
          <w:color w:val="auto"/>
          <w:sz w:val="24"/>
          <w:szCs w:val="24"/>
          <w:highlight w:val="none"/>
        </w:rPr>
        <w:t>5</w:t>
      </w: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rPr>
        <w:t>周岁</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以下</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身体健康，体貌端正；没有传染病及精神病等不能控制自己行为能力的疾病病史。</w:t>
      </w:r>
    </w:p>
    <w:p w14:paraId="1D5C933A">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4、具有高中及以上文化程度，没有犯罪记录。具有</w:t>
      </w:r>
      <w:r>
        <w:rPr>
          <w:rFonts w:hint="eastAsia" w:ascii="国标仿宋" w:hAnsi="国标仿宋" w:eastAsia="国标仿宋" w:cs="国标仿宋"/>
          <w:color w:val="auto"/>
          <w:sz w:val="24"/>
          <w:szCs w:val="24"/>
          <w:highlight w:val="none"/>
          <w:lang w:eastAsia="zh-CN"/>
        </w:rPr>
        <w:t>相关</w:t>
      </w:r>
      <w:r>
        <w:rPr>
          <w:rFonts w:hint="eastAsia" w:ascii="国标仿宋" w:hAnsi="国标仿宋" w:eastAsia="国标仿宋" w:cs="国标仿宋"/>
          <w:color w:val="auto"/>
          <w:sz w:val="24"/>
          <w:szCs w:val="24"/>
          <w:highlight w:val="none"/>
        </w:rPr>
        <w:t>工作经验、本地籍、有保安证和退伍</w:t>
      </w:r>
      <w:r>
        <w:rPr>
          <w:rFonts w:hint="eastAsia" w:ascii="国标仿宋" w:hAnsi="国标仿宋" w:eastAsia="国标仿宋" w:cs="国标仿宋"/>
          <w:color w:val="auto"/>
          <w:sz w:val="24"/>
          <w:szCs w:val="24"/>
          <w:highlight w:val="none"/>
          <w:lang w:eastAsia="zh-CN"/>
        </w:rPr>
        <w:t>军人</w:t>
      </w:r>
      <w:r>
        <w:rPr>
          <w:rFonts w:hint="eastAsia" w:ascii="国标仿宋" w:hAnsi="国标仿宋" w:eastAsia="国标仿宋" w:cs="国标仿宋"/>
          <w:color w:val="auto"/>
          <w:sz w:val="24"/>
          <w:szCs w:val="24"/>
          <w:highlight w:val="none"/>
        </w:rPr>
        <w:t>优先。</w:t>
      </w:r>
    </w:p>
    <w:p w14:paraId="0416C8CB">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5、所聘用的人员有吃苦耐劳的精神和高度的责任感，</w:t>
      </w:r>
      <w:r>
        <w:rPr>
          <w:rFonts w:hint="eastAsia" w:ascii="国标仿宋" w:hAnsi="国标仿宋" w:eastAsia="国标仿宋" w:cs="国标仿宋"/>
          <w:color w:val="auto"/>
          <w:sz w:val="24"/>
          <w:szCs w:val="24"/>
          <w:highlight w:val="none"/>
          <w:lang w:val="zh-CN"/>
        </w:rPr>
        <w:t>经常性开展在岗人员业务培训</w:t>
      </w:r>
      <w:r>
        <w:rPr>
          <w:rFonts w:hint="eastAsia" w:ascii="国标仿宋" w:hAnsi="国标仿宋" w:eastAsia="国标仿宋" w:cs="国标仿宋"/>
          <w:color w:val="auto"/>
          <w:sz w:val="24"/>
          <w:szCs w:val="24"/>
          <w:highlight w:val="none"/>
        </w:rPr>
        <w:t>，熟知相关管理规定，严格履行岗位职责，善于发现各类问题，具备一定的管理经验和处理突发事件能力。</w:t>
      </w:r>
    </w:p>
    <w:p w14:paraId="4106EB0E">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rPr>
        <w:t>6</w:t>
      </w:r>
      <w:r>
        <w:rPr>
          <w:rFonts w:hint="eastAsia" w:ascii="国标仿宋" w:hAnsi="国标仿宋" w:eastAsia="国标仿宋" w:cs="国标仿宋"/>
          <w:color w:val="auto"/>
          <w:sz w:val="24"/>
          <w:szCs w:val="24"/>
          <w:highlight w:val="none"/>
          <w:lang w:val="zh-CN"/>
        </w:rPr>
        <w:t>、供应商必须采取切实有效措施保持序化管理队伍的稳定，序化管理队伍主要管理员更换，应提前一个月以书面形式通知采购人,其他队员更换要提前一周告知采购人；确保服务质量不因人员变动而受影响，考核不到位的，采购人有权提出人员解聘要求。</w:t>
      </w:r>
    </w:p>
    <w:p w14:paraId="5A9DF3D3">
      <w:pPr>
        <w:pStyle w:val="409"/>
        <w:spacing w:line="560" w:lineRule="exact"/>
        <w:ind w:firstLine="480" w:firstLineChars="200"/>
        <w:jc w:val="left"/>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rPr>
        <w:t>7</w:t>
      </w:r>
      <w:r>
        <w:rPr>
          <w:rFonts w:hint="eastAsia" w:ascii="国标仿宋" w:hAnsi="国标仿宋" w:eastAsia="国标仿宋" w:cs="国标仿宋"/>
          <w:color w:val="auto"/>
          <w:sz w:val="24"/>
          <w:szCs w:val="24"/>
          <w:highlight w:val="none"/>
          <w:lang w:val="zh-CN"/>
        </w:rPr>
        <w:t>、应聘、录用、离职等人员管理档案规范，手续齐全，相应资料必须报采购人备案</w:t>
      </w:r>
      <w:r>
        <w:rPr>
          <w:rFonts w:hint="eastAsia" w:ascii="国标仿宋" w:hAnsi="国标仿宋" w:eastAsia="国标仿宋" w:cs="国标仿宋"/>
          <w:color w:val="auto"/>
          <w:sz w:val="24"/>
          <w:szCs w:val="24"/>
          <w:highlight w:val="none"/>
          <w:lang w:val="en-US" w:eastAsia="zh-CN"/>
        </w:rPr>
        <w:t>。</w:t>
      </w:r>
    </w:p>
    <w:p w14:paraId="0161369F">
      <w:pPr>
        <w:pStyle w:val="409"/>
        <w:spacing w:line="560" w:lineRule="exact"/>
        <w:jc w:val="left"/>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color w:val="auto"/>
          <w:sz w:val="24"/>
          <w:szCs w:val="24"/>
          <w:highlight w:val="none"/>
          <w:lang w:val="zh-CN"/>
        </w:rPr>
        <w:t>▲</w:t>
      </w:r>
      <w:r>
        <w:rPr>
          <w:rFonts w:hint="eastAsia" w:ascii="国标仿宋" w:hAnsi="国标仿宋" w:eastAsia="国标仿宋" w:cs="国标仿宋"/>
          <w:b/>
          <w:bCs/>
          <w:color w:val="auto"/>
          <w:sz w:val="24"/>
          <w:szCs w:val="24"/>
          <w:highlight w:val="none"/>
          <w:lang w:val="en-US" w:eastAsia="zh-CN"/>
        </w:rPr>
        <w:t>8、供应商须在合同签订时向采购人提供不低于人员总数90%的劳务合同，并附上所配置全部上岗从业人员的花名册及身份证复印件，非杭户籍保安须在上岗3日内提供居住证明。供应商须在投标文件中提供相应承诺函。</w:t>
      </w:r>
    </w:p>
    <w:p w14:paraId="64FBF257">
      <w:pPr>
        <w:pStyle w:val="409"/>
        <w:numPr>
          <w:ilvl w:val="0"/>
          <w:numId w:val="0"/>
        </w:numPr>
        <w:spacing w:line="560" w:lineRule="exact"/>
        <w:ind w:firstLine="480" w:firstLineChars="200"/>
        <w:jc w:val="left"/>
        <w:rPr>
          <w:rFonts w:hint="eastAsia" w:ascii="国标黑体" w:hAnsi="国标黑体" w:eastAsia="国标黑体" w:cs="国标黑体"/>
          <w:b w:val="0"/>
          <w:bCs w:val="0"/>
          <w:color w:val="auto"/>
          <w:sz w:val="24"/>
          <w:szCs w:val="24"/>
          <w:highlight w:val="none"/>
          <w:lang w:val="zh-CN"/>
        </w:rPr>
      </w:pPr>
      <w:r>
        <w:rPr>
          <w:rFonts w:hint="eastAsia" w:ascii="国标黑体" w:hAnsi="国标黑体" w:eastAsia="国标黑体" w:cs="国标黑体"/>
          <w:b w:val="0"/>
          <w:bCs w:val="0"/>
          <w:color w:val="auto"/>
          <w:sz w:val="24"/>
          <w:szCs w:val="24"/>
          <w:highlight w:val="none"/>
          <w:lang w:eastAsia="zh-CN"/>
        </w:rPr>
        <w:t>六</w:t>
      </w:r>
      <w:r>
        <w:rPr>
          <w:rFonts w:hint="eastAsia" w:ascii="国标黑体" w:hAnsi="国标黑体" w:eastAsia="国标黑体" w:cs="国标黑体"/>
          <w:b w:val="0"/>
          <w:bCs w:val="0"/>
          <w:color w:val="auto"/>
          <w:sz w:val="24"/>
          <w:szCs w:val="24"/>
          <w:highlight w:val="none"/>
          <w:lang w:val="zh-CN"/>
        </w:rPr>
        <w:t>、岗位监督和工作要求</w:t>
      </w:r>
    </w:p>
    <w:p w14:paraId="5FBA96FA">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供应商序化管理队伍应接受采购人指挥和安排，根据工作需要，按照要求认真做好道路序化管理管理工作。</w:t>
      </w:r>
    </w:p>
    <w:p w14:paraId="7F6822BA">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1、供应商必须按照所有序化管理道路，提供序化管控人员排班名册，并负责落实到位。</w:t>
      </w:r>
    </w:p>
    <w:p w14:paraId="0FEE8ED6">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2、供应商自觉服从采购人对队员的培训和指导，主动接受采购人对道路管控情况的督查和指导；采购人要为投标方管辖区内的管理服务工作提供执法支撑。</w:t>
      </w:r>
    </w:p>
    <w:p w14:paraId="596BA239">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3、每天向采购人汇报当天管控情况；负责人每月向采购人汇报当月工作情况；每季一次书面或专项向采购人汇报整体管控情况、剖析问题、研究下步工作。</w:t>
      </w:r>
    </w:p>
    <w:p w14:paraId="37AC8667">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zh-CN"/>
        </w:rPr>
        <w:t>4、采购人</w:t>
      </w:r>
      <w:r>
        <w:rPr>
          <w:rFonts w:hint="eastAsia" w:ascii="国标仿宋" w:hAnsi="国标仿宋" w:eastAsia="国标仿宋" w:cs="国标仿宋"/>
          <w:color w:val="auto"/>
          <w:sz w:val="24"/>
          <w:szCs w:val="24"/>
          <w:highlight w:val="none"/>
        </w:rPr>
        <w:t>将积极帮助中标人涉及行政执法案件查处和解决管理钉子户及日常管理热难执法支撑等行政、法律方面的支持，不断提高管理水平。</w:t>
      </w:r>
    </w:p>
    <w:p w14:paraId="2247ED93">
      <w:pPr>
        <w:pStyle w:val="409"/>
        <w:numPr>
          <w:ilvl w:val="0"/>
          <w:numId w:val="0"/>
        </w:numPr>
        <w:spacing w:line="560" w:lineRule="exact"/>
        <w:ind w:firstLine="480" w:firstLineChars="200"/>
        <w:jc w:val="left"/>
        <w:rPr>
          <w:rFonts w:hint="eastAsia" w:ascii="国标黑体" w:hAnsi="国标黑体" w:eastAsia="国标黑体" w:cs="国标黑体"/>
          <w:b w:val="0"/>
          <w:bCs w:val="0"/>
          <w:color w:val="auto"/>
          <w:sz w:val="24"/>
          <w:szCs w:val="24"/>
          <w:highlight w:val="none"/>
          <w:lang w:val="zh-CN"/>
        </w:rPr>
      </w:pPr>
      <w:r>
        <w:rPr>
          <w:rFonts w:hint="eastAsia" w:ascii="国标黑体" w:hAnsi="国标黑体" w:eastAsia="国标黑体" w:cs="国标黑体"/>
          <w:b w:val="0"/>
          <w:bCs w:val="0"/>
          <w:color w:val="auto"/>
          <w:sz w:val="24"/>
          <w:szCs w:val="24"/>
          <w:highlight w:val="none"/>
          <w:lang w:eastAsia="zh-CN"/>
        </w:rPr>
        <w:t>七</w:t>
      </w:r>
      <w:r>
        <w:rPr>
          <w:rFonts w:hint="eastAsia" w:ascii="国标黑体" w:hAnsi="国标黑体" w:eastAsia="国标黑体" w:cs="国标黑体"/>
          <w:b w:val="0"/>
          <w:bCs w:val="0"/>
          <w:color w:val="auto"/>
          <w:sz w:val="24"/>
          <w:szCs w:val="24"/>
          <w:highlight w:val="none"/>
          <w:lang w:val="zh-CN"/>
        </w:rPr>
        <w:t>、采购人对序化管理管理企业和管理质量的相关要求</w:t>
      </w:r>
    </w:p>
    <w:p w14:paraId="550F1148">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1、</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必须具备良好的从业信誉和城市道路秩序维护经验，有完善的管理体系和健全的内部管理规章制度，有与城管执法协作服务经验。</w:t>
      </w:r>
    </w:p>
    <w:p w14:paraId="03EF4122">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rPr>
        <w:t>2</w:t>
      </w:r>
      <w:r>
        <w:rPr>
          <w:rFonts w:hint="eastAsia" w:ascii="国标仿宋" w:hAnsi="国标仿宋" w:eastAsia="国标仿宋" w:cs="国标仿宋"/>
          <w:color w:val="auto"/>
          <w:sz w:val="24"/>
          <w:szCs w:val="24"/>
          <w:highlight w:val="none"/>
          <w:lang w:val="zh-CN"/>
        </w:rPr>
        <w:t>、管理要求：</w:t>
      </w:r>
      <w:r>
        <w:rPr>
          <w:rFonts w:hint="eastAsia" w:ascii="国标仿宋" w:hAnsi="国标仿宋" w:eastAsia="国标仿宋" w:cs="国标仿宋"/>
          <w:color w:val="auto"/>
          <w:sz w:val="24"/>
          <w:szCs w:val="24"/>
          <w:highlight w:val="none"/>
        </w:rPr>
        <w:t>依据</w:t>
      </w:r>
      <w:r>
        <w:rPr>
          <w:rFonts w:hint="eastAsia" w:ascii="国标仿宋" w:hAnsi="国标仿宋" w:eastAsia="国标仿宋" w:cs="国标仿宋"/>
          <w:color w:val="auto"/>
          <w:sz w:val="24"/>
          <w:szCs w:val="24"/>
          <w:highlight w:val="none"/>
          <w:lang w:eastAsia="zh-CN"/>
        </w:rPr>
        <w:t>上级行业主管部门</w:t>
      </w:r>
      <w:r>
        <w:rPr>
          <w:rFonts w:hint="eastAsia" w:ascii="国标仿宋" w:hAnsi="国标仿宋" w:eastAsia="国标仿宋" w:cs="国标仿宋"/>
          <w:color w:val="auto"/>
          <w:sz w:val="24"/>
          <w:szCs w:val="24"/>
          <w:highlight w:val="none"/>
        </w:rPr>
        <w:t>城区序化管理检查考核</w:t>
      </w:r>
      <w:r>
        <w:rPr>
          <w:rFonts w:hint="eastAsia" w:ascii="国标仿宋" w:hAnsi="国标仿宋" w:eastAsia="国标仿宋" w:cs="国标仿宋"/>
          <w:color w:val="auto"/>
          <w:sz w:val="24"/>
          <w:szCs w:val="24"/>
          <w:highlight w:val="none"/>
          <w:lang w:eastAsia="zh-CN"/>
        </w:rPr>
        <w:t>办法</w:t>
      </w:r>
      <w:r>
        <w:rPr>
          <w:rFonts w:hint="eastAsia" w:ascii="国标仿宋" w:hAnsi="国标仿宋" w:eastAsia="国标仿宋" w:cs="国标仿宋"/>
          <w:color w:val="auto"/>
          <w:sz w:val="24"/>
          <w:szCs w:val="24"/>
          <w:highlight w:val="none"/>
        </w:rPr>
        <w:t>为工作依据，</w:t>
      </w:r>
      <w:r>
        <w:rPr>
          <w:rFonts w:hint="eastAsia" w:ascii="国标仿宋" w:hAnsi="国标仿宋" w:eastAsia="国标仿宋" w:cs="国标仿宋"/>
          <w:color w:val="auto"/>
          <w:sz w:val="24"/>
          <w:szCs w:val="24"/>
          <w:highlight w:val="none"/>
          <w:lang w:val="zh-CN"/>
        </w:rPr>
        <w:t>序化管理管理要按照相关法规、规章与技术标准、行业规范执行，背街小巷列为次要道路一并考核，如有新标准、新规范或者新考核办法的，按新的标准规范执行。</w:t>
      </w:r>
    </w:p>
    <w:p w14:paraId="33C58515">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rPr>
        <w:t>3</w:t>
      </w:r>
      <w:r>
        <w:rPr>
          <w:rFonts w:hint="eastAsia" w:ascii="国标仿宋" w:hAnsi="国标仿宋" w:eastAsia="国标仿宋" w:cs="国标仿宋"/>
          <w:color w:val="auto"/>
          <w:sz w:val="24"/>
          <w:szCs w:val="24"/>
          <w:highlight w:val="none"/>
          <w:lang w:val="zh-CN"/>
        </w:rPr>
        <w:t>、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52B5D960">
      <w:pPr>
        <w:pStyle w:val="409"/>
        <w:spacing w:line="560" w:lineRule="exact"/>
        <w:ind w:firstLine="480" w:firstLineChars="200"/>
        <w:jc w:val="left"/>
        <w:rPr>
          <w:rFonts w:hint="eastAsia" w:ascii="国标仿宋" w:hAnsi="国标仿宋" w:eastAsia="国标仿宋" w:cs="国标仿宋"/>
          <w:b/>
          <w:bCs/>
          <w:color w:val="auto"/>
          <w:sz w:val="24"/>
          <w:szCs w:val="24"/>
          <w:highlight w:val="none"/>
          <w:lang w:val="en-US" w:eastAsia="zh-CN"/>
        </w:rPr>
      </w:pPr>
      <w:r>
        <w:rPr>
          <w:rFonts w:hint="eastAsia" w:ascii="国标黑体" w:hAnsi="国标黑体" w:eastAsia="国标黑体" w:cs="国标黑体"/>
          <w:b w:val="0"/>
          <w:bCs w:val="0"/>
          <w:color w:val="auto"/>
          <w:sz w:val="24"/>
          <w:szCs w:val="24"/>
          <w:highlight w:val="none"/>
          <w:lang w:eastAsia="zh-CN"/>
        </w:rPr>
        <w:t>八</w:t>
      </w:r>
      <w:r>
        <w:rPr>
          <w:rFonts w:hint="eastAsia" w:ascii="国标黑体" w:hAnsi="国标黑体" w:eastAsia="国标黑体" w:cs="国标黑体"/>
          <w:b w:val="0"/>
          <w:bCs w:val="0"/>
          <w:color w:val="auto"/>
          <w:sz w:val="24"/>
          <w:szCs w:val="24"/>
          <w:highlight w:val="none"/>
          <w:lang w:val="zh-CN"/>
        </w:rPr>
        <w:t>、</w:t>
      </w:r>
      <w:r>
        <w:rPr>
          <w:rFonts w:hint="eastAsia" w:ascii="国标黑体" w:hAnsi="国标黑体" w:eastAsia="国标黑体" w:cs="国标黑体"/>
          <w:b w:val="0"/>
          <w:bCs w:val="0"/>
          <w:color w:val="auto"/>
          <w:sz w:val="24"/>
          <w:szCs w:val="24"/>
          <w:highlight w:val="none"/>
          <w:lang w:val="en-US" w:eastAsia="zh-CN"/>
        </w:rPr>
        <w:t>考核办法</w:t>
      </w:r>
    </w:p>
    <w:p w14:paraId="34E30876">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按市、区道路序化管理考核的标准和要求，采购人定期进行检查、考核，扣分扣款在合同金额支付期前予以兑现。</w:t>
      </w:r>
    </w:p>
    <w:p w14:paraId="404FB417">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lang w:val="zh-CN"/>
        </w:rPr>
        <w:t>市级主管部门检查未通过的，未通过一个问题扣2000元，从第二个问题开始以50%叠加（例：第1个问题扣2000元，第2个问题扣3000元，第3个问题扣4500元，以此类推，下同）。区级主管部门检查未通过的，未通过一个问题扣1000元，从第二个问题开始以50%叠加。本级检查未通过的，未通过一个问题扣500元，从第二个问题开始以50%叠加。</w:t>
      </w:r>
    </w:p>
    <w:p w14:paraId="7EE59450">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lang w:val="zh-CN"/>
        </w:rPr>
        <w:t>有责信访投诉每件扣500元；重复有责投诉每件扣1000元；有责被新闻媒体曝光的每件扣2000元。</w:t>
      </w:r>
    </w:p>
    <w:p w14:paraId="200D46C0">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lang w:val="zh-CN"/>
        </w:rPr>
        <w:t>现场制作违章户外广告、偷倒渣土现象未及时发现</w:t>
      </w:r>
      <w:r>
        <w:rPr>
          <w:rFonts w:hint="eastAsia" w:ascii="国标仿宋" w:hAnsi="国标仿宋" w:eastAsia="国标仿宋" w:cs="国标仿宋"/>
          <w:color w:val="auto"/>
          <w:sz w:val="24"/>
          <w:szCs w:val="24"/>
          <w:highlight w:val="none"/>
          <w:lang w:val="en-US" w:eastAsia="zh-CN"/>
        </w:rPr>
        <w:t>或</w:t>
      </w:r>
      <w:r>
        <w:rPr>
          <w:rFonts w:hint="eastAsia" w:ascii="国标仿宋" w:hAnsi="国标仿宋" w:eastAsia="国标仿宋" w:cs="国标仿宋"/>
          <w:color w:val="auto"/>
          <w:sz w:val="24"/>
          <w:szCs w:val="24"/>
          <w:highlight w:val="none"/>
          <w:lang w:val="zh-CN"/>
        </w:rPr>
        <w:t>未及时报告执法中队依法处置</w:t>
      </w:r>
      <w:r>
        <w:rPr>
          <w:rFonts w:hint="eastAsia" w:ascii="国标仿宋" w:hAnsi="国标仿宋" w:eastAsia="国标仿宋" w:cs="国标仿宋"/>
          <w:color w:val="auto"/>
          <w:sz w:val="24"/>
          <w:szCs w:val="24"/>
          <w:highlight w:val="none"/>
          <w:lang w:val="en-US" w:eastAsia="zh-CN"/>
        </w:rPr>
        <w:t>导致</w:t>
      </w:r>
      <w:r>
        <w:rPr>
          <w:rFonts w:hint="eastAsia" w:ascii="国标仿宋" w:hAnsi="国标仿宋" w:eastAsia="国标仿宋" w:cs="国标仿宋"/>
          <w:color w:val="auto"/>
          <w:sz w:val="24"/>
          <w:szCs w:val="24"/>
          <w:highlight w:val="none"/>
          <w:lang w:val="zh-CN"/>
        </w:rPr>
        <w:t>被检查扣分的，每处扣</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lang w:val="zh-CN"/>
        </w:rPr>
        <w:t>000元。</w:t>
      </w:r>
    </w:p>
    <w:p w14:paraId="7C1B1498">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rPr>
        <w:t>未按要求购买人身意外保险的，每次扣2000元。</w:t>
      </w:r>
    </w:p>
    <w:p w14:paraId="03B1AD49">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lang w:val="zh-CN"/>
        </w:rPr>
        <w:t>序化管理</w:t>
      </w:r>
      <w:r>
        <w:rPr>
          <w:rFonts w:hint="eastAsia" w:ascii="国标仿宋" w:hAnsi="国标仿宋" w:eastAsia="国标仿宋" w:cs="国标仿宋"/>
          <w:color w:val="auto"/>
          <w:sz w:val="24"/>
          <w:szCs w:val="24"/>
          <w:highlight w:val="none"/>
          <w:lang w:val="en-US" w:eastAsia="zh-CN"/>
        </w:rPr>
        <w:t>岗位信息</w:t>
      </w:r>
      <w:r>
        <w:rPr>
          <w:rFonts w:hint="eastAsia" w:ascii="国标仿宋" w:hAnsi="国标仿宋" w:eastAsia="国标仿宋" w:cs="国标仿宋"/>
          <w:color w:val="auto"/>
          <w:sz w:val="24"/>
          <w:szCs w:val="24"/>
          <w:highlight w:val="none"/>
          <w:lang w:val="zh-CN"/>
        </w:rPr>
        <w:t>及情况须向甲方报备审核。每发现存在虚报、瞒报、与</w:t>
      </w:r>
      <w:r>
        <w:rPr>
          <w:rFonts w:hint="eastAsia" w:ascii="国标仿宋" w:hAnsi="国标仿宋" w:eastAsia="国标仿宋" w:cs="国标仿宋"/>
          <w:color w:val="auto"/>
          <w:sz w:val="24"/>
          <w:szCs w:val="24"/>
          <w:highlight w:val="none"/>
          <w:lang w:val="en-US" w:eastAsia="zh-CN"/>
        </w:rPr>
        <w:t>备案信息</w:t>
      </w:r>
      <w:r>
        <w:rPr>
          <w:rFonts w:hint="eastAsia" w:ascii="国标仿宋" w:hAnsi="国标仿宋" w:eastAsia="国标仿宋" w:cs="国标仿宋"/>
          <w:color w:val="auto"/>
          <w:sz w:val="24"/>
          <w:szCs w:val="24"/>
          <w:highlight w:val="none"/>
          <w:lang w:val="zh-CN"/>
        </w:rPr>
        <w:t>不一致的情况，每</w:t>
      </w:r>
      <w:r>
        <w:rPr>
          <w:rFonts w:hint="eastAsia" w:ascii="国标仿宋" w:hAnsi="国标仿宋" w:eastAsia="国标仿宋" w:cs="国标仿宋"/>
          <w:color w:val="auto"/>
          <w:sz w:val="24"/>
          <w:szCs w:val="24"/>
          <w:highlight w:val="none"/>
          <w:lang w:val="en-US" w:eastAsia="zh-CN"/>
        </w:rPr>
        <w:t>个岗位</w:t>
      </w:r>
      <w:r>
        <w:rPr>
          <w:rFonts w:hint="eastAsia" w:ascii="国标仿宋" w:hAnsi="国标仿宋" w:eastAsia="国标仿宋" w:cs="国标仿宋"/>
          <w:color w:val="auto"/>
          <w:sz w:val="24"/>
          <w:szCs w:val="24"/>
          <w:highlight w:val="none"/>
          <w:lang w:val="zh-CN"/>
        </w:rPr>
        <w:t>扣1000元。</w:t>
      </w:r>
    </w:p>
    <w:p w14:paraId="7400E2C0">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6、未在甲方要求的时间内提供服务</w:t>
      </w:r>
      <w:r>
        <w:rPr>
          <w:rFonts w:hint="eastAsia" w:ascii="国标仿宋" w:hAnsi="国标仿宋" w:eastAsia="国标仿宋" w:cs="国标仿宋"/>
          <w:color w:val="auto"/>
          <w:sz w:val="24"/>
          <w:szCs w:val="24"/>
          <w:highlight w:val="none"/>
          <w:lang w:val="zh-CN"/>
        </w:rPr>
        <w:t>，工作时扎堆聊天、打瞌睡、玩手机，着装不整，</w:t>
      </w:r>
      <w:r>
        <w:rPr>
          <w:rFonts w:hint="eastAsia" w:ascii="国标仿宋" w:hAnsi="国标仿宋" w:eastAsia="国标仿宋" w:cs="国标仿宋"/>
          <w:color w:val="auto"/>
          <w:sz w:val="24"/>
          <w:szCs w:val="24"/>
          <w:highlight w:val="none"/>
          <w:lang w:val="en-US" w:eastAsia="zh-CN"/>
        </w:rPr>
        <w:t>或</w:t>
      </w:r>
      <w:r>
        <w:rPr>
          <w:rFonts w:hint="eastAsia" w:ascii="国标仿宋" w:hAnsi="国标仿宋" w:eastAsia="国标仿宋" w:cs="国标仿宋"/>
          <w:color w:val="auto"/>
          <w:sz w:val="24"/>
          <w:szCs w:val="24"/>
          <w:highlight w:val="none"/>
          <w:lang w:val="zh-CN"/>
        </w:rPr>
        <w:t>有脏话及打骂当事人行为的，每发现一次扣500元/</w:t>
      </w:r>
      <w:r>
        <w:rPr>
          <w:rFonts w:hint="eastAsia" w:ascii="国标仿宋" w:hAnsi="国标仿宋" w:eastAsia="国标仿宋" w:cs="国标仿宋"/>
          <w:color w:val="auto"/>
          <w:sz w:val="24"/>
          <w:szCs w:val="24"/>
          <w:highlight w:val="none"/>
          <w:lang w:val="en-US" w:eastAsia="zh-CN"/>
        </w:rPr>
        <w:t>岗</w:t>
      </w:r>
      <w:r>
        <w:rPr>
          <w:rFonts w:hint="eastAsia" w:ascii="国标仿宋" w:hAnsi="国标仿宋" w:eastAsia="国标仿宋" w:cs="国标仿宋"/>
          <w:color w:val="auto"/>
          <w:sz w:val="24"/>
          <w:szCs w:val="24"/>
          <w:highlight w:val="none"/>
          <w:lang w:val="zh-CN"/>
        </w:rPr>
        <w:t>；如造成较大影响的，每次扣2000元/</w:t>
      </w:r>
      <w:r>
        <w:rPr>
          <w:rFonts w:hint="eastAsia" w:ascii="国标仿宋" w:hAnsi="国标仿宋" w:eastAsia="国标仿宋" w:cs="国标仿宋"/>
          <w:color w:val="auto"/>
          <w:sz w:val="24"/>
          <w:szCs w:val="24"/>
          <w:highlight w:val="none"/>
          <w:lang w:val="en-US" w:eastAsia="zh-CN"/>
        </w:rPr>
        <w:t>岗</w:t>
      </w:r>
      <w:r>
        <w:rPr>
          <w:rFonts w:hint="eastAsia" w:ascii="国标仿宋" w:hAnsi="国标仿宋" w:eastAsia="国标仿宋" w:cs="国标仿宋"/>
          <w:color w:val="auto"/>
          <w:sz w:val="24"/>
          <w:szCs w:val="24"/>
          <w:highlight w:val="none"/>
          <w:lang w:val="zh-CN"/>
        </w:rPr>
        <w:t>。</w:t>
      </w:r>
    </w:p>
    <w:p w14:paraId="72BFDE4A">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7、</w:t>
      </w:r>
      <w:r>
        <w:rPr>
          <w:rFonts w:hint="eastAsia" w:ascii="国标仿宋" w:hAnsi="国标仿宋" w:eastAsia="国标仿宋" w:cs="国标仿宋"/>
          <w:color w:val="auto"/>
          <w:sz w:val="24"/>
          <w:szCs w:val="24"/>
          <w:highlight w:val="none"/>
          <w:lang w:val="zh-CN"/>
        </w:rPr>
        <w:t>每天工作情况未报告或通讯联系无应答，临时性调派或要求协助工作任务未及时完成的，每起扣500元。</w:t>
      </w:r>
    </w:p>
    <w:p w14:paraId="5BE75097">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8、乙方</w:t>
      </w:r>
      <w:r>
        <w:rPr>
          <w:rFonts w:hint="eastAsia" w:ascii="国标仿宋" w:hAnsi="国标仿宋" w:eastAsia="国标仿宋" w:cs="国标仿宋"/>
          <w:color w:val="auto"/>
          <w:sz w:val="24"/>
          <w:szCs w:val="24"/>
          <w:highlight w:val="none"/>
          <w:lang w:val="zh-CN"/>
        </w:rPr>
        <w:t>序化管理</w:t>
      </w:r>
      <w:r>
        <w:rPr>
          <w:rFonts w:hint="eastAsia" w:ascii="国标仿宋" w:hAnsi="国标仿宋" w:eastAsia="国标仿宋" w:cs="国标仿宋"/>
          <w:color w:val="auto"/>
          <w:sz w:val="24"/>
          <w:szCs w:val="24"/>
          <w:highlight w:val="none"/>
          <w:lang w:val="en-US" w:eastAsia="zh-CN"/>
        </w:rPr>
        <w:t>岗位</w:t>
      </w:r>
      <w:r>
        <w:rPr>
          <w:rFonts w:hint="eastAsia" w:ascii="国标仿宋" w:hAnsi="国标仿宋" w:eastAsia="国标仿宋" w:cs="国标仿宋"/>
          <w:color w:val="auto"/>
          <w:sz w:val="24"/>
          <w:szCs w:val="24"/>
          <w:highlight w:val="none"/>
          <w:lang w:val="zh-CN"/>
        </w:rPr>
        <w:t>不得和其他项目工作兼任，如有发现，每</w:t>
      </w:r>
      <w:r>
        <w:rPr>
          <w:rFonts w:hint="eastAsia" w:ascii="国标仿宋" w:hAnsi="国标仿宋" w:eastAsia="国标仿宋" w:cs="国标仿宋"/>
          <w:color w:val="auto"/>
          <w:sz w:val="24"/>
          <w:szCs w:val="24"/>
          <w:highlight w:val="none"/>
          <w:lang w:val="en-US" w:eastAsia="zh-CN"/>
        </w:rPr>
        <w:t>岗</w:t>
      </w:r>
      <w:r>
        <w:rPr>
          <w:rFonts w:hint="eastAsia" w:ascii="国标仿宋" w:hAnsi="国标仿宋" w:eastAsia="国标仿宋" w:cs="国标仿宋"/>
          <w:color w:val="auto"/>
          <w:sz w:val="24"/>
          <w:szCs w:val="24"/>
          <w:highlight w:val="none"/>
          <w:lang w:val="zh-CN"/>
        </w:rPr>
        <w:t>每次扣2000元，且甲方有权要求乙方</w:t>
      </w:r>
      <w:r>
        <w:rPr>
          <w:rFonts w:hint="eastAsia" w:ascii="国标仿宋" w:hAnsi="国标仿宋" w:eastAsia="国标仿宋" w:cs="国标仿宋"/>
          <w:color w:val="auto"/>
          <w:sz w:val="24"/>
          <w:szCs w:val="24"/>
          <w:highlight w:val="none"/>
          <w:lang w:val="en-US" w:eastAsia="zh-CN"/>
        </w:rPr>
        <w:t>更换</w:t>
      </w:r>
      <w:r>
        <w:rPr>
          <w:rFonts w:hint="eastAsia" w:ascii="国标仿宋" w:hAnsi="国标仿宋" w:eastAsia="国标仿宋" w:cs="国标仿宋"/>
          <w:color w:val="auto"/>
          <w:sz w:val="24"/>
          <w:szCs w:val="24"/>
          <w:highlight w:val="none"/>
          <w:lang w:val="zh-CN"/>
        </w:rPr>
        <w:t>岗位。</w:t>
      </w:r>
    </w:p>
    <w:p w14:paraId="1E0496C1">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9、</w:t>
      </w:r>
      <w:r>
        <w:rPr>
          <w:rFonts w:hint="eastAsia" w:ascii="国标仿宋" w:hAnsi="国标仿宋" w:eastAsia="国标仿宋" w:cs="国标仿宋"/>
          <w:color w:val="auto"/>
          <w:sz w:val="24"/>
          <w:szCs w:val="24"/>
          <w:highlight w:val="none"/>
          <w:lang w:val="zh-CN"/>
        </w:rPr>
        <w:t>对于甲方已提出的整改问题，未按时整改或整改不到位的，每次扣2000元。</w:t>
      </w:r>
    </w:p>
    <w:p w14:paraId="32381DE0">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10、</w:t>
      </w:r>
      <w:r>
        <w:rPr>
          <w:rFonts w:hint="eastAsia" w:ascii="国标仿宋" w:hAnsi="国标仿宋" w:eastAsia="国标仿宋" w:cs="国标仿宋"/>
          <w:color w:val="auto"/>
          <w:sz w:val="24"/>
          <w:szCs w:val="24"/>
          <w:highlight w:val="none"/>
          <w:lang w:val="zh-CN"/>
        </w:rPr>
        <w:t>甲方有权对</w:t>
      </w:r>
      <w:r>
        <w:rPr>
          <w:rFonts w:hint="eastAsia" w:ascii="国标仿宋" w:hAnsi="国标仿宋" w:eastAsia="国标仿宋" w:cs="国标仿宋"/>
          <w:color w:val="auto"/>
          <w:sz w:val="24"/>
          <w:szCs w:val="24"/>
          <w:highlight w:val="none"/>
          <w:lang w:val="en-US" w:eastAsia="zh-CN"/>
        </w:rPr>
        <w:t>乙方</w:t>
      </w:r>
      <w:r>
        <w:rPr>
          <w:rFonts w:hint="eastAsia" w:ascii="国标仿宋" w:hAnsi="国标仿宋" w:eastAsia="国标仿宋" w:cs="国标仿宋"/>
          <w:color w:val="auto"/>
          <w:sz w:val="24"/>
          <w:szCs w:val="24"/>
          <w:highlight w:val="none"/>
          <w:lang w:val="zh-CN"/>
        </w:rPr>
        <w:t>进行管理，</w:t>
      </w:r>
      <w:r>
        <w:rPr>
          <w:rFonts w:hint="eastAsia" w:ascii="国标仿宋" w:hAnsi="国标仿宋" w:eastAsia="国标仿宋" w:cs="国标仿宋"/>
          <w:color w:val="auto"/>
          <w:sz w:val="24"/>
          <w:szCs w:val="24"/>
          <w:highlight w:val="none"/>
          <w:lang w:val="en-US" w:eastAsia="zh-CN"/>
        </w:rPr>
        <w:t>乙方存在</w:t>
      </w:r>
      <w:r>
        <w:rPr>
          <w:rFonts w:hint="eastAsia" w:ascii="国标仿宋" w:hAnsi="国标仿宋" w:eastAsia="国标仿宋" w:cs="国标仿宋"/>
          <w:color w:val="auto"/>
          <w:sz w:val="24"/>
          <w:szCs w:val="24"/>
          <w:highlight w:val="none"/>
          <w:lang w:val="zh-CN"/>
        </w:rPr>
        <w:t>违纪、违规行为和不作为等</w:t>
      </w:r>
      <w:r>
        <w:rPr>
          <w:rFonts w:hint="eastAsia" w:ascii="国标仿宋" w:hAnsi="国标仿宋" w:eastAsia="国标仿宋" w:cs="国标仿宋"/>
          <w:color w:val="auto"/>
          <w:sz w:val="24"/>
          <w:szCs w:val="24"/>
          <w:highlight w:val="none"/>
          <w:lang w:val="en-US" w:eastAsia="zh-CN"/>
        </w:rPr>
        <w:t>行为的</w:t>
      </w:r>
      <w:r>
        <w:rPr>
          <w:rFonts w:hint="eastAsia" w:ascii="国标仿宋" w:hAnsi="国标仿宋" w:eastAsia="国标仿宋" w:cs="国标仿宋"/>
          <w:color w:val="auto"/>
          <w:sz w:val="24"/>
          <w:szCs w:val="24"/>
          <w:highlight w:val="none"/>
          <w:lang w:val="zh-CN"/>
        </w:rPr>
        <w:t>，甲方有权</w:t>
      </w:r>
      <w:r>
        <w:rPr>
          <w:rFonts w:hint="eastAsia" w:ascii="国标仿宋" w:hAnsi="国标仿宋" w:eastAsia="国标仿宋" w:cs="国标仿宋"/>
          <w:color w:val="auto"/>
          <w:sz w:val="24"/>
          <w:szCs w:val="24"/>
          <w:highlight w:val="none"/>
          <w:lang w:val="en-US" w:eastAsia="zh-CN"/>
        </w:rPr>
        <w:t>对</w:t>
      </w:r>
      <w:r>
        <w:rPr>
          <w:rFonts w:hint="eastAsia" w:ascii="国标仿宋" w:hAnsi="国标仿宋" w:eastAsia="国标仿宋" w:cs="国标仿宋"/>
          <w:color w:val="auto"/>
          <w:sz w:val="24"/>
          <w:szCs w:val="24"/>
          <w:highlight w:val="none"/>
          <w:lang w:val="zh-CN"/>
        </w:rPr>
        <w:t>乙方进行处罚或</w:t>
      </w:r>
      <w:r>
        <w:rPr>
          <w:rFonts w:hint="eastAsia" w:ascii="国标仿宋" w:hAnsi="国标仿宋" w:eastAsia="国标仿宋" w:cs="国标仿宋"/>
          <w:color w:val="auto"/>
          <w:sz w:val="24"/>
          <w:szCs w:val="24"/>
          <w:highlight w:val="none"/>
          <w:lang w:val="en-US" w:eastAsia="zh-CN"/>
        </w:rPr>
        <w:t>要求乙方更改岗位</w:t>
      </w:r>
      <w:r>
        <w:rPr>
          <w:rFonts w:hint="eastAsia" w:ascii="国标仿宋" w:hAnsi="国标仿宋" w:eastAsia="国标仿宋" w:cs="国标仿宋"/>
          <w:color w:val="auto"/>
          <w:sz w:val="24"/>
          <w:szCs w:val="24"/>
          <w:highlight w:val="none"/>
          <w:lang w:val="zh-CN"/>
        </w:rPr>
        <w:t>；</w:t>
      </w:r>
      <w:r>
        <w:rPr>
          <w:rFonts w:hint="eastAsia" w:ascii="国标仿宋" w:hAnsi="国标仿宋" w:eastAsia="国标仿宋" w:cs="国标仿宋"/>
          <w:color w:val="auto"/>
          <w:sz w:val="24"/>
          <w:szCs w:val="24"/>
          <w:highlight w:val="none"/>
          <w:lang w:val="en-US" w:eastAsia="zh-CN"/>
        </w:rPr>
        <w:t>若</w:t>
      </w:r>
      <w:r>
        <w:rPr>
          <w:rFonts w:hint="eastAsia" w:ascii="国标仿宋" w:hAnsi="国标仿宋" w:eastAsia="国标仿宋" w:cs="国标仿宋"/>
          <w:color w:val="auto"/>
          <w:sz w:val="24"/>
          <w:szCs w:val="24"/>
          <w:highlight w:val="none"/>
          <w:lang w:val="zh-CN"/>
        </w:rPr>
        <w:t>发生乙方不服从甲方安排的情况，每次扣5000元。</w:t>
      </w:r>
    </w:p>
    <w:p w14:paraId="31DB4DB5">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11、</w:t>
      </w:r>
      <w:r>
        <w:rPr>
          <w:rFonts w:hint="eastAsia" w:ascii="国标仿宋" w:hAnsi="国标仿宋" w:eastAsia="国标仿宋" w:cs="国标仿宋"/>
          <w:color w:val="auto"/>
          <w:sz w:val="24"/>
          <w:szCs w:val="24"/>
          <w:highlight w:val="none"/>
          <w:lang w:val="zh-CN"/>
        </w:rPr>
        <w:t>以上考核条款扣款，每扣500元计1分，每月累计达20分的，额外扣款20000元，连续两个月考核扣分≥20分的，甲方有权无条件</w:t>
      </w:r>
      <w:r>
        <w:rPr>
          <w:rFonts w:hint="eastAsia" w:ascii="国标仿宋" w:hAnsi="国标仿宋" w:eastAsia="国标仿宋" w:cs="国标仿宋"/>
          <w:color w:val="auto"/>
          <w:sz w:val="24"/>
          <w:szCs w:val="24"/>
          <w:highlight w:val="none"/>
          <w:lang w:val="en-US" w:eastAsia="zh-CN"/>
        </w:rPr>
        <w:t>单方</w:t>
      </w:r>
      <w:r>
        <w:rPr>
          <w:rFonts w:hint="eastAsia" w:ascii="国标仿宋" w:hAnsi="国标仿宋" w:eastAsia="国标仿宋" w:cs="国标仿宋"/>
          <w:color w:val="auto"/>
          <w:sz w:val="24"/>
          <w:szCs w:val="24"/>
          <w:highlight w:val="none"/>
          <w:lang w:val="zh-CN"/>
        </w:rPr>
        <w:t>解除合同。</w:t>
      </w:r>
    </w:p>
    <w:p w14:paraId="5100D66F">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12、</w:t>
      </w:r>
      <w:r>
        <w:rPr>
          <w:rFonts w:hint="eastAsia" w:ascii="国标仿宋" w:hAnsi="国标仿宋" w:eastAsia="国标仿宋" w:cs="国标仿宋"/>
          <w:color w:val="auto"/>
          <w:sz w:val="24"/>
          <w:szCs w:val="24"/>
          <w:highlight w:val="none"/>
          <w:lang w:val="zh-CN" w:eastAsia="zh-CN"/>
        </w:rPr>
        <w:t>甲方有权根据实际工作要求和相关文件精神调整考核内容。</w:t>
      </w:r>
    </w:p>
    <w:p w14:paraId="0845C11F">
      <w:pPr>
        <w:pStyle w:val="409"/>
        <w:spacing w:line="560" w:lineRule="exact"/>
        <w:ind w:firstLine="480" w:firstLineChars="200"/>
        <w:jc w:val="left"/>
        <w:rPr>
          <w:rFonts w:hint="eastAsia" w:ascii="国标黑体" w:hAnsi="国标黑体" w:eastAsia="国标黑体" w:cs="国标黑体"/>
          <w:b w:val="0"/>
          <w:bCs w:val="0"/>
          <w:color w:val="auto"/>
          <w:sz w:val="24"/>
          <w:szCs w:val="24"/>
          <w:highlight w:val="none"/>
          <w:lang w:val="zh-CN"/>
        </w:rPr>
      </w:pPr>
      <w:r>
        <w:rPr>
          <w:rFonts w:hint="eastAsia" w:ascii="国标黑体" w:hAnsi="国标黑体" w:eastAsia="国标黑体" w:cs="国标黑体"/>
          <w:b w:val="0"/>
          <w:bCs w:val="0"/>
          <w:color w:val="auto"/>
          <w:sz w:val="24"/>
          <w:szCs w:val="24"/>
          <w:highlight w:val="none"/>
          <w:lang w:eastAsia="zh-CN"/>
        </w:rPr>
        <w:t>九</w:t>
      </w:r>
      <w:r>
        <w:rPr>
          <w:rFonts w:hint="eastAsia" w:ascii="国标黑体" w:hAnsi="国标黑体" w:eastAsia="国标黑体" w:cs="国标黑体"/>
          <w:b w:val="0"/>
          <w:bCs w:val="0"/>
          <w:color w:val="auto"/>
          <w:sz w:val="24"/>
          <w:szCs w:val="24"/>
          <w:highlight w:val="none"/>
          <w:lang w:val="zh-CN"/>
        </w:rPr>
        <w:t>、其它说明</w:t>
      </w:r>
    </w:p>
    <w:p w14:paraId="156A51D8">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1、序化管理管理中所需的车辆、摄像机、照像机、对讲机等全部由中标人负责。</w:t>
      </w:r>
    </w:p>
    <w:p w14:paraId="314C7D9F">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zh-CN"/>
        </w:rPr>
        <w:t>2、采购人不提供住宿、更衣室等场地。</w:t>
      </w:r>
    </w:p>
    <w:p w14:paraId="64C71616">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3、在岗工作期间，因</w:t>
      </w:r>
      <w:bookmarkStart w:id="28" w:name="OLE_LINK4"/>
      <w:r>
        <w:rPr>
          <w:rFonts w:hint="eastAsia" w:ascii="国标仿宋" w:hAnsi="国标仿宋" w:eastAsia="国标仿宋" w:cs="国标仿宋"/>
          <w:color w:val="auto"/>
          <w:sz w:val="24"/>
          <w:szCs w:val="24"/>
          <w:highlight w:val="none"/>
        </w:rPr>
        <w:t>序化管理人员</w:t>
      </w:r>
      <w:bookmarkEnd w:id="28"/>
      <w:r>
        <w:rPr>
          <w:rFonts w:hint="eastAsia" w:ascii="国标仿宋" w:hAnsi="国标仿宋" w:eastAsia="国标仿宋" w:cs="国标仿宋"/>
          <w:color w:val="auto"/>
          <w:sz w:val="24"/>
          <w:szCs w:val="24"/>
          <w:highlight w:val="none"/>
        </w:rPr>
        <w:t>失职导致人员伤亡事故等重大责任事故，服务公司必须承担所有责任。</w:t>
      </w:r>
    </w:p>
    <w:p w14:paraId="709D061C">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4、服务公司应为序化管理员投保人身意外险。序化管理人员在岗履行工作职责期间，发生自身的人身伤害、伤亡，均由服务公司负责处理并承担经济和道义上的责任，</w:t>
      </w:r>
      <w:r>
        <w:rPr>
          <w:rFonts w:hint="eastAsia" w:ascii="国标仿宋" w:hAnsi="国标仿宋" w:eastAsia="国标仿宋" w:cs="国标仿宋"/>
          <w:color w:val="auto"/>
          <w:sz w:val="24"/>
          <w:szCs w:val="24"/>
          <w:highlight w:val="none"/>
          <w:lang w:eastAsia="zh-CN"/>
        </w:rPr>
        <w:t>采购人</w:t>
      </w:r>
      <w:r>
        <w:rPr>
          <w:rFonts w:hint="eastAsia" w:ascii="国标仿宋" w:hAnsi="国标仿宋" w:eastAsia="国标仿宋" w:cs="国标仿宋"/>
          <w:color w:val="auto"/>
          <w:sz w:val="24"/>
          <w:szCs w:val="24"/>
          <w:highlight w:val="none"/>
        </w:rPr>
        <w:t>不承担任何责任。</w:t>
      </w:r>
    </w:p>
    <w:p w14:paraId="00D56F78">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5、服务公司违反国家相关法规，与聘用人员发生纠纷，均由服务公司负责调解与处理，</w:t>
      </w:r>
      <w:r>
        <w:rPr>
          <w:rFonts w:hint="eastAsia" w:ascii="国标仿宋" w:hAnsi="国标仿宋" w:eastAsia="国标仿宋" w:cs="国标仿宋"/>
          <w:color w:val="auto"/>
          <w:sz w:val="24"/>
          <w:szCs w:val="24"/>
          <w:highlight w:val="none"/>
          <w:lang w:eastAsia="zh-CN"/>
        </w:rPr>
        <w:t>采购人</w:t>
      </w:r>
      <w:r>
        <w:rPr>
          <w:rFonts w:hint="eastAsia" w:ascii="国标仿宋" w:hAnsi="国标仿宋" w:eastAsia="国标仿宋" w:cs="国标仿宋"/>
          <w:color w:val="auto"/>
          <w:sz w:val="24"/>
          <w:szCs w:val="24"/>
          <w:highlight w:val="none"/>
        </w:rPr>
        <w:t xml:space="preserve">不承担责任。 </w:t>
      </w:r>
    </w:p>
    <w:p w14:paraId="186070D2">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6、服务公司在序化管理服务中违反国家相关法规或行业规范，因过失造成他人人身伤亡的，均由服务公司负责处理并承担经济和道义上的责任，</w:t>
      </w:r>
      <w:r>
        <w:rPr>
          <w:rFonts w:hint="eastAsia" w:ascii="国标仿宋" w:hAnsi="国标仿宋" w:eastAsia="国标仿宋" w:cs="国标仿宋"/>
          <w:color w:val="auto"/>
          <w:sz w:val="24"/>
          <w:szCs w:val="24"/>
          <w:highlight w:val="none"/>
          <w:lang w:eastAsia="zh-CN"/>
        </w:rPr>
        <w:t>采购人</w:t>
      </w:r>
      <w:r>
        <w:rPr>
          <w:rFonts w:hint="eastAsia" w:ascii="国标仿宋" w:hAnsi="国标仿宋" w:eastAsia="国标仿宋" w:cs="国标仿宋"/>
          <w:color w:val="auto"/>
          <w:sz w:val="24"/>
          <w:szCs w:val="24"/>
          <w:highlight w:val="none"/>
        </w:rPr>
        <w:t>不承担任何责任。</w:t>
      </w:r>
    </w:p>
    <w:p w14:paraId="6DF9DCB2">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7、</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的报价应包括为完成本项目服务可能发生的全部费用及</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的利润和应交纳的税金等（包括人员工资、各种社会保险、人员食宿与交通、办公费等）。</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对合同内容的费用、质量、安全、文明服务等实行全面承包。本项目相关的一切税费（包括管理人员工资福利、保险、服装、税金等）均由中标</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承担。如中标</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未按规定交纳的，所发生的一切纠纷和费用由中标</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自行承担，与</w:t>
      </w:r>
      <w:r>
        <w:rPr>
          <w:rFonts w:hint="eastAsia" w:ascii="国标仿宋" w:hAnsi="国标仿宋" w:eastAsia="国标仿宋" w:cs="国标仿宋"/>
          <w:color w:val="auto"/>
          <w:sz w:val="24"/>
          <w:szCs w:val="24"/>
          <w:highlight w:val="none"/>
          <w:lang w:eastAsia="zh-CN"/>
        </w:rPr>
        <w:t>采购人</w:t>
      </w:r>
      <w:r>
        <w:rPr>
          <w:rFonts w:hint="eastAsia" w:ascii="国标仿宋" w:hAnsi="国标仿宋" w:eastAsia="国标仿宋" w:cs="国标仿宋"/>
          <w:color w:val="auto"/>
          <w:sz w:val="24"/>
          <w:szCs w:val="24"/>
          <w:highlight w:val="none"/>
        </w:rPr>
        <w:t>无关。</w:t>
      </w:r>
    </w:p>
    <w:p w14:paraId="45133936">
      <w:pPr>
        <w:pStyle w:val="409"/>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8、</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应考虑企业自身实力、经验及项目实施过程中的各种因素，根据采购要求，详细说明所能提供的各项具体服务内容，自主确定报价，实行总价包干，并按服务的内容分别独立报价并提供报价组成与成本分析。</w:t>
      </w:r>
    </w:p>
    <w:p w14:paraId="1AC95A19">
      <w:pPr>
        <w:pStyle w:val="409"/>
        <w:spacing w:line="560" w:lineRule="exact"/>
        <w:ind w:firstLine="482" w:firstLineChars="200"/>
        <w:jc w:val="left"/>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9、</w:t>
      </w:r>
      <w:r>
        <w:rPr>
          <w:rFonts w:hint="eastAsia" w:ascii="国标仿宋" w:hAnsi="国标仿宋" w:eastAsia="国标仿宋" w:cs="国标仿宋"/>
          <w:b/>
          <w:bCs/>
          <w:color w:val="auto"/>
          <w:sz w:val="24"/>
          <w:szCs w:val="24"/>
          <w:highlight w:val="none"/>
          <w:lang w:eastAsia="zh-CN"/>
        </w:rPr>
        <w:t>供应商</w:t>
      </w:r>
      <w:r>
        <w:rPr>
          <w:rFonts w:hint="eastAsia" w:ascii="国标仿宋" w:hAnsi="国标仿宋" w:eastAsia="国标仿宋" w:cs="国标仿宋"/>
          <w:b/>
          <w:bCs/>
          <w:color w:val="auto"/>
          <w:sz w:val="24"/>
          <w:szCs w:val="24"/>
          <w:highlight w:val="none"/>
        </w:rPr>
        <w:t>服务人员基本工资最低不得低于现杭州市最低工资标准。</w:t>
      </w:r>
    </w:p>
    <w:p w14:paraId="066B3A4B">
      <w:pPr>
        <w:pStyle w:val="409"/>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en-US" w:eastAsia="zh-CN"/>
        </w:rPr>
        <w:t>注：本采购需求中涉及的相关文件如有更新，按照最新版本执行。</w:t>
      </w:r>
    </w:p>
    <w:p w14:paraId="38302E48">
      <w:pPr>
        <w:pStyle w:val="409"/>
        <w:spacing w:line="560" w:lineRule="exact"/>
        <w:ind w:firstLine="480" w:firstLineChars="200"/>
        <w:jc w:val="left"/>
        <w:rPr>
          <w:rFonts w:hint="eastAsia" w:ascii="国标黑体" w:hAnsi="国标黑体" w:eastAsia="国标黑体" w:cs="国标黑体"/>
          <w:b w:val="0"/>
          <w:bCs w:val="0"/>
          <w:color w:val="auto"/>
          <w:sz w:val="24"/>
          <w:szCs w:val="24"/>
          <w:highlight w:val="none"/>
        </w:rPr>
      </w:pPr>
      <w:r>
        <w:rPr>
          <w:rFonts w:hint="eastAsia" w:ascii="国标黑体" w:hAnsi="国标黑体" w:eastAsia="国标黑体" w:cs="国标黑体"/>
          <w:b w:val="0"/>
          <w:bCs w:val="0"/>
          <w:color w:val="auto"/>
          <w:sz w:val="24"/>
          <w:szCs w:val="24"/>
          <w:highlight w:val="none"/>
        </w:rPr>
        <w:t>十、服务期限</w:t>
      </w:r>
    </w:p>
    <w:p w14:paraId="09D362E4">
      <w:pPr>
        <w:pStyle w:val="409"/>
        <w:spacing w:line="560" w:lineRule="exact"/>
        <w:ind w:firstLine="480" w:firstLineChars="200"/>
        <w:jc w:val="left"/>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rPr>
        <w:t>本项目服务期限：</w:t>
      </w:r>
      <w:r>
        <w:rPr>
          <w:rFonts w:hint="eastAsia" w:ascii="国标仿宋" w:hAnsi="国标仿宋" w:eastAsia="国标仿宋" w:cs="国标仿宋"/>
          <w:color w:val="auto"/>
          <w:kern w:val="0"/>
          <w:sz w:val="24"/>
          <w:szCs w:val="24"/>
          <w:highlight w:val="none"/>
        </w:rPr>
        <w:t>1年，具体按合同签订时间为准。</w:t>
      </w:r>
      <w:r>
        <w:rPr>
          <w:rFonts w:hint="eastAsia" w:ascii="国标仿宋" w:hAnsi="国标仿宋" w:eastAsia="国标仿宋" w:cs="国标仿宋"/>
          <w:color w:val="auto"/>
          <w:sz w:val="24"/>
          <w:szCs w:val="24"/>
          <w:highlight w:val="none"/>
        </w:rPr>
        <w:t>服务期内，</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没有按合同规定服务，采购人有权终止合同，另行招标采购</w:t>
      </w:r>
      <w:r>
        <w:rPr>
          <w:rFonts w:hint="eastAsia" w:ascii="国标仿宋" w:hAnsi="国标仿宋" w:eastAsia="国标仿宋" w:cs="国标仿宋"/>
          <w:color w:val="auto"/>
          <w:sz w:val="24"/>
          <w:szCs w:val="24"/>
          <w:highlight w:val="none"/>
          <w:lang w:eastAsia="zh-CN"/>
        </w:rPr>
        <w:t>。供应商</w:t>
      </w:r>
      <w:r>
        <w:rPr>
          <w:rFonts w:hint="eastAsia" w:ascii="国标仿宋" w:hAnsi="国标仿宋" w:eastAsia="国标仿宋" w:cs="国标仿宋"/>
          <w:color w:val="auto"/>
          <w:sz w:val="24"/>
          <w:szCs w:val="24"/>
          <w:highlight w:val="none"/>
        </w:rPr>
        <w:t>应根据采购人的招投标需求延续提供1个月的服务，延续服务费用标准按原合同规定执行。</w:t>
      </w:r>
    </w:p>
    <w:p w14:paraId="3956ACFB">
      <w:pPr>
        <w:pStyle w:val="409"/>
        <w:spacing w:line="560" w:lineRule="exact"/>
        <w:ind w:firstLine="480" w:firstLineChars="200"/>
        <w:rPr>
          <w:rFonts w:hint="eastAsia" w:ascii="国标黑体" w:hAnsi="国标黑体" w:eastAsia="国标黑体" w:cs="国标黑体"/>
          <w:b w:val="0"/>
          <w:color w:val="auto"/>
          <w:sz w:val="24"/>
          <w:szCs w:val="24"/>
          <w:highlight w:val="none"/>
        </w:rPr>
      </w:pPr>
      <w:r>
        <w:rPr>
          <w:rFonts w:hint="eastAsia" w:ascii="国标黑体" w:hAnsi="国标黑体" w:eastAsia="国标黑体" w:cs="国标黑体"/>
          <w:b w:val="0"/>
          <w:color w:val="auto"/>
          <w:sz w:val="24"/>
          <w:szCs w:val="24"/>
          <w:highlight w:val="none"/>
        </w:rPr>
        <w:t>十</w:t>
      </w:r>
      <w:r>
        <w:rPr>
          <w:rFonts w:hint="eastAsia" w:ascii="国标黑体" w:hAnsi="国标黑体" w:eastAsia="国标黑体" w:cs="国标黑体"/>
          <w:b w:val="0"/>
          <w:color w:val="auto"/>
          <w:sz w:val="24"/>
          <w:szCs w:val="24"/>
          <w:highlight w:val="none"/>
          <w:lang w:eastAsia="zh-CN"/>
        </w:rPr>
        <w:t>一</w:t>
      </w:r>
      <w:r>
        <w:rPr>
          <w:rFonts w:hint="eastAsia" w:ascii="国标黑体" w:hAnsi="国标黑体" w:eastAsia="国标黑体" w:cs="国标黑体"/>
          <w:b w:val="0"/>
          <w:color w:val="auto"/>
          <w:sz w:val="24"/>
          <w:szCs w:val="24"/>
          <w:highlight w:val="none"/>
        </w:rPr>
        <w:t>、报价要求、付款方式</w:t>
      </w:r>
    </w:p>
    <w:p w14:paraId="5BC42C82">
      <w:pPr>
        <w:adjustRightInd w:val="0"/>
        <w:snapToGrid w:val="0"/>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rPr>
        <w:t>1、</w:t>
      </w:r>
      <w:r>
        <w:rPr>
          <w:rFonts w:hint="eastAsia" w:ascii="国标仿宋" w:hAnsi="国标仿宋" w:eastAsia="国标仿宋" w:cs="国标仿宋"/>
          <w:color w:val="auto"/>
          <w:sz w:val="24"/>
          <w:szCs w:val="24"/>
          <w:highlight w:val="none"/>
          <w:lang w:val="zh-CN"/>
        </w:rPr>
        <w:t>本项目采用投标总价承包报价，即一经中标，所有费用总价包干。</w:t>
      </w:r>
    </w:p>
    <w:p w14:paraId="448D8DCB">
      <w:pPr>
        <w:adjustRightInd w:val="0"/>
        <w:snapToGrid w:val="0"/>
        <w:spacing w:line="560" w:lineRule="exact"/>
        <w:ind w:firstLine="480" w:firstLineChars="200"/>
        <w:jc w:val="left"/>
        <w:rPr>
          <w:rFonts w:hint="eastAsia" w:ascii="国标仿宋" w:hAnsi="国标仿宋" w:eastAsia="国标仿宋" w:cs="国标仿宋"/>
          <w:color w:val="auto"/>
          <w:sz w:val="24"/>
          <w:szCs w:val="24"/>
          <w:highlight w:val="none"/>
          <w:lang w:val="zh-CN"/>
        </w:rPr>
      </w:pPr>
      <w:r>
        <w:rPr>
          <w:rFonts w:hint="eastAsia" w:ascii="国标仿宋" w:hAnsi="国标仿宋" w:eastAsia="国标仿宋" w:cs="国标仿宋"/>
          <w:color w:val="auto"/>
          <w:sz w:val="24"/>
          <w:szCs w:val="24"/>
          <w:highlight w:val="none"/>
          <w:lang w:val="zh-CN"/>
        </w:rPr>
        <w:t>▲本项目投入的序化管理管理人员数量不得低于招标需求中的基本人员要求。投标报价表中在人工费报价时，</w:t>
      </w:r>
      <w:r>
        <w:rPr>
          <w:rFonts w:hint="eastAsia" w:ascii="国标仿宋" w:hAnsi="国标仿宋" w:eastAsia="国标仿宋" w:cs="国标仿宋"/>
          <w:color w:val="auto"/>
          <w:sz w:val="24"/>
          <w:szCs w:val="24"/>
          <w:highlight w:val="none"/>
        </w:rPr>
        <w:t>人员工资不得低于《杭州市人民政府关于调整市区最低工资标准的通知》（</w:t>
      </w:r>
      <w:r>
        <w:rPr>
          <w:rFonts w:hint="eastAsia" w:ascii="国标仿宋" w:hAnsi="国标仿宋" w:eastAsia="国标仿宋" w:cs="国标仿宋"/>
          <w:color w:val="auto"/>
          <w:sz w:val="24"/>
          <w:szCs w:val="24"/>
          <w:highlight w:val="none"/>
          <w:lang w:eastAsia="zh-CN"/>
        </w:rPr>
        <w:t>杭政函[2021]69号</w:t>
      </w:r>
      <w:r>
        <w:rPr>
          <w:rFonts w:hint="eastAsia" w:ascii="国标仿宋" w:hAnsi="国标仿宋" w:eastAsia="国标仿宋" w:cs="国标仿宋"/>
          <w:color w:val="auto"/>
          <w:sz w:val="24"/>
          <w:szCs w:val="24"/>
          <w:highlight w:val="none"/>
        </w:rPr>
        <w:t>）规定的工资标准，必须落实职工劳保福利待遇</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zh-CN"/>
        </w:rPr>
        <w:t>必须</w:t>
      </w:r>
      <w:r>
        <w:rPr>
          <w:rFonts w:hint="eastAsia" w:ascii="国标仿宋" w:hAnsi="国标仿宋" w:eastAsia="国标仿宋" w:cs="国标仿宋"/>
          <w:color w:val="auto"/>
          <w:sz w:val="24"/>
          <w:szCs w:val="24"/>
          <w:highlight w:val="none"/>
        </w:rPr>
        <w:t>保障职工休息休假权利（以上文件如有更新，以行业主管部门颁布的最新文件为准）</w:t>
      </w:r>
      <w:r>
        <w:rPr>
          <w:rFonts w:hint="eastAsia" w:ascii="国标仿宋" w:hAnsi="国标仿宋" w:eastAsia="国标仿宋" w:cs="国标仿宋"/>
          <w:color w:val="auto"/>
          <w:sz w:val="24"/>
          <w:szCs w:val="24"/>
          <w:highlight w:val="none"/>
          <w:lang w:val="zh-CN"/>
        </w:rPr>
        <w:t>。供应商结合企业自身实力进行合理报价，还须考虑项目服务期内的人工工资根据最新的杭州市最低工资标准和相关规定及时做出调整，但承包合同总价不作调整的因素（因人工费上涨引起费用增加的风险应考虑在投标总价内，采购人不另行支付)，否则评标委员可以认为低于成本价恶性竞争而判定为无效标。</w:t>
      </w:r>
    </w:p>
    <w:p w14:paraId="5410432E">
      <w:pPr>
        <w:adjustRightInd w:val="0"/>
        <w:snapToGrid w:val="0"/>
        <w:spacing w:line="560" w:lineRule="exact"/>
        <w:ind w:firstLine="480" w:firstLineChars="200"/>
        <w:jc w:val="left"/>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2、履约保证金</w:t>
      </w:r>
    </w:p>
    <w:p w14:paraId="336A85BA">
      <w:pPr>
        <w:adjustRightInd w:val="0"/>
        <w:snapToGrid w:val="0"/>
        <w:spacing w:line="560" w:lineRule="exact"/>
        <w:ind w:firstLine="480" w:firstLineChars="200"/>
        <w:jc w:val="left"/>
        <w:rPr>
          <w:rFonts w:hint="eastAsia" w:ascii="国标仿宋" w:hAnsi="国标仿宋" w:eastAsia="国标仿宋" w:cs="国标仿宋"/>
          <w:color w:val="auto"/>
          <w:sz w:val="24"/>
          <w:szCs w:val="24"/>
          <w:highlight w:val="none"/>
          <w:lang w:val="zh-CN" w:eastAsia="zh-CN"/>
        </w:rPr>
      </w:pPr>
      <w:r>
        <w:rPr>
          <w:rFonts w:hint="eastAsia" w:ascii="国标仿宋" w:hAnsi="国标仿宋" w:eastAsia="国标仿宋" w:cs="国标仿宋"/>
          <w:b w:val="0"/>
          <w:color w:val="auto"/>
          <w:sz w:val="24"/>
          <w:szCs w:val="24"/>
          <w:highlight w:val="none"/>
          <w:lang w:val="zh-CN"/>
        </w:rPr>
        <w:t>中标单位在签订合同</w:t>
      </w:r>
      <w:r>
        <w:rPr>
          <w:rFonts w:hint="eastAsia" w:ascii="国标仿宋" w:hAnsi="国标仿宋" w:eastAsia="国标仿宋" w:cs="国标仿宋"/>
          <w:b w:val="0"/>
          <w:color w:val="auto"/>
          <w:sz w:val="24"/>
          <w:szCs w:val="24"/>
          <w:highlight w:val="none"/>
          <w:lang w:val="zh-CN" w:eastAsia="zh-CN"/>
        </w:rPr>
        <w:t>前</w:t>
      </w:r>
      <w:r>
        <w:rPr>
          <w:rFonts w:hint="eastAsia" w:ascii="国标仿宋" w:hAnsi="国标仿宋" w:eastAsia="国标仿宋" w:cs="国标仿宋"/>
          <w:b w:val="0"/>
          <w:color w:val="auto"/>
          <w:sz w:val="24"/>
          <w:szCs w:val="24"/>
          <w:highlight w:val="none"/>
          <w:lang w:val="zh-CN"/>
        </w:rPr>
        <w:t>向</w:t>
      </w:r>
      <w:r>
        <w:rPr>
          <w:rFonts w:hint="eastAsia" w:ascii="国标仿宋" w:hAnsi="国标仿宋" w:eastAsia="国标仿宋" w:cs="国标仿宋"/>
          <w:b w:val="0"/>
          <w:color w:val="auto"/>
          <w:sz w:val="24"/>
          <w:szCs w:val="24"/>
          <w:highlight w:val="none"/>
          <w:lang w:val="zh-CN" w:eastAsia="zh-CN"/>
        </w:rPr>
        <w:t>采购</w:t>
      </w:r>
      <w:r>
        <w:rPr>
          <w:rFonts w:hint="eastAsia" w:ascii="国标仿宋" w:hAnsi="国标仿宋" w:eastAsia="国标仿宋" w:cs="国标仿宋"/>
          <w:b w:val="0"/>
          <w:color w:val="auto"/>
          <w:sz w:val="24"/>
          <w:szCs w:val="24"/>
          <w:highlight w:val="none"/>
          <w:lang w:val="zh-CN"/>
        </w:rPr>
        <w:t>人交纳中标价的</w:t>
      </w:r>
      <w:r>
        <w:rPr>
          <w:rFonts w:hint="eastAsia" w:ascii="国标仿宋" w:hAnsi="国标仿宋" w:eastAsia="国标仿宋" w:cs="国标仿宋"/>
          <w:b w:val="0"/>
          <w:color w:val="auto"/>
          <w:sz w:val="24"/>
          <w:szCs w:val="24"/>
          <w:highlight w:val="none"/>
          <w:lang w:val="en-US" w:eastAsia="zh-CN"/>
        </w:rPr>
        <w:t>2</w:t>
      </w:r>
      <w:r>
        <w:rPr>
          <w:rFonts w:hint="eastAsia" w:ascii="国标仿宋" w:hAnsi="国标仿宋" w:eastAsia="国标仿宋" w:cs="国标仿宋"/>
          <w:b w:val="0"/>
          <w:color w:val="auto"/>
          <w:sz w:val="24"/>
          <w:szCs w:val="24"/>
          <w:highlight w:val="none"/>
          <w:lang w:val="zh-CN"/>
        </w:rPr>
        <w:t>%作为履约保证金。</w:t>
      </w:r>
    </w:p>
    <w:p w14:paraId="3A5BD556">
      <w:pPr>
        <w:adjustRightInd w:val="0"/>
        <w:snapToGrid w:val="0"/>
        <w:spacing w:line="560" w:lineRule="exact"/>
        <w:ind w:firstLine="480" w:firstLineChars="20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、付款方式</w:t>
      </w:r>
    </w:p>
    <w:p w14:paraId="04B70FA6">
      <w:pPr>
        <w:spacing w:line="360" w:lineRule="auto"/>
        <w:ind w:firstLine="480" w:firstLineChars="200"/>
        <w:rPr>
          <w:rFonts w:hint="eastAsia" w:ascii="仿宋" w:hAnsi="仿宋" w:eastAsia="仿宋" w:cs="仿宋"/>
          <w:sz w:val="24"/>
        </w:rPr>
      </w:pPr>
      <w:r>
        <w:rPr>
          <w:rFonts w:hint="eastAsia" w:ascii="国标仿宋" w:hAnsi="国标仿宋" w:eastAsia="国标仿宋" w:cs="国标仿宋"/>
          <w:color w:val="auto"/>
          <w:sz w:val="24"/>
          <w:szCs w:val="24"/>
          <w:highlight w:val="none"/>
          <w:shd w:val="clear" w:color="auto" w:fill="auto"/>
          <w:lang w:val="zh-CN"/>
        </w:rPr>
        <w:t>本项目预付款</w:t>
      </w:r>
      <w:r>
        <w:rPr>
          <w:rFonts w:hint="eastAsia" w:ascii="国标仿宋" w:hAnsi="国标仿宋" w:eastAsia="国标仿宋" w:cs="国标仿宋"/>
          <w:color w:val="auto"/>
          <w:sz w:val="24"/>
          <w:szCs w:val="24"/>
          <w:highlight w:val="none"/>
          <w:shd w:val="clear" w:color="auto" w:fill="auto"/>
          <w:lang w:val="zh-CN" w:eastAsia="zh-CN"/>
        </w:rPr>
        <w:t>4</w:t>
      </w:r>
      <w:r>
        <w:rPr>
          <w:rFonts w:hint="eastAsia" w:ascii="国标仿宋" w:hAnsi="国标仿宋" w:eastAsia="国标仿宋" w:cs="国标仿宋"/>
          <w:color w:val="auto"/>
          <w:sz w:val="24"/>
          <w:szCs w:val="24"/>
          <w:highlight w:val="none"/>
          <w:shd w:val="clear" w:color="auto" w:fill="auto"/>
          <w:lang w:val="zh-CN"/>
        </w:rPr>
        <w:t>0%，于合同签订后</w:t>
      </w:r>
      <w:r>
        <w:rPr>
          <w:rFonts w:hint="eastAsia" w:ascii="国标仿宋" w:hAnsi="国标仿宋" w:eastAsia="国标仿宋" w:cs="国标仿宋"/>
          <w:color w:val="auto"/>
          <w:sz w:val="24"/>
          <w:szCs w:val="24"/>
          <w:highlight w:val="none"/>
          <w:shd w:val="clear" w:color="auto" w:fill="auto"/>
          <w:lang w:val="zh-CN" w:eastAsia="zh-CN"/>
        </w:rPr>
        <w:t>20</w:t>
      </w:r>
      <w:r>
        <w:rPr>
          <w:rFonts w:hint="eastAsia" w:ascii="国标仿宋" w:hAnsi="国标仿宋" w:eastAsia="国标仿宋" w:cs="国标仿宋"/>
          <w:color w:val="auto"/>
          <w:sz w:val="24"/>
          <w:szCs w:val="24"/>
          <w:highlight w:val="none"/>
          <w:shd w:val="clear" w:color="auto" w:fill="auto"/>
          <w:lang w:val="zh-CN"/>
        </w:rPr>
        <w:t>日内支付给</w:t>
      </w:r>
      <w:r>
        <w:rPr>
          <w:rFonts w:hint="eastAsia" w:ascii="国标仿宋" w:hAnsi="国标仿宋" w:eastAsia="国标仿宋" w:cs="国标仿宋"/>
          <w:color w:val="auto"/>
          <w:sz w:val="24"/>
          <w:szCs w:val="24"/>
          <w:highlight w:val="none"/>
          <w:shd w:val="clear" w:color="auto" w:fill="auto"/>
          <w:lang w:val="zh-CN" w:eastAsia="zh-CN"/>
        </w:rPr>
        <w:t>供应商；第一笔进度款20%，于合同签订后满6个月后20日内支付；第二笔进度款20%，于合同签订后满9个月后20日内支付；尾款20%，于合同期满后20日内支付。每次拨付款项前供应商</w:t>
      </w:r>
      <w:r>
        <w:rPr>
          <w:rFonts w:hint="eastAsia" w:ascii="国标仿宋" w:hAnsi="国标仿宋" w:eastAsia="国标仿宋" w:cs="国标仿宋"/>
          <w:color w:val="auto"/>
          <w:sz w:val="24"/>
          <w:szCs w:val="24"/>
          <w:highlight w:val="none"/>
          <w:shd w:val="clear" w:color="auto" w:fill="auto"/>
          <w:lang w:val="zh-CN"/>
        </w:rPr>
        <w:t>凭借开具的正式增值税普通发票</w:t>
      </w:r>
      <w:r>
        <w:rPr>
          <w:rFonts w:hint="eastAsia" w:ascii="国标仿宋" w:hAnsi="国标仿宋" w:eastAsia="国标仿宋" w:cs="国标仿宋"/>
          <w:color w:val="auto"/>
          <w:sz w:val="24"/>
          <w:szCs w:val="24"/>
          <w:highlight w:val="none"/>
          <w:shd w:val="clear" w:color="auto" w:fill="auto"/>
          <w:lang w:val="zh-CN" w:eastAsia="zh-CN"/>
        </w:rPr>
        <w:t>、采购人</w:t>
      </w:r>
      <w:r>
        <w:rPr>
          <w:rFonts w:hint="eastAsia" w:ascii="国标仿宋" w:hAnsi="国标仿宋" w:eastAsia="国标仿宋" w:cs="国标仿宋"/>
          <w:color w:val="auto"/>
          <w:sz w:val="24"/>
          <w:szCs w:val="24"/>
          <w:highlight w:val="none"/>
          <w:shd w:val="clear" w:color="auto" w:fill="auto"/>
          <w:lang w:val="zh-CN"/>
        </w:rPr>
        <w:t>认可的各项记录复印件至</w:t>
      </w:r>
      <w:r>
        <w:rPr>
          <w:rFonts w:hint="eastAsia" w:ascii="国标仿宋" w:hAnsi="国标仿宋" w:eastAsia="国标仿宋" w:cs="国标仿宋"/>
          <w:color w:val="auto"/>
          <w:sz w:val="24"/>
          <w:szCs w:val="24"/>
          <w:highlight w:val="none"/>
          <w:shd w:val="clear" w:color="auto" w:fill="auto"/>
          <w:lang w:val="zh-CN" w:eastAsia="zh-CN"/>
        </w:rPr>
        <w:t>采购人</w:t>
      </w:r>
      <w:r>
        <w:rPr>
          <w:rFonts w:hint="eastAsia" w:ascii="国标仿宋" w:hAnsi="国标仿宋" w:eastAsia="国标仿宋" w:cs="国标仿宋"/>
          <w:color w:val="auto"/>
          <w:sz w:val="24"/>
          <w:szCs w:val="24"/>
          <w:highlight w:val="none"/>
          <w:shd w:val="clear" w:color="auto" w:fill="auto"/>
          <w:lang w:val="zh-CN"/>
        </w:rPr>
        <w:t>处，</w:t>
      </w:r>
      <w:r>
        <w:rPr>
          <w:rFonts w:hint="eastAsia" w:ascii="国标仿宋" w:hAnsi="国标仿宋" w:eastAsia="国标仿宋" w:cs="国标仿宋"/>
          <w:color w:val="auto"/>
          <w:sz w:val="24"/>
          <w:szCs w:val="24"/>
          <w:highlight w:val="none"/>
          <w:shd w:val="clear" w:color="auto" w:fill="auto"/>
          <w:lang w:val="zh-CN" w:eastAsia="zh-CN"/>
        </w:rPr>
        <w:t>采购人根据合同约定及考核情况拨付相应</w:t>
      </w:r>
      <w:r>
        <w:rPr>
          <w:rFonts w:hint="eastAsia" w:ascii="国标仿宋" w:hAnsi="国标仿宋" w:eastAsia="国标仿宋" w:cs="国标仿宋"/>
          <w:color w:val="auto"/>
          <w:sz w:val="24"/>
          <w:szCs w:val="24"/>
          <w:highlight w:val="none"/>
          <w:shd w:val="clear" w:color="auto" w:fill="auto"/>
          <w:lang w:val="zh-CN"/>
        </w:rPr>
        <w:t>款项。因财务程序延迟支付的不属于</w:t>
      </w:r>
      <w:r>
        <w:rPr>
          <w:rFonts w:hint="eastAsia" w:ascii="国标仿宋" w:hAnsi="国标仿宋" w:eastAsia="国标仿宋" w:cs="国标仿宋"/>
          <w:color w:val="auto"/>
          <w:sz w:val="24"/>
          <w:szCs w:val="24"/>
          <w:highlight w:val="none"/>
          <w:shd w:val="clear" w:color="auto" w:fill="auto"/>
          <w:lang w:val="zh-CN" w:eastAsia="zh-CN"/>
        </w:rPr>
        <w:t>采购人</w:t>
      </w:r>
      <w:r>
        <w:rPr>
          <w:rFonts w:hint="eastAsia" w:ascii="国标仿宋" w:hAnsi="国标仿宋" w:eastAsia="国标仿宋" w:cs="国标仿宋"/>
          <w:color w:val="auto"/>
          <w:sz w:val="24"/>
          <w:szCs w:val="24"/>
          <w:highlight w:val="none"/>
          <w:shd w:val="clear" w:color="auto" w:fill="auto"/>
          <w:lang w:val="zh-CN"/>
        </w:rPr>
        <w:t>违约行为。由于</w:t>
      </w:r>
      <w:r>
        <w:rPr>
          <w:rFonts w:hint="eastAsia" w:ascii="国标仿宋" w:hAnsi="国标仿宋" w:eastAsia="国标仿宋" w:cs="国标仿宋"/>
          <w:color w:val="auto"/>
          <w:sz w:val="24"/>
          <w:szCs w:val="24"/>
          <w:highlight w:val="none"/>
          <w:shd w:val="clear" w:color="auto" w:fill="auto"/>
          <w:lang w:val="zh-CN" w:eastAsia="zh-CN"/>
        </w:rPr>
        <w:t>供应商</w:t>
      </w:r>
      <w:r>
        <w:rPr>
          <w:rFonts w:hint="eastAsia" w:ascii="国标仿宋" w:hAnsi="国标仿宋" w:eastAsia="国标仿宋" w:cs="国标仿宋"/>
          <w:color w:val="auto"/>
          <w:sz w:val="24"/>
          <w:szCs w:val="24"/>
          <w:highlight w:val="none"/>
          <w:shd w:val="clear" w:color="auto" w:fill="auto"/>
          <w:lang w:val="zh-CN"/>
        </w:rPr>
        <w:t>上报或者开票不及时引起的延迟支付，责任由</w:t>
      </w:r>
      <w:r>
        <w:rPr>
          <w:rFonts w:hint="eastAsia" w:ascii="国标仿宋" w:hAnsi="国标仿宋" w:eastAsia="国标仿宋" w:cs="国标仿宋"/>
          <w:color w:val="auto"/>
          <w:sz w:val="24"/>
          <w:szCs w:val="24"/>
          <w:highlight w:val="none"/>
          <w:shd w:val="clear" w:color="auto" w:fill="auto"/>
          <w:lang w:val="zh-CN" w:eastAsia="zh-CN"/>
        </w:rPr>
        <w:t>供应商</w:t>
      </w:r>
      <w:r>
        <w:rPr>
          <w:rFonts w:hint="eastAsia" w:ascii="国标仿宋" w:hAnsi="国标仿宋" w:eastAsia="国标仿宋" w:cs="国标仿宋"/>
          <w:color w:val="auto"/>
          <w:sz w:val="24"/>
          <w:szCs w:val="24"/>
          <w:highlight w:val="none"/>
          <w:shd w:val="clear" w:color="auto" w:fill="auto"/>
          <w:lang w:val="zh-CN"/>
        </w:rPr>
        <w:t>自负。</w:t>
      </w:r>
    </w:p>
    <w:p w14:paraId="5FB1E0E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b/>
          <w:bCs/>
          <w:color w:val="auto"/>
          <w:sz w:val="28"/>
          <w:szCs w:val="28"/>
          <w:lang w:val="en-US" w:eastAsia="zh-CN"/>
        </w:rPr>
        <w:t xml:space="preserve">    </w:t>
      </w:r>
    </w:p>
    <w:p w14:paraId="32C07CA4">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9" w:name="_Toc184314416"/>
      <w:bookmarkEnd w:id="29"/>
      <w:bookmarkStart w:id="30" w:name="_Toc184313251"/>
      <w:bookmarkEnd w:id="30"/>
      <w:bookmarkStart w:id="31" w:name="_Toc184310342"/>
      <w:bookmarkEnd w:id="31"/>
      <w:bookmarkStart w:id="32" w:name="_Toc184312123"/>
      <w:bookmarkEnd w:id="32"/>
      <w:bookmarkStart w:id="33" w:name="_Toc184312113"/>
      <w:bookmarkEnd w:id="33"/>
      <w:bookmarkStart w:id="34" w:name="_Toc184314429"/>
      <w:bookmarkEnd w:id="34"/>
      <w:bookmarkStart w:id="35" w:name="_Toc184310297"/>
      <w:bookmarkEnd w:id="35"/>
      <w:bookmarkStart w:id="36" w:name="_Toc184308053"/>
      <w:bookmarkEnd w:id="36"/>
      <w:bookmarkStart w:id="37" w:name="_Toc184308060"/>
      <w:bookmarkEnd w:id="37"/>
      <w:bookmarkStart w:id="38" w:name="_Toc184308062"/>
      <w:bookmarkEnd w:id="38"/>
      <w:bookmarkStart w:id="39" w:name="_Toc184313295"/>
      <w:bookmarkEnd w:id="39"/>
      <w:bookmarkStart w:id="40" w:name="_Toc184308051"/>
      <w:bookmarkEnd w:id="40"/>
      <w:bookmarkStart w:id="41" w:name="_Toc184312114"/>
      <w:bookmarkEnd w:id="41"/>
      <w:bookmarkStart w:id="42" w:name="_Toc184312134"/>
      <w:bookmarkEnd w:id="42"/>
      <w:bookmarkStart w:id="43" w:name="_Toc184314464"/>
      <w:bookmarkEnd w:id="43"/>
      <w:bookmarkStart w:id="44" w:name="_Toc184313284"/>
      <w:bookmarkEnd w:id="44"/>
      <w:bookmarkStart w:id="45" w:name="_Toc184314451"/>
      <w:bookmarkEnd w:id="45"/>
      <w:bookmarkStart w:id="46" w:name="_Toc184314453"/>
      <w:bookmarkEnd w:id="46"/>
      <w:bookmarkStart w:id="47" w:name="_Toc184310316"/>
      <w:bookmarkEnd w:id="47"/>
      <w:bookmarkStart w:id="48" w:name="_Toc184312138"/>
      <w:bookmarkEnd w:id="48"/>
      <w:bookmarkStart w:id="49" w:name="_Toc184308069"/>
      <w:bookmarkEnd w:id="49"/>
      <w:bookmarkStart w:id="50" w:name="_Toc184313255"/>
      <w:bookmarkEnd w:id="50"/>
      <w:bookmarkStart w:id="51" w:name="_Toc184312089"/>
      <w:bookmarkEnd w:id="51"/>
      <w:bookmarkStart w:id="52" w:name="_Toc184308067"/>
      <w:bookmarkEnd w:id="52"/>
      <w:bookmarkStart w:id="53" w:name="_Toc184313266"/>
      <w:bookmarkEnd w:id="53"/>
      <w:bookmarkStart w:id="54" w:name="_Toc184312103"/>
      <w:bookmarkEnd w:id="54"/>
      <w:bookmarkStart w:id="55" w:name="_Toc184312108"/>
      <w:bookmarkEnd w:id="55"/>
      <w:bookmarkStart w:id="56" w:name="_Toc184308097"/>
      <w:bookmarkEnd w:id="56"/>
      <w:bookmarkStart w:id="57" w:name="_Toc184313252"/>
      <w:bookmarkEnd w:id="57"/>
      <w:bookmarkStart w:id="58" w:name="_Toc184308084"/>
      <w:bookmarkEnd w:id="58"/>
      <w:bookmarkStart w:id="59" w:name="_Toc184310338"/>
      <w:bookmarkEnd w:id="59"/>
      <w:bookmarkStart w:id="60" w:name="_Toc184312079"/>
      <w:bookmarkEnd w:id="60"/>
      <w:bookmarkStart w:id="61" w:name="_Toc184313302"/>
      <w:bookmarkEnd w:id="61"/>
      <w:bookmarkStart w:id="62" w:name="_Toc184314457"/>
      <w:bookmarkEnd w:id="62"/>
      <w:bookmarkStart w:id="63" w:name="_Toc184314471"/>
      <w:bookmarkEnd w:id="63"/>
      <w:bookmarkStart w:id="64" w:name="_Toc184308056"/>
      <w:bookmarkEnd w:id="64"/>
      <w:bookmarkStart w:id="65" w:name="_Toc184310343"/>
      <w:bookmarkEnd w:id="65"/>
      <w:bookmarkStart w:id="66" w:name="_Toc184312136"/>
      <w:bookmarkEnd w:id="66"/>
      <w:bookmarkStart w:id="67" w:name="_Toc184308085"/>
      <w:bookmarkEnd w:id="67"/>
      <w:bookmarkStart w:id="68" w:name="_Toc184308092"/>
      <w:bookmarkEnd w:id="68"/>
      <w:bookmarkStart w:id="69" w:name="_Toc184314419"/>
      <w:bookmarkEnd w:id="69"/>
      <w:bookmarkStart w:id="70" w:name="_Toc184308076"/>
      <w:bookmarkEnd w:id="70"/>
      <w:bookmarkStart w:id="71" w:name="_Toc184313310"/>
      <w:bookmarkEnd w:id="71"/>
      <w:bookmarkStart w:id="72" w:name="_Toc184310324"/>
      <w:bookmarkEnd w:id="72"/>
      <w:bookmarkStart w:id="73" w:name="_Toc184313269"/>
      <w:bookmarkEnd w:id="73"/>
      <w:bookmarkStart w:id="74" w:name="_Toc184308093"/>
      <w:bookmarkEnd w:id="74"/>
      <w:bookmarkStart w:id="75" w:name="_Toc184313292"/>
      <w:bookmarkEnd w:id="75"/>
      <w:bookmarkStart w:id="76" w:name="_Toc184312069"/>
      <w:bookmarkEnd w:id="76"/>
      <w:bookmarkStart w:id="77" w:name="_Toc184312116"/>
      <w:bookmarkEnd w:id="77"/>
      <w:bookmarkStart w:id="78" w:name="_Toc184314447"/>
      <w:bookmarkEnd w:id="78"/>
      <w:bookmarkStart w:id="79" w:name="_Toc184313248"/>
      <w:bookmarkEnd w:id="79"/>
      <w:bookmarkStart w:id="80" w:name="_Toc184314448"/>
      <w:bookmarkEnd w:id="80"/>
      <w:bookmarkStart w:id="81" w:name="_Toc184314442"/>
      <w:bookmarkEnd w:id="81"/>
      <w:bookmarkStart w:id="82" w:name="_Toc184310336"/>
      <w:bookmarkEnd w:id="82"/>
      <w:bookmarkStart w:id="83" w:name="_Toc184313253"/>
      <w:bookmarkEnd w:id="83"/>
      <w:bookmarkStart w:id="84" w:name="_Toc184313285"/>
      <w:bookmarkEnd w:id="84"/>
      <w:bookmarkStart w:id="85" w:name="_Toc184313303"/>
      <w:bookmarkEnd w:id="85"/>
      <w:bookmarkStart w:id="86" w:name="_Toc184314479"/>
      <w:bookmarkEnd w:id="86"/>
      <w:bookmarkStart w:id="87" w:name="_Toc184310275"/>
      <w:bookmarkEnd w:id="87"/>
      <w:bookmarkStart w:id="88" w:name="_Toc184314430"/>
      <w:bookmarkEnd w:id="88"/>
      <w:bookmarkStart w:id="89" w:name="_Toc184314433"/>
      <w:bookmarkEnd w:id="89"/>
      <w:bookmarkStart w:id="90" w:name="_Toc184312099"/>
      <w:bookmarkEnd w:id="90"/>
      <w:bookmarkStart w:id="91" w:name="_Toc184312068"/>
      <w:bookmarkEnd w:id="91"/>
      <w:bookmarkStart w:id="92" w:name="_Toc184310325"/>
      <w:bookmarkEnd w:id="92"/>
      <w:bookmarkStart w:id="93" w:name="_Toc184314452"/>
      <w:bookmarkEnd w:id="93"/>
      <w:bookmarkStart w:id="94" w:name="_Toc184313291"/>
      <w:bookmarkEnd w:id="94"/>
      <w:bookmarkStart w:id="95" w:name="_Toc184313249"/>
      <w:bookmarkEnd w:id="95"/>
      <w:bookmarkStart w:id="96" w:name="_Toc184313286"/>
      <w:bookmarkEnd w:id="96"/>
      <w:bookmarkStart w:id="97" w:name="_Toc184313240"/>
      <w:bookmarkEnd w:id="97"/>
      <w:bookmarkStart w:id="98" w:name="_Toc184313259"/>
      <w:bookmarkEnd w:id="98"/>
      <w:bookmarkStart w:id="99" w:name="_Toc184308055"/>
      <w:bookmarkEnd w:id="99"/>
      <w:bookmarkStart w:id="100" w:name="_Toc184310314"/>
      <w:bookmarkEnd w:id="100"/>
      <w:bookmarkStart w:id="101" w:name="_Toc184310278"/>
      <w:bookmarkEnd w:id="101"/>
      <w:bookmarkStart w:id="102" w:name="_Toc184308058"/>
      <w:bookmarkEnd w:id="102"/>
      <w:bookmarkStart w:id="103" w:name="_Toc184308095"/>
      <w:bookmarkEnd w:id="103"/>
      <w:bookmarkStart w:id="104" w:name="_Toc184310304"/>
      <w:bookmarkEnd w:id="104"/>
      <w:bookmarkStart w:id="105" w:name="_Toc184313307"/>
      <w:bookmarkEnd w:id="105"/>
      <w:bookmarkStart w:id="106" w:name="_Toc184313298"/>
      <w:bookmarkEnd w:id="106"/>
      <w:bookmarkStart w:id="107" w:name="_Toc184312067"/>
      <w:bookmarkEnd w:id="107"/>
      <w:bookmarkStart w:id="108" w:name="_Toc184310331"/>
      <w:bookmarkEnd w:id="108"/>
      <w:bookmarkStart w:id="109" w:name="_Toc184314456"/>
      <w:bookmarkEnd w:id="109"/>
      <w:bookmarkStart w:id="110" w:name="_Toc184312084"/>
      <w:bookmarkEnd w:id="110"/>
      <w:bookmarkStart w:id="111" w:name="_Toc184312128"/>
      <w:bookmarkEnd w:id="111"/>
      <w:bookmarkStart w:id="112" w:name="_Toc184308042"/>
      <w:bookmarkEnd w:id="112"/>
      <w:bookmarkStart w:id="113" w:name="_Toc184310310"/>
      <w:bookmarkEnd w:id="113"/>
      <w:bookmarkStart w:id="114" w:name="_Toc184312081"/>
      <w:bookmarkEnd w:id="114"/>
      <w:bookmarkStart w:id="115" w:name="_Toc184308039"/>
      <w:bookmarkEnd w:id="115"/>
      <w:bookmarkStart w:id="116" w:name="_Toc184308086"/>
      <w:bookmarkEnd w:id="116"/>
      <w:bookmarkStart w:id="117" w:name="_Toc184310303"/>
      <w:bookmarkEnd w:id="117"/>
      <w:bookmarkStart w:id="118" w:name="_Toc184312130"/>
      <w:bookmarkEnd w:id="118"/>
      <w:bookmarkStart w:id="119" w:name="_Toc184313281"/>
      <w:bookmarkEnd w:id="119"/>
      <w:bookmarkStart w:id="120" w:name="_Toc184314461"/>
      <w:bookmarkEnd w:id="120"/>
      <w:bookmarkStart w:id="121" w:name="_Toc184310287"/>
      <w:bookmarkEnd w:id="121"/>
      <w:bookmarkStart w:id="122" w:name="_Toc184313264"/>
      <w:bookmarkEnd w:id="122"/>
      <w:bookmarkStart w:id="123" w:name="_Toc184310291"/>
      <w:bookmarkEnd w:id="123"/>
      <w:bookmarkStart w:id="124" w:name="_Toc184313290"/>
      <w:bookmarkEnd w:id="124"/>
      <w:bookmarkStart w:id="125" w:name="_Toc184310319"/>
      <w:bookmarkEnd w:id="125"/>
      <w:bookmarkStart w:id="126" w:name="_Toc184310330"/>
      <w:bookmarkEnd w:id="126"/>
      <w:bookmarkStart w:id="127" w:name="_Toc184310293"/>
      <w:bookmarkEnd w:id="127"/>
      <w:bookmarkStart w:id="128" w:name="_Toc184310286"/>
      <w:bookmarkEnd w:id="128"/>
      <w:bookmarkStart w:id="129" w:name="_Toc184308043"/>
      <w:bookmarkEnd w:id="129"/>
      <w:bookmarkStart w:id="130" w:name="_Toc184312115"/>
      <w:bookmarkEnd w:id="130"/>
      <w:bookmarkStart w:id="131" w:name="_Toc184310280"/>
      <w:bookmarkEnd w:id="131"/>
      <w:bookmarkStart w:id="132" w:name="_Toc184310272"/>
      <w:bookmarkEnd w:id="132"/>
      <w:bookmarkStart w:id="133" w:name="_Toc184310337"/>
      <w:bookmarkEnd w:id="133"/>
      <w:bookmarkStart w:id="134" w:name="_Toc184310307"/>
      <w:bookmarkEnd w:id="134"/>
      <w:bookmarkStart w:id="135" w:name="_Toc184308075"/>
      <w:bookmarkEnd w:id="135"/>
      <w:bookmarkStart w:id="136" w:name="_Toc184312109"/>
      <w:bookmarkEnd w:id="136"/>
      <w:bookmarkStart w:id="137" w:name="_Toc184312126"/>
      <w:bookmarkEnd w:id="137"/>
      <w:bookmarkStart w:id="138" w:name="_Toc184313300"/>
      <w:bookmarkEnd w:id="138"/>
      <w:bookmarkStart w:id="139" w:name="_Toc184314428"/>
      <w:bookmarkEnd w:id="139"/>
      <w:bookmarkStart w:id="140" w:name="_Toc184312097"/>
      <w:bookmarkEnd w:id="140"/>
      <w:bookmarkStart w:id="141" w:name="_Toc184312124"/>
      <w:bookmarkEnd w:id="141"/>
      <w:bookmarkStart w:id="142" w:name="_Toc184310313"/>
      <w:bookmarkEnd w:id="142"/>
      <w:bookmarkStart w:id="143" w:name="_Toc184314468"/>
      <w:bookmarkEnd w:id="143"/>
      <w:bookmarkStart w:id="144" w:name="_Toc184312091"/>
      <w:bookmarkEnd w:id="144"/>
      <w:bookmarkStart w:id="145" w:name="_Toc184312080"/>
      <w:bookmarkEnd w:id="145"/>
      <w:bookmarkStart w:id="146" w:name="_Toc184312095"/>
      <w:bookmarkEnd w:id="146"/>
      <w:bookmarkStart w:id="147" w:name="_Toc184314432"/>
      <w:bookmarkEnd w:id="147"/>
      <w:bookmarkStart w:id="148" w:name="_Toc184314435"/>
      <w:bookmarkEnd w:id="148"/>
      <w:bookmarkStart w:id="149" w:name="_Toc184314437"/>
      <w:bookmarkEnd w:id="149"/>
      <w:bookmarkStart w:id="150" w:name="_Toc184308094"/>
      <w:bookmarkEnd w:id="150"/>
      <w:bookmarkStart w:id="151" w:name="_Toc184308070"/>
      <w:bookmarkEnd w:id="151"/>
      <w:bookmarkStart w:id="152" w:name="_Toc184308103"/>
      <w:bookmarkEnd w:id="152"/>
      <w:bookmarkStart w:id="153" w:name="_Toc184313308"/>
      <w:bookmarkEnd w:id="153"/>
      <w:bookmarkStart w:id="154" w:name="_Toc184313246"/>
      <w:bookmarkEnd w:id="154"/>
      <w:bookmarkStart w:id="155" w:name="_Toc184314417"/>
      <w:bookmarkEnd w:id="155"/>
      <w:bookmarkStart w:id="156" w:name="_Toc184314415"/>
      <w:bookmarkEnd w:id="156"/>
      <w:bookmarkStart w:id="157" w:name="_Toc184312088"/>
      <w:bookmarkEnd w:id="157"/>
      <w:bookmarkStart w:id="158" w:name="_Toc184314458"/>
      <w:bookmarkEnd w:id="158"/>
      <w:bookmarkStart w:id="159" w:name="_Toc184314439"/>
      <w:bookmarkEnd w:id="159"/>
      <w:bookmarkStart w:id="160" w:name="_Toc184313293"/>
      <w:bookmarkEnd w:id="160"/>
      <w:bookmarkStart w:id="161" w:name="_Toc184308036"/>
      <w:bookmarkEnd w:id="161"/>
      <w:bookmarkStart w:id="162" w:name="_Toc184314481"/>
      <w:bookmarkEnd w:id="162"/>
      <w:bookmarkStart w:id="163" w:name="_Toc184310341"/>
      <w:bookmarkEnd w:id="163"/>
      <w:bookmarkStart w:id="164" w:name="_Toc184310300"/>
      <w:bookmarkEnd w:id="164"/>
      <w:bookmarkStart w:id="165" w:name="_Toc184308087"/>
      <w:bookmarkEnd w:id="165"/>
      <w:bookmarkStart w:id="166" w:name="_Toc184310298"/>
      <w:bookmarkEnd w:id="166"/>
      <w:bookmarkStart w:id="167" w:name="_Toc184314455"/>
      <w:bookmarkEnd w:id="167"/>
      <w:bookmarkStart w:id="168" w:name="_Toc184314422"/>
      <w:bookmarkEnd w:id="168"/>
      <w:bookmarkStart w:id="169" w:name="_Toc184310274"/>
      <w:bookmarkEnd w:id="169"/>
      <w:bookmarkStart w:id="170" w:name="_Toc184308079"/>
      <w:bookmarkEnd w:id="170"/>
      <w:bookmarkStart w:id="171" w:name="_Toc184308090"/>
      <w:bookmarkEnd w:id="171"/>
      <w:bookmarkStart w:id="172" w:name="_Toc184313282"/>
      <w:bookmarkEnd w:id="172"/>
      <w:bookmarkStart w:id="173" w:name="_Toc184308044"/>
      <w:bookmarkEnd w:id="173"/>
      <w:bookmarkStart w:id="174" w:name="_Toc184313263"/>
      <w:bookmarkEnd w:id="174"/>
      <w:bookmarkStart w:id="175" w:name="_Toc184312129"/>
      <w:bookmarkEnd w:id="175"/>
      <w:bookmarkStart w:id="176" w:name="_Toc184308088"/>
      <w:bookmarkEnd w:id="176"/>
      <w:bookmarkStart w:id="177" w:name="_Toc184308108"/>
      <w:bookmarkEnd w:id="177"/>
      <w:bookmarkStart w:id="178" w:name="_Toc184313238"/>
      <w:bookmarkEnd w:id="178"/>
      <w:bookmarkStart w:id="179" w:name="_Toc184308107"/>
      <w:bookmarkEnd w:id="179"/>
      <w:bookmarkStart w:id="180" w:name="_Toc184310281"/>
      <w:bookmarkEnd w:id="180"/>
      <w:bookmarkStart w:id="181" w:name="_Toc184308057"/>
      <w:bookmarkEnd w:id="181"/>
      <w:bookmarkStart w:id="182" w:name="_Toc184308091"/>
      <w:bookmarkEnd w:id="182"/>
      <w:bookmarkStart w:id="183" w:name="_Toc184314434"/>
      <w:bookmarkEnd w:id="183"/>
      <w:bookmarkStart w:id="184" w:name="_Toc184310329"/>
      <w:bookmarkEnd w:id="184"/>
      <w:bookmarkStart w:id="185" w:name="_Toc184314477"/>
      <w:bookmarkEnd w:id="185"/>
      <w:bookmarkStart w:id="186" w:name="_Toc184310276"/>
      <w:bookmarkEnd w:id="186"/>
      <w:bookmarkStart w:id="187" w:name="_Toc184310335"/>
      <w:bookmarkEnd w:id="187"/>
      <w:bookmarkStart w:id="188" w:name="_Toc184308082"/>
      <w:bookmarkEnd w:id="188"/>
      <w:bookmarkStart w:id="189" w:name="_Toc184312073"/>
      <w:bookmarkEnd w:id="189"/>
      <w:bookmarkStart w:id="190" w:name="_Toc184312098"/>
      <w:bookmarkEnd w:id="190"/>
      <w:bookmarkStart w:id="191" w:name="_Toc184312135"/>
      <w:bookmarkEnd w:id="191"/>
      <w:bookmarkStart w:id="192" w:name="_Toc184312104"/>
      <w:bookmarkEnd w:id="192"/>
      <w:bookmarkStart w:id="193" w:name="_Toc184310288"/>
      <w:bookmarkEnd w:id="193"/>
      <w:bookmarkStart w:id="194" w:name="_Toc184310328"/>
      <w:bookmarkEnd w:id="194"/>
      <w:bookmarkStart w:id="195" w:name="_Toc184310321"/>
      <w:bookmarkEnd w:id="195"/>
      <w:bookmarkStart w:id="196" w:name="_Toc184314475"/>
      <w:bookmarkEnd w:id="196"/>
      <w:bookmarkStart w:id="197" w:name="_Toc184312077"/>
      <w:bookmarkEnd w:id="197"/>
      <w:bookmarkStart w:id="198" w:name="_Toc184308061"/>
      <w:bookmarkEnd w:id="198"/>
      <w:bookmarkStart w:id="199" w:name="_Toc184310277"/>
      <w:bookmarkEnd w:id="199"/>
      <w:bookmarkStart w:id="200" w:name="_Toc184314444"/>
      <w:bookmarkEnd w:id="200"/>
      <w:bookmarkStart w:id="201" w:name="_Toc184312106"/>
      <w:bookmarkEnd w:id="201"/>
      <w:bookmarkStart w:id="202" w:name="_Toc184313306"/>
      <w:bookmarkEnd w:id="202"/>
      <w:bookmarkStart w:id="203" w:name="_Toc184312127"/>
      <w:bookmarkEnd w:id="203"/>
      <w:bookmarkStart w:id="204" w:name="_Toc184313242"/>
      <w:bookmarkEnd w:id="204"/>
      <w:bookmarkStart w:id="205" w:name="_Toc184310309"/>
      <w:bookmarkEnd w:id="205"/>
      <w:bookmarkStart w:id="206" w:name="_Toc184313277"/>
      <w:bookmarkEnd w:id="206"/>
      <w:bookmarkStart w:id="207" w:name="_Toc184308059"/>
      <w:bookmarkEnd w:id="207"/>
      <w:bookmarkStart w:id="208" w:name="_Toc184312137"/>
      <w:bookmarkEnd w:id="208"/>
      <w:bookmarkStart w:id="209" w:name="_Toc184312131"/>
      <w:bookmarkEnd w:id="209"/>
      <w:bookmarkStart w:id="210" w:name="_Toc184308045"/>
      <w:bookmarkEnd w:id="210"/>
      <w:bookmarkStart w:id="211" w:name="_Toc184308037"/>
      <w:bookmarkEnd w:id="211"/>
      <w:bookmarkStart w:id="212" w:name="_Toc184313260"/>
      <w:bookmarkEnd w:id="212"/>
      <w:bookmarkStart w:id="213" w:name="_Toc184310332"/>
      <w:bookmarkEnd w:id="213"/>
      <w:bookmarkStart w:id="214" w:name="_Toc184312119"/>
      <w:bookmarkEnd w:id="214"/>
      <w:bookmarkStart w:id="215" w:name="_Toc184313275"/>
      <w:bookmarkEnd w:id="215"/>
      <w:bookmarkStart w:id="216" w:name="_Toc184314449"/>
      <w:bookmarkEnd w:id="216"/>
      <w:bookmarkStart w:id="217" w:name="_Toc184313283"/>
      <w:bookmarkEnd w:id="217"/>
      <w:bookmarkStart w:id="218" w:name="_Toc184313265"/>
      <w:bookmarkEnd w:id="218"/>
      <w:bookmarkStart w:id="219" w:name="_Toc184308049"/>
      <w:bookmarkEnd w:id="219"/>
      <w:bookmarkStart w:id="220" w:name="_Toc184312096"/>
      <w:bookmarkEnd w:id="220"/>
      <w:bookmarkStart w:id="221" w:name="_Toc184310317"/>
      <w:bookmarkEnd w:id="221"/>
      <w:bookmarkStart w:id="222" w:name="_Toc184312122"/>
      <w:bookmarkEnd w:id="222"/>
      <w:bookmarkStart w:id="223" w:name="_Toc184308100"/>
      <w:bookmarkEnd w:id="223"/>
      <w:bookmarkStart w:id="224" w:name="_Toc184314440"/>
      <w:bookmarkEnd w:id="224"/>
      <w:bookmarkStart w:id="225" w:name="_Toc184308105"/>
      <w:bookmarkEnd w:id="225"/>
      <w:bookmarkStart w:id="226" w:name="_Toc184313256"/>
      <w:bookmarkEnd w:id="226"/>
      <w:bookmarkStart w:id="227" w:name="_Toc184314472"/>
      <w:bookmarkEnd w:id="227"/>
      <w:bookmarkStart w:id="228" w:name="_Toc184312086"/>
      <w:bookmarkEnd w:id="228"/>
      <w:bookmarkStart w:id="229" w:name="_Toc184310296"/>
      <w:bookmarkEnd w:id="229"/>
      <w:bookmarkStart w:id="230" w:name="_Toc184314463"/>
      <w:bookmarkEnd w:id="230"/>
      <w:bookmarkStart w:id="231" w:name="_Toc184310301"/>
      <w:bookmarkEnd w:id="231"/>
      <w:bookmarkStart w:id="232" w:name="_Toc184312071"/>
      <w:bookmarkEnd w:id="232"/>
      <w:bookmarkStart w:id="233" w:name="_Toc184310279"/>
      <w:bookmarkEnd w:id="233"/>
      <w:bookmarkStart w:id="234" w:name="_Toc184310315"/>
      <w:bookmarkEnd w:id="234"/>
      <w:bookmarkStart w:id="235" w:name="_Toc184314412"/>
      <w:bookmarkEnd w:id="235"/>
      <w:bookmarkStart w:id="236" w:name="_Toc184308074"/>
      <w:bookmarkEnd w:id="236"/>
      <w:bookmarkStart w:id="237" w:name="_Toc184310312"/>
      <w:bookmarkEnd w:id="237"/>
      <w:bookmarkStart w:id="238" w:name="_Toc184308073"/>
      <w:bookmarkEnd w:id="238"/>
      <w:bookmarkStart w:id="239" w:name="_Toc184314425"/>
      <w:bookmarkEnd w:id="239"/>
      <w:bookmarkStart w:id="240" w:name="_Toc184314424"/>
      <w:bookmarkEnd w:id="240"/>
      <w:bookmarkStart w:id="241" w:name="_Toc184314450"/>
      <w:bookmarkEnd w:id="241"/>
      <w:bookmarkStart w:id="242" w:name="_Toc184314476"/>
      <w:bookmarkEnd w:id="242"/>
      <w:bookmarkStart w:id="243" w:name="_Toc184313272"/>
      <w:bookmarkEnd w:id="243"/>
      <w:bookmarkStart w:id="244" w:name="_Toc184312118"/>
      <w:bookmarkEnd w:id="244"/>
      <w:bookmarkStart w:id="245" w:name="_Toc184310294"/>
      <w:bookmarkEnd w:id="245"/>
      <w:bookmarkStart w:id="246" w:name="_Toc184308089"/>
      <w:bookmarkEnd w:id="246"/>
      <w:bookmarkStart w:id="247" w:name="_Toc184308106"/>
      <w:bookmarkEnd w:id="247"/>
      <w:bookmarkStart w:id="248" w:name="_Toc184313254"/>
      <w:bookmarkEnd w:id="248"/>
      <w:bookmarkStart w:id="249" w:name="_Toc184310308"/>
      <w:bookmarkEnd w:id="249"/>
      <w:bookmarkStart w:id="250" w:name="_Toc184310282"/>
      <w:bookmarkEnd w:id="250"/>
      <w:bookmarkStart w:id="251" w:name="_Toc184310339"/>
      <w:bookmarkEnd w:id="251"/>
      <w:bookmarkStart w:id="252" w:name="_Toc184314460"/>
      <w:bookmarkEnd w:id="252"/>
      <w:bookmarkStart w:id="253" w:name="_Toc184310344"/>
      <w:bookmarkEnd w:id="253"/>
      <w:bookmarkStart w:id="254" w:name="_Toc184308065"/>
      <w:bookmarkEnd w:id="254"/>
      <w:bookmarkStart w:id="255" w:name="_Toc184313261"/>
      <w:bookmarkEnd w:id="255"/>
      <w:bookmarkStart w:id="256" w:name="_Toc184313309"/>
      <w:bookmarkEnd w:id="256"/>
      <w:bookmarkStart w:id="257" w:name="_Toc184308046"/>
      <w:bookmarkEnd w:id="257"/>
      <w:bookmarkStart w:id="258" w:name="_Toc184310311"/>
      <w:bookmarkEnd w:id="258"/>
      <w:bookmarkStart w:id="259" w:name="_Toc184310285"/>
      <w:bookmarkEnd w:id="259"/>
      <w:bookmarkStart w:id="260" w:name="_Toc184312082"/>
      <w:bookmarkEnd w:id="260"/>
      <w:bookmarkStart w:id="261" w:name="_Toc184313287"/>
      <w:bookmarkEnd w:id="261"/>
      <w:bookmarkStart w:id="262" w:name="_Toc184314470"/>
      <w:bookmarkEnd w:id="262"/>
      <w:bookmarkStart w:id="263" w:name="_Toc184313294"/>
      <w:bookmarkEnd w:id="263"/>
      <w:bookmarkStart w:id="264" w:name="_Toc184313301"/>
      <w:bookmarkEnd w:id="264"/>
      <w:bookmarkStart w:id="265" w:name="_Toc184312111"/>
      <w:bookmarkEnd w:id="265"/>
      <w:bookmarkStart w:id="266" w:name="_Toc184308066"/>
      <w:bookmarkEnd w:id="266"/>
      <w:bookmarkStart w:id="267" w:name="_Toc184308104"/>
      <w:bookmarkEnd w:id="267"/>
      <w:bookmarkStart w:id="268" w:name="_Toc184313278"/>
      <w:bookmarkEnd w:id="268"/>
      <w:bookmarkStart w:id="269" w:name="_Toc184314418"/>
      <w:bookmarkEnd w:id="269"/>
      <w:bookmarkStart w:id="270" w:name="_Toc184312092"/>
      <w:bookmarkEnd w:id="270"/>
      <w:bookmarkStart w:id="271" w:name="_Toc184313244"/>
      <w:bookmarkEnd w:id="271"/>
      <w:bookmarkStart w:id="272" w:name="_Toc184313270"/>
      <w:bookmarkEnd w:id="272"/>
      <w:bookmarkStart w:id="273" w:name="_Toc184308080"/>
      <w:bookmarkEnd w:id="273"/>
      <w:bookmarkStart w:id="274" w:name="_Toc184308099"/>
      <w:bookmarkEnd w:id="274"/>
      <w:bookmarkStart w:id="275" w:name="_Toc184308102"/>
      <w:bookmarkEnd w:id="275"/>
      <w:bookmarkStart w:id="276" w:name="_Toc184312120"/>
      <w:bookmarkEnd w:id="276"/>
      <w:bookmarkStart w:id="277" w:name="_Toc184312083"/>
      <w:bookmarkEnd w:id="277"/>
      <w:bookmarkStart w:id="278" w:name="_Toc184314426"/>
      <w:bookmarkEnd w:id="278"/>
      <w:bookmarkStart w:id="279" w:name="_Toc184308047"/>
      <w:bookmarkEnd w:id="279"/>
      <w:bookmarkStart w:id="280" w:name="_Toc184308052"/>
      <w:bookmarkEnd w:id="280"/>
      <w:bookmarkStart w:id="281" w:name="_Toc184313243"/>
      <w:bookmarkEnd w:id="281"/>
      <w:bookmarkStart w:id="282" w:name="_Toc184314469"/>
      <w:bookmarkEnd w:id="282"/>
      <w:bookmarkStart w:id="283" w:name="_Toc184314421"/>
      <w:bookmarkEnd w:id="283"/>
      <w:bookmarkStart w:id="284" w:name="_Toc184312072"/>
      <w:bookmarkEnd w:id="284"/>
      <w:bookmarkStart w:id="285" w:name="_Toc184313245"/>
      <w:bookmarkEnd w:id="285"/>
      <w:bookmarkStart w:id="286" w:name="_Toc184308064"/>
      <w:bookmarkEnd w:id="286"/>
      <w:bookmarkStart w:id="287" w:name="_Toc184310283"/>
      <w:bookmarkEnd w:id="287"/>
      <w:bookmarkStart w:id="288" w:name="_Toc184310322"/>
      <w:bookmarkEnd w:id="288"/>
      <w:bookmarkStart w:id="289" w:name="_Toc184312107"/>
      <w:bookmarkEnd w:id="289"/>
      <w:bookmarkStart w:id="290" w:name="_Toc184308101"/>
      <w:bookmarkEnd w:id="290"/>
      <w:bookmarkStart w:id="291" w:name="_Toc184313280"/>
      <w:bookmarkEnd w:id="291"/>
      <w:bookmarkStart w:id="292" w:name="_Toc184308078"/>
      <w:bookmarkEnd w:id="292"/>
      <w:bookmarkStart w:id="293" w:name="_Toc184314467"/>
      <w:bookmarkEnd w:id="293"/>
      <w:bookmarkStart w:id="294" w:name="_Toc184312139"/>
      <w:bookmarkEnd w:id="294"/>
      <w:bookmarkStart w:id="295" w:name="_Toc184310323"/>
      <w:bookmarkEnd w:id="295"/>
      <w:bookmarkStart w:id="296" w:name="_Toc184310302"/>
      <w:bookmarkEnd w:id="296"/>
      <w:bookmarkStart w:id="297" w:name="_Toc184312093"/>
      <w:bookmarkEnd w:id="297"/>
      <w:bookmarkStart w:id="298" w:name="_Toc184312102"/>
      <w:bookmarkEnd w:id="298"/>
      <w:bookmarkStart w:id="299" w:name="_Toc184310299"/>
      <w:bookmarkEnd w:id="299"/>
      <w:bookmarkStart w:id="300" w:name="_Toc184308081"/>
      <w:bookmarkEnd w:id="300"/>
      <w:bookmarkStart w:id="301" w:name="_Toc184314459"/>
      <w:bookmarkEnd w:id="301"/>
      <w:bookmarkStart w:id="302" w:name="_Toc184313299"/>
      <w:bookmarkEnd w:id="302"/>
      <w:bookmarkStart w:id="303" w:name="_Toc184310320"/>
      <w:bookmarkEnd w:id="303"/>
      <w:bookmarkStart w:id="304" w:name="_Toc184313268"/>
      <w:bookmarkEnd w:id="304"/>
      <w:bookmarkStart w:id="305" w:name="_Toc184313271"/>
      <w:bookmarkEnd w:id="305"/>
      <w:bookmarkStart w:id="306" w:name="_Toc184312132"/>
      <w:bookmarkEnd w:id="306"/>
      <w:bookmarkStart w:id="307" w:name="_Toc184308077"/>
      <w:bookmarkEnd w:id="307"/>
      <w:bookmarkStart w:id="308" w:name="_Toc184313296"/>
      <w:bookmarkEnd w:id="308"/>
      <w:bookmarkStart w:id="309" w:name="_Toc184313241"/>
      <w:bookmarkEnd w:id="309"/>
      <w:bookmarkStart w:id="310" w:name="_Toc184312105"/>
      <w:bookmarkEnd w:id="310"/>
      <w:bookmarkStart w:id="311" w:name="_Toc184312112"/>
      <w:bookmarkEnd w:id="311"/>
      <w:bookmarkStart w:id="312" w:name="_Toc184314410"/>
      <w:bookmarkEnd w:id="312"/>
      <w:bookmarkStart w:id="313" w:name="_Toc184314436"/>
      <w:bookmarkEnd w:id="313"/>
      <w:bookmarkStart w:id="314" w:name="_Toc184314411"/>
      <w:bookmarkEnd w:id="314"/>
      <w:bookmarkStart w:id="315" w:name="_Toc184314443"/>
      <w:bookmarkEnd w:id="315"/>
      <w:bookmarkStart w:id="316" w:name="_Toc184314438"/>
      <w:bookmarkEnd w:id="316"/>
      <w:bookmarkStart w:id="317" w:name="_Toc184310334"/>
      <w:bookmarkEnd w:id="317"/>
      <w:bookmarkStart w:id="318" w:name="_Toc184312070"/>
      <w:bookmarkEnd w:id="318"/>
      <w:bookmarkStart w:id="319" w:name="_Toc184312076"/>
      <w:bookmarkEnd w:id="319"/>
      <w:bookmarkStart w:id="320" w:name="_Toc184312117"/>
      <w:bookmarkEnd w:id="320"/>
      <w:bookmarkStart w:id="321" w:name="_Toc184314454"/>
      <w:bookmarkEnd w:id="321"/>
      <w:bookmarkStart w:id="322" w:name="_Toc184310318"/>
      <w:bookmarkEnd w:id="322"/>
      <w:bookmarkStart w:id="323" w:name="_Toc184313267"/>
      <w:bookmarkEnd w:id="323"/>
      <w:bookmarkStart w:id="324" w:name="_Toc184314441"/>
      <w:bookmarkEnd w:id="324"/>
      <w:bookmarkStart w:id="325" w:name="_Toc184312075"/>
      <w:bookmarkEnd w:id="325"/>
      <w:bookmarkStart w:id="326" w:name="_Toc184314466"/>
      <w:bookmarkEnd w:id="326"/>
      <w:bookmarkStart w:id="327" w:name="_Toc184314423"/>
      <w:bookmarkEnd w:id="327"/>
      <w:bookmarkStart w:id="328" w:name="_Toc184313239"/>
      <w:bookmarkEnd w:id="328"/>
      <w:bookmarkStart w:id="329" w:name="_Toc184312133"/>
      <w:bookmarkEnd w:id="329"/>
      <w:bookmarkStart w:id="330" w:name="_Toc184310289"/>
      <w:bookmarkEnd w:id="330"/>
      <w:bookmarkStart w:id="331" w:name="_Toc184314478"/>
      <w:bookmarkEnd w:id="331"/>
      <w:bookmarkStart w:id="332" w:name="_Toc184308072"/>
      <w:bookmarkEnd w:id="332"/>
      <w:bookmarkStart w:id="333" w:name="_Toc184314420"/>
      <w:bookmarkEnd w:id="333"/>
      <w:bookmarkStart w:id="334" w:name="_Toc184312085"/>
      <w:bookmarkEnd w:id="334"/>
      <w:bookmarkStart w:id="335" w:name="_Toc184314414"/>
      <w:bookmarkEnd w:id="335"/>
      <w:bookmarkStart w:id="336" w:name="_Toc184313297"/>
      <w:bookmarkEnd w:id="336"/>
      <w:bookmarkStart w:id="337" w:name="_Toc184312100"/>
      <w:bookmarkEnd w:id="337"/>
      <w:bookmarkStart w:id="338" w:name="_Toc184310327"/>
      <w:bookmarkEnd w:id="338"/>
      <w:bookmarkStart w:id="339" w:name="_Toc184314480"/>
      <w:bookmarkEnd w:id="339"/>
      <w:bookmarkStart w:id="340" w:name="_Toc184308054"/>
      <w:bookmarkEnd w:id="340"/>
      <w:bookmarkStart w:id="341" w:name="_Toc184308098"/>
      <w:bookmarkEnd w:id="341"/>
      <w:bookmarkStart w:id="342" w:name="_Toc184308071"/>
      <w:bookmarkEnd w:id="342"/>
      <w:bookmarkStart w:id="343" w:name="_Toc184308048"/>
      <w:bookmarkEnd w:id="343"/>
      <w:bookmarkStart w:id="344" w:name="_Toc184308063"/>
      <w:bookmarkEnd w:id="344"/>
      <w:bookmarkStart w:id="345" w:name="_Toc184313274"/>
      <w:bookmarkEnd w:id="345"/>
      <w:bookmarkStart w:id="346" w:name="_Toc184314427"/>
      <w:bookmarkEnd w:id="346"/>
      <w:bookmarkStart w:id="347" w:name="_Toc184308096"/>
      <w:bookmarkEnd w:id="347"/>
      <w:bookmarkStart w:id="348" w:name="_Toc184313276"/>
      <w:bookmarkEnd w:id="348"/>
      <w:bookmarkStart w:id="349" w:name="_Toc184313273"/>
      <w:bookmarkEnd w:id="349"/>
      <w:bookmarkStart w:id="350" w:name="_Toc184310292"/>
      <w:bookmarkEnd w:id="350"/>
      <w:bookmarkStart w:id="351" w:name="_Toc184310295"/>
      <w:bookmarkEnd w:id="351"/>
      <w:bookmarkStart w:id="352" w:name="_Toc184310305"/>
      <w:bookmarkEnd w:id="352"/>
      <w:bookmarkStart w:id="353" w:name="_Toc184313305"/>
      <w:bookmarkEnd w:id="353"/>
      <w:bookmarkStart w:id="354" w:name="_Toc184314474"/>
      <w:bookmarkEnd w:id="354"/>
      <w:bookmarkStart w:id="355" w:name="_Toc184308083"/>
      <w:bookmarkEnd w:id="355"/>
      <w:bookmarkStart w:id="356" w:name="_Toc184314465"/>
      <w:bookmarkEnd w:id="356"/>
      <w:bookmarkStart w:id="357" w:name="_Toc184308050"/>
      <w:bookmarkEnd w:id="357"/>
      <w:bookmarkStart w:id="358" w:name="_Toc184310290"/>
      <w:bookmarkEnd w:id="358"/>
      <w:bookmarkStart w:id="359" w:name="_Toc184312121"/>
      <w:bookmarkEnd w:id="359"/>
      <w:bookmarkStart w:id="360" w:name="_Toc184313258"/>
      <w:bookmarkEnd w:id="360"/>
      <w:bookmarkStart w:id="361" w:name="_Toc184314445"/>
      <w:bookmarkEnd w:id="361"/>
      <w:bookmarkStart w:id="362" w:name="_Toc184310306"/>
      <w:bookmarkEnd w:id="362"/>
      <w:bookmarkStart w:id="363" w:name="_Toc184310284"/>
      <w:bookmarkEnd w:id="363"/>
      <w:bookmarkStart w:id="364" w:name="_Toc184313304"/>
      <w:bookmarkEnd w:id="364"/>
      <w:bookmarkStart w:id="365" w:name="_Toc184312110"/>
      <w:bookmarkEnd w:id="365"/>
      <w:bookmarkStart w:id="366" w:name="_Toc184310326"/>
      <w:bookmarkEnd w:id="366"/>
      <w:bookmarkStart w:id="367" w:name="_Toc184312101"/>
      <w:bookmarkEnd w:id="367"/>
      <w:bookmarkStart w:id="368" w:name="_Toc184313279"/>
      <w:bookmarkEnd w:id="368"/>
      <w:bookmarkStart w:id="369" w:name="_Toc184314482"/>
      <w:bookmarkEnd w:id="369"/>
      <w:bookmarkStart w:id="370" w:name="_Toc184314413"/>
      <w:bookmarkEnd w:id="370"/>
      <w:bookmarkStart w:id="371" w:name="_Toc184314431"/>
      <w:bookmarkEnd w:id="371"/>
      <w:bookmarkStart w:id="372" w:name="_Toc184313250"/>
      <w:bookmarkEnd w:id="372"/>
      <w:bookmarkStart w:id="373" w:name="_Toc184308041"/>
      <w:bookmarkEnd w:id="373"/>
      <w:bookmarkStart w:id="374" w:name="_Toc184310340"/>
      <w:bookmarkEnd w:id="374"/>
      <w:bookmarkStart w:id="375" w:name="_Toc184308038"/>
      <w:bookmarkEnd w:id="375"/>
      <w:bookmarkStart w:id="376" w:name="_Toc184313247"/>
      <w:bookmarkEnd w:id="376"/>
      <w:bookmarkStart w:id="377" w:name="_Toc184312094"/>
      <w:bookmarkEnd w:id="377"/>
      <w:bookmarkStart w:id="378" w:name="_Toc184312074"/>
      <w:bookmarkEnd w:id="378"/>
      <w:bookmarkStart w:id="379" w:name="_Toc184312090"/>
      <w:bookmarkEnd w:id="379"/>
      <w:bookmarkStart w:id="380" w:name="_Toc184314462"/>
      <w:bookmarkEnd w:id="380"/>
      <w:bookmarkStart w:id="381" w:name="_Toc184313262"/>
      <w:bookmarkEnd w:id="381"/>
      <w:bookmarkStart w:id="382" w:name="_Toc184313289"/>
      <w:bookmarkEnd w:id="382"/>
      <w:bookmarkStart w:id="383" w:name="_Toc184310273"/>
      <w:bookmarkEnd w:id="383"/>
      <w:bookmarkStart w:id="384" w:name="_Toc184314446"/>
      <w:bookmarkEnd w:id="384"/>
      <w:bookmarkStart w:id="385" w:name="_Toc184310333"/>
      <w:bookmarkEnd w:id="385"/>
      <w:bookmarkStart w:id="386" w:name="_Toc184313257"/>
      <w:bookmarkEnd w:id="386"/>
      <w:bookmarkStart w:id="387" w:name="_Toc184308068"/>
      <w:bookmarkEnd w:id="387"/>
      <w:bookmarkStart w:id="388" w:name="_Toc184312087"/>
      <w:bookmarkEnd w:id="388"/>
      <w:bookmarkStart w:id="389" w:name="_Toc184308040"/>
      <w:bookmarkEnd w:id="389"/>
      <w:bookmarkStart w:id="390" w:name="_Toc184314473"/>
      <w:bookmarkEnd w:id="390"/>
      <w:bookmarkStart w:id="391" w:name="_Toc184312125"/>
      <w:bookmarkEnd w:id="391"/>
      <w:bookmarkStart w:id="392" w:name="_Toc184312078"/>
      <w:bookmarkEnd w:id="392"/>
      <w:bookmarkStart w:id="393" w:name="_Toc184313288"/>
      <w:bookmarkEnd w:id="393"/>
      <w:r>
        <w:rPr>
          <w:rFonts w:hint="eastAsia" w:ascii="仿宋" w:hAnsi="仿宋" w:eastAsia="仿宋" w:cs="宋体"/>
          <w:b/>
          <w:color w:val="000000" w:themeColor="text1"/>
          <w:sz w:val="36"/>
          <w:szCs w:val="36"/>
          <w:highlight w:val="none"/>
          <w14:textFill>
            <w14:solidFill>
              <w14:schemeClr w14:val="tx1"/>
            </w14:solidFill>
          </w14:textFill>
        </w:rPr>
        <w:t>评标办法</w:t>
      </w:r>
    </w:p>
    <w:p w14:paraId="3FE2644C">
      <w:pPr>
        <w:snapToGrid w:val="0"/>
        <w:spacing w:line="360" w:lineRule="auto"/>
        <w:jc w:val="center"/>
        <w:rPr>
          <w:rFonts w:hint="eastAsia"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1FBB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6BF738">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464" w:type="dxa"/>
            <w:vAlign w:val="center"/>
          </w:tcPr>
          <w:p w14:paraId="42FAF6D9">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评标标准</w:t>
            </w:r>
          </w:p>
        </w:tc>
        <w:tc>
          <w:tcPr>
            <w:tcW w:w="851" w:type="dxa"/>
            <w:vAlign w:val="center"/>
          </w:tcPr>
          <w:p w14:paraId="1623EBFB">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134" w:type="dxa"/>
            <w:vAlign w:val="center"/>
          </w:tcPr>
          <w:p w14:paraId="14A6E026">
            <w:pPr>
              <w:snapToGrid w:val="0"/>
              <w:spacing w:before="0" w:beforeAutospacing="0" w:after="0" w:afterAutospacing="0" w:line="360" w:lineRule="auto"/>
              <w:ind w:left="0" w:right="0"/>
              <w:jc w:val="center"/>
              <w:rPr>
                <w:rFonts w:hint="default" w:ascii="仿宋" w:hAnsi="仿宋" w:eastAsia="仿宋" w:cs="仿宋_GB2312"/>
                <w:bCs/>
                <w:color w:val="auto"/>
                <w:sz w:val="24"/>
                <w:highlight w:val="none"/>
              </w:rPr>
            </w:pPr>
            <w:r>
              <w:rPr>
                <w:rFonts w:hint="eastAsia" w:ascii="仿宋" w:hAnsi="仿宋" w:eastAsia="仿宋" w:cs="仿宋_GB2312"/>
                <w:bCs/>
                <w:color w:val="auto"/>
                <w:sz w:val="24"/>
                <w:highlight w:val="none"/>
              </w:rPr>
              <w:t>主观分/客观分属性</w:t>
            </w:r>
          </w:p>
        </w:tc>
        <w:tc>
          <w:tcPr>
            <w:tcW w:w="1559" w:type="dxa"/>
            <w:vAlign w:val="center"/>
          </w:tcPr>
          <w:p w14:paraId="7A5120B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bCs/>
                <w:color w:val="auto"/>
                <w:sz w:val="24"/>
                <w:highlight w:val="none"/>
              </w:rPr>
              <w:t>投标文件中评标标准相应的商务技术资料目录*</w:t>
            </w:r>
          </w:p>
        </w:tc>
      </w:tr>
      <w:tr w14:paraId="0FE4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6BB96A">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4464" w:type="dxa"/>
            <w:vAlign w:val="center"/>
          </w:tcPr>
          <w:p w14:paraId="08D0B8CC">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根据本项目的特点提出合理的服务理念、管理模式</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阐述是否全面合理，服务理念是否先进，管理模式是否科学可行进行打分。阐述全面合理，服务理念先进，管理模式科学可行的得6分；阐述较为全面合理，服务理念较为先进，管理模式较为科学可行的得4分；阐述不够全面合理，服务理念不够先进，管理模式不太科学可行的得2分；无</w:t>
            </w:r>
            <w:r>
              <w:rPr>
                <w:rFonts w:hint="default" w:ascii="仿宋" w:hAnsi="仿宋" w:eastAsia="仿宋" w:cs="仿宋_GB2312"/>
                <w:color w:val="auto"/>
                <w:sz w:val="24"/>
                <w:highlight w:val="none"/>
              </w:rPr>
              <w:t>服务理念、管理模式</w:t>
            </w:r>
            <w:r>
              <w:rPr>
                <w:rFonts w:hint="eastAsia" w:ascii="仿宋" w:hAnsi="仿宋" w:eastAsia="仿宋" w:cs="仿宋_GB2312"/>
                <w:color w:val="auto"/>
                <w:sz w:val="24"/>
                <w:highlight w:val="none"/>
                <w:lang w:val="en-US" w:eastAsia="zh-CN"/>
              </w:rPr>
              <w:t>的不得分。</w:t>
            </w:r>
          </w:p>
        </w:tc>
        <w:tc>
          <w:tcPr>
            <w:tcW w:w="851" w:type="dxa"/>
            <w:vAlign w:val="center"/>
          </w:tcPr>
          <w:p w14:paraId="2D34DDCD">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14:paraId="46CC5826">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673700CD">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服务理念、管理模式</w:t>
            </w:r>
          </w:p>
        </w:tc>
      </w:tr>
      <w:tr w14:paraId="10D2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356767">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4464" w:type="dxa"/>
            <w:vAlign w:val="center"/>
          </w:tcPr>
          <w:p w14:paraId="3878339E">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本项目的特点提出服务定位、服务目标，阐述是否全面，服务定位是否准确、合理，服务目标是否明确恰当进行打分。阐述全面，服务定位准确、合理，服务目标明确恰当的得6分；阐述较为全面，服务定位较为准确、合理，服务目标较为明确恰当的得4分；阐述不够全面，服务定位不够准确、合理，服务目标不太明确恰当的得2分；无服务定位、服务目标的不得分。</w:t>
            </w:r>
          </w:p>
        </w:tc>
        <w:tc>
          <w:tcPr>
            <w:tcW w:w="851" w:type="dxa"/>
            <w:vAlign w:val="center"/>
          </w:tcPr>
          <w:p w14:paraId="48BEC578">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14:paraId="2EE4C9F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243CF789">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服务定位、服务目标</w:t>
            </w:r>
          </w:p>
        </w:tc>
      </w:tr>
      <w:tr w14:paraId="7BD9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A78D76">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4464" w:type="dxa"/>
            <w:vAlign w:val="center"/>
          </w:tcPr>
          <w:p w14:paraId="120AAD5D">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提供的组织架构，管理流程，阐述是否全面合理，组织架构设置是否科学可行，管理流程安排是否合理恰当进行打分。阐述全面合理，组织架构设置科学可行，管理流程安排合理恰当的得6分；阐述较为全面合理，组织架构设置较为科学可行，管理流程安排较为合理恰当的得4分；阐述不够全面合理，组织架构设置不够科学可行，管理流程安排不够合理恰当的得2分；无组织架构，管理流程的不得分。</w:t>
            </w:r>
          </w:p>
        </w:tc>
        <w:tc>
          <w:tcPr>
            <w:tcW w:w="851" w:type="dxa"/>
            <w:vAlign w:val="center"/>
          </w:tcPr>
          <w:p w14:paraId="14A2EE3E">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14:paraId="7F9DFCEF">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6772C621">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组织架构，管理流程</w:t>
            </w:r>
          </w:p>
        </w:tc>
      </w:tr>
      <w:tr w14:paraId="27C9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8D63136">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4464" w:type="dxa"/>
            <w:vAlign w:val="center"/>
          </w:tcPr>
          <w:p w14:paraId="5B1285E5">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提供的运作流程图、激励机制、监督机制、自我约束机制、信息反馈渠道及处理机制情况，阐述是否全面，运作流程图是否合理，各项机制设置是否具有科学性和可行性进行打分。阐述全面，运作流程图具有较强的合理性，各项机制设置具有较强的科学性和可行性的得5分；阐述较为全面，运作流程图具有一定的合理性，各项机制设置具有一定的科学性和可行的的得3分；阐述不够全面，运作流程图合理性一般，各项机制设置科学性和可行性一般的得1分；无运作流程图、激励机制、监督机制、自我约束机制、信息反馈渠道及处理机制情况的不得分。</w:t>
            </w:r>
          </w:p>
        </w:tc>
        <w:tc>
          <w:tcPr>
            <w:tcW w:w="851" w:type="dxa"/>
            <w:vAlign w:val="center"/>
          </w:tcPr>
          <w:p w14:paraId="66392CBB">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669D0612">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3E83D1BA">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运作流程图、激励机制、监督机制、自我约束机制、信息反馈渠道及处理机制情况</w:t>
            </w:r>
          </w:p>
        </w:tc>
      </w:tr>
      <w:tr w14:paraId="163A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06F736">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4464" w:type="dxa"/>
            <w:vAlign w:val="center"/>
          </w:tcPr>
          <w:p w14:paraId="3B9B1E63">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针对采购人提出的保安服务质量标准对应的保安服务质量措施，阐述是否全面，措施是否具有可行性和科学的，措施安排是否合理恰当进行打分。阐述全面，措施具有较强的可行性和科学性，措施安排合理恰当的得5分；阐述较为全面，措施具有一定可行性和科学性，措施安排较为合理恰当的得3分；阐述不够全面，措施的可行性和科学性一般，措施安排不够合理恰当的得1分；无保安服务质量措施的不得分。</w:t>
            </w:r>
          </w:p>
        </w:tc>
        <w:tc>
          <w:tcPr>
            <w:tcW w:w="851" w:type="dxa"/>
            <w:vAlign w:val="center"/>
          </w:tcPr>
          <w:p w14:paraId="58589F18">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3595EC5F">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63A58781">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保安服务质量措施</w:t>
            </w:r>
          </w:p>
        </w:tc>
      </w:tr>
      <w:tr w14:paraId="5F97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5105FD">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4464" w:type="dxa"/>
            <w:vAlign w:val="center"/>
          </w:tcPr>
          <w:p w14:paraId="52A14183">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提供的企业岗位管理制度，阐述是否全面合理，岗位管理制度是否具有针对性，制度设置是否具有可行性和科学性进行打分。阐述全面合理，岗位管理制度具有较强的针对性，制度设置具有较强的可行性和科学性的得5分；阐述较为全面合理，岗位管理制度具有一定针对性，制度设置具有一定可行性和科学性的得3分；阐述全面不够合理，岗位管理制度针对性一般，制度设置可行性和科学性一般的得1分；无企业岗位管理制度的不得分。</w:t>
            </w:r>
          </w:p>
        </w:tc>
        <w:tc>
          <w:tcPr>
            <w:tcW w:w="851" w:type="dxa"/>
            <w:vAlign w:val="center"/>
          </w:tcPr>
          <w:p w14:paraId="7CF4F5A2">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449DA57F">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3223C3AA">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企业岗位管理制度</w:t>
            </w:r>
          </w:p>
        </w:tc>
      </w:tr>
      <w:tr w14:paraId="38F4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D9768B">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4464" w:type="dxa"/>
            <w:vAlign w:val="center"/>
          </w:tcPr>
          <w:p w14:paraId="1073ABEA">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提供的安全管理制度，阐述是否全面合理，安全管理制度是否具有针对性，制度设置是否具有可行性和科学性进行打分。阐述全面合理，安全管理制度具有较强的针对性，制度设置具有较强的可行性和科学性的得5分；阐述较为全面合理，安全管理制度具有一定针对性，制度设置具有一定可行性和科学性的得3分；阐述全面不够合理，安全管理制度针对性一般，制度设置可行性和科学性一般的得1分；无安全管理制度的不得分。</w:t>
            </w:r>
          </w:p>
        </w:tc>
        <w:tc>
          <w:tcPr>
            <w:tcW w:w="851" w:type="dxa"/>
            <w:vAlign w:val="center"/>
          </w:tcPr>
          <w:p w14:paraId="48467BD6">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12DB3A65">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4CE8098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安全管理制度</w:t>
            </w:r>
          </w:p>
        </w:tc>
      </w:tr>
      <w:tr w14:paraId="6B2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CEF8E3">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4464" w:type="dxa"/>
            <w:vAlign w:val="center"/>
          </w:tcPr>
          <w:p w14:paraId="357F9C12">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rPr>
            </w:pPr>
            <w:r>
              <w:rPr>
                <w:rFonts w:hint="eastAsia" w:ascii="仿宋" w:hAnsi="仿宋" w:eastAsia="仿宋" w:cs="仿宋_GB2312"/>
                <w:color w:val="auto"/>
                <w:sz w:val="24"/>
                <w:highlight w:val="none"/>
                <w:lang w:val="en-US" w:eastAsia="zh-CN"/>
              </w:rPr>
              <w:t>根据投标人提供的考核制度，阐述是否全面合理，考核制度是否具有针对性，制度设置是否具有可行性和科学性进行打分。阐述全面合理，考核制度具有较强的针对性，制度设置具有较强的可行性和科学性的得5分；阐述较为全面合理，考核制度具有一定针对性，制度设置具有一定可行性和科学性的得3分；阐述全面不够合理，考核制度针对性一般，制度设置可行性和科学性一般的得1分；无考核制度的不得分。</w:t>
            </w:r>
          </w:p>
        </w:tc>
        <w:tc>
          <w:tcPr>
            <w:tcW w:w="851" w:type="dxa"/>
            <w:vAlign w:val="center"/>
          </w:tcPr>
          <w:p w14:paraId="78DBA3CB">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706B6461">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0D7221B7">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考核制度</w:t>
            </w:r>
          </w:p>
        </w:tc>
      </w:tr>
      <w:tr w14:paraId="2B70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15ECEEC">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4464" w:type="dxa"/>
            <w:vAlign w:val="center"/>
          </w:tcPr>
          <w:p w14:paraId="49D094DC">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w:t>
            </w:r>
            <w:r>
              <w:rPr>
                <w:rFonts w:hint="eastAsia" w:ascii="仿宋" w:hAnsi="仿宋" w:eastAsia="仿宋" w:cs="仿宋_GB2312"/>
                <w:color w:val="auto"/>
                <w:sz w:val="24"/>
                <w:highlight w:val="none"/>
                <w:lang w:val="en-US" w:eastAsia="zh-CN"/>
              </w:rPr>
              <w:t>序化管理服务</w:t>
            </w:r>
            <w:r>
              <w:rPr>
                <w:rFonts w:hint="default" w:ascii="仿宋" w:hAnsi="仿宋" w:eastAsia="仿宋" w:cs="仿宋_GB2312"/>
                <w:color w:val="auto"/>
                <w:sz w:val="24"/>
                <w:highlight w:val="none"/>
              </w:rPr>
              <w:t>方案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阐述是否全面合理，服务方案设置是否科学可行，服务方案是否符合本项目需求内容进行打分。阐述全面合理，服务方案设置科学可行，服务方案优于本项目需求内容的得5分；阐述较为全面合理，服务方案设置较为科学可行，服务方案符合本项目需求内容的得3分；阐述不够全面合理，服务方案设置不够科学可行，服务方案能够基本满足本项目需求内容的得1分；无序化管理服务</w:t>
            </w:r>
            <w:r>
              <w:rPr>
                <w:rFonts w:hint="default" w:ascii="仿宋" w:hAnsi="仿宋" w:eastAsia="仿宋" w:cs="仿宋_GB2312"/>
                <w:color w:val="auto"/>
                <w:sz w:val="24"/>
                <w:highlight w:val="none"/>
              </w:rPr>
              <w:t>方案</w:t>
            </w:r>
            <w:r>
              <w:rPr>
                <w:rFonts w:hint="eastAsia" w:ascii="仿宋" w:hAnsi="仿宋" w:eastAsia="仿宋" w:cs="仿宋_GB2312"/>
                <w:color w:val="auto"/>
                <w:sz w:val="24"/>
                <w:highlight w:val="none"/>
                <w:lang w:val="en-US" w:eastAsia="zh-CN"/>
              </w:rPr>
              <w:t>的不得分。</w:t>
            </w:r>
          </w:p>
        </w:tc>
        <w:tc>
          <w:tcPr>
            <w:tcW w:w="851" w:type="dxa"/>
            <w:vAlign w:val="center"/>
          </w:tcPr>
          <w:p w14:paraId="73DD5468">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66938513">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0F56AD6E">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序化管理服务</w:t>
            </w:r>
            <w:r>
              <w:rPr>
                <w:rFonts w:hint="default" w:ascii="仿宋" w:hAnsi="仿宋" w:eastAsia="仿宋" w:cs="仿宋_GB2312"/>
                <w:color w:val="auto"/>
                <w:sz w:val="24"/>
                <w:highlight w:val="none"/>
              </w:rPr>
              <w:t>方案</w:t>
            </w:r>
          </w:p>
        </w:tc>
      </w:tr>
      <w:tr w14:paraId="656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E1DC5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4464" w:type="dxa"/>
            <w:vAlign w:val="center"/>
          </w:tcPr>
          <w:p w14:paraId="7D4D20FC">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提供的处理突发事件应急预案</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阐述是否全面合理，应急预案是否考虑周到，应急措施是否具有针对性，应急预案是否具有可行性和科学性进行打分。阐述全面合理，应急预案考虑周到，应急措施具有较强的针对性，应急预案具有较强的可行性和科学性的得5分；阐述较为全面合理，应急预案考虑较为周到，应急措施具有一定的针对性，应急预案具有一定的可行性和科学性的得3分；阐述不够全面合理，应急预案考虑不够周到，应急措施的针对性一般，应急预案的可行性和科学性一般的得1分；无</w:t>
            </w:r>
            <w:r>
              <w:rPr>
                <w:rFonts w:hint="default" w:ascii="仿宋" w:hAnsi="仿宋" w:eastAsia="仿宋" w:cs="仿宋_GB2312"/>
                <w:color w:val="auto"/>
                <w:sz w:val="24"/>
                <w:highlight w:val="none"/>
              </w:rPr>
              <w:t>处理突发事件应急预案</w:t>
            </w:r>
            <w:r>
              <w:rPr>
                <w:rFonts w:hint="eastAsia" w:ascii="仿宋" w:hAnsi="仿宋" w:eastAsia="仿宋" w:cs="仿宋_GB2312"/>
                <w:color w:val="auto"/>
                <w:sz w:val="24"/>
                <w:highlight w:val="none"/>
                <w:lang w:val="en-US" w:eastAsia="zh-CN"/>
              </w:rPr>
              <w:t>的不得分。</w:t>
            </w:r>
          </w:p>
        </w:tc>
        <w:tc>
          <w:tcPr>
            <w:tcW w:w="851" w:type="dxa"/>
            <w:vAlign w:val="center"/>
          </w:tcPr>
          <w:p w14:paraId="0BE3C877">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3C9E5D2C">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72616D2C">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处理突发事件应急预案</w:t>
            </w:r>
          </w:p>
        </w:tc>
      </w:tr>
      <w:tr w14:paraId="2737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D04238">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4464" w:type="dxa"/>
            <w:vAlign w:val="center"/>
          </w:tcPr>
          <w:p w14:paraId="6A098010">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根据投标人专业的区域报警响应能力，响应速度与时间的情况</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阐述是否全面，响应能力是否出色，响应速度和时间是否合理，响应是否足够迅速进行打分。阐述全面，响应能力出色，响应速度和时间合理，响应迅速的得5分；阐述较为全面，响应能力较出色，响应速度和时间比较合理，响应比较迅速的得3分；阐述不够全面，响应能力不够出色，响应速度和时间不太合理，响应不太迅速的得1分；无</w:t>
            </w:r>
            <w:r>
              <w:rPr>
                <w:rFonts w:hint="default" w:ascii="仿宋" w:hAnsi="仿宋" w:eastAsia="仿宋" w:cs="仿宋_GB2312"/>
                <w:color w:val="auto"/>
                <w:sz w:val="24"/>
                <w:highlight w:val="none"/>
              </w:rPr>
              <w:t>区域报警响应能力，响应速度与时间的情况</w:t>
            </w:r>
            <w:r>
              <w:rPr>
                <w:rFonts w:hint="eastAsia" w:ascii="仿宋" w:hAnsi="仿宋" w:eastAsia="仿宋" w:cs="仿宋_GB2312"/>
                <w:color w:val="auto"/>
                <w:sz w:val="24"/>
                <w:highlight w:val="none"/>
                <w:lang w:val="en-US" w:eastAsia="zh-CN"/>
              </w:rPr>
              <w:t>的不得分。</w:t>
            </w:r>
          </w:p>
        </w:tc>
        <w:tc>
          <w:tcPr>
            <w:tcW w:w="851" w:type="dxa"/>
            <w:vAlign w:val="center"/>
          </w:tcPr>
          <w:p w14:paraId="25116735">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12827DC4">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153F0C8D">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区域报警响应能力，响应速度与时间的情况</w:t>
            </w:r>
          </w:p>
        </w:tc>
      </w:tr>
      <w:tr w14:paraId="2117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90A8CE">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4464" w:type="dxa"/>
            <w:vAlign w:val="center"/>
          </w:tcPr>
          <w:p w14:paraId="559CFB2F">
            <w:pPr>
              <w:snapToGrid w:val="0"/>
              <w:spacing w:before="0" w:beforeAutospacing="0" w:after="0" w:afterAutospacing="0" w:line="360" w:lineRule="auto"/>
              <w:ind w:left="0" w:right="0"/>
              <w:jc w:val="left"/>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rPr>
              <w:t>根据投标人</w:t>
            </w:r>
            <w:r>
              <w:rPr>
                <w:rFonts w:hint="eastAsia" w:ascii="仿宋" w:hAnsi="仿宋" w:eastAsia="仿宋" w:cs="仿宋_GB2312"/>
                <w:color w:val="auto"/>
                <w:sz w:val="24"/>
                <w:highlight w:val="none"/>
                <w:lang w:val="en-US" w:eastAsia="zh-CN"/>
              </w:rPr>
              <w:t>针对本项目</w:t>
            </w:r>
            <w:r>
              <w:rPr>
                <w:rFonts w:hint="default" w:ascii="仿宋" w:hAnsi="仿宋" w:eastAsia="仿宋" w:cs="仿宋_GB2312"/>
                <w:color w:val="auto"/>
                <w:sz w:val="24"/>
                <w:highlight w:val="none"/>
              </w:rPr>
              <w:t>提供的服务承诺</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服务承诺是否合理科学，是否具有针对性，是否符合本项目采购需求内容进行打分。服务承诺合理科学，具有较强的针对性，优于本项目采购需求内容的得5分；服务承诺较为合理科学，具有一定的针对性，符合本项目采购需求内容的得3分；服务承诺不够合理科学，针对性一般，能够基本满足本项目采购需求内容的得1分；无</w:t>
            </w:r>
            <w:r>
              <w:rPr>
                <w:rFonts w:hint="default" w:ascii="仿宋" w:hAnsi="仿宋" w:eastAsia="仿宋" w:cs="仿宋_GB2312"/>
                <w:color w:val="auto"/>
                <w:sz w:val="24"/>
                <w:highlight w:val="none"/>
              </w:rPr>
              <w:t>服务承诺</w:t>
            </w:r>
            <w:r>
              <w:rPr>
                <w:rFonts w:hint="eastAsia" w:ascii="仿宋" w:hAnsi="仿宋" w:eastAsia="仿宋" w:cs="仿宋_GB2312"/>
                <w:color w:val="auto"/>
                <w:sz w:val="24"/>
                <w:highlight w:val="none"/>
                <w:lang w:val="en-US" w:eastAsia="zh-CN"/>
              </w:rPr>
              <w:t>的不得分。</w:t>
            </w:r>
          </w:p>
        </w:tc>
        <w:tc>
          <w:tcPr>
            <w:tcW w:w="851" w:type="dxa"/>
            <w:vAlign w:val="center"/>
          </w:tcPr>
          <w:p w14:paraId="6F5E9472">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1134" w:type="dxa"/>
            <w:vAlign w:val="center"/>
          </w:tcPr>
          <w:p w14:paraId="3938F6A5">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主观</w:t>
            </w:r>
          </w:p>
        </w:tc>
        <w:tc>
          <w:tcPr>
            <w:tcW w:w="1559" w:type="dxa"/>
            <w:vAlign w:val="center"/>
          </w:tcPr>
          <w:p w14:paraId="17121E9B">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服务承诺</w:t>
            </w:r>
          </w:p>
        </w:tc>
      </w:tr>
      <w:tr w14:paraId="7217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C46C164">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4464" w:type="dxa"/>
            <w:vAlign w:val="center"/>
          </w:tcPr>
          <w:p w14:paraId="704AFB70">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拟派</w:t>
            </w:r>
            <w:r>
              <w:rPr>
                <w:rFonts w:hint="eastAsia" w:ascii="仿宋" w:hAnsi="仿宋" w:eastAsia="仿宋" w:cs="仿宋_GB2312"/>
                <w:color w:val="auto"/>
                <w:sz w:val="24"/>
                <w:highlight w:val="none"/>
                <w:lang w:val="en-US" w:eastAsia="zh-CN"/>
              </w:rPr>
              <w:t>项目组</w:t>
            </w:r>
            <w:r>
              <w:rPr>
                <w:rFonts w:hint="default" w:ascii="仿宋" w:hAnsi="仿宋" w:eastAsia="仿宋" w:cs="仿宋_GB2312"/>
                <w:color w:val="auto"/>
                <w:sz w:val="24"/>
                <w:highlight w:val="none"/>
              </w:rPr>
              <w:t>人员</w:t>
            </w:r>
            <w:r>
              <w:rPr>
                <w:rFonts w:hint="eastAsia" w:ascii="仿宋" w:hAnsi="仿宋" w:eastAsia="仿宋" w:cs="仿宋_GB2312"/>
                <w:color w:val="auto"/>
                <w:sz w:val="24"/>
                <w:highlight w:val="none"/>
                <w:lang w:val="en-US" w:eastAsia="zh-CN"/>
              </w:rPr>
              <w:t>的项目负责人</w:t>
            </w:r>
            <w:r>
              <w:rPr>
                <w:rFonts w:hint="default" w:ascii="仿宋" w:hAnsi="仿宋" w:eastAsia="仿宋" w:cs="仿宋_GB2312"/>
                <w:color w:val="auto"/>
                <w:sz w:val="24"/>
                <w:highlight w:val="none"/>
              </w:rPr>
              <w:t>：</w:t>
            </w:r>
          </w:p>
          <w:p w14:paraId="5FA7917F">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①45周岁以下</w:t>
            </w:r>
            <w:r>
              <w:rPr>
                <w:rFonts w:hint="eastAsia" w:ascii="仿宋" w:hAnsi="仿宋" w:eastAsia="仿宋" w:cs="仿宋_GB2312"/>
                <w:color w:val="auto"/>
                <w:sz w:val="24"/>
                <w:highlight w:val="none"/>
                <w:lang w:eastAsia="zh-CN"/>
              </w:rPr>
              <w:t>，大专</w:t>
            </w:r>
            <w:r>
              <w:rPr>
                <w:rFonts w:hint="default" w:ascii="仿宋" w:hAnsi="仿宋" w:eastAsia="仿宋" w:cs="仿宋_GB2312"/>
                <w:color w:val="auto"/>
                <w:sz w:val="24"/>
                <w:highlight w:val="none"/>
              </w:rPr>
              <w:t>及以上学历得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分，本条满分</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w:t>
            </w:r>
          </w:p>
          <w:p w14:paraId="37957248">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②有二级</w:t>
            </w:r>
            <w:r>
              <w:rPr>
                <w:rFonts w:hint="eastAsia" w:ascii="仿宋" w:hAnsi="仿宋" w:eastAsia="仿宋" w:cs="仿宋_GB2312"/>
                <w:color w:val="auto"/>
                <w:sz w:val="24"/>
                <w:highlight w:val="none"/>
                <w:lang w:val="en-US" w:eastAsia="zh-CN"/>
              </w:rPr>
              <w:t>及以上</w:t>
            </w:r>
            <w:r>
              <w:rPr>
                <w:rFonts w:hint="default" w:ascii="仿宋" w:hAnsi="仿宋" w:eastAsia="仿宋" w:cs="仿宋_GB2312"/>
                <w:color w:val="auto"/>
                <w:sz w:val="24"/>
                <w:highlight w:val="none"/>
              </w:rPr>
              <w:t>保安员证书的得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分，本条满分</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w:t>
            </w:r>
          </w:p>
          <w:p w14:paraId="69FFAB6C">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③</w:t>
            </w:r>
            <w:r>
              <w:rPr>
                <w:rFonts w:hint="default" w:ascii="仿宋" w:hAnsi="仿宋" w:eastAsia="仿宋" w:cs="仿宋_GB2312"/>
                <w:color w:val="auto"/>
                <w:sz w:val="24"/>
                <w:highlight w:val="none"/>
              </w:rPr>
              <w:t>具有退伍军人资格的，</w:t>
            </w:r>
            <w:r>
              <w:rPr>
                <w:rFonts w:hint="eastAsia" w:ascii="仿宋" w:hAnsi="仿宋" w:eastAsia="仿宋" w:cs="仿宋_GB2312"/>
                <w:color w:val="auto"/>
                <w:sz w:val="24"/>
                <w:highlight w:val="none"/>
                <w:lang w:val="en-US" w:eastAsia="zh-CN"/>
              </w:rPr>
              <w:t>得2分</w:t>
            </w:r>
            <w:r>
              <w:rPr>
                <w:rFonts w:hint="default" w:ascii="仿宋" w:hAnsi="仿宋" w:eastAsia="仿宋" w:cs="仿宋_GB2312"/>
                <w:color w:val="auto"/>
                <w:sz w:val="24"/>
                <w:highlight w:val="none"/>
              </w:rPr>
              <w:t>。</w:t>
            </w:r>
          </w:p>
          <w:p w14:paraId="5C04247E">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在投标文件中同时提供有效证明材料扫描件及最近一个月本单位社保有效证明扫描件，否则不得分。</w:t>
            </w:r>
            <w:r>
              <w:rPr>
                <w:rFonts w:hint="default" w:ascii="仿宋" w:hAnsi="仿宋" w:eastAsia="仿宋" w:cs="仿宋_GB2312"/>
                <w:color w:val="auto"/>
                <w:sz w:val="24"/>
                <w:highlight w:val="none"/>
              </w:rPr>
              <w:t>)</w:t>
            </w:r>
          </w:p>
        </w:tc>
        <w:tc>
          <w:tcPr>
            <w:tcW w:w="851" w:type="dxa"/>
            <w:vAlign w:val="center"/>
          </w:tcPr>
          <w:p w14:paraId="0581D870">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1134" w:type="dxa"/>
            <w:vAlign w:val="center"/>
          </w:tcPr>
          <w:p w14:paraId="15BC6FF4">
            <w:pPr>
              <w:snapToGrid w:val="0"/>
              <w:spacing w:before="0" w:beforeAutospacing="0" w:after="0" w:afterAutospacing="0" w:line="360" w:lineRule="auto"/>
              <w:ind w:left="0" w:right="0"/>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Merge w:val="restart"/>
            <w:vAlign w:val="center"/>
          </w:tcPr>
          <w:p w14:paraId="59E06CD1">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项目</w:t>
            </w:r>
            <w:r>
              <w:rPr>
                <w:rFonts w:hint="eastAsia" w:ascii="仿宋" w:hAnsi="仿宋" w:eastAsia="仿宋" w:cs="仿宋_GB2312"/>
                <w:color w:val="auto"/>
                <w:sz w:val="24"/>
                <w:highlight w:val="none"/>
                <w:lang w:val="en-US" w:eastAsia="zh-CN"/>
              </w:rPr>
              <w:t>组成员</w:t>
            </w:r>
            <w:r>
              <w:rPr>
                <w:rFonts w:hint="default" w:ascii="仿宋" w:hAnsi="仿宋" w:eastAsia="仿宋" w:cs="仿宋_GB2312"/>
                <w:color w:val="auto"/>
                <w:sz w:val="24"/>
                <w:highlight w:val="none"/>
              </w:rPr>
              <w:t>配置</w:t>
            </w:r>
          </w:p>
        </w:tc>
      </w:tr>
      <w:tr w14:paraId="6DF8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449F9F">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14</w:t>
            </w:r>
          </w:p>
        </w:tc>
        <w:tc>
          <w:tcPr>
            <w:tcW w:w="4464" w:type="dxa"/>
            <w:vAlign w:val="center"/>
          </w:tcPr>
          <w:p w14:paraId="0F9AC181">
            <w:pPr>
              <w:snapToGrid w:val="0"/>
              <w:spacing w:before="0" w:beforeAutospacing="0" w:after="0" w:afterAutospacing="0" w:line="360" w:lineRule="auto"/>
              <w:ind w:left="0" w:right="0"/>
              <w:jc w:val="left"/>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拟派项目组成员中：</w:t>
            </w:r>
          </w:p>
          <w:p w14:paraId="53C7794E">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①具有保安员二级</w:t>
            </w:r>
            <w:r>
              <w:rPr>
                <w:rFonts w:hint="eastAsia" w:ascii="仿宋" w:hAnsi="仿宋" w:eastAsia="仿宋" w:cs="仿宋_GB2312"/>
                <w:color w:val="auto"/>
                <w:sz w:val="24"/>
                <w:highlight w:val="none"/>
                <w:lang w:val="en-US" w:eastAsia="zh-CN"/>
              </w:rPr>
              <w:t>及以上</w:t>
            </w:r>
            <w:r>
              <w:rPr>
                <w:rFonts w:hint="default" w:ascii="仿宋" w:hAnsi="仿宋" w:eastAsia="仿宋" w:cs="仿宋_GB2312"/>
                <w:color w:val="auto"/>
                <w:sz w:val="24"/>
                <w:highlight w:val="none"/>
              </w:rPr>
              <w:t>证书的每1人得1分，本条满分</w:t>
            </w:r>
            <w:r>
              <w:rPr>
                <w:rFonts w:hint="eastAsia" w:ascii="仿宋" w:hAnsi="仿宋" w:eastAsia="仿宋" w:cs="仿宋_GB2312"/>
                <w:color w:val="auto"/>
                <w:sz w:val="24"/>
                <w:highlight w:val="none"/>
                <w:lang w:val="en-US" w:eastAsia="zh-CN"/>
              </w:rPr>
              <w:t>10</w:t>
            </w:r>
            <w:r>
              <w:rPr>
                <w:rFonts w:hint="default" w:ascii="仿宋" w:hAnsi="仿宋" w:eastAsia="仿宋" w:cs="仿宋_GB2312"/>
                <w:color w:val="auto"/>
                <w:sz w:val="24"/>
                <w:highlight w:val="none"/>
              </w:rPr>
              <w:t>分。</w:t>
            </w:r>
          </w:p>
          <w:p w14:paraId="52A74E59">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②具有退伍军人资格的，提供一人得</w:t>
            </w:r>
            <w:r>
              <w:rPr>
                <w:rFonts w:hint="eastAsia" w:ascii="仿宋" w:hAnsi="仿宋" w:eastAsia="仿宋" w:cs="仿宋_GB2312"/>
                <w:color w:val="auto"/>
                <w:sz w:val="24"/>
                <w:highlight w:val="none"/>
                <w:lang w:val="en-US" w:eastAsia="zh-CN"/>
              </w:rPr>
              <w:t>1</w:t>
            </w:r>
            <w:r>
              <w:rPr>
                <w:rFonts w:hint="default" w:ascii="仿宋" w:hAnsi="仿宋" w:eastAsia="仿宋" w:cs="仿宋_GB2312"/>
                <w:color w:val="auto"/>
                <w:sz w:val="24"/>
                <w:highlight w:val="none"/>
              </w:rPr>
              <w:t>分，最高得</w:t>
            </w:r>
            <w:r>
              <w:rPr>
                <w:rFonts w:hint="eastAsia" w:ascii="仿宋" w:hAnsi="仿宋" w:eastAsia="仿宋" w:cs="仿宋_GB2312"/>
                <w:color w:val="auto"/>
                <w:sz w:val="24"/>
                <w:highlight w:val="none"/>
                <w:lang w:val="en-US" w:eastAsia="zh-CN"/>
              </w:rPr>
              <w:t>4</w:t>
            </w:r>
            <w:r>
              <w:rPr>
                <w:rFonts w:hint="default" w:ascii="仿宋" w:hAnsi="仿宋" w:eastAsia="仿宋" w:cs="仿宋_GB2312"/>
                <w:color w:val="auto"/>
                <w:sz w:val="24"/>
                <w:highlight w:val="none"/>
              </w:rPr>
              <w:t>分。</w:t>
            </w:r>
          </w:p>
          <w:p w14:paraId="0A356162">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w:t>
            </w:r>
            <w:r>
              <w:rPr>
                <w:rFonts w:hint="eastAsia" w:ascii="仿宋" w:hAnsi="仿宋" w:eastAsia="仿宋" w:cs="仿宋_GB2312"/>
                <w:color w:val="auto"/>
                <w:sz w:val="24"/>
                <w:highlight w:val="none"/>
              </w:rPr>
              <w:t>在投标文件中同时提供有效证明材料扫描件，否则不得分。</w:t>
            </w:r>
            <w:r>
              <w:rPr>
                <w:rFonts w:hint="default" w:ascii="仿宋" w:hAnsi="仿宋" w:eastAsia="仿宋" w:cs="仿宋_GB2312"/>
                <w:color w:val="auto"/>
                <w:sz w:val="24"/>
                <w:highlight w:val="none"/>
              </w:rPr>
              <w:t>)</w:t>
            </w:r>
          </w:p>
        </w:tc>
        <w:tc>
          <w:tcPr>
            <w:tcW w:w="851" w:type="dxa"/>
            <w:vAlign w:val="center"/>
          </w:tcPr>
          <w:p w14:paraId="0DACD021">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r>
              <w:rPr>
                <w:rFonts w:hint="default" w:ascii="仿宋" w:hAnsi="仿宋" w:eastAsia="仿宋" w:cs="仿宋_GB2312"/>
                <w:color w:val="auto"/>
                <w:sz w:val="24"/>
                <w:highlight w:val="none"/>
                <w:lang w:eastAsia="zh-CN"/>
              </w:rPr>
              <w:t>4</w:t>
            </w:r>
          </w:p>
        </w:tc>
        <w:tc>
          <w:tcPr>
            <w:tcW w:w="1134" w:type="dxa"/>
            <w:vAlign w:val="center"/>
          </w:tcPr>
          <w:p w14:paraId="6AB5A5D3">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客观</w:t>
            </w:r>
          </w:p>
        </w:tc>
        <w:tc>
          <w:tcPr>
            <w:tcW w:w="1559" w:type="dxa"/>
            <w:vMerge w:val="continue"/>
            <w:vAlign w:val="center"/>
          </w:tcPr>
          <w:p w14:paraId="0DBBCD07">
            <w:pPr>
              <w:snapToGrid w:val="0"/>
              <w:spacing w:before="0" w:beforeAutospacing="0" w:after="0" w:afterAutospacing="0" w:line="360" w:lineRule="auto"/>
              <w:ind w:left="0" w:right="0"/>
              <w:jc w:val="center"/>
              <w:rPr>
                <w:rFonts w:hint="default" w:ascii="仿宋" w:hAnsi="仿宋" w:eastAsia="仿宋" w:cs="仿宋_GB2312"/>
                <w:color w:val="auto"/>
                <w:sz w:val="24"/>
                <w:highlight w:val="none"/>
              </w:rPr>
            </w:pPr>
          </w:p>
        </w:tc>
      </w:tr>
      <w:tr w14:paraId="2180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889" w:type="dxa"/>
            <w:vAlign w:val="center"/>
          </w:tcPr>
          <w:p w14:paraId="6672A729">
            <w:pPr>
              <w:snapToGrid w:val="0"/>
              <w:spacing w:before="0" w:beforeAutospacing="0" w:after="0" w:afterAutospacing="0" w:line="360" w:lineRule="auto"/>
              <w:ind w:left="0" w:leftChars="0" w:right="0" w:rightChars="0"/>
              <w:jc w:val="center"/>
              <w:rPr>
                <w:rFonts w:hint="default" w:ascii="仿宋" w:hAnsi="仿宋" w:eastAsia="仿宋" w:cs="仿宋_GB2312"/>
                <w:color w:val="auto"/>
                <w:sz w:val="24"/>
                <w:highlight w:val="none"/>
                <w:lang w:eastAsia="zh-CN"/>
              </w:rPr>
            </w:pPr>
            <w:r>
              <w:rPr>
                <w:rFonts w:hint="default" w:ascii="仿宋" w:hAnsi="仿宋" w:eastAsia="仿宋" w:cs="仿宋_GB2312"/>
                <w:color w:val="auto"/>
                <w:sz w:val="24"/>
                <w:highlight w:val="none"/>
                <w:lang w:eastAsia="zh-CN"/>
              </w:rPr>
              <w:t>15</w:t>
            </w:r>
          </w:p>
        </w:tc>
        <w:tc>
          <w:tcPr>
            <w:tcW w:w="4464" w:type="dxa"/>
            <w:vAlign w:val="center"/>
          </w:tcPr>
          <w:p w14:paraId="56871244">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投标人</w:t>
            </w:r>
            <w:r>
              <w:rPr>
                <w:rFonts w:hint="default" w:ascii="仿宋" w:hAnsi="仿宋" w:eastAsia="仿宋" w:cs="仿宋_GB2312"/>
                <w:color w:val="auto"/>
                <w:sz w:val="24"/>
                <w:highlight w:val="none"/>
              </w:rPr>
              <w:t>具有质量管理体系认证证书、环境管理体系认证证书、职业健康安全管理体系认证证书且在有效期内，每有一项得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rPr>
              <w:t>分，本条满分</w:t>
            </w:r>
            <w:r>
              <w:rPr>
                <w:rFonts w:hint="eastAsia" w:ascii="仿宋" w:hAnsi="仿宋" w:eastAsia="仿宋" w:cs="仿宋_GB2312"/>
                <w:color w:val="auto"/>
                <w:sz w:val="24"/>
                <w:highlight w:val="none"/>
                <w:lang w:val="en-US" w:eastAsia="zh-CN"/>
              </w:rPr>
              <w:t>6</w:t>
            </w:r>
            <w:r>
              <w:rPr>
                <w:rFonts w:hint="default" w:ascii="仿宋" w:hAnsi="仿宋" w:eastAsia="仿宋" w:cs="仿宋_GB2312"/>
                <w:color w:val="auto"/>
                <w:sz w:val="24"/>
                <w:highlight w:val="none"/>
              </w:rPr>
              <w:t>分。</w:t>
            </w:r>
          </w:p>
          <w:p w14:paraId="7374BCA5">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（提供认证证书扫描件并加盖公章，否则不得分）</w:t>
            </w:r>
          </w:p>
        </w:tc>
        <w:tc>
          <w:tcPr>
            <w:tcW w:w="851" w:type="dxa"/>
            <w:vAlign w:val="center"/>
          </w:tcPr>
          <w:p w14:paraId="0ED39565">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6</w:t>
            </w:r>
          </w:p>
        </w:tc>
        <w:tc>
          <w:tcPr>
            <w:tcW w:w="1134" w:type="dxa"/>
            <w:vAlign w:val="center"/>
          </w:tcPr>
          <w:p w14:paraId="26724935">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客观</w:t>
            </w:r>
          </w:p>
        </w:tc>
        <w:tc>
          <w:tcPr>
            <w:tcW w:w="1559" w:type="dxa"/>
            <w:vAlign w:val="center"/>
          </w:tcPr>
          <w:p w14:paraId="239D830B">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企业认证</w:t>
            </w:r>
          </w:p>
        </w:tc>
      </w:tr>
      <w:tr w14:paraId="6D54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235AD70">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eastAsia="zh-CN" w:bidi="ar-SA"/>
              </w:rPr>
            </w:pPr>
            <w:r>
              <w:rPr>
                <w:rFonts w:hint="eastAsia" w:ascii="仿宋" w:hAnsi="仿宋" w:eastAsia="仿宋" w:cs="仿宋_GB2312"/>
                <w:color w:val="auto"/>
                <w:sz w:val="24"/>
                <w:highlight w:val="none"/>
                <w:lang w:val="en-US" w:eastAsia="zh-CN"/>
              </w:rPr>
              <w:t>1</w:t>
            </w:r>
            <w:r>
              <w:rPr>
                <w:rFonts w:hint="default" w:ascii="仿宋" w:hAnsi="仿宋" w:eastAsia="仿宋" w:cs="仿宋_GB2312"/>
                <w:color w:val="auto"/>
                <w:sz w:val="24"/>
                <w:highlight w:val="none"/>
                <w:lang w:eastAsia="zh-CN"/>
              </w:rPr>
              <w:t>6</w:t>
            </w:r>
          </w:p>
        </w:tc>
        <w:tc>
          <w:tcPr>
            <w:tcW w:w="4464" w:type="dxa"/>
            <w:vAlign w:val="center"/>
          </w:tcPr>
          <w:p w14:paraId="5B12841E">
            <w:pPr>
              <w:snapToGrid w:val="0"/>
              <w:spacing w:before="0" w:beforeAutospacing="0" w:after="0" w:afterAutospacing="0" w:line="360" w:lineRule="auto"/>
              <w:ind w:left="0" w:right="0"/>
              <w:jc w:val="left"/>
              <w:rPr>
                <w:rFonts w:hint="default" w:ascii="仿宋" w:hAnsi="仿宋" w:eastAsia="仿宋" w:cs="仿宋_GB2312"/>
                <w:color w:val="auto"/>
                <w:sz w:val="24"/>
                <w:highlight w:val="none"/>
              </w:rPr>
            </w:pPr>
            <w:r>
              <w:rPr>
                <w:rFonts w:hint="default" w:ascii="仿宋" w:hAnsi="仿宋" w:eastAsia="仿宋" w:cs="仿宋_GB2312"/>
                <w:color w:val="auto"/>
                <w:sz w:val="24"/>
                <w:highlight w:val="none"/>
              </w:rPr>
              <w:t>投标人</w:t>
            </w:r>
            <w:r>
              <w:rPr>
                <w:rFonts w:hint="eastAsia" w:ascii="仿宋" w:hAnsi="仿宋" w:eastAsia="仿宋" w:cs="仿宋_GB2312"/>
                <w:color w:val="auto"/>
                <w:sz w:val="24"/>
                <w:highlight w:val="none"/>
                <w:lang w:val="en-US" w:eastAsia="zh-CN"/>
              </w:rPr>
              <w:t>自2020年1月1日以来</w:t>
            </w:r>
            <w:r>
              <w:rPr>
                <w:rFonts w:hint="eastAsia" w:ascii="仿宋" w:hAnsi="仿宋" w:eastAsia="仿宋" w:cs="仿宋_GB2312"/>
                <w:color w:val="auto"/>
                <w:sz w:val="24"/>
                <w:highlight w:val="none"/>
                <w:lang w:eastAsia="zh-CN"/>
              </w:rPr>
              <w:t>完成过</w:t>
            </w:r>
            <w:r>
              <w:rPr>
                <w:rFonts w:hint="default" w:ascii="仿宋" w:hAnsi="仿宋" w:eastAsia="仿宋" w:cs="仿宋_GB2312"/>
                <w:color w:val="auto"/>
                <w:sz w:val="24"/>
                <w:highlight w:val="none"/>
              </w:rPr>
              <w:t>类似服务项目，每提供一个得0.</w:t>
            </w:r>
            <w:r>
              <w:rPr>
                <w:rFonts w:hint="eastAsia" w:ascii="仿宋" w:hAnsi="仿宋" w:eastAsia="仿宋" w:cs="仿宋_GB2312"/>
                <w:color w:val="auto"/>
                <w:sz w:val="24"/>
                <w:highlight w:val="none"/>
                <w:lang w:val="en-US" w:eastAsia="zh-CN"/>
              </w:rPr>
              <w:t>5</w:t>
            </w:r>
            <w:r>
              <w:rPr>
                <w:rFonts w:hint="default" w:ascii="仿宋" w:hAnsi="仿宋" w:eastAsia="仿宋" w:cs="仿宋_GB2312"/>
                <w:color w:val="auto"/>
                <w:sz w:val="24"/>
                <w:highlight w:val="none"/>
              </w:rPr>
              <w:t>分，最多得1分。</w:t>
            </w:r>
          </w:p>
          <w:p w14:paraId="4BBB542F">
            <w:pPr>
              <w:snapToGrid w:val="0"/>
              <w:spacing w:before="0" w:beforeAutospacing="0" w:after="0" w:afterAutospacing="0" w:line="360" w:lineRule="auto"/>
              <w:ind w:left="0" w:leftChars="0" w:right="0" w:rightChars="0"/>
              <w:jc w:val="left"/>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（提供合同及中标通知书扫描件并加盖公章，否则不得分）</w:t>
            </w:r>
          </w:p>
        </w:tc>
        <w:tc>
          <w:tcPr>
            <w:tcW w:w="851" w:type="dxa"/>
            <w:vAlign w:val="center"/>
          </w:tcPr>
          <w:p w14:paraId="400EE3B0">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134" w:type="dxa"/>
            <w:vAlign w:val="center"/>
          </w:tcPr>
          <w:p w14:paraId="006624EC">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客观</w:t>
            </w:r>
          </w:p>
        </w:tc>
        <w:tc>
          <w:tcPr>
            <w:tcW w:w="1559" w:type="dxa"/>
            <w:vAlign w:val="center"/>
          </w:tcPr>
          <w:p w14:paraId="0311C0BD">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类似业绩</w:t>
            </w:r>
          </w:p>
        </w:tc>
      </w:tr>
      <w:tr w14:paraId="584F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A12695">
            <w:pPr>
              <w:snapToGrid w:val="0"/>
              <w:spacing w:before="0" w:beforeAutospacing="0" w:after="0" w:afterAutospacing="0" w:line="360" w:lineRule="auto"/>
              <w:ind w:left="0" w:leftChars="0" w:right="0" w:rightChars="0"/>
              <w:jc w:val="center"/>
              <w:rPr>
                <w:rFonts w:hint="default" w:ascii="仿宋" w:hAnsi="仿宋" w:eastAsia="仿宋" w:cs="仿宋_GB2312"/>
                <w:color w:val="auto"/>
                <w:kern w:val="2"/>
                <w:sz w:val="24"/>
                <w:szCs w:val="24"/>
                <w:highlight w:val="none"/>
                <w:lang w:eastAsia="zh-CN" w:bidi="ar-SA"/>
              </w:rPr>
            </w:pPr>
            <w:r>
              <w:rPr>
                <w:rFonts w:hint="eastAsia" w:ascii="仿宋" w:hAnsi="仿宋" w:eastAsia="仿宋" w:cs="仿宋_GB2312"/>
                <w:color w:val="auto"/>
                <w:sz w:val="24"/>
                <w:highlight w:val="none"/>
                <w:lang w:val="en-US" w:eastAsia="zh-CN"/>
              </w:rPr>
              <w:t>1</w:t>
            </w:r>
            <w:r>
              <w:rPr>
                <w:rFonts w:hint="default" w:ascii="仿宋" w:hAnsi="仿宋" w:eastAsia="仿宋" w:cs="仿宋_GB2312"/>
                <w:color w:val="auto"/>
                <w:sz w:val="24"/>
                <w:highlight w:val="none"/>
                <w:lang w:eastAsia="zh-CN"/>
              </w:rPr>
              <w:t>7</w:t>
            </w:r>
          </w:p>
        </w:tc>
        <w:tc>
          <w:tcPr>
            <w:tcW w:w="4464" w:type="dxa"/>
            <w:vAlign w:val="center"/>
          </w:tcPr>
          <w:p w14:paraId="457AA294">
            <w:pPr>
              <w:adjustRightInd w:val="0"/>
              <w:snapToGrid w:val="0"/>
              <w:spacing w:line="273"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有效投标报价的最低价作为评标基准价，其最低报价为满分；按［投标报价得分=（评标基准折扣/投标人投标折扣）*权重］的计算公式计算。</w:t>
            </w:r>
          </w:p>
          <w:p w14:paraId="2C6BDF02">
            <w:pPr>
              <w:spacing w:before="0" w:beforeAutospacing="0" w:after="0" w:afterAutospacing="0" w:line="360" w:lineRule="auto"/>
              <w:ind w:left="0" w:leftChars="0" w:right="0" w:right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tc>
        <w:tc>
          <w:tcPr>
            <w:tcW w:w="851" w:type="dxa"/>
            <w:vAlign w:val="center"/>
          </w:tcPr>
          <w:p w14:paraId="083796B4">
            <w:pPr>
              <w:spacing w:before="0" w:beforeAutospacing="0" w:after="0" w:afterAutospacing="0" w:line="360" w:lineRule="auto"/>
              <w:ind w:left="0" w:leftChars="0" w:right="0" w:rightChars="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1134" w:type="dxa"/>
            <w:vAlign w:val="center"/>
          </w:tcPr>
          <w:p w14:paraId="35B25619">
            <w:pPr>
              <w:spacing w:before="0" w:beforeAutospacing="0" w:after="0" w:afterAutospacing="0" w:line="360" w:lineRule="auto"/>
              <w:ind w:left="0" w:leftChars="0" w:right="0" w:rightChars="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报价分</w:t>
            </w:r>
          </w:p>
        </w:tc>
        <w:tc>
          <w:tcPr>
            <w:tcW w:w="1559" w:type="dxa"/>
            <w:vAlign w:val="center"/>
          </w:tcPr>
          <w:p w14:paraId="4BA21DC3">
            <w:pPr>
              <w:spacing w:before="0" w:beforeAutospacing="0" w:after="0" w:afterAutospacing="0" w:line="360" w:lineRule="auto"/>
              <w:ind w:left="0" w:leftChars="0" w:right="0" w:rightChars="0"/>
              <w:jc w:val="center"/>
              <w:outlineLvl w:val="0"/>
              <w:rPr>
                <w:rFonts w:hint="default" w:ascii="仿宋" w:hAnsi="仿宋" w:eastAsia="仿宋" w:cs="仿宋_GB2312"/>
                <w:color w:val="auto"/>
                <w:kern w:val="2"/>
                <w:sz w:val="24"/>
                <w:szCs w:val="24"/>
                <w:highlight w:val="none"/>
                <w:lang w:val="en-US" w:eastAsia="zh-CN" w:bidi="ar-SA"/>
              </w:rPr>
            </w:pPr>
            <w:r>
              <w:rPr>
                <w:rFonts w:hint="default" w:ascii="仿宋" w:hAnsi="仿宋" w:eastAsia="仿宋" w:cs="仿宋_GB2312"/>
                <w:color w:val="auto"/>
                <w:sz w:val="24"/>
                <w:highlight w:val="none"/>
              </w:rPr>
              <w:t>/</w:t>
            </w:r>
          </w:p>
        </w:tc>
      </w:tr>
    </w:tbl>
    <w:p w14:paraId="3B31C96F">
      <w:pPr>
        <w:pStyle w:val="2"/>
      </w:pPr>
    </w:p>
    <w:p w14:paraId="5F4B09FD">
      <w:pPr>
        <w:snapToGrid w:val="0"/>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w:t>
      </w:r>
    </w:p>
    <w:p w14:paraId="1874BE8A">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29DD475A">
      <w:pPr>
        <w:snapToGrid w:val="0"/>
        <w:spacing w:line="360" w:lineRule="auto"/>
        <w:rPr>
          <w:rFonts w:ascii="仿宋" w:hAnsi="仿宋" w:eastAsia="仿宋" w:cs="宋体"/>
          <w:b/>
          <w:color w:val="000000" w:themeColor="text1"/>
          <w:sz w:val="28"/>
          <w:szCs w:val="28"/>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一、评标方法</w:t>
      </w:r>
    </w:p>
    <w:p w14:paraId="6CAE1B2D">
      <w:pPr>
        <w:adjustRightInd/>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1.</w:t>
      </w:r>
      <w:r>
        <w:rPr>
          <w:rFonts w:hint="eastAsia" w:ascii="仿宋" w:hAnsi="仿宋" w:eastAsia="仿宋" w:cs="宋体"/>
          <w:b/>
          <w:color w:val="000000" w:themeColor="text1"/>
          <w:kern w:val="0"/>
          <w:sz w:val="24"/>
          <w:highlight w:val="none"/>
          <w:lang w:val="en-US" w:eastAsia="zh-CN"/>
          <w14:textFill>
            <w14:solidFill>
              <w14:schemeClr w14:val="tx1"/>
            </w14:solidFill>
          </w14:textFill>
        </w:rPr>
        <w:t>1</w:t>
      </w:r>
      <w:r>
        <w:rPr>
          <w:rFonts w:hint="eastAsia" w:ascii="仿宋" w:hAnsi="仿宋" w:eastAsia="仿宋" w:cs="宋体"/>
          <w:b/>
          <w:color w:val="000000" w:themeColor="text1"/>
          <w:kern w:val="0"/>
          <w:sz w:val="24"/>
          <w:highlight w:val="none"/>
          <w14:textFill>
            <w14:solidFill>
              <w14:schemeClr w14:val="tx1"/>
            </w14:solidFill>
          </w14:textFill>
        </w:rPr>
        <w:t>本项目采用综合评分法。</w:t>
      </w:r>
      <w:r>
        <w:rPr>
          <w:rFonts w:hint="eastAsia" w:ascii="仿宋" w:hAnsi="仿宋" w:eastAsia="仿宋"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035289F">
      <w:pPr>
        <w:adjustRightInd/>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二、评标标准</w:t>
      </w:r>
    </w:p>
    <w:p w14:paraId="49CF1A24">
      <w:pPr>
        <w:spacing w:line="360" w:lineRule="auto"/>
        <w:ind w:firstLine="472" w:firstLineChars="196"/>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14:textFill>
            <w14:solidFill>
              <w14:schemeClr w14:val="tx1"/>
            </w14:solidFill>
          </w14:textFill>
        </w:rPr>
        <w:t>评标标准：</w:t>
      </w:r>
      <w:r>
        <w:rPr>
          <w:rFonts w:hint="eastAsia" w:ascii="仿宋" w:hAnsi="仿宋" w:eastAsia="仿宋" w:cs="宋体"/>
          <w:color w:val="000000" w:themeColor="text1"/>
          <w:kern w:val="0"/>
          <w:sz w:val="24"/>
          <w:highlight w:val="none"/>
          <w14:textFill>
            <w14:solidFill>
              <w14:schemeClr w14:val="tx1"/>
            </w14:solidFill>
          </w14:textFill>
        </w:rPr>
        <w:t>见评标办法前附表。</w:t>
      </w:r>
    </w:p>
    <w:p w14:paraId="14FD1E9B">
      <w:pPr>
        <w:spacing w:line="360" w:lineRule="auto"/>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三、评标程序</w:t>
      </w:r>
    </w:p>
    <w:p w14:paraId="7BA64401">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3.1符合性审查。</w:t>
      </w:r>
      <w:r>
        <w:rPr>
          <w:rFonts w:hint="eastAsia" w:ascii="仿宋" w:hAnsi="仿宋" w:eastAsia="仿宋"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7FD5DF4">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3.2 比较与评价。</w:t>
      </w:r>
      <w:r>
        <w:rPr>
          <w:rFonts w:hint="eastAsia" w:ascii="仿宋" w:hAnsi="仿宋" w:eastAsia="仿宋"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0BA8C892">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3.3汇总商务技术得分。</w:t>
      </w:r>
      <w:r>
        <w:rPr>
          <w:rFonts w:hint="eastAsia" w:ascii="仿宋" w:hAnsi="仿宋" w:eastAsia="仿宋"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Arial"/>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宋体"/>
          <w:color w:val="000000" w:themeColor="text1"/>
          <w:kern w:val="0"/>
          <w:sz w:val="24"/>
          <w:highlight w:val="none"/>
          <w14:textFill>
            <w14:solidFill>
              <w14:schemeClr w14:val="tx1"/>
            </w14:solidFill>
          </w14:textFill>
        </w:rPr>
        <w:t>。</w:t>
      </w:r>
    </w:p>
    <w:p w14:paraId="69FDACC8">
      <w:pPr>
        <w:spacing w:line="360" w:lineRule="auto"/>
        <w:ind w:firstLine="472" w:firstLineChars="196"/>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3.4报价评审。</w:t>
      </w:r>
    </w:p>
    <w:p w14:paraId="12F92DB2">
      <w:pPr>
        <w:pStyle w:val="87"/>
        <w:spacing w:before="0"/>
        <w:ind w:firstLine="508" w:firstLineChars="212"/>
        <w:rPr>
          <w:rFonts w:ascii="仿宋" w:hAnsi="仿宋" w:eastAsia="仿宋" w:cs="宋体"/>
          <w:color w:val="000000" w:themeColor="text1"/>
          <w:kern w:val="0"/>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t>3.4.1投标文件报价出现前后不一致的，按照下列规定修正：</w:t>
      </w:r>
    </w:p>
    <w:p w14:paraId="7D8A043B">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7186F46">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3.4.1.2大写金额和小写金额不一致的，以大写金额为准;</w:t>
      </w:r>
    </w:p>
    <w:p w14:paraId="278BFCBA">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309F3B69">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3.4.1.4总价金额与按单价汇总金额不一致的，以单价金额计算结果为准。</w:t>
      </w:r>
    </w:p>
    <w:p w14:paraId="0CE76530">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3166E338">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3.4.2投标文件出现不是唯一的、有选择性投标报价的，投标无效。</w:t>
      </w:r>
    </w:p>
    <w:p w14:paraId="46E3C837">
      <w:pPr>
        <w:snapToGrid w:val="0"/>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A5C9D84">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5DD44B6">
      <w:pPr>
        <w:pStyle w:val="87"/>
        <w:spacing w:before="0"/>
        <w:ind w:firstLine="480"/>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793D511">
      <w:pPr>
        <w:spacing w:line="360" w:lineRule="auto"/>
        <w:ind w:firstLine="482"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3.5排序与推荐。</w:t>
      </w:r>
      <w:r>
        <w:rPr>
          <w:rFonts w:hint="eastAsia" w:ascii="仿宋" w:hAnsi="仿宋" w:eastAsia="仿宋"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AEFD60">
      <w:pPr>
        <w:spacing w:line="360" w:lineRule="auto"/>
        <w:ind w:firstLine="480" w:firstLineChars="200"/>
        <w:rPr>
          <w:rFonts w:ascii="仿宋" w:hAnsi="仿宋" w:eastAsia="仿宋" w:cs="宋体"/>
          <w:b/>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B91E4FA">
      <w:pPr>
        <w:spacing w:line="360" w:lineRule="auto"/>
        <w:ind w:firstLine="472" w:firstLineChars="19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color w:val="000000" w:themeColor="text1"/>
          <w:kern w:val="0"/>
          <w:sz w:val="24"/>
          <w:highlight w:val="none"/>
          <w14:textFill>
            <w14:solidFill>
              <w14:schemeClr w14:val="tx1"/>
            </w14:solidFill>
          </w14:textFill>
        </w:rPr>
        <w:t>3.6编写评标报告。</w:t>
      </w:r>
      <w:r>
        <w:rPr>
          <w:rFonts w:hint="eastAsia" w:ascii="仿宋" w:hAnsi="仿宋" w:eastAsia="仿宋"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67C0BC">
      <w:pPr>
        <w:widowControl/>
        <w:shd w:val="clear" w:color="auto" w:fill="FFFFFF"/>
        <w:adjustRightInd/>
        <w:spacing w:after="0" w:line="360" w:lineRule="auto"/>
        <w:jc w:val="left"/>
        <w:rPr>
          <w:rFonts w:ascii="仿宋" w:hAnsi="仿宋" w:eastAsia="仿宋" w:cs="宋体"/>
          <w:b/>
          <w:color w:val="000000" w:themeColor="text1"/>
          <w:sz w:val="32"/>
          <w:highlight w:val="none"/>
          <w14:textFill>
            <w14:solidFill>
              <w14:schemeClr w14:val="tx1"/>
            </w14:solidFill>
          </w14:textFill>
        </w:rPr>
      </w:pPr>
      <w:r>
        <w:rPr>
          <w:rFonts w:hint="eastAsia" w:ascii="仿宋" w:hAnsi="仿宋" w:eastAsia="仿宋" w:cs="宋体"/>
          <w:b/>
          <w:color w:val="000000" w:themeColor="text1"/>
          <w:sz w:val="32"/>
          <w:highlight w:val="none"/>
          <w14:textFill>
            <w14:solidFill>
              <w14:schemeClr w14:val="tx1"/>
            </w14:solidFill>
          </w14:textFill>
        </w:rPr>
        <w:t>四、评标中的其他事项</w:t>
      </w:r>
    </w:p>
    <w:p w14:paraId="5D8AC7AC">
      <w:pPr>
        <w:pStyle w:val="87"/>
        <w:spacing w:before="0"/>
        <w:ind w:firstLine="472" w:firstLineChars="196"/>
        <w:rPr>
          <w:rFonts w:ascii="仿宋" w:hAnsi="仿宋" w:eastAsia="仿宋" w:cs="宋体"/>
          <w:color w:val="000000" w:themeColor="text1"/>
          <w:kern w:val="0"/>
          <w:szCs w:val="24"/>
          <w:highlight w:val="none"/>
          <w14:textFill>
            <w14:solidFill>
              <w14:schemeClr w14:val="tx1"/>
            </w14:solidFill>
          </w14:textFill>
        </w:rPr>
      </w:pPr>
      <w:r>
        <w:rPr>
          <w:rFonts w:hint="eastAsia" w:ascii="仿宋" w:hAnsi="仿宋" w:eastAsia="仿宋" w:cs="宋体"/>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88CC60">
      <w:pPr>
        <w:pStyle w:val="26"/>
        <w:spacing w:line="360" w:lineRule="auto"/>
        <w:ind w:left="954" w:leftChars="226" w:hanging="479" w:firstLineChars="0"/>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4.2投标无效。</w:t>
      </w:r>
      <w:r>
        <w:rPr>
          <w:rFonts w:hint="eastAsia" w:ascii="仿宋" w:hAnsi="仿宋" w:eastAsia="仿宋" w:cs="宋体"/>
          <w:color w:val="000000" w:themeColor="text1"/>
          <w:szCs w:val="21"/>
          <w:highlight w:val="none"/>
          <w14:textFill>
            <w14:solidFill>
              <w14:schemeClr w14:val="tx1"/>
            </w14:solidFill>
          </w14:textFill>
        </w:rPr>
        <w:t>有下列情形之一的，投标无效：</w:t>
      </w:r>
    </w:p>
    <w:p w14:paraId="17C7F736">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D04297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4.2.2投标文件未按照招标文件要求签署、盖章的；</w:t>
      </w:r>
    </w:p>
    <w:p w14:paraId="1E0BB4C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2E19411C">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4.2.4投标文件含有采购人不能接受的附加条件的；</w:t>
      </w:r>
    </w:p>
    <w:p w14:paraId="559BCC59">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64EB3022">
      <w:pPr>
        <w:snapToGrid w:val="0"/>
        <w:spacing w:line="360" w:lineRule="auto"/>
        <w:ind w:firstLine="120" w:firstLineChars="5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4.2.6投标文件出现不是唯一的、有选择性投标报价的;</w:t>
      </w:r>
    </w:p>
    <w:p w14:paraId="41C4085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4.2.7投标报价超过招标文件中规定的预算金额或者最高限价的;</w:t>
      </w:r>
    </w:p>
    <w:p w14:paraId="0BE7BDD2">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4.2.8</w:t>
      </w:r>
      <w:r>
        <w:rPr>
          <w:rFonts w:hint="eastAsia" w:ascii="仿宋" w:hAnsi="仿宋" w:eastAsia="仿宋" w:cs="宋体"/>
          <w:color w:val="000000" w:themeColor="text1"/>
          <w:kern w:val="0"/>
          <w:sz w:val="24"/>
          <w:highlight w:val="none"/>
          <w:lang w:val="en-US" w:eastAsia="zh-CN"/>
          <w14:textFill>
            <w14:solidFill>
              <w14:schemeClr w14:val="tx1"/>
            </w14:solidFill>
          </w14:textFill>
        </w:rPr>
        <w:t>《中小企业声明函》填写企业类型错误或者未填写企业类型的，投标无效</w:t>
      </w:r>
      <w:r>
        <w:rPr>
          <w:rFonts w:hint="eastAsia" w:ascii="仿宋" w:hAnsi="仿宋" w:eastAsia="仿宋" w:cs="宋体"/>
          <w:color w:val="000000" w:themeColor="text1"/>
          <w:kern w:val="0"/>
          <w:sz w:val="24"/>
          <w:highlight w:val="none"/>
          <w14:textFill>
            <w14:solidFill>
              <w14:schemeClr w14:val="tx1"/>
            </w14:solidFill>
          </w14:textFill>
        </w:rPr>
        <w:t>;</w:t>
      </w:r>
    </w:p>
    <w:p w14:paraId="7C686C81">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4.2.9投标人对根据修正原则修正后的报价不确认的；</w:t>
      </w:r>
    </w:p>
    <w:p w14:paraId="50C056C0">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4.2.10投标人提供虚假材料投标的；</w:t>
      </w:r>
    </w:p>
    <w:p w14:paraId="62AB03E1">
      <w:pPr>
        <w:spacing w:line="360" w:lineRule="auto"/>
        <w:ind w:firstLine="240" w:firstLineChars="1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605FA1A7">
      <w:pPr>
        <w:spacing w:line="360" w:lineRule="auto"/>
        <w:ind w:firstLine="480" w:firstLineChars="200"/>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 xml:space="preserve">4.2.12 </w:t>
      </w:r>
      <w:r>
        <w:rPr>
          <w:rFonts w:hint="eastAsia" w:ascii="仿宋" w:hAnsi="仿宋" w:eastAsia="仿宋" w:cs="宋体"/>
          <w:color w:val="000000" w:themeColor="text1"/>
          <w:kern w:val="0"/>
          <w:sz w:val="24"/>
          <w:highlight w:val="none"/>
          <w14:textFill>
            <w14:solidFill>
              <w14:schemeClr w14:val="tx1"/>
            </w14:solidFill>
          </w14:textFill>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EF35EB4">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3</w:t>
      </w:r>
      <w:r>
        <w:rPr>
          <w:rFonts w:hint="eastAsia" w:ascii="仿宋" w:hAnsi="仿宋" w:eastAsia="仿宋" w:cs="宋体"/>
          <w:color w:val="000000" w:themeColor="text1"/>
          <w:kern w:val="0"/>
          <w:sz w:val="24"/>
          <w:highlight w:val="none"/>
          <w14:textFill>
            <w14:solidFill>
              <w14:schemeClr w14:val="tx1"/>
            </w14:solidFill>
          </w14:textFill>
        </w:rPr>
        <w:t>投标人仅提交备份投标文件，未在电子交易平台传输递交投标文件的，投标无效；</w:t>
      </w:r>
    </w:p>
    <w:p w14:paraId="5425E8C8">
      <w:pPr>
        <w:pStyle w:val="6"/>
        <w:ind w:left="862" w:leftChars="205"/>
        <w:rPr>
          <w:rFonts w:ascii="仿宋" w:eastAsia="仿宋" w:cs="宋体"/>
          <w:b w:val="0"/>
          <w:bCs w:val="0"/>
          <w:color w:val="000000" w:themeColor="text1"/>
          <w:kern w:val="0"/>
          <w:sz w:val="24"/>
          <w:szCs w:val="24"/>
          <w:highlight w:val="none"/>
          <w:lang w:val="en-US"/>
          <w14:textFill>
            <w14:solidFill>
              <w14:schemeClr w14:val="tx1"/>
            </w14:solidFill>
          </w14:textFill>
        </w:rPr>
      </w:pPr>
      <w:r>
        <w:rPr>
          <w:rFonts w:hint="eastAsia" w:ascii="仿宋" w:eastAsia="仿宋" w:cs="宋体"/>
          <w:b w:val="0"/>
          <w:bCs w:val="0"/>
          <w:color w:val="000000" w:themeColor="text1"/>
          <w:kern w:val="0"/>
          <w:sz w:val="24"/>
          <w:szCs w:val="24"/>
          <w:highlight w:val="none"/>
          <w:lang w:val="en-US"/>
          <w14:textFill>
            <w14:solidFill>
              <w14:schemeClr w14:val="tx1"/>
            </w14:solidFill>
          </w14:textFill>
        </w:rPr>
        <w:t>4.2.1</w:t>
      </w:r>
      <w:r>
        <w:rPr>
          <w:rFonts w:hint="eastAsia" w:ascii="仿宋" w:eastAsia="仿宋" w:cs="宋体"/>
          <w:b w:val="0"/>
          <w:bCs w:val="0"/>
          <w:color w:val="000000" w:themeColor="text1"/>
          <w:kern w:val="0"/>
          <w:sz w:val="24"/>
          <w:szCs w:val="24"/>
          <w:highlight w:val="none"/>
          <w:lang w:val="en-US" w:eastAsia="zh-CN"/>
          <w14:textFill>
            <w14:solidFill>
              <w14:schemeClr w14:val="tx1"/>
            </w14:solidFill>
          </w14:textFill>
        </w:rPr>
        <w:t>4</w:t>
      </w:r>
      <w:r>
        <w:rPr>
          <w:rFonts w:hint="eastAsia" w:ascii="仿宋" w:eastAsia="仿宋" w:cs="宋体"/>
          <w:b w:val="0"/>
          <w:bCs w:val="0"/>
          <w:color w:val="000000" w:themeColor="text1"/>
          <w:kern w:val="0"/>
          <w:sz w:val="24"/>
          <w:szCs w:val="24"/>
          <w:highlight w:val="none"/>
          <w:lang w:val="en-US"/>
          <w14:textFill>
            <w14:solidFill>
              <w14:schemeClr w14:val="tx1"/>
            </w14:solidFill>
          </w14:textFill>
        </w:rPr>
        <w:t xml:space="preserve"> 投标文件不满足招标文件的其它实质性要求的；</w:t>
      </w:r>
    </w:p>
    <w:p w14:paraId="68F8026B">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4.2.1</w:t>
      </w:r>
      <w:r>
        <w:rPr>
          <w:rFonts w:hint="eastAsia" w:ascii="仿宋" w:hAnsi="仿宋" w:eastAsia="仿宋" w:cs="宋体"/>
          <w:color w:val="000000" w:themeColor="text1"/>
          <w:kern w:val="0"/>
          <w:sz w:val="24"/>
          <w:highlight w:val="none"/>
          <w:lang w:val="en-US" w:eastAsia="zh-CN"/>
          <w14:textFill>
            <w14:solidFill>
              <w14:schemeClr w14:val="tx1"/>
            </w14:solidFill>
          </w14:textFill>
        </w:rPr>
        <w:t>5</w:t>
      </w:r>
      <w:r>
        <w:rPr>
          <w:rFonts w:hint="eastAsia" w:ascii="仿宋" w:hAnsi="仿宋" w:eastAsia="仿宋"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5E21941D">
      <w:pPr>
        <w:pStyle w:val="26"/>
        <w:snapToGrid w:val="0"/>
        <w:spacing w:line="360" w:lineRule="auto"/>
        <w:ind w:firstLine="472" w:firstLineChars="196"/>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5.废标。</w:t>
      </w:r>
      <w:r>
        <w:rPr>
          <w:rFonts w:hint="eastAsia" w:ascii="仿宋" w:hAnsi="仿宋" w:eastAsia="仿宋"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517362A">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5.1符合专业条件的供应商或者对招标文件作实质响应的供应商不足3家的；</w:t>
      </w:r>
    </w:p>
    <w:p w14:paraId="10F5889A">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5.2出现影响采购公正的违法、违规行为的；</w:t>
      </w:r>
    </w:p>
    <w:p w14:paraId="78D88461">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5.3投标人的报价均超过了采购预算，采购人不能支付的；</w:t>
      </w:r>
    </w:p>
    <w:p w14:paraId="4EC21E5D">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5.4因重大变故，采购任务取消的。</w:t>
      </w:r>
    </w:p>
    <w:p w14:paraId="57707B9C">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废标后，采购机构应当将废标理由通知所有投标人。</w:t>
      </w:r>
    </w:p>
    <w:p w14:paraId="69F9B886">
      <w:pPr>
        <w:pStyle w:val="26"/>
        <w:snapToGrid w:val="0"/>
        <w:spacing w:line="360" w:lineRule="auto"/>
        <w:ind w:firstLine="590" w:firstLineChars="245"/>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6.修改招标文件，重新组织采购活动。</w:t>
      </w:r>
      <w:r>
        <w:rPr>
          <w:rFonts w:hint="eastAsia" w:ascii="仿宋" w:hAnsi="仿宋" w:eastAsia="仿宋"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C43CD67">
      <w:pPr>
        <w:pStyle w:val="26"/>
        <w:snapToGrid w:val="0"/>
        <w:spacing w:line="360" w:lineRule="auto"/>
        <w:ind w:firstLine="48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highlight w:val="none"/>
          <w14:textFill>
            <w14:solidFill>
              <w14:schemeClr w14:val="tx1"/>
            </w14:solidFill>
          </w14:textFill>
        </w:rPr>
        <w:t>7.重新开展采购。</w:t>
      </w:r>
      <w:r>
        <w:rPr>
          <w:rFonts w:hint="eastAsia" w:ascii="仿宋" w:hAnsi="仿宋" w:eastAsia="仿宋"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61F3B24">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7.1未确定中标供应商的，终止本次政府采购活动，重新开展政府采购活动。</w:t>
      </w:r>
    </w:p>
    <w:p w14:paraId="4EFDD7DC">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31BFD98B">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CD21D7B">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7.4政府采购合同已经履行，给采购人、供应商造成损失的，由责任人承担赔偿责任。</w:t>
      </w:r>
    </w:p>
    <w:p w14:paraId="1327B698">
      <w:pPr>
        <w:pStyle w:val="26"/>
        <w:snapToGrid w:val="0"/>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6"/>
    <w:p w14:paraId="6A31142E">
      <w:pPr>
        <w:spacing w:line="360" w:lineRule="auto"/>
        <w:ind w:left="720" w:leftChars="343" w:firstLine="1084" w:firstLineChars="300"/>
        <w:outlineLvl w:val="0"/>
        <w:rPr>
          <w:rFonts w:hint="eastAsia" w:ascii="仿宋" w:hAnsi="仿宋" w:eastAsia="仿宋" w:cs="宋体"/>
          <w:b/>
          <w:color w:val="000000" w:themeColor="text1"/>
          <w:sz w:val="36"/>
          <w:szCs w:val="36"/>
          <w:highlight w:val="none"/>
          <w14:textFill>
            <w14:solidFill>
              <w14:schemeClr w14:val="tx1"/>
            </w14:solidFill>
          </w14:textFill>
        </w:rPr>
        <w:sectPr>
          <w:pgSz w:w="11905" w:h="16838"/>
          <w:pgMar w:top="680" w:right="1417" w:bottom="680" w:left="1417" w:header="851" w:footer="992" w:gutter="0"/>
          <w:cols w:space="0" w:num="1"/>
          <w:titlePg/>
          <w:rtlGutter w:val="0"/>
          <w:docGrid w:linePitch="0" w:charSpace="0"/>
        </w:sectPr>
      </w:pPr>
      <w:bookmarkStart w:id="394" w:name="_Toc86217003"/>
      <w:bookmarkStart w:id="395" w:name="第五部分"/>
    </w:p>
    <w:p w14:paraId="100637AE">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180DC5A8">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9C5FDD3">
      <w:pPr>
        <w:spacing w:line="360" w:lineRule="auto"/>
        <w:jc w:val="center"/>
        <w:rPr>
          <w:rFonts w:hint="eastAsia" w:ascii="仿宋" w:hAnsi="仿宋" w:eastAsia="仿宋" w:cs="仿宋"/>
          <w:b/>
          <w:sz w:val="24"/>
          <w:szCs w:val="24"/>
        </w:rPr>
      </w:pPr>
    </w:p>
    <w:p w14:paraId="6FDF514B">
      <w:pPr>
        <w:spacing w:line="360" w:lineRule="auto"/>
        <w:jc w:val="center"/>
        <w:rPr>
          <w:rFonts w:hint="eastAsia" w:ascii="仿宋" w:hAnsi="仿宋" w:eastAsia="仿宋" w:cs="仿宋"/>
          <w:b/>
          <w:sz w:val="24"/>
        </w:rPr>
      </w:pPr>
    </w:p>
    <w:p w14:paraId="6E8C3B99">
      <w:pPr>
        <w:spacing w:line="360" w:lineRule="auto"/>
        <w:jc w:val="center"/>
        <w:rPr>
          <w:rFonts w:hint="eastAsia" w:ascii="仿宋" w:hAnsi="仿宋" w:eastAsia="仿宋" w:cs="仿宋"/>
          <w:b/>
          <w:sz w:val="24"/>
        </w:rPr>
      </w:pPr>
    </w:p>
    <w:p w14:paraId="362FEAE9">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政府采购合同参考范本</w:t>
      </w:r>
    </w:p>
    <w:p w14:paraId="71CD972C">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（服务类）</w:t>
      </w:r>
    </w:p>
    <w:p w14:paraId="3B6AAA68">
      <w:pPr>
        <w:pStyle w:val="38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182B02FE">
      <w:pPr>
        <w:spacing w:before="120" w:line="360" w:lineRule="auto"/>
        <w:rPr>
          <w:rFonts w:hint="eastAsia" w:ascii="仿宋" w:hAnsi="仿宋" w:eastAsia="仿宋" w:cs="仿宋"/>
          <w:sz w:val="24"/>
        </w:rPr>
      </w:pPr>
    </w:p>
    <w:p w14:paraId="6A91DE4B">
      <w:pPr>
        <w:pStyle w:val="6"/>
        <w:rPr>
          <w:rFonts w:hint="eastAsia" w:ascii="仿宋" w:eastAsia="仿宋" w:cs="仿宋"/>
          <w:sz w:val="24"/>
          <w:szCs w:val="24"/>
        </w:rPr>
      </w:pPr>
    </w:p>
    <w:p w14:paraId="6DA0ACB2">
      <w:pPr>
        <w:spacing w:before="120" w:line="360" w:lineRule="auto"/>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58BFB30">
      <w:pPr>
        <w:pStyle w:val="284"/>
        <w:spacing w:before="120"/>
        <w:rPr>
          <w:rFonts w:hint="eastAsia" w:ascii="仿宋" w:hAnsi="仿宋" w:eastAsia="仿宋" w:cs="仿宋"/>
          <w:szCs w:val="24"/>
        </w:rPr>
      </w:pPr>
    </w:p>
    <w:p w14:paraId="2F538AD2">
      <w:pPr>
        <w:pStyle w:val="284"/>
        <w:spacing w:before="120"/>
        <w:rPr>
          <w:rFonts w:hint="eastAsia" w:ascii="仿宋" w:hAnsi="仿宋" w:eastAsia="仿宋" w:cs="仿宋"/>
          <w:szCs w:val="24"/>
        </w:rPr>
      </w:pPr>
    </w:p>
    <w:p w14:paraId="78B3FC3C">
      <w:pPr>
        <w:spacing w:line="360" w:lineRule="auto"/>
        <w:rPr>
          <w:rFonts w:hint="eastAsia" w:ascii="仿宋" w:hAnsi="仿宋" w:eastAsia="仿宋" w:cs="仿宋"/>
          <w:sz w:val="24"/>
        </w:rPr>
      </w:pPr>
    </w:p>
    <w:p w14:paraId="5E41C8A6">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9FF4266">
      <w:pPr>
        <w:spacing w:before="120" w:line="360" w:lineRule="auto"/>
        <w:rPr>
          <w:rFonts w:hint="eastAsia" w:ascii="仿宋" w:hAnsi="仿宋" w:eastAsia="仿宋" w:cs="仿宋"/>
          <w:sz w:val="24"/>
        </w:rPr>
      </w:pPr>
    </w:p>
    <w:p w14:paraId="051C190F">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DDCDE0C">
      <w:pPr>
        <w:spacing w:before="120" w:line="360" w:lineRule="auto"/>
        <w:rPr>
          <w:rFonts w:hint="eastAsia" w:ascii="仿宋" w:hAnsi="仿宋" w:eastAsia="仿宋" w:cs="仿宋"/>
          <w:sz w:val="24"/>
        </w:rPr>
      </w:pPr>
    </w:p>
    <w:p w14:paraId="7EDCB68E">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DAC7E63">
      <w:pPr>
        <w:spacing w:before="120" w:line="360" w:lineRule="auto"/>
        <w:rPr>
          <w:rFonts w:hint="eastAsia" w:ascii="仿宋" w:hAnsi="仿宋" w:eastAsia="仿宋" w:cs="仿宋"/>
          <w:sz w:val="24"/>
        </w:rPr>
      </w:pPr>
    </w:p>
    <w:p w14:paraId="2E4333B8">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36A01B3">
      <w:pPr>
        <w:widowControl/>
        <w:spacing w:line="360" w:lineRule="auto"/>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60F3E77A">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公开招标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14:paraId="1BE2AEB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D4246F0">
      <w:pPr>
        <w:spacing w:line="360" w:lineRule="auto"/>
        <w:ind w:firstLine="482" w:firstLineChars="200"/>
        <w:outlineLvl w:val="0"/>
        <w:rPr>
          <w:rFonts w:hint="eastAsia" w:ascii="仿宋" w:hAnsi="仿宋" w:eastAsia="仿宋" w:cs="仿宋"/>
          <w:sz w:val="24"/>
        </w:rPr>
      </w:pPr>
      <w:r>
        <w:rPr>
          <w:rFonts w:hint="eastAsia" w:ascii="仿宋" w:hAnsi="仿宋" w:eastAsia="仿宋" w:cs="仿宋"/>
          <w:b/>
          <w:sz w:val="24"/>
        </w:rPr>
        <w:t>1.1 合同组成部分</w:t>
      </w:r>
    </w:p>
    <w:p w14:paraId="2EDD56F7">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013765">
      <w:pPr>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1C56CFB9">
      <w:pPr>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中标通知书；</w:t>
      </w:r>
    </w:p>
    <w:p w14:paraId="6138B1B0">
      <w:pPr>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6012C8D0">
      <w:pPr>
        <w:spacing w:line="36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6B7403C4">
      <w:pPr>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6F5777C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1.2 标的</w:t>
      </w:r>
    </w:p>
    <w:p w14:paraId="70E890D6">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03B25F4C">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51E7697D">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   ；</w:t>
      </w:r>
    </w:p>
    <w:p w14:paraId="02202725">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详见附件一　   </w:t>
      </w:r>
      <w:r>
        <w:rPr>
          <w:rFonts w:hint="eastAsia" w:ascii="仿宋" w:hAnsi="仿宋" w:eastAsia="仿宋" w:cs="仿宋"/>
          <w:sz w:val="24"/>
        </w:rPr>
        <w:t>；</w:t>
      </w:r>
    </w:p>
    <w:p w14:paraId="3326F101">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不 </w:t>
      </w:r>
      <w:r>
        <w:rPr>
          <w:rFonts w:hint="eastAsia" w:ascii="仿宋" w:hAnsi="仿宋" w:eastAsia="仿宋" w:cs="仿宋"/>
        </w:rPr>
        <w:t>（是/否）涉及货物。若涉及货物的，则：</w:t>
      </w:r>
    </w:p>
    <w:p w14:paraId="0C009770">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         </w:t>
      </w:r>
      <w:r>
        <w:rPr>
          <w:rFonts w:hint="eastAsia" w:ascii="仿宋" w:hAnsi="仿宋" w:eastAsia="仿宋" w:cs="仿宋"/>
          <w:sz w:val="24"/>
        </w:rPr>
        <w:t>；</w:t>
      </w:r>
    </w:p>
    <w:p w14:paraId="404F3A02">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                        </w:t>
      </w:r>
      <w:r>
        <w:rPr>
          <w:rFonts w:hint="eastAsia" w:ascii="仿宋" w:hAnsi="仿宋" w:eastAsia="仿宋" w:cs="仿宋"/>
          <w:sz w:val="24"/>
        </w:rPr>
        <w:t>；</w:t>
      </w:r>
    </w:p>
    <w:p w14:paraId="723AA07C">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　                      　 </w:t>
      </w:r>
      <w:r>
        <w:rPr>
          <w:rFonts w:hint="eastAsia" w:ascii="仿宋" w:hAnsi="仿宋" w:eastAsia="仿宋" w:cs="仿宋"/>
          <w:sz w:val="24"/>
        </w:rPr>
        <w:t>；</w:t>
      </w:r>
    </w:p>
    <w:p w14:paraId="24A4D238">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1.3 价款</w:t>
      </w:r>
    </w:p>
    <w:p w14:paraId="785A3E7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1.3.1  </w:t>
      </w:r>
      <w:r>
        <w:rPr>
          <w:rFonts w:hint="eastAsia" w:ascii="仿宋" w:hAnsi="仿宋" w:eastAsia="仿宋" w:cs="仿宋"/>
          <w:sz w:val="24"/>
        </w:rPr>
        <w:t>条款规定的计价方式计价。</w:t>
      </w:r>
    </w:p>
    <w:p w14:paraId="0148E68C">
      <w:pPr>
        <w:spacing w:line="360" w:lineRule="auto"/>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694F4F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46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442E2E">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D0B4B0D">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5E062EE5">
            <w:pPr>
              <w:pStyle w:val="107"/>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0829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658779">
            <w:pPr>
              <w:pStyle w:val="107"/>
              <w:spacing w:line="360" w:lineRule="auto"/>
              <w:ind w:firstLine="200"/>
              <w:jc w:val="center"/>
              <w:rPr>
                <w:rFonts w:hint="eastAsia" w:ascii="仿宋" w:hAnsi="仿宋" w:eastAsia="仿宋" w:cs="仿宋"/>
                <w:sz w:val="24"/>
                <w:szCs w:val="24"/>
              </w:rPr>
            </w:pPr>
          </w:p>
        </w:tc>
        <w:tc>
          <w:tcPr>
            <w:tcW w:w="3402" w:type="dxa"/>
            <w:vAlign w:val="center"/>
          </w:tcPr>
          <w:p w14:paraId="25A70254">
            <w:pPr>
              <w:pStyle w:val="107"/>
              <w:spacing w:line="360" w:lineRule="auto"/>
              <w:ind w:firstLine="200"/>
              <w:jc w:val="center"/>
              <w:rPr>
                <w:rFonts w:hint="eastAsia" w:ascii="仿宋" w:hAnsi="仿宋" w:eastAsia="仿宋" w:cs="仿宋"/>
                <w:sz w:val="24"/>
                <w:szCs w:val="24"/>
              </w:rPr>
            </w:pPr>
          </w:p>
        </w:tc>
        <w:tc>
          <w:tcPr>
            <w:tcW w:w="2552" w:type="dxa"/>
            <w:vAlign w:val="center"/>
          </w:tcPr>
          <w:p w14:paraId="42BF503C">
            <w:pPr>
              <w:pStyle w:val="107"/>
              <w:spacing w:line="360" w:lineRule="auto"/>
              <w:ind w:firstLine="200"/>
              <w:jc w:val="center"/>
              <w:rPr>
                <w:rFonts w:hint="eastAsia" w:ascii="仿宋" w:hAnsi="仿宋" w:eastAsia="仿宋" w:cs="仿宋"/>
                <w:sz w:val="24"/>
                <w:szCs w:val="24"/>
              </w:rPr>
            </w:pPr>
          </w:p>
        </w:tc>
      </w:tr>
      <w:tr w14:paraId="7EA7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B94EEF">
            <w:pPr>
              <w:pStyle w:val="107"/>
              <w:spacing w:line="360" w:lineRule="auto"/>
              <w:ind w:firstLine="200"/>
              <w:jc w:val="center"/>
              <w:rPr>
                <w:rFonts w:hint="eastAsia" w:ascii="仿宋" w:hAnsi="仿宋" w:eastAsia="仿宋" w:cs="仿宋"/>
                <w:sz w:val="24"/>
                <w:szCs w:val="24"/>
              </w:rPr>
            </w:pPr>
          </w:p>
        </w:tc>
        <w:tc>
          <w:tcPr>
            <w:tcW w:w="3402" w:type="dxa"/>
            <w:vAlign w:val="center"/>
          </w:tcPr>
          <w:p w14:paraId="07536705">
            <w:pPr>
              <w:pStyle w:val="107"/>
              <w:spacing w:line="360" w:lineRule="auto"/>
              <w:ind w:firstLine="200"/>
              <w:jc w:val="center"/>
              <w:rPr>
                <w:rFonts w:hint="eastAsia" w:ascii="仿宋" w:hAnsi="仿宋" w:eastAsia="仿宋" w:cs="仿宋"/>
                <w:sz w:val="24"/>
                <w:szCs w:val="24"/>
              </w:rPr>
            </w:pPr>
          </w:p>
        </w:tc>
        <w:tc>
          <w:tcPr>
            <w:tcW w:w="2552" w:type="dxa"/>
            <w:vAlign w:val="center"/>
          </w:tcPr>
          <w:p w14:paraId="4240FD6B">
            <w:pPr>
              <w:pStyle w:val="107"/>
              <w:spacing w:line="360" w:lineRule="auto"/>
              <w:ind w:firstLine="200"/>
              <w:jc w:val="center"/>
              <w:rPr>
                <w:rFonts w:hint="eastAsia" w:ascii="仿宋" w:hAnsi="仿宋" w:eastAsia="仿宋" w:cs="仿宋"/>
                <w:sz w:val="24"/>
                <w:szCs w:val="24"/>
              </w:rPr>
            </w:pPr>
          </w:p>
        </w:tc>
      </w:tr>
      <w:tr w14:paraId="7B2F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F07D05">
            <w:pPr>
              <w:pStyle w:val="107"/>
              <w:spacing w:line="360" w:lineRule="auto"/>
              <w:ind w:firstLine="200"/>
              <w:jc w:val="center"/>
              <w:rPr>
                <w:rFonts w:hint="eastAsia" w:ascii="仿宋" w:hAnsi="仿宋" w:eastAsia="仿宋" w:cs="仿宋"/>
                <w:sz w:val="24"/>
                <w:szCs w:val="24"/>
              </w:rPr>
            </w:pPr>
          </w:p>
        </w:tc>
        <w:tc>
          <w:tcPr>
            <w:tcW w:w="3402" w:type="dxa"/>
            <w:vAlign w:val="center"/>
          </w:tcPr>
          <w:p w14:paraId="08AEDC1F">
            <w:pPr>
              <w:pStyle w:val="107"/>
              <w:spacing w:line="360" w:lineRule="auto"/>
              <w:ind w:firstLine="200"/>
              <w:jc w:val="center"/>
              <w:rPr>
                <w:rFonts w:hint="eastAsia" w:ascii="仿宋" w:hAnsi="仿宋" w:eastAsia="仿宋" w:cs="仿宋"/>
                <w:sz w:val="24"/>
                <w:szCs w:val="24"/>
              </w:rPr>
            </w:pPr>
          </w:p>
        </w:tc>
        <w:tc>
          <w:tcPr>
            <w:tcW w:w="2552" w:type="dxa"/>
            <w:vAlign w:val="center"/>
          </w:tcPr>
          <w:p w14:paraId="142E7897">
            <w:pPr>
              <w:pStyle w:val="107"/>
              <w:spacing w:line="360" w:lineRule="auto"/>
              <w:ind w:firstLine="200"/>
              <w:jc w:val="center"/>
              <w:rPr>
                <w:rFonts w:hint="eastAsia" w:ascii="仿宋" w:hAnsi="仿宋" w:eastAsia="仿宋" w:cs="仿宋"/>
                <w:sz w:val="24"/>
                <w:szCs w:val="24"/>
              </w:rPr>
            </w:pPr>
          </w:p>
        </w:tc>
      </w:tr>
      <w:tr w14:paraId="4594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58E57A">
            <w:pPr>
              <w:pStyle w:val="107"/>
              <w:spacing w:line="360" w:lineRule="auto"/>
              <w:ind w:firstLine="200"/>
              <w:jc w:val="center"/>
              <w:rPr>
                <w:rFonts w:hint="eastAsia" w:ascii="仿宋" w:hAnsi="仿宋" w:eastAsia="仿宋" w:cs="仿宋"/>
                <w:sz w:val="24"/>
                <w:szCs w:val="24"/>
              </w:rPr>
            </w:pPr>
          </w:p>
        </w:tc>
        <w:tc>
          <w:tcPr>
            <w:tcW w:w="3402" w:type="dxa"/>
            <w:vAlign w:val="center"/>
          </w:tcPr>
          <w:p w14:paraId="53F3CA9A">
            <w:pPr>
              <w:pStyle w:val="107"/>
              <w:spacing w:line="360" w:lineRule="auto"/>
              <w:ind w:firstLine="200"/>
              <w:jc w:val="center"/>
              <w:rPr>
                <w:rFonts w:hint="eastAsia" w:ascii="仿宋" w:hAnsi="仿宋" w:eastAsia="仿宋" w:cs="仿宋"/>
                <w:sz w:val="24"/>
                <w:szCs w:val="24"/>
              </w:rPr>
            </w:pPr>
          </w:p>
        </w:tc>
        <w:tc>
          <w:tcPr>
            <w:tcW w:w="2552" w:type="dxa"/>
            <w:vAlign w:val="center"/>
          </w:tcPr>
          <w:p w14:paraId="0476A804">
            <w:pPr>
              <w:pStyle w:val="107"/>
              <w:spacing w:line="360" w:lineRule="auto"/>
              <w:ind w:firstLine="200"/>
              <w:jc w:val="center"/>
              <w:rPr>
                <w:rFonts w:hint="eastAsia" w:ascii="仿宋" w:hAnsi="仿宋" w:eastAsia="仿宋" w:cs="仿宋"/>
                <w:sz w:val="24"/>
                <w:szCs w:val="24"/>
              </w:rPr>
            </w:pPr>
          </w:p>
        </w:tc>
      </w:tr>
      <w:tr w14:paraId="637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969B01">
            <w:pPr>
              <w:pStyle w:val="107"/>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46C7D1EA">
            <w:pPr>
              <w:pStyle w:val="107"/>
              <w:spacing w:line="360" w:lineRule="auto"/>
              <w:ind w:firstLine="200"/>
              <w:jc w:val="center"/>
              <w:rPr>
                <w:rFonts w:hint="eastAsia" w:ascii="仿宋" w:hAnsi="仿宋" w:eastAsia="仿宋" w:cs="仿宋"/>
                <w:sz w:val="24"/>
                <w:szCs w:val="24"/>
              </w:rPr>
            </w:pPr>
          </w:p>
        </w:tc>
      </w:tr>
    </w:tbl>
    <w:p w14:paraId="7856E60C">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4B4392B">
      <w:pPr>
        <w:pStyle w:val="6"/>
        <w:rPr>
          <w:rFonts w:hint="eastAsia" w:ascii="仿宋" w:eastAsia="仿宋" w:cs="仿宋"/>
          <w:sz w:val="24"/>
          <w:szCs w:val="24"/>
          <w:lang w:val="en-US"/>
        </w:rPr>
      </w:pPr>
      <w:r>
        <w:rPr>
          <w:rFonts w:hint="eastAsia" w:ascii="仿宋" w:hAnsi="仿宋" w:eastAsia="仿宋" w:cs="仿宋"/>
          <w:sz w:val="24"/>
          <w:szCs w:val="24"/>
          <w:lang w:val="en-US"/>
        </w:rPr>
        <w:t xml:space="preserve">    </w:t>
      </w:r>
      <w:r>
        <w:rPr>
          <w:rFonts w:hint="eastAsia" w:ascii="仿宋" w:hAnsi="仿宋" w:eastAsia="仿宋" w:cs="仿宋"/>
          <w:b w:val="0"/>
          <w:bCs w:val="0"/>
          <w:sz w:val="24"/>
          <w:szCs w:val="24"/>
          <w:lang w:val="en-US"/>
        </w:rPr>
        <w:t>1.3.3其他计价方式：</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rPr>
        <w:t>。</w:t>
      </w:r>
    </w:p>
    <w:p w14:paraId="2FA92DC7">
      <w:pPr>
        <w:pStyle w:val="618"/>
        <w:spacing w:before="0" w:beforeAutospacing="0" w:after="0" w:afterAutospacing="0" w:line="360" w:lineRule="auto"/>
        <w:ind w:firstLine="480"/>
        <w:rPr>
          <w:rFonts w:hint="eastAsia" w:ascii="仿宋" w:hAnsi="仿宋" w:eastAsia="仿宋" w:cs="仿宋"/>
          <w:b/>
        </w:rPr>
      </w:pPr>
      <w:bookmarkStart w:id="396" w:name="_Toc10340"/>
      <w:bookmarkStart w:id="397" w:name="_Toc22618"/>
      <w:bookmarkStart w:id="398" w:name="_Toc1814"/>
      <w:r>
        <w:rPr>
          <w:rFonts w:hint="eastAsia" w:ascii="仿宋" w:hAnsi="仿宋" w:eastAsia="仿宋" w:cs="仿宋"/>
          <w:b/>
        </w:rPr>
        <w:t>1.4履约保证金</w:t>
      </w:r>
    </w:p>
    <w:p w14:paraId="4318B5BF">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乙方需要支付履约保证金。若需要支付履约保证金的，则：</w:t>
      </w:r>
    </w:p>
    <w:p w14:paraId="188B0842">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3FA7208">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E6B8377">
      <w:pPr>
        <w:pStyle w:val="6"/>
        <w:tabs>
          <w:tab w:val="left" w:pos="0"/>
        </w:tabs>
        <w:ind w:left="0" w:firstLine="480" w:firstLineChars="200"/>
        <w:rPr>
          <w:rFonts w:hint="eastAsia" w:asci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896480">
      <w:pPr>
        <w:spacing w:line="360" w:lineRule="auto"/>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17B3BBB4">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396"/>
      <w:bookmarkEnd w:id="397"/>
      <w:bookmarkEnd w:id="398"/>
      <w:r>
        <w:rPr>
          <w:rFonts w:hint="eastAsia" w:ascii="仿宋" w:hAnsi="仿宋" w:eastAsia="仿宋" w:cs="仿宋"/>
          <w:b/>
          <w:sz w:val="24"/>
        </w:rPr>
        <w:t>预付款</w:t>
      </w:r>
    </w:p>
    <w:p w14:paraId="72A85898">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不 </w:t>
      </w:r>
      <w:r>
        <w:rPr>
          <w:rFonts w:hint="eastAsia" w:ascii="仿宋" w:hAnsi="仿宋" w:eastAsia="仿宋" w:cs="仿宋"/>
        </w:rPr>
        <w:t>（是/否）需要支付预付款。若需要支付预付款的，则：</w:t>
      </w:r>
    </w:p>
    <w:p w14:paraId="7392AB3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D9BC686">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E4284AD">
      <w:pPr>
        <w:pStyle w:val="618"/>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38E8F05F">
      <w:pPr>
        <w:pStyle w:val="618"/>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1B305AA2">
      <w:pPr>
        <w:pStyle w:val="618"/>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4406D4FE">
      <w:pPr>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BD4839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p>
    <w:p w14:paraId="7BD4F35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030B9E8C">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79B684DD">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407D5C8A">
      <w:pPr>
        <w:spacing w:line="360" w:lineRule="auto"/>
        <w:ind w:firstLine="480" w:firstLineChars="200"/>
        <w:outlineLvl w:val="0"/>
        <w:rPr>
          <w:rFonts w:hint="eastAsia" w:ascii="仿宋" w:hAnsi="仿宋" w:eastAsia="仿宋" w:cs="仿宋"/>
          <w:bCs/>
          <w:sz w:val="24"/>
        </w:rPr>
      </w:pPr>
      <w:r>
        <w:rPr>
          <w:rFonts w:hint="eastAsia" w:ascii="仿宋" w:hAnsi="仿宋" w:eastAsia="仿宋" w:cs="仿宋"/>
          <w:bCs/>
          <w:sz w:val="24"/>
        </w:rPr>
        <w:t>1.7.4若服务涉及货物的，则货物的：</w:t>
      </w:r>
    </w:p>
    <w:p w14:paraId="1B60603B">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6F5492BC">
      <w:pPr>
        <w:spacing w:line="360" w:lineRule="auto"/>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BC9C2CA">
      <w:pPr>
        <w:spacing w:line="360" w:lineRule="auto"/>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3A5074F1">
      <w:pPr>
        <w:spacing w:line="360" w:lineRule="auto"/>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p>
    <w:p w14:paraId="3310747E">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08DF922E">
      <w:pPr>
        <w:pStyle w:val="6"/>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7EECDF6">
      <w:pPr>
        <w:spacing w:line="360" w:lineRule="auto"/>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38F7F6BA">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141DAB">
      <w:pPr>
        <w:spacing w:line="360" w:lineRule="auto"/>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07C566C">
      <w:pPr>
        <w:spacing w:line="360" w:lineRule="auto"/>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1.8.6如果出现政府采购监督管理部门在处理投诉事项期间，书面通知甲方暂停采购活动的情形，或者询问或质疑事项可能影响中标结果的，导致甲方中止履行合同的情形，均不视为甲方违约。</w:t>
      </w:r>
    </w:p>
    <w:p w14:paraId="3F6C750A">
      <w:pPr>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3D20A45">
      <w:pPr>
        <w:spacing w:line="360" w:lineRule="auto"/>
        <w:ind w:firstLine="482" w:firstLineChars="200"/>
        <w:outlineLvl w:val="0"/>
        <w:rPr>
          <w:rFonts w:hint="eastAsia" w:ascii="仿宋" w:hAnsi="仿宋" w:eastAsia="仿宋" w:cs="仿宋"/>
          <w:b/>
          <w:sz w:val="24"/>
        </w:rPr>
      </w:pPr>
      <w:bookmarkStart w:id="399" w:name="_Toc15583"/>
      <w:bookmarkStart w:id="400" w:name="_Toc28375"/>
      <w:bookmarkStart w:id="401" w:name="_Toc16021"/>
      <w:r>
        <w:rPr>
          <w:rFonts w:hint="eastAsia" w:ascii="仿宋" w:hAnsi="仿宋" w:eastAsia="仿宋" w:cs="仿宋"/>
          <w:b/>
          <w:sz w:val="24"/>
        </w:rPr>
        <w:t>1.9合同争议的解决</w:t>
      </w:r>
      <w:bookmarkEnd w:id="399"/>
      <w:bookmarkEnd w:id="400"/>
      <w:bookmarkEnd w:id="401"/>
    </w:p>
    <w:p w14:paraId="74E1D997">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1.9.1  </w:t>
      </w:r>
      <w:r>
        <w:rPr>
          <w:rFonts w:hint="eastAsia" w:ascii="仿宋" w:hAnsi="仿宋" w:eastAsia="仿宋" w:cs="仿宋"/>
          <w:sz w:val="24"/>
        </w:rPr>
        <w:t>条款规定的方式解决：</w:t>
      </w:r>
    </w:p>
    <w:p w14:paraId="520AC52E">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6720FACC">
      <w:pPr>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6528736">
      <w:pPr>
        <w:spacing w:line="360" w:lineRule="auto"/>
        <w:ind w:firstLine="482" w:firstLineChars="200"/>
        <w:outlineLvl w:val="0"/>
        <w:rPr>
          <w:rFonts w:hint="eastAsia" w:ascii="仿宋" w:hAnsi="仿宋" w:eastAsia="仿宋" w:cs="仿宋"/>
          <w:b/>
          <w:sz w:val="24"/>
        </w:rPr>
      </w:pPr>
      <w:bookmarkStart w:id="402" w:name="_Toc7245"/>
      <w:bookmarkStart w:id="403" w:name="_Toc15322"/>
      <w:bookmarkStart w:id="404" w:name="_Toc11173"/>
      <w:r>
        <w:rPr>
          <w:rFonts w:hint="eastAsia" w:ascii="仿宋" w:hAnsi="仿宋" w:eastAsia="仿宋" w:cs="仿宋"/>
          <w:b/>
          <w:sz w:val="24"/>
        </w:rPr>
        <w:t>2.0 合同生效</w:t>
      </w:r>
      <w:bookmarkEnd w:id="402"/>
      <w:bookmarkEnd w:id="403"/>
      <w:bookmarkEnd w:id="404"/>
    </w:p>
    <w:p w14:paraId="6665370D">
      <w:pPr>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63BCD642">
      <w:pPr>
        <w:autoSpaceDE w:val="0"/>
        <w:autoSpaceDN w:val="0"/>
        <w:spacing w:line="360" w:lineRule="auto"/>
        <w:rPr>
          <w:rFonts w:hint="eastAsia" w:ascii="仿宋" w:hAnsi="仿宋" w:eastAsia="仿宋" w:cs="仿宋"/>
          <w:sz w:val="24"/>
          <w:lang w:val="zh-CN"/>
        </w:rPr>
      </w:pPr>
    </w:p>
    <w:p w14:paraId="738D64A3">
      <w:pPr>
        <w:autoSpaceDE/>
        <w:autoSpaceDN/>
        <w:spacing w:line="240" w:lineRule="auto"/>
        <w:rPr>
          <w:rFonts w:hint="eastAsia" w:ascii="仿宋" w:hAnsi="仿宋" w:eastAsia="仿宋" w:cs="仿宋"/>
          <w:b/>
          <w:sz w:val="24"/>
          <w:lang w:val="zh-CN"/>
        </w:rPr>
      </w:pPr>
      <w:r>
        <w:rPr>
          <w:rFonts w:hint="eastAsia" w:ascii="仿宋" w:hAnsi="仿宋" w:eastAsia="仿宋" w:cs="仿宋"/>
          <w:b/>
          <w:sz w:val="24"/>
          <w:lang w:val="zh-CN"/>
        </w:rPr>
        <w:br w:type="page"/>
      </w:r>
    </w:p>
    <w:p w14:paraId="18802476">
      <w:pPr>
        <w:autoSpaceDE w:val="0"/>
        <w:autoSpaceDN w:val="0"/>
        <w:spacing w:line="360" w:lineRule="auto"/>
        <w:rPr>
          <w:rFonts w:hint="eastAsia" w:ascii="仿宋" w:hAnsi="仿宋" w:eastAsia="仿宋" w:cs="仿宋"/>
          <w:b/>
          <w:sz w:val="24"/>
          <w:lang w:val="zh-CN"/>
        </w:rPr>
      </w:pPr>
      <w:r>
        <w:rPr>
          <w:rFonts w:hint="eastAsia" w:ascii="仿宋" w:hAnsi="仿宋" w:eastAsia="仿宋" w:cs="仿宋"/>
          <w:b/>
          <w:sz w:val="24"/>
          <w:lang w:val="zh-CN"/>
        </w:rPr>
        <w:t>（</w:t>
      </w:r>
      <w:r>
        <w:rPr>
          <w:rFonts w:hint="eastAsia" w:ascii="仿宋" w:hAnsi="仿宋" w:eastAsia="仿宋" w:cs="仿宋"/>
          <w:b/>
          <w:sz w:val="24"/>
          <w:lang w:val="en-US" w:eastAsia="zh-CN"/>
        </w:rPr>
        <w:t>此页无正文，为签署页</w:t>
      </w:r>
      <w:r>
        <w:rPr>
          <w:rFonts w:hint="eastAsia" w:ascii="仿宋" w:hAnsi="仿宋" w:eastAsia="仿宋" w:cs="仿宋"/>
          <w:b/>
          <w:sz w:val="24"/>
          <w:lang w:val="zh-CN"/>
        </w:rPr>
        <w:t>）</w:t>
      </w:r>
    </w:p>
    <w:p w14:paraId="7B9BD506">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8509AF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30EECDE">
      <w:pPr>
        <w:autoSpaceDE w:val="0"/>
        <w:autoSpaceDN w:val="0"/>
        <w:spacing w:line="360" w:lineRule="auto"/>
        <w:rPr>
          <w:rFonts w:hint="eastAsia" w:ascii="仿宋" w:hAnsi="仿宋" w:eastAsia="仿宋" w:cs="仿宋"/>
          <w:sz w:val="24"/>
          <w:lang w:val="zh-CN"/>
        </w:rPr>
      </w:pPr>
    </w:p>
    <w:p w14:paraId="352FA13D">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4FCC061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C0338AF">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419716D2">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733FD561">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4FF2EC7E">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0E216183">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256DE590">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51D9C808">
      <w:pPr>
        <w:autoSpaceDE w:val="0"/>
        <w:autoSpaceDN w:val="0"/>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14:paraId="53EEEA22">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14:paraId="6FF1441A">
      <w:pPr>
        <w:autoSpaceDE w:val="0"/>
        <w:autoSpaceDN w:val="0"/>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14:paraId="675B2557">
      <w:pPr>
        <w:autoSpaceDE w:val="0"/>
        <w:autoSpaceDN w:val="0"/>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2E5BA65">
      <w:pPr>
        <w:widowControl/>
        <w:spacing w:line="360" w:lineRule="auto"/>
        <w:jc w:val="left"/>
        <w:rPr>
          <w:rFonts w:hint="eastAsia" w:ascii="仿宋" w:hAnsi="仿宋" w:eastAsia="仿宋" w:cs="仿宋"/>
          <w:b/>
          <w:sz w:val="24"/>
        </w:rPr>
      </w:pPr>
    </w:p>
    <w:p w14:paraId="5EE058E1">
      <w:pPr>
        <w:widowControl/>
        <w:adjustRightInd/>
        <w:spacing w:line="360" w:lineRule="auto"/>
        <w:jc w:val="left"/>
        <w:rPr>
          <w:rFonts w:hint="eastAsia" w:ascii="仿宋" w:hAnsi="仿宋" w:eastAsia="仿宋" w:cs="仿宋"/>
          <w:b/>
          <w:sz w:val="24"/>
        </w:rPr>
      </w:pPr>
      <w:r>
        <w:rPr>
          <w:rFonts w:hint="eastAsia" w:ascii="仿宋" w:hAnsi="仿宋" w:eastAsia="仿宋" w:cs="仿宋"/>
          <w:b/>
          <w:sz w:val="24"/>
        </w:rPr>
        <w:br w:type="page"/>
      </w:r>
    </w:p>
    <w:p w14:paraId="34202567">
      <w:pPr>
        <w:pStyle w:val="387"/>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6AF3A5D3">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 定义</w:t>
      </w:r>
    </w:p>
    <w:p w14:paraId="59BD9DD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07C15B6F">
      <w:pPr>
        <w:spacing w:line="360" w:lineRule="auto"/>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09941994">
      <w:pPr>
        <w:spacing w:line="360" w:lineRule="auto"/>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7A5251AD">
      <w:pPr>
        <w:spacing w:line="360" w:lineRule="auto"/>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1B14079F">
      <w:pPr>
        <w:spacing w:line="360" w:lineRule="auto"/>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14:paraId="0327C336">
      <w:pPr>
        <w:spacing w:line="360" w:lineRule="auto"/>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E6F6B2">
      <w:pPr>
        <w:spacing w:line="360" w:lineRule="auto"/>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315343B7">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2.2 技术规范</w:t>
      </w:r>
    </w:p>
    <w:p w14:paraId="546C3588">
      <w:pPr>
        <w:spacing w:line="360" w:lineRule="auto"/>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8F6FB48">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2.3 知识产权</w:t>
      </w:r>
    </w:p>
    <w:p w14:paraId="18D857B1">
      <w:pPr>
        <w:spacing w:line="360" w:lineRule="auto"/>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091602E">
      <w:pPr>
        <w:spacing w:line="360" w:lineRule="auto"/>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167EC2B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672FAED2">
      <w:pPr>
        <w:spacing w:line="360" w:lineRule="auto"/>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3CF76E">
      <w:pPr>
        <w:spacing w:line="360" w:lineRule="auto"/>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5519BB0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2.5 结算方式和付款条件</w:t>
      </w:r>
    </w:p>
    <w:p w14:paraId="61B3A6B7">
      <w:pPr>
        <w:spacing w:line="360" w:lineRule="auto"/>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3CD2FE2">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2.6 技术资料和保密义务</w:t>
      </w:r>
    </w:p>
    <w:p w14:paraId="7666751A">
      <w:pPr>
        <w:spacing w:line="360" w:lineRule="auto"/>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21541CCB">
      <w:pPr>
        <w:spacing w:line="360" w:lineRule="auto"/>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16406F22">
      <w:pPr>
        <w:spacing w:line="360" w:lineRule="auto"/>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3E61CD">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2.7 质量保证</w:t>
      </w:r>
    </w:p>
    <w:p w14:paraId="615BDDC8">
      <w:pPr>
        <w:spacing w:line="360" w:lineRule="auto"/>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F6A8AC6">
      <w:pPr>
        <w:spacing w:line="360" w:lineRule="auto"/>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315D4E8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2.8 延迟履行</w:t>
      </w:r>
    </w:p>
    <w:p w14:paraId="71A31490">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E5D03A6">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2.9 合同变更</w:t>
      </w:r>
    </w:p>
    <w:p w14:paraId="6D0E4AF0">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379E1BD7">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2.10 合同转让和分包</w:t>
      </w:r>
    </w:p>
    <w:p w14:paraId="6080F71A">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w:t>
      </w:r>
      <w:r>
        <w:rPr>
          <w:rFonts w:hint="eastAsia" w:ascii="仿宋" w:hAnsi="仿宋" w:eastAsia="仿宋" w:cs="仿宋"/>
          <w:sz w:val="24"/>
          <w:lang w:val="en-US" w:eastAsia="zh-CN"/>
        </w:rPr>
        <w:t>书面</w:t>
      </w:r>
      <w:r>
        <w:rPr>
          <w:rFonts w:hint="eastAsia" w:ascii="仿宋" w:hAnsi="仿宋" w:eastAsia="仿宋" w:cs="仿宋"/>
          <w:sz w:val="24"/>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EC821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2.11 不可抗力</w:t>
      </w:r>
    </w:p>
    <w:p w14:paraId="016F913F">
      <w:pPr>
        <w:spacing w:line="360" w:lineRule="auto"/>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62D5DA65">
      <w:pPr>
        <w:spacing w:line="360" w:lineRule="auto"/>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D81A0F2">
      <w:pPr>
        <w:spacing w:line="360" w:lineRule="auto"/>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A99CFB7">
      <w:pPr>
        <w:spacing w:line="360" w:lineRule="auto"/>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0C58CC3">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2.12 税费</w:t>
      </w:r>
    </w:p>
    <w:p w14:paraId="28E49E38">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502C5B4D">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2.13 乙方破产</w:t>
      </w:r>
    </w:p>
    <w:p w14:paraId="38F0D352">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810832">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2.14 合同中止、终止</w:t>
      </w:r>
    </w:p>
    <w:p w14:paraId="1A12B6A1">
      <w:pPr>
        <w:spacing w:line="360" w:lineRule="auto"/>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2C9F2E38">
      <w:pPr>
        <w:spacing w:line="360" w:lineRule="auto"/>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59A65F3">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2.15 检验和验收</w:t>
      </w:r>
    </w:p>
    <w:p w14:paraId="3467F24F">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61061EBC">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91FCE8D">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6484FA7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2.16 通知和送达</w:t>
      </w:r>
    </w:p>
    <w:p w14:paraId="7F625D8E">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61B610E5">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2393AADA">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2.17 合同使用的文字和适用的法律</w:t>
      </w:r>
    </w:p>
    <w:p w14:paraId="5EE645A9">
      <w:pPr>
        <w:spacing w:line="360" w:lineRule="auto"/>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3ADC6DCA">
      <w:pPr>
        <w:spacing w:line="360" w:lineRule="auto"/>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0A776151">
      <w:pPr>
        <w:spacing w:line="360" w:lineRule="auto"/>
        <w:ind w:firstLine="482" w:firstLineChars="200"/>
        <w:outlineLvl w:val="0"/>
        <w:rPr>
          <w:rFonts w:hint="eastAsia" w:ascii="仿宋" w:hAnsi="仿宋" w:eastAsia="仿宋" w:cs="仿宋"/>
          <w:b/>
          <w:sz w:val="24"/>
        </w:rPr>
      </w:pPr>
      <w:bookmarkStart w:id="405" w:name="_Toc18540"/>
      <w:bookmarkStart w:id="406" w:name="_Toc30599"/>
      <w:bookmarkStart w:id="407" w:name="_Toc4355"/>
      <w:r>
        <w:rPr>
          <w:rFonts w:hint="eastAsia" w:ascii="仿宋" w:hAnsi="仿宋" w:eastAsia="仿宋" w:cs="仿宋"/>
          <w:b/>
          <w:sz w:val="24"/>
        </w:rPr>
        <w:t>2.18 计量单位</w:t>
      </w:r>
      <w:bookmarkEnd w:id="405"/>
      <w:bookmarkEnd w:id="406"/>
      <w:bookmarkEnd w:id="407"/>
    </w:p>
    <w:p w14:paraId="033F9AB5">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3766F5A4">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23389963">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6DFBCAF4">
      <w:pPr>
        <w:spacing w:line="360" w:lineRule="auto"/>
        <w:jc w:val="center"/>
        <w:outlineLvl w:val="0"/>
        <w:rPr>
          <w:rFonts w:hint="eastAsia" w:ascii="仿宋" w:hAnsi="仿宋" w:eastAsia="仿宋" w:cs="仿宋"/>
          <w:b/>
          <w:sz w:val="24"/>
        </w:rPr>
      </w:pPr>
      <w:r>
        <w:rPr>
          <w:rFonts w:hint="eastAsia" w:ascii="仿宋" w:hAnsi="仿宋" w:eastAsia="仿宋" w:cs="仿宋"/>
          <w:kern w:val="0"/>
          <w:sz w:val="24"/>
        </w:rPr>
        <w:br w:type="page"/>
      </w:r>
      <w:r>
        <w:rPr>
          <w:rFonts w:hint="eastAsia" w:ascii="仿宋" w:hAnsi="仿宋" w:eastAsia="仿宋" w:cs="仿宋"/>
          <w:b/>
          <w:sz w:val="24"/>
        </w:rPr>
        <w:t xml:space="preserve"> 第三部分  合同专用条款</w:t>
      </w:r>
    </w:p>
    <w:p w14:paraId="4CD6AF82">
      <w:pPr>
        <w:spacing w:line="360" w:lineRule="auto"/>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30194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058E968F">
            <w:pPr>
              <w:spacing w:line="360" w:lineRule="auto"/>
              <w:jc w:val="center"/>
              <w:rPr>
                <w:rFonts w:ascii="仿宋" w:hAnsi="仿宋" w:eastAsia="仿宋" w:cs="宋体"/>
                <w:bCs/>
                <w:sz w:val="24"/>
              </w:rPr>
            </w:pPr>
            <w:r>
              <w:rPr>
                <w:rFonts w:hint="eastAsia" w:ascii="仿宋" w:hAnsi="仿宋" w:eastAsia="仿宋" w:cs="宋体"/>
                <w:bCs/>
                <w:sz w:val="24"/>
              </w:rPr>
              <w:t>条款号</w:t>
            </w:r>
          </w:p>
        </w:tc>
        <w:tc>
          <w:tcPr>
            <w:tcW w:w="7558" w:type="dxa"/>
            <w:vAlign w:val="center"/>
          </w:tcPr>
          <w:p w14:paraId="6BE7F5CE">
            <w:pPr>
              <w:spacing w:line="360" w:lineRule="auto"/>
              <w:jc w:val="center"/>
              <w:rPr>
                <w:rFonts w:ascii="仿宋" w:hAnsi="仿宋" w:eastAsia="仿宋" w:cs="宋体"/>
                <w:bCs/>
                <w:sz w:val="24"/>
              </w:rPr>
            </w:pPr>
            <w:r>
              <w:rPr>
                <w:rFonts w:hint="eastAsia" w:ascii="仿宋" w:hAnsi="仿宋" w:eastAsia="仿宋" w:cs="宋体"/>
                <w:bCs/>
                <w:sz w:val="24"/>
              </w:rPr>
              <w:t>约定内容</w:t>
            </w:r>
          </w:p>
        </w:tc>
      </w:tr>
      <w:tr w14:paraId="0D5F6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58287EA">
            <w:pPr>
              <w:spacing w:line="360" w:lineRule="auto"/>
              <w:rPr>
                <w:rFonts w:ascii="仿宋" w:hAnsi="仿宋" w:eastAsia="仿宋" w:cs="宋体"/>
                <w:bCs/>
                <w:sz w:val="24"/>
              </w:rPr>
            </w:pPr>
            <w:r>
              <w:rPr>
                <w:rFonts w:hint="eastAsia" w:ascii="仿宋" w:hAnsi="仿宋" w:eastAsia="仿宋" w:cs="宋体"/>
                <w:bCs/>
                <w:sz w:val="24"/>
              </w:rPr>
              <w:t>1.4.4</w:t>
            </w:r>
          </w:p>
        </w:tc>
        <w:tc>
          <w:tcPr>
            <w:tcW w:w="7558" w:type="dxa"/>
            <w:vAlign w:val="center"/>
          </w:tcPr>
          <w:p w14:paraId="49AA357E">
            <w:pPr>
              <w:spacing w:line="360" w:lineRule="auto"/>
              <w:rPr>
                <w:rFonts w:ascii="仿宋" w:hAnsi="仿宋" w:eastAsia="仿宋" w:cs="宋体"/>
                <w:bCs/>
                <w:sz w:val="24"/>
              </w:rPr>
            </w:pPr>
          </w:p>
        </w:tc>
      </w:tr>
      <w:tr w14:paraId="6CF0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10549FE">
            <w:pPr>
              <w:spacing w:line="360" w:lineRule="auto"/>
              <w:rPr>
                <w:rFonts w:ascii="仿宋" w:hAnsi="仿宋" w:eastAsia="仿宋" w:cs="宋体"/>
                <w:bCs/>
                <w:sz w:val="24"/>
              </w:rPr>
            </w:pPr>
            <w:r>
              <w:rPr>
                <w:rFonts w:hint="eastAsia" w:ascii="仿宋" w:hAnsi="仿宋" w:eastAsia="仿宋" w:cs="宋体"/>
                <w:bCs/>
                <w:sz w:val="24"/>
              </w:rPr>
              <w:t xml:space="preserve">1.5.1 </w:t>
            </w:r>
          </w:p>
        </w:tc>
        <w:tc>
          <w:tcPr>
            <w:tcW w:w="7558" w:type="dxa"/>
            <w:vAlign w:val="center"/>
          </w:tcPr>
          <w:p w14:paraId="5C35074F">
            <w:pPr>
              <w:spacing w:line="360" w:lineRule="auto"/>
              <w:rPr>
                <w:rFonts w:ascii="仿宋" w:hAnsi="仿宋" w:eastAsia="仿宋" w:cs="宋体"/>
                <w:bCs/>
                <w:sz w:val="24"/>
              </w:rPr>
            </w:pPr>
          </w:p>
        </w:tc>
      </w:tr>
      <w:tr w14:paraId="0B10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9A6A7DC">
            <w:pPr>
              <w:spacing w:line="360" w:lineRule="auto"/>
              <w:rPr>
                <w:rFonts w:ascii="仿宋" w:hAnsi="仿宋" w:eastAsia="仿宋" w:cs="宋体"/>
                <w:bCs/>
                <w:sz w:val="24"/>
              </w:rPr>
            </w:pPr>
            <w:r>
              <w:rPr>
                <w:rFonts w:hint="eastAsia" w:ascii="仿宋" w:hAnsi="仿宋" w:eastAsia="仿宋" w:cs="宋体"/>
                <w:bCs/>
                <w:sz w:val="24"/>
              </w:rPr>
              <w:t>1.5.2</w:t>
            </w:r>
          </w:p>
        </w:tc>
        <w:tc>
          <w:tcPr>
            <w:tcW w:w="7558" w:type="dxa"/>
            <w:vAlign w:val="center"/>
          </w:tcPr>
          <w:p w14:paraId="0BFE9FDB">
            <w:pPr>
              <w:spacing w:line="360" w:lineRule="auto"/>
              <w:rPr>
                <w:rFonts w:ascii="仿宋" w:hAnsi="仿宋" w:eastAsia="仿宋" w:cs="宋体"/>
                <w:bCs/>
                <w:sz w:val="24"/>
              </w:rPr>
            </w:pPr>
          </w:p>
        </w:tc>
      </w:tr>
      <w:tr w14:paraId="10F74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0CE7853">
            <w:pPr>
              <w:spacing w:line="360" w:lineRule="auto"/>
              <w:rPr>
                <w:rFonts w:ascii="仿宋" w:hAnsi="仿宋" w:eastAsia="仿宋" w:cs="宋体"/>
                <w:bCs/>
                <w:sz w:val="24"/>
              </w:rPr>
            </w:pPr>
            <w:r>
              <w:rPr>
                <w:rFonts w:hint="eastAsia" w:ascii="仿宋" w:hAnsi="仿宋" w:eastAsia="仿宋" w:cs="宋体"/>
                <w:bCs/>
                <w:sz w:val="24"/>
              </w:rPr>
              <w:t xml:space="preserve">1.5.3 </w:t>
            </w:r>
          </w:p>
        </w:tc>
        <w:tc>
          <w:tcPr>
            <w:tcW w:w="7558" w:type="dxa"/>
            <w:vAlign w:val="center"/>
          </w:tcPr>
          <w:p w14:paraId="44836293">
            <w:pPr>
              <w:spacing w:line="360" w:lineRule="auto"/>
              <w:rPr>
                <w:rFonts w:ascii="仿宋" w:hAnsi="仿宋" w:eastAsia="仿宋" w:cs="宋体"/>
                <w:bCs/>
                <w:sz w:val="24"/>
              </w:rPr>
            </w:pPr>
          </w:p>
        </w:tc>
      </w:tr>
      <w:tr w14:paraId="254A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46AD347">
            <w:pPr>
              <w:spacing w:line="360" w:lineRule="auto"/>
              <w:rPr>
                <w:rFonts w:ascii="仿宋" w:hAnsi="仿宋" w:eastAsia="仿宋" w:cs="宋体"/>
                <w:bCs/>
                <w:sz w:val="24"/>
              </w:rPr>
            </w:pPr>
            <w:r>
              <w:rPr>
                <w:rFonts w:hint="eastAsia" w:ascii="仿宋" w:hAnsi="仿宋" w:eastAsia="仿宋" w:cs="宋体"/>
                <w:bCs/>
                <w:sz w:val="24"/>
              </w:rPr>
              <w:t>1.6.7</w:t>
            </w:r>
          </w:p>
        </w:tc>
        <w:tc>
          <w:tcPr>
            <w:tcW w:w="7558" w:type="dxa"/>
            <w:vAlign w:val="center"/>
          </w:tcPr>
          <w:p w14:paraId="679788FC">
            <w:pPr>
              <w:spacing w:line="360" w:lineRule="auto"/>
              <w:rPr>
                <w:rFonts w:ascii="仿宋" w:hAnsi="仿宋" w:eastAsia="仿宋" w:cs="宋体"/>
                <w:bCs/>
                <w:sz w:val="24"/>
              </w:rPr>
            </w:pPr>
          </w:p>
        </w:tc>
      </w:tr>
      <w:tr w14:paraId="632A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F25354B">
            <w:pPr>
              <w:spacing w:line="360" w:lineRule="auto"/>
              <w:rPr>
                <w:rFonts w:ascii="仿宋" w:hAnsi="仿宋" w:eastAsia="仿宋" w:cs="宋体"/>
                <w:bCs/>
                <w:sz w:val="24"/>
              </w:rPr>
            </w:pPr>
            <w:r>
              <w:rPr>
                <w:rFonts w:hint="eastAsia" w:ascii="仿宋" w:hAnsi="仿宋" w:eastAsia="仿宋" w:cs="宋体"/>
                <w:bCs/>
                <w:sz w:val="24"/>
              </w:rPr>
              <w:t>1.7</w:t>
            </w:r>
          </w:p>
        </w:tc>
        <w:tc>
          <w:tcPr>
            <w:tcW w:w="7558" w:type="dxa"/>
            <w:vAlign w:val="center"/>
          </w:tcPr>
          <w:p w14:paraId="0A0D056A">
            <w:pPr>
              <w:spacing w:line="360" w:lineRule="auto"/>
              <w:rPr>
                <w:rFonts w:ascii="仿宋" w:hAnsi="仿宋" w:eastAsia="仿宋" w:cs="宋体"/>
                <w:bCs/>
                <w:sz w:val="24"/>
              </w:rPr>
            </w:pPr>
          </w:p>
        </w:tc>
      </w:tr>
      <w:tr w14:paraId="74D9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6FAA657">
            <w:pPr>
              <w:spacing w:line="360" w:lineRule="auto"/>
              <w:rPr>
                <w:rFonts w:ascii="仿宋" w:hAnsi="仿宋" w:eastAsia="仿宋" w:cs="宋体"/>
                <w:bCs/>
                <w:sz w:val="24"/>
              </w:rPr>
            </w:pPr>
            <w:r>
              <w:rPr>
                <w:rFonts w:hint="eastAsia" w:ascii="仿宋" w:hAnsi="仿宋" w:eastAsia="仿宋" w:cs="宋体"/>
                <w:bCs/>
                <w:sz w:val="24"/>
              </w:rPr>
              <w:t>1.7.1</w:t>
            </w:r>
          </w:p>
        </w:tc>
        <w:tc>
          <w:tcPr>
            <w:tcW w:w="7558" w:type="dxa"/>
            <w:vAlign w:val="center"/>
          </w:tcPr>
          <w:p w14:paraId="68C29AF4">
            <w:pPr>
              <w:spacing w:line="360" w:lineRule="auto"/>
              <w:rPr>
                <w:rFonts w:ascii="仿宋" w:hAnsi="仿宋" w:eastAsia="仿宋" w:cs="宋体"/>
                <w:bCs/>
                <w:sz w:val="24"/>
              </w:rPr>
            </w:pPr>
          </w:p>
        </w:tc>
      </w:tr>
      <w:tr w14:paraId="119C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5CFF112">
            <w:pPr>
              <w:spacing w:line="360" w:lineRule="auto"/>
              <w:rPr>
                <w:rFonts w:ascii="仿宋" w:hAnsi="仿宋" w:eastAsia="仿宋" w:cs="宋体"/>
                <w:bCs/>
                <w:sz w:val="24"/>
              </w:rPr>
            </w:pPr>
            <w:r>
              <w:rPr>
                <w:rFonts w:hint="eastAsia" w:ascii="仿宋" w:hAnsi="仿宋" w:eastAsia="仿宋" w:cs="宋体"/>
                <w:bCs/>
                <w:sz w:val="24"/>
              </w:rPr>
              <w:t>1.7.2</w:t>
            </w:r>
          </w:p>
        </w:tc>
        <w:tc>
          <w:tcPr>
            <w:tcW w:w="7558" w:type="dxa"/>
            <w:vAlign w:val="center"/>
          </w:tcPr>
          <w:p w14:paraId="4510211B">
            <w:pPr>
              <w:spacing w:line="360" w:lineRule="auto"/>
              <w:rPr>
                <w:rFonts w:ascii="仿宋" w:hAnsi="仿宋" w:eastAsia="仿宋" w:cs="宋体"/>
                <w:bCs/>
                <w:sz w:val="24"/>
              </w:rPr>
            </w:pPr>
          </w:p>
        </w:tc>
      </w:tr>
      <w:tr w14:paraId="1F0C6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38E2633">
            <w:pPr>
              <w:spacing w:line="360" w:lineRule="auto"/>
              <w:rPr>
                <w:rFonts w:ascii="仿宋" w:hAnsi="仿宋" w:eastAsia="仿宋" w:cs="宋体"/>
                <w:bCs/>
                <w:sz w:val="24"/>
              </w:rPr>
            </w:pPr>
            <w:r>
              <w:rPr>
                <w:rFonts w:hint="eastAsia" w:ascii="仿宋" w:hAnsi="仿宋" w:eastAsia="仿宋" w:cs="宋体"/>
                <w:bCs/>
                <w:sz w:val="24"/>
              </w:rPr>
              <w:t>2.3.2</w:t>
            </w:r>
          </w:p>
        </w:tc>
        <w:tc>
          <w:tcPr>
            <w:tcW w:w="7558" w:type="dxa"/>
            <w:vAlign w:val="center"/>
          </w:tcPr>
          <w:p w14:paraId="1C59974E">
            <w:pPr>
              <w:spacing w:line="360" w:lineRule="auto"/>
              <w:ind w:left="-420" w:leftChars="-200" w:right="-420" w:rightChars="-200" w:firstLine="480" w:firstLineChars="200"/>
              <w:rPr>
                <w:rFonts w:ascii="仿宋" w:hAnsi="仿宋" w:eastAsia="仿宋" w:cs="宋体"/>
                <w:bCs/>
                <w:sz w:val="24"/>
              </w:rPr>
            </w:pPr>
          </w:p>
        </w:tc>
      </w:tr>
      <w:tr w14:paraId="1ED0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EB249D7">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5</w:t>
            </w:r>
          </w:p>
        </w:tc>
        <w:tc>
          <w:tcPr>
            <w:tcW w:w="7558" w:type="dxa"/>
            <w:vAlign w:val="center"/>
          </w:tcPr>
          <w:p w14:paraId="2A90C2BD">
            <w:pPr>
              <w:spacing w:line="360" w:lineRule="auto"/>
              <w:ind w:left="-420" w:leftChars="-200" w:right="-420" w:rightChars="-200" w:firstLine="480" w:firstLineChars="200"/>
              <w:rPr>
                <w:rFonts w:ascii="仿宋" w:hAnsi="仿宋" w:eastAsia="仿宋" w:cs="宋体"/>
                <w:bCs/>
                <w:sz w:val="24"/>
              </w:rPr>
            </w:pPr>
          </w:p>
        </w:tc>
      </w:tr>
      <w:tr w14:paraId="1D336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3CDB2DC">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0316DE05">
            <w:pPr>
              <w:spacing w:line="360" w:lineRule="auto"/>
              <w:rPr>
                <w:rFonts w:ascii="仿宋" w:hAnsi="仿宋" w:eastAsia="仿宋" w:cs="宋体"/>
                <w:bCs/>
                <w:sz w:val="24"/>
              </w:rPr>
            </w:pPr>
          </w:p>
        </w:tc>
      </w:tr>
      <w:tr w14:paraId="71EC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0540A9B7">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11.4</w:t>
            </w:r>
          </w:p>
        </w:tc>
        <w:tc>
          <w:tcPr>
            <w:tcW w:w="7558" w:type="dxa"/>
          </w:tcPr>
          <w:p w14:paraId="773F5B3F">
            <w:pPr>
              <w:spacing w:line="360" w:lineRule="auto"/>
              <w:rPr>
                <w:rFonts w:ascii="仿宋" w:hAnsi="仿宋" w:eastAsia="仿宋" w:cs="宋体"/>
                <w:bCs/>
                <w:sz w:val="24"/>
              </w:rPr>
            </w:pPr>
          </w:p>
        </w:tc>
      </w:tr>
      <w:tr w14:paraId="0A5E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04877D5">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1</w:t>
            </w:r>
          </w:p>
        </w:tc>
        <w:tc>
          <w:tcPr>
            <w:tcW w:w="7558" w:type="dxa"/>
            <w:vAlign w:val="center"/>
          </w:tcPr>
          <w:p w14:paraId="6E2AE55D">
            <w:pPr>
              <w:spacing w:line="360" w:lineRule="auto"/>
              <w:rPr>
                <w:rFonts w:ascii="仿宋" w:hAnsi="仿宋" w:eastAsia="仿宋" w:cs="宋体"/>
                <w:bCs/>
                <w:sz w:val="24"/>
              </w:rPr>
            </w:pPr>
          </w:p>
        </w:tc>
      </w:tr>
      <w:tr w14:paraId="229DB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3A1E72A">
            <w:pPr>
              <w:spacing w:line="360" w:lineRule="auto"/>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15</w:t>
            </w:r>
            <w:r>
              <w:rPr>
                <w:rFonts w:hint="eastAsia" w:ascii="仿宋" w:hAnsi="仿宋" w:eastAsia="仿宋" w:cs="宋体"/>
                <w:bCs/>
                <w:sz w:val="24"/>
              </w:rPr>
              <w:t>.</w:t>
            </w:r>
            <w:r>
              <w:rPr>
                <w:rFonts w:ascii="仿宋" w:hAnsi="仿宋" w:eastAsia="仿宋" w:cs="宋体"/>
                <w:bCs/>
                <w:sz w:val="24"/>
              </w:rPr>
              <w:t>3</w:t>
            </w:r>
          </w:p>
        </w:tc>
        <w:tc>
          <w:tcPr>
            <w:tcW w:w="7558" w:type="dxa"/>
            <w:vAlign w:val="center"/>
          </w:tcPr>
          <w:p w14:paraId="6D0AE935">
            <w:pPr>
              <w:spacing w:line="360" w:lineRule="auto"/>
              <w:rPr>
                <w:rFonts w:ascii="仿宋" w:hAnsi="仿宋" w:eastAsia="仿宋" w:cs="宋体"/>
                <w:bCs/>
                <w:sz w:val="24"/>
              </w:rPr>
            </w:pPr>
          </w:p>
        </w:tc>
      </w:tr>
      <w:tr w14:paraId="53FB6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E556941">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.1</w:t>
            </w:r>
          </w:p>
        </w:tc>
        <w:tc>
          <w:tcPr>
            <w:tcW w:w="7558" w:type="dxa"/>
            <w:vAlign w:val="center"/>
          </w:tcPr>
          <w:p w14:paraId="4ADA1F5F">
            <w:pPr>
              <w:spacing w:line="360" w:lineRule="auto"/>
              <w:rPr>
                <w:rFonts w:ascii="仿宋" w:hAnsi="仿宋" w:eastAsia="仿宋" w:cs="宋体"/>
                <w:bCs/>
                <w:sz w:val="24"/>
              </w:rPr>
            </w:pPr>
          </w:p>
        </w:tc>
      </w:tr>
      <w:tr w14:paraId="0B3B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6304A34F">
            <w:pPr>
              <w:spacing w:line="360" w:lineRule="auto"/>
              <w:rPr>
                <w:rFonts w:ascii="仿宋" w:hAnsi="仿宋" w:eastAsia="仿宋" w:cs="宋体"/>
                <w:bCs/>
                <w:sz w:val="24"/>
              </w:rPr>
            </w:pPr>
            <w:r>
              <w:rPr>
                <w:rFonts w:hint="eastAsia" w:ascii="仿宋" w:hAnsi="仿宋" w:eastAsia="仿宋" w:cs="宋体"/>
                <w:bCs/>
                <w:sz w:val="24"/>
              </w:rPr>
              <w:t>2.1</w:t>
            </w:r>
            <w:r>
              <w:rPr>
                <w:rFonts w:ascii="仿宋" w:hAnsi="仿宋" w:eastAsia="仿宋" w:cs="宋体"/>
                <w:bCs/>
                <w:sz w:val="24"/>
              </w:rPr>
              <w:t>8</w:t>
            </w:r>
            <w:r>
              <w:rPr>
                <w:rFonts w:hint="eastAsia" w:ascii="仿宋" w:hAnsi="仿宋" w:eastAsia="仿宋" w:cs="宋体"/>
                <w:bCs/>
                <w:sz w:val="24"/>
              </w:rPr>
              <w:t>.</w:t>
            </w:r>
            <w:r>
              <w:rPr>
                <w:rFonts w:ascii="仿宋" w:hAnsi="仿宋" w:eastAsia="仿宋" w:cs="宋体"/>
                <w:bCs/>
                <w:sz w:val="24"/>
              </w:rPr>
              <w:t>2</w:t>
            </w:r>
          </w:p>
        </w:tc>
        <w:tc>
          <w:tcPr>
            <w:tcW w:w="7558" w:type="dxa"/>
            <w:vAlign w:val="center"/>
          </w:tcPr>
          <w:p w14:paraId="5872EA0F">
            <w:pPr>
              <w:spacing w:line="360" w:lineRule="auto"/>
              <w:rPr>
                <w:rFonts w:ascii="仿宋" w:hAnsi="仿宋" w:eastAsia="仿宋" w:cs="宋体"/>
                <w:bCs/>
                <w:sz w:val="24"/>
              </w:rPr>
            </w:pPr>
          </w:p>
        </w:tc>
      </w:tr>
      <w:tr w14:paraId="444C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56E1CF0C">
            <w:pPr>
              <w:spacing w:line="360" w:lineRule="auto"/>
              <w:rPr>
                <w:rFonts w:ascii="仿宋" w:hAnsi="仿宋" w:eastAsia="仿宋" w:cs="宋体"/>
                <w:bCs/>
                <w:sz w:val="24"/>
              </w:rPr>
            </w:pPr>
            <w:r>
              <w:rPr>
                <w:rFonts w:hint="eastAsia" w:ascii="仿宋" w:hAnsi="仿宋" w:eastAsia="仿宋" w:cs="宋体"/>
                <w:bCs/>
                <w:sz w:val="24"/>
              </w:rPr>
              <w:t>2.20</w:t>
            </w:r>
          </w:p>
        </w:tc>
        <w:tc>
          <w:tcPr>
            <w:tcW w:w="7558" w:type="dxa"/>
          </w:tcPr>
          <w:p w14:paraId="26A1DC0E">
            <w:pPr>
              <w:spacing w:line="360" w:lineRule="auto"/>
              <w:rPr>
                <w:rFonts w:ascii="仿宋" w:hAnsi="仿宋" w:eastAsia="仿宋" w:cs="宋体"/>
                <w:bCs/>
                <w:sz w:val="24"/>
              </w:rPr>
            </w:pPr>
          </w:p>
        </w:tc>
      </w:tr>
    </w:tbl>
    <w:p w14:paraId="7B9D8413">
      <w:pPr>
        <w:spacing w:line="360" w:lineRule="auto"/>
        <w:jc w:val="center"/>
        <w:outlineLvl w:val="0"/>
        <w:rPr>
          <w:rFonts w:hint="eastAsia" w:ascii="仿宋" w:hAnsi="仿宋" w:eastAsia="仿宋"/>
          <w:bCs/>
          <w:sz w:val="24"/>
        </w:rPr>
      </w:pPr>
      <w:r>
        <w:rPr>
          <w:rFonts w:hint="eastAsia" w:ascii="仿宋" w:hAnsi="仿宋" w:eastAsia="仿宋"/>
          <w:bCs/>
          <w:sz w:val="24"/>
        </w:rPr>
        <w:t>★ 此仅为合同书样本，中标单位需根据实际情况和采购人签订相应的合同！</w:t>
      </w:r>
    </w:p>
    <w:p w14:paraId="36EF368D">
      <w:pPr>
        <w:spacing w:line="360" w:lineRule="auto"/>
        <w:jc w:val="center"/>
        <w:outlineLvl w:val="0"/>
        <w:rPr>
          <w:rFonts w:hint="eastAsia" w:ascii="仿宋" w:hAnsi="仿宋" w:eastAsia="仿宋"/>
          <w:bCs/>
          <w:sz w:val="24"/>
        </w:rPr>
      </w:pPr>
    </w:p>
    <w:p w14:paraId="3C85A397">
      <w:pPr>
        <w:spacing w:line="360" w:lineRule="auto"/>
        <w:jc w:val="center"/>
        <w:outlineLvl w:val="0"/>
        <w:rPr>
          <w:rFonts w:hint="eastAsia" w:ascii="仿宋" w:hAnsi="仿宋" w:eastAsia="仿宋"/>
          <w:bCs/>
          <w:sz w:val="24"/>
        </w:rPr>
      </w:pPr>
    </w:p>
    <w:p w14:paraId="58F630C4">
      <w:pPr>
        <w:spacing w:line="360" w:lineRule="auto"/>
        <w:jc w:val="center"/>
        <w:outlineLvl w:val="0"/>
        <w:rPr>
          <w:rFonts w:hint="eastAsia" w:ascii="仿宋" w:hAnsi="仿宋" w:eastAsia="仿宋"/>
          <w:bCs/>
          <w:sz w:val="24"/>
        </w:rPr>
      </w:pPr>
    </w:p>
    <w:p w14:paraId="75C20D97">
      <w:pPr>
        <w:spacing w:line="360" w:lineRule="auto"/>
        <w:jc w:val="center"/>
        <w:outlineLvl w:val="0"/>
        <w:rPr>
          <w:rFonts w:hint="eastAsia" w:ascii="仿宋" w:hAnsi="仿宋" w:eastAsia="仿宋"/>
          <w:bCs/>
          <w:sz w:val="24"/>
        </w:rPr>
      </w:pPr>
    </w:p>
    <w:p w14:paraId="642D52F1">
      <w:pPr>
        <w:spacing w:line="360" w:lineRule="auto"/>
        <w:jc w:val="center"/>
        <w:outlineLvl w:val="0"/>
        <w:rPr>
          <w:rFonts w:hint="eastAsia" w:ascii="仿宋" w:hAnsi="仿宋" w:eastAsia="仿宋"/>
          <w:bCs/>
          <w:sz w:val="24"/>
        </w:rPr>
      </w:pPr>
    </w:p>
    <w:p w14:paraId="44797186">
      <w:pPr>
        <w:spacing w:line="360" w:lineRule="auto"/>
        <w:jc w:val="center"/>
        <w:outlineLvl w:val="0"/>
        <w:rPr>
          <w:rFonts w:hint="eastAsia" w:ascii="仿宋" w:hAnsi="仿宋" w:eastAsia="仿宋"/>
          <w:bCs/>
          <w:sz w:val="24"/>
        </w:rPr>
      </w:pPr>
    </w:p>
    <w:p w14:paraId="7833D2B8">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4"/>
      <w:bookmarkEnd w:id="395"/>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6DA73FD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478351A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6EC31551">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1815017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7949CBB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52030375">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08C4EF3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496FB80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20D855A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6CE4A0D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3A41E36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5B073A7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5EB197C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18D6FDA7">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69E357C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4F1ED09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699CB822">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609184E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6D35540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48B2243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29B5435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26F572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452BF08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188B1C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7826E4E">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70951977">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7585A1EB">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19D807B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E76A43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0A9D4D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D6EA79C">
      <w:pPr>
        <w:spacing w:line="360" w:lineRule="auto"/>
        <w:rPr>
          <w:rFonts w:ascii="仿宋" w:hAnsi="仿宋" w:eastAsia="仿宋" w:cs="宋体"/>
          <w:color w:val="000000" w:themeColor="text1"/>
          <w:highlight w:val="none"/>
          <w14:textFill>
            <w14:solidFill>
              <w14:schemeClr w14:val="tx1"/>
            </w14:solidFill>
          </w14:textFill>
        </w:rPr>
      </w:pPr>
    </w:p>
    <w:p w14:paraId="3A48D12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F7FD42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7F43D8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17A2B0A">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76D65BB2">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44D2DA1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3FAE30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B6CBC7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51DAB2E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19705E27">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w:t>
      </w:r>
    </w:p>
    <w:p w14:paraId="4231E224">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p>
    <w:p w14:paraId="580FDC49">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7562C220">
      <w:pPr>
        <w:spacing w:line="360" w:lineRule="auto"/>
        <w:jc w:val="center"/>
        <w:rPr>
          <w:rFonts w:ascii="仿宋" w:hAnsi="仿宋" w:eastAsia="仿宋" w:cs="宋体"/>
          <w:bCs/>
          <w:sz w:val="24"/>
        </w:rPr>
      </w:pPr>
      <w:r>
        <w:rPr>
          <w:rFonts w:hint="eastAsia" w:ascii="仿宋" w:hAnsi="仿宋" w:eastAsia="仿宋" w:cs="宋体"/>
          <w:bCs/>
          <w:sz w:val="24"/>
        </w:rPr>
        <w:t>（根据招标公告本项目的特定资格要求提供相应的材料；未要求的，无需提供）</w:t>
      </w:r>
    </w:p>
    <w:p w14:paraId="49935AF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4458B0C">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78AD8B57">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3FB0FCEC">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6086273E">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4FA29A1F">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0F3E769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6B20B797">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2AF1404B">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0D1EE2C9">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14A9273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F502F9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984720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1302A9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50AFAE6A">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A133CB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CDAF488">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469BB6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DF9777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D4F351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4A92B9C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055D4F1">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D1D84E1">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5846ACF1">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57E3804C">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3F6CDFB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136327A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2290F86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    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7DC7A41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1D2D919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0EEEF20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511F4B7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408" w:name="_Hlk101257010"/>
      <w:r>
        <w:rPr>
          <w:rFonts w:hint="eastAsia" w:ascii="仿宋" w:hAnsi="仿宋" w:eastAsia="仿宋" w:cs="宋体"/>
          <w:color w:val="000000" w:themeColor="text1"/>
          <w:sz w:val="24"/>
          <w:highlight w:val="none"/>
          <w14:textFill>
            <w14:solidFill>
              <w14:schemeClr w14:val="tx1"/>
            </w14:solidFill>
          </w14:textFill>
        </w:rPr>
        <w:t>（如果有)</w:t>
      </w:r>
      <w:bookmarkEnd w:id="408"/>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274D7B1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5F8B4B75">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2CFEA4D2">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1EA6B15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1F87828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5559049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29C2D61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564EE0B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172BE4C4">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5939430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8200962">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103D64C0">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0F3567A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6BEB9BB1">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2.3.2报价情况说明（如果有）；</w:t>
      </w:r>
    </w:p>
    <w:p w14:paraId="12795A2E">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2.3.3中小企业声明函（如果有）。</w:t>
      </w:r>
    </w:p>
    <w:p w14:paraId="24888EF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446B388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3A2E3E5F">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3714D90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5CCB88AB">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0255391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6770E3D2">
      <w:pPr>
        <w:numPr>
          <w:ilvl w:val="0"/>
          <w:numId w:val="5"/>
        </w:numPr>
        <w:snapToGrid w:val="0"/>
        <w:spacing w:line="360" w:lineRule="auto"/>
        <w:ind w:left="210" w:leftChars="100" w:firstLine="480" w:firstLineChars="20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其他补充说明:</w:t>
      </w:r>
    </w:p>
    <w:p w14:paraId="3FC3B882">
      <w:pPr>
        <w:numPr>
          <w:ilvl w:val="0"/>
          <w:numId w:val="0"/>
        </w:numPr>
        <w:snapToGrid w:val="0"/>
        <w:spacing w:line="360" w:lineRule="auto"/>
        <w:ind w:firstLine="720" w:firstLineChars="3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000000" w:themeColor="text1"/>
          <w:sz w:val="24"/>
          <w:highlight w:val="none"/>
          <w14:textFill>
            <w14:solidFill>
              <w14:schemeClr w14:val="tx1"/>
            </w14:solidFill>
          </w14:textFill>
        </w:rPr>
        <w:t>。</w:t>
      </w:r>
    </w:p>
    <w:p w14:paraId="64D60F28">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1FF20308">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4D9F85AE">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1CA9B565">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5A8C3853">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1E94988">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29F599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ACDC2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D47D54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B2C6BF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7D286C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2FA83C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4CA441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1F8775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3FEDF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8DEB4C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B7F889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BF3D26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037376A">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4EFD40D">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3C18674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7D0F613">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0B8EC64E">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1BA1BEC0">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708DA529">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5C764467">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6AECBAF7">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216DE0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3F4F3827">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4FB5AB31">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为我方代理人（身份证号码：，手机：</w:t>
      </w:r>
      <w:r>
        <w:rPr>
          <w:rFonts w:hint="eastAsia" w:ascii="仿宋" w:hAnsi="仿宋" w:eastAsia="仿宋" w:cs="宋体"/>
          <w:color w:val="000000" w:themeColor="text1"/>
          <w:kern w:val="0"/>
          <w:sz w:val="24"/>
          <w:highlight w:val="none"/>
          <w14:textFill>
            <w14:solidFill>
              <w14:schemeClr w14:val="tx1"/>
            </w14:solidFill>
          </w14:textFill>
        </w:rPr>
        <w:t xml:space="preserve">  ，所在单位：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71783746">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自年月日起至年月日止。</w:t>
      </w:r>
    </w:p>
    <w:p w14:paraId="3142E412">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629F67C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1AA2AE9">
      <w:pPr>
        <w:spacing w:line="360" w:lineRule="auto"/>
        <w:rPr>
          <w:rFonts w:ascii="仿宋" w:hAnsi="仿宋" w:eastAsia="仿宋" w:cs="宋体"/>
          <w:color w:val="000000" w:themeColor="text1"/>
          <w:highlight w:val="none"/>
          <w14:textFill>
            <w14:solidFill>
              <w14:schemeClr w14:val="tx1"/>
            </w14:solidFill>
          </w14:textFill>
        </w:rPr>
      </w:pPr>
    </w:p>
    <w:p w14:paraId="6043DD9D">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FCA4302">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7F46570">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18D2C74A">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1604AA7A">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E1EC0E7">
      <w:pPr>
        <w:autoSpaceDE w:val="0"/>
        <w:autoSpaceDN w:val="0"/>
        <w:spacing w:line="360" w:lineRule="auto"/>
        <w:jc w:val="center"/>
        <w:rPr>
          <w:rFonts w:hint="eastAsia" w:ascii="仿宋" w:hAnsi="仿宋" w:eastAsia="仿宋" w:cs="宋体"/>
          <w:b/>
          <w:color w:val="000000" w:themeColor="text1"/>
          <w:kern w:val="0"/>
          <w:sz w:val="32"/>
          <w:szCs w:val="32"/>
          <w:highlight w:val="none"/>
          <w:lang w:val="zh-CN"/>
          <w14:textFill>
            <w14:solidFill>
              <w14:schemeClr w14:val="tx1"/>
            </w14:solidFill>
          </w14:textFill>
        </w:rPr>
      </w:pPr>
    </w:p>
    <w:p w14:paraId="4FCD9BD0">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224FCDC">
      <w:pPr>
        <w:pStyle w:val="89"/>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8C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DBE80B">
            <w:pPr>
              <w:pStyle w:val="89"/>
              <w:adjustRightIn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正面：                                 反面：</w:t>
            </w:r>
          </w:p>
          <w:p w14:paraId="1ADB5A1A">
            <w:pPr>
              <w:pStyle w:val="89"/>
              <w:adjustRightInd w:val="0"/>
              <w:spacing w:line="360" w:lineRule="auto"/>
              <w:rPr>
                <w:rFonts w:ascii="仿宋" w:hAnsi="仿宋" w:eastAsia="仿宋" w:cs="宋体"/>
                <w:bCs/>
                <w:color w:val="000000" w:themeColor="text1"/>
                <w:sz w:val="24"/>
                <w:highlight w:val="none"/>
                <w14:textFill>
                  <w14:solidFill>
                    <w14:schemeClr w14:val="tx1"/>
                  </w14:solidFill>
                </w14:textFill>
              </w:rPr>
            </w:pPr>
          </w:p>
        </w:tc>
      </w:tr>
    </w:tbl>
    <w:p w14:paraId="504AB76B">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注：联合体投标的，提供联合体牵头人相关证明即可</w:t>
      </w:r>
    </w:p>
    <w:p w14:paraId="771C551B">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51FA3285">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7851070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E0968B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176B3D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7D52A3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7361F0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8D06D5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01B2B3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765308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A6F14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D4DCBB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DD7425">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5" w:h="16838"/>
          <w:pgMar w:top="680" w:right="1417" w:bottom="680" w:left="1417" w:header="851" w:footer="992" w:gutter="0"/>
          <w:cols w:space="0" w:num="1"/>
          <w:titlePg/>
          <w:rtlGutter w:val="0"/>
          <w:docGrid w:linePitch="312" w:charSpace="0"/>
        </w:sectPr>
      </w:pPr>
    </w:p>
    <w:p w14:paraId="6789936B">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121FC83E">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4B69794D">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1604754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EA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4B8315">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4991" w:type="dxa"/>
            <w:vAlign w:val="center"/>
          </w:tcPr>
          <w:p w14:paraId="30E4A0DA">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实质性要求</w:t>
            </w:r>
          </w:p>
        </w:tc>
        <w:tc>
          <w:tcPr>
            <w:tcW w:w="2551" w:type="dxa"/>
            <w:vAlign w:val="center"/>
          </w:tcPr>
          <w:p w14:paraId="09FADD6C">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需要提供的符合性审查资料</w:t>
            </w:r>
          </w:p>
        </w:tc>
        <w:tc>
          <w:tcPr>
            <w:tcW w:w="1418" w:type="dxa"/>
            <w:vAlign w:val="center"/>
          </w:tcPr>
          <w:p w14:paraId="037F25C4">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投标文件中的</w:t>
            </w:r>
          </w:p>
          <w:p w14:paraId="4E923782">
            <w:pPr>
              <w:snapToGrid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页码位置</w:t>
            </w:r>
          </w:p>
        </w:tc>
      </w:tr>
      <w:tr w14:paraId="2A72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05696F">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4991" w:type="dxa"/>
          </w:tcPr>
          <w:p w14:paraId="01653EF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267CF7D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76D8A807">
            <w:pPr>
              <w:spacing w:line="360" w:lineRule="auto"/>
              <w:rPr>
                <w:rFonts w:ascii="仿宋" w:hAnsi="仿宋" w:eastAsia="仿宋" w:cs="宋体"/>
                <w:color w:val="000000" w:themeColor="text1"/>
                <w:sz w:val="24"/>
                <w:highlight w:val="none"/>
                <w14:textFill>
                  <w14:solidFill>
                    <w14:schemeClr w14:val="tx1"/>
                  </w14:solidFill>
                </w14:textFill>
              </w:rPr>
            </w:pPr>
          </w:p>
          <w:p w14:paraId="329ABFA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w:t>
            </w:r>
          </w:p>
          <w:p w14:paraId="0AC5CD98">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第页</w:t>
            </w:r>
          </w:p>
        </w:tc>
      </w:tr>
      <w:tr w14:paraId="21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A7DD94">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4991" w:type="dxa"/>
          </w:tcPr>
          <w:p w14:paraId="130273F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272D683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投标函</w:t>
            </w:r>
          </w:p>
        </w:tc>
        <w:tc>
          <w:tcPr>
            <w:tcW w:w="1418" w:type="dxa"/>
          </w:tcPr>
          <w:p w14:paraId="4A0330EA">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08E0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CEA9EB">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3</w:t>
            </w:r>
          </w:p>
        </w:tc>
        <w:tc>
          <w:tcPr>
            <w:tcW w:w="4991" w:type="dxa"/>
          </w:tcPr>
          <w:p w14:paraId="71C5C116">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w:t>
            </w:r>
            <w:r>
              <w:rPr>
                <w:rFonts w:hint="eastAsia" w:ascii="仿宋" w:hAnsi="仿宋" w:eastAsia="仿宋" w:cs="宋体"/>
                <w:color w:val="000000" w:themeColor="text1"/>
                <w:sz w:val="24"/>
                <w:highlight w:val="none"/>
                <w:lang w:val="en-US" w:eastAsia="zh-CN"/>
                <w14:textFill>
                  <w14:solidFill>
                    <w14:schemeClr w14:val="tx1"/>
                  </w14:solidFill>
                </w14:textFill>
              </w:rPr>
              <w:t>文件的组成应符合招标文件要求</w:t>
            </w:r>
          </w:p>
        </w:tc>
        <w:tc>
          <w:tcPr>
            <w:tcW w:w="2551" w:type="dxa"/>
            <w:vAlign w:val="center"/>
          </w:tcPr>
          <w:p w14:paraId="1B99C5FB">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投标文件</w:t>
            </w:r>
          </w:p>
        </w:tc>
        <w:tc>
          <w:tcPr>
            <w:tcW w:w="1418" w:type="dxa"/>
            <w:vAlign w:val="top"/>
          </w:tcPr>
          <w:p w14:paraId="3624B63F">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w:t>
            </w:r>
          </w:p>
        </w:tc>
      </w:tr>
      <w:tr w14:paraId="099E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2CB90FBF">
            <w:pPr>
              <w:spacing w:line="360" w:lineRule="auto"/>
              <w:jc w:val="center"/>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4</w:t>
            </w:r>
          </w:p>
        </w:tc>
        <w:tc>
          <w:tcPr>
            <w:tcW w:w="4991" w:type="dxa"/>
            <w:vAlign w:val="top"/>
          </w:tcPr>
          <w:p w14:paraId="27D81DE1">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其他实质性要求1：</w:t>
            </w:r>
          </w:p>
        </w:tc>
        <w:tc>
          <w:tcPr>
            <w:tcW w:w="2551" w:type="dxa"/>
            <w:vMerge w:val="restart"/>
            <w:vAlign w:val="center"/>
          </w:tcPr>
          <w:p w14:paraId="13579F0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Merge w:val="restart"/>
          </w:tcPr>
          <w:p w14:paraId="74054D83">
            <w:pPr>
              <w:spacing w:line="360" w:lineRule="auto"/>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67AA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59AAAA19">
            <w:pPr>
              <w:spacing w:line="360" w:lineRule="auto"/>
              <w:jc w:val="center"/>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5</w:t>
            </w:r>
          </w:p>
        </w:tc>
        <w:tc>
          <w:tcPr>
            <w:tcW w:w="4991" w:type="dxa"/>
            <w:vMerge w:val="restart"/>
            <w:vAlign w:val="top"/>
          </w:tcPr>
          <w:p w14:paraId="365F7DB4">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其他实质性要求2：</w:t>
            </w:r>
          </w:p>
        </w:tc>
        <w:tc>
          <w:tcPr>
            <w:tcW w:w="2551" w:type="dxa"/>
            <w:vMerge w:val="continue"/>
            <w:vAlign w:val="center"/>
          </w:tcPr>
          <w:p w14:paraId="151534EA">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vMerge w:val="continue"/>
          </w:tcPr>
          <w:p w14:paraId="4FB6F731">
            <w:pPr>
              <w:spacing w:line="360" w:lineRule="auto"/>
              <w:rPr>
                <w:rFonts w:hint="eastAsia" w:ascii="仿宋" w:hAnsi="仿宋" w:eastAsia="仿宋" w:cs="宋体"/>
                <w:color w:val="000000" w:themeColor="text1"/>
                <w:sz w:val="24"/>
                <w:highlight w:val="none"/>
                <w14:textFill>
                  <w14:solidFill>
                    <w14:schemeClr w14:val="tx1"/>
                  </w14:solidFill>
                </w14:textFill>
              </w:rPr>
            </w:pPr>
          </w:p>
        </w:tc>
      </w:tr>
      <w:tr w14:paraId="3239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68309611">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p>
        </w:tc>
        <w:tc>
          <w:tcPr>
            <w:tcW w:w="4991" w:type="dxa"/>
            <w:vMerge w:val="continue"/>
          </w:tcPr>
          <w:p w14:paraId="6D940D7A">
            <w:pPr>
              <w:spacing w:line="360" w:lineRule="auto"/>
              <w:rPr>
                <w:rFonts w:hint="eastAsia" w:ascii="仿宋" w:hAnsi="仿宋" w:eastAsia="仿宋" w:cs="宋体"/>
                <w:color w:val="000000" w:themeColor="text1"/>
                <w:sz w:val="24"/>
                <w:highlight w:val="none"/>
                <w14:textFill>
                  <w14:solidFill>
                    <w14:schemeClr w14:val="tx1"/>
                  </w14:solidFill>
                </w14:textFill>
              </w:rPr>
            </w:pPr>
          </w:p>
        </w:tc>
        <w:tc>
          <w:tcPr>
            <w:tcW w:w="2551" w:type="dxa"/>
            <w:vMerge w:val="continue"/>
            <w:vAlign w:val="center"/>
          </w:tcPr>
          <w:p w14:paraId="31C90F61">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302615A8">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r w14:paraId="5811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7F3013B6">
            <w:pPr>
              <w:spacing w:line="360" w:lineRule="auto"/>
              <w:jc w:val="center"/>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4991" w:type="dxa"/>
            <w:vAlign w:val="top"/>
          </w:tcPr>
          <w:p w14:paraId="421CBDF9">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lang w:val="en-US" w:eastAsia="zh-CN"/>
                <w14:textFill>
                  <w14:solidFill>
                    <w14:schemeClr w14:val="tx1"/>
                  </w14:solidFill>
                </w14:textFill>
              </w:rPr>
              <w:t>其他实质性要求</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w:t>
            </w:r>
          </w:p>
        </w:tc>
        <w:tc>
          <w:tcPr>
            <w:tcW w:w="2551" w:type="dxa"/>
            <w:vMerge w:val="continue"/>
            <w:vAlign w:val="center"/>
          </w:tcPr>
          <w:p w14:paraId="6C59DFE2">
            <w:pPr>
              <w:spacing w:line="360" w:lineRule="auto"/>
              <w:rPr>
                <w:rFonts w:hint="eastAsia" w:ascii="仿宋" w:hAnsi="仿宋" w:eastAsia="仿宋" w:cs="宋体"/>
                <w:color w:val="000000" w:themeColor="text1"/>
                <w:kern w:val="0"/>
                <w:sz w:val="24"/>
                <w:highlight w:val="none"/>
                <w14:textFill>
                  <w14:solidFill>
                    <w14:schemeClr w14:val="tx1"/>
                  </w14:solidFill>
                </w14:textFill>
              </w:rPr>
            </w:pPr>
          </w:p>
        </w:tc>
        <w:tc>
          <w:tcPr>
            <w:tcW w:w="1418" w:type="dxa"/>
          </w:tcPr>
          <w:p w14:paraId="309A48BE">
            <w:pPr>
              <w:spacing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见投标文件第页</w:t>
            </w:r>
          </w:p>
        </w:tc>
      </w:tr>
    </w:tbl>
    <w:p w14:paraId="176893FC">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3FA4CB4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E25062C">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7199E30D">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日期：  年  月  日</w:t>
      </w:r>
    </w:p>
    <w:p w14:paraId="463A808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C5ECDF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B480A7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58C64EA">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21548D97">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4F4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D50B3">
            <w:pPr>
              <w:snapToGrid w:val="0"/>
              <w:spacing w:line="36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序号</w:t>
            </w:r>
          </w:p>
        </w:tc>
        <w:tc>
          <w:tcPr>
            <w:tcW w:w="5465" w:type="dxa"/>
          </w:tcPr>
          <w:p w14:paraId="31BF0C07">
            <w:pPr>
              <w:snapToGrid w:val="0"/>
              <w:spacing w:line="36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投标文件中评标标准相应的商务技术资料目录*</w:t>
            </w:r>
          </w:p>
        </w:tc>
        <w:tc>
          <w:tcPr>
            <w:tcW w:w="3046" w:type="dxa"/>
          </w:tcPr>
          <w:p w14:paraId="7C0517BF">
            <w:pPr>
              <w:snapToGrid w:val="0"/>
              <w:spacing w:line="240" w:lineRule="atLeast"/>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rPr>
              <w:t>投标文件中的页码位置</w:t>
            </w:r>
          </w:p>
        </w:tc>
      </w:tr>
      <w:tr w14:paraId="7557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C65344">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1</w:t>
            </w:r>
          </w:p>
        </w:tc>
        <w:tc>
          <w:tcPr>
            <w:tcW w:w="5465" w:type="dxa"/>
          </w:tcPr>
          <w:p w14:paraId="695E9875">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XXX（预先填写）</w:t>
            </w:r>
          </w:p>
        </w:tc>
        <w:tc>
          <w:tcPr>
            <w:tcW w:w="3046" w:type="dxa"/>
          </w:tcPr>
          <w:p w14:paraId="2BA10EAD">
            <w:pPr>
              <w:snapToGrid/>
              <w:spacing w:line="24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r w14:paraId="298B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1C8FB4">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2</w:t>
            </w:r>
          </w:p>
        </w:tc>
        <w:tc>
          <w:tcPr>
            <w:tcW w:w="5465" w:type="dxa"/>
          </w:tcPr>
          <w:p w14:paraId="6309DBD2">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b w:val="0"/>
                <w:bCs/>
                <w:color w:val="auto"/>
                <w:sz w:val="24"/>
                <w:vertAlign w:val="baseline"/>
                <w:lang w:val="en-US" w:eastAsia="zh-CN"/>
              </w:rPr>
              <w:t>XXX</w:t>
            </w:r>
          </w:p>
        </w:tc>
        <w:tc>
          <w:tcPr>
            <w:tcW w:w="3046" w:type="dxa"/>
          </w:tcPr>
          <w:p w14:paraId="7C346FE2">
            <w:pPr>
              <w:snapToGrid/>
              <w:spacing w:line="240" w:lineRule="auto"/>
              <w:jc w:val="center"/>
              <w:rPr>
                <w:rFonts w:hint="eastAsia" w:ascii="仿宋" w:hAnsi="仿宋" w:eastAsia="仿宋" w:cs="仿宋"/>
                <w:b w:val="0"/>
                <w:bCs/>
                <w:color w:val="auto"/>
                <w:sz w:val="24"/>
                <w:vertAlign w:val="baseline"/>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r w14:paraId="10EF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E32586F">
            <w:pPr>
              <w:snapToGrid w:val="0"/>
              <w:spacing w:line="360" w:lineRule="auto"/>
              <w:jc w:val="center"/>
              <w:rPr>
                <w:rFonts w:hint="eastAsia" w:ascii="仿宋" w:hAnsi="仿宋" w:eastAsia="仿宋" w:cs="仿宋"/>
                <w:b w:val="0"/>
                <w:bCs/>
                <w:color w:val="auto"/>
                <w:sz w:val="24"/>
                <w:vertAlign w:val="baseline"/>
                <w:lang w:val="en-US" w:eastAsia="zh-CN"/>
              </w:rPr>
            </w:pPr>
            <w:r>
              <w:rPr>
                <w:rFonts w:hint="eastAsia" w:ascii="仿宋" w:hAnsi="仿宋" w:eastAsia="仿宋" w:cs="仿宋"/>
                <w:color w:val="auto"/>
                <w:kern w:val="0"/>
                <w:sz w:val="24"/>
              </w:rPr>
              <w:t>……</w:t>
            </w:r>
          </w:p>
        </w:tc>
        <w:tc>
          <w:tcPr>
            <w:tcW w:w="5465" w:type="dxa"/>
          </w:tcPr>
          <w:p w14:paraId="733749AB">
            <w:pPr>
              <w:snapToGrid w:val="0"/>
              <w:spacing w:line="360" w:lineRule="auto"/>
              <w:jc w:val="center"/>
              <w:rPr>
                <w:rFonts w:hint="eastAsia" w:ascii="仿宋" w:hAnsi="仿宋" w:eastAsia="仿宋" w:cs="仿宋"/>
                <w:b w:val="0"/>
                <w:bCs/>
                <w:color w:val="auto"/>
                <w:sz w:val="24"/>
                <w:vertAlign w:val="baseline"/>
              </w:rPr>
            </w:pPr>
          </w:p>
        </w:tc>
        <w:tc>
          <w:tcPr>
            <w:tcW w:w="3046" w:type="dxa"/>
          </w:tcPr>
          <w:p w14:paraId="49583F8A">
            <w:pPr>
              <w:snapToGrid/>
              <w:spacing w:line="240" w:lineRule="auto"/>
              <w:jc w:val="center"/>
              <w:rPr>
                <w:rFonts w:hint="eastAsia" w:ascii="仿宋" w:hAnsi="仿宋" w:eastAsia="仿宋" w:cs="仿宋"/>
                <w:b w:val="0"/>
                <w:bCs/>
                <w:color w:val="auto"/>
                <w:sz w:val="24"/>
              </w:rPr>
            </w:pPr>
            <w:r>
              <w:rPr>
                <w:rFonts w:hint="eastAsia" w:ascii="仿宋" w:hAnsi="仿宋" w:eastAsia="仿宋" w:cs="仿宋"/>
                <w:b w:val="0"/>
                <w:bCs/>
                <w:color w:val="auto"/>
                <w:sz w:val="24"/>
              </w:rPr>
              <w:t>见投标文件第</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rPr>
              <w:t>页</w:t>
            </w:r>
          </w:p>
        </w:tc>
      </w:tr>
    </w:tbl>
    <w:p w14:paraId="30F0272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210480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7D7B45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C10564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97C132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52345E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BB9560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3339FF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3693E48">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0D1DB5E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7227124">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F463B0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D45369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0466E46">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E4D2604">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0186ED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DBBA3ED">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559A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6CDBA17">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5AE15A90">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tcPr>
          <w:p w14:paraId="629202A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78D6057C">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37497852">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472C9D84">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1E98EC3">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2C8814AE">
            <w:pPr>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备注（如果有）</w:t>
            </w:r>
          </w:p>
          <w:p w14:paraId="48FED4CC">
            <w:pPr>
              <w:spacing w:line="360" w:lineRule="auto"/>
              <w:jc w:val="center"/>
              <w:rPr>
                <w:rFonts w:ascii="仿宋" w:hAnsi="仿宋" w:eastAsia="仿宋" w:cs="宋体"/>
                <w:b/>
                <w:color w:val="000000" w:themeColor="text1"/>
                <w:sz w:val="24"/>
                <w:highlight w:val="none"/>
                <w14:textFill>
                  <w14:solidFill>
                    <w14:schemeClr w14:val="tx1"/>
                  </w14:solidFill>
                </w14:textFill>
              </w:rPr>
            </w:pPr>
          </w:p>
        </w:tc>
      </w:tr>
      <w:tr w14:paraId="28EF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E5D71A1">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07834653">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94C1845">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A99CA2D">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79AE585C">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7E041911">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28FB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93BC689">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16ADA7B5">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9E8DE64">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9C8B5B8">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5CA88931">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9A26BAD">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r w14:paraId="2416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3B6A7E8">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1788BA36">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6869B960">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11AB741">
            <w:pPr>
              <w:snapToGrid w:val="0"/>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7460E35A">
            <w:pPr>
              <w:spacing w:line="360" w:lineRule="auto"/>
              <w:jc w:val="center"/>
              <w:rPr>
                <w:rFonts w:ascii="仿宋" w:hAnsi="仿宋" w:eastAsia="仿宋" w:cs="宋体"/>
                <w:color w:val="000000" w:themeColor="text1"/>
                <w:sz w:val="24"/>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66511C4E">
            <w:pPr>
              <w:spacing w:line="360" w:lineRule="auto"/>
              <w:jc w:val="center"/>
              <w:rPr>
                <w:rFonts w:ascii="仿宋" w:hAnsi="仿宋" w:eastAsia="仿宋" w:cs="宋体"/>
                <w:color w:val="000000" w:themeColor="text1"/>
                <w:sz w:val="24"/>
                <w:highlight w:val="none"/>
                <w14:textFill>
                  <w14:solidFill>
                    <w14:schemeClr w14:val="tx1"/>
                  </w14:solidFill>
                </w14:textFill>
              </w:rPr>
            </w:pPr>
          </w:p>
        </w:tc>
      </w:tr>
    </w:tbl>
    <w:p w14:paraId="60ECF030">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28B73ED">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22A80410">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51138C9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8F4130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3DA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4EC812">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tcPr>
          <w:p w14:paraId="06AB687B">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tcPr>
          <w:p w14:paraId="2694E48C">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tcPr>
          <w:p w14:paraId="1B75A8D2">
            <w:pPr>
              <w:spacing w:line="360" w:lineRule="auto"/>
              <w:jc w:val="center"/>
              <w:rPr>
                <w:rFonts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604B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FE61D3">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tcPr>
          <w:p w14:paraId="1DC5DA3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00146F9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2D942A2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200E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193807">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tcPr>
          <w:p w14:paraId="2BA5266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24C7E38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736B24E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r w14:paraId="195F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B04837">
            <w:pPr>
              <w:spacing w:line="360" w:lineRule="auto"/>
              <w:jc w:val="center"/>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tcPr>
          <w:p w14:paraId="22B9919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3546" w:type="dxa"/>
          </w:tcPr>
          <w:p w14:paraId="413C450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c>
          <w:tcPr>
            <w:tcW w:w="1276" w:type="dxa"/>
          </w:tcPr>
          <w:p w14:paraId="55CD7FD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tc>
      </w:tr>
    </w:tbl>
    <w:p w14:paraId="0CFAE47D">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60B8B8AD">
      <w:pPr>
        <w:spacing w:line="360" w:lineRule="auto"/>
        <w:jc w:val="left"/>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注：</w:t>
      </w:r>
      <w:r>
        <w:rPr>
          <w:rFonts w:hint="eastAsia" w:ascii="仿宋" w:hAnsi="仿宋" w:eastAsia="仿宋" w:cs="宋体"/>
          <w:color w:val="000000" w:themeColor="text1"/>
          <w:kern w:val="0"/>
          <w:sz w:val="24"/>
          <w:highlight w:val="none"/>
          <w:lang w:val="en-US" w:eastAsia="zh-CN"/>
          <w14:textFill>
            <w14:solidFill>
              <w14:schemeClr w14:val="tx1"/>
            </w14:solidFill>
          </w14:textFill>
        </w:rPr>
        <w:t>1.</w:t>
      </w:r>
      <w:r>
        <w:rPr>
          <w:rFonts w:hint="eastAsia" w:ascii="仿宋" w:hAnsi="仿宋" w:eastAsia="仿宋" w:cs="宋体"/>
          <w:color w:val="000000" w:themeColor="text1"/>
          <w:kern w:val="0"/>
          <w:sz w:val="24"/>
          <w:highlight w:val="none"/>
          <w14:textFill>
            <w14:solidFill>
              <w14:schemeClr w14:val="tx1"/>
            </w14:solidFill>
          </w14:textFill>
        </w:rPr>
        <w:t>按本格式和要求提供。</w:t>
      </w:r>
    </w:p>
    <w:p w14:paraId="3F3D6585">
      <w:pPr>
        <w:spacing w:line="360" w:lineRule="auto"/>
        <w:jc w:val="left"/>
        <w:rPr>
          <w:rFonts w:hint="eastAsia" w:ascii="仿宋" w:hAnsi="仿宋" w:eastAsia="仿宋" w:cs="宋体"/>
          <w:color w:val="000000" w:themeColor="text1"/>
          <w:kern w:val="0"/>
          <w:sz w:val="24"/>
          <w:highlight w:val="none"/>
          <w:lang w:val="en-US" w:eastAsia="zh-CN"/>
          <w14:textFill>
            <w14:solidFill>
              <w14:schemeClr w14:val="tx1"/>
            </w14:solidFill>
          </w14:textFill>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0E57F3D">
      <w:pPr>
        <w:spacing w:line="360" w:lineRule="auto"/>
        <w:jc w:val="left"/>
        <w:rPr>
          <w:rFonts w:hint="eastAsia" w:eastAsia="华文楷体"/>
          <w:lang w:val="en-US" w:eastAsia="zh-CN"/>
        </w:rPr>
      </w:pPr>
      <w:r>
        <w:rPr>
          <w:rFonts w:hint="eastAsia" w:ascii="仿宋" w:hAnsi="仿宋" w:eastAsia="仿宋" w:cs="宋体"/>
          <w:color w:val="000000" w:themeColor="text1"/>
          <w:kern w:val="0"/>
          <w:sz w:val="24"/>
          <w:highlight w:val="none"/>
          <w:lang w:val="en-US" w:eastAsia="zh-CN"/>
          <w14:textFill>
            <w14:solidFill>
              <w14:schemeClr w14:val="tx1"/>
            </w14:solidFill>
          </w14:textFill>
        </w:rPr>
        <w:t>3.投标人须保证：除商务技术偏离表列出的偏离外，投标人响应招标文件的全部非实质性要求。</w:t>
      </w:r>
    </w:p>
    <w:p w14:paraId="7F7ED347">
      <w:pPr>
        <w:snapToGrid w:val="0"/>
        <w:spacing w:line="360" w:lineRule="auto"/>
        <w:jc w:val="right"/>
        <w:rPr>
          <w:rFonts w:ascii="仿宋" w:hAnsi="仿宋" w:eastAsia="仿宋"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 w:hAnsi="仿宋" w:eastAsia="仿宋" w:cs="仿宋_GB2312"/>
          <w:color w:val="000000" w:themeColor="text1"/>
          <w:kern w:val="0"/>
          <w:sz w:val="24"/>
          <w:highlight w:val="none"/>
          <w:lang w:val="zh-CN"/>
          <w14:textFill>
            <w14:solidFill>
              <w14:schemeClr w14:val="tx1"/>
            </w14:solidFill>
          </w14:textFill>
        </w:rPr>
        <w:t xml:space="preserve">： </w:t>
      </w:r>
    </w:p>
    <w:p w14:paraId="00140858">
      <w:pPr>
        <w:spacing w:line="360" w:lineRule="auto"/>
        <w:jc w:val="center"/>
        <w:rPr>
          <w:rFonts w:ascii="仿宋" w:hAnsi="仿宋" w:eastAsia="仿宋" w:cs="仿宋_GB2312"/>
          <w:color w:val="000000" w:themeColor="text1"/>
          <w:kern w:val="0"/>
          <w:sz w:val="24"/>
          <w:highlight w:val="none"/>
          <w:lang w:val="zh-CN"/>
          <w14:textFill>
            <w14:solidFill>
              <w14:schemeClr w14:val="tx1"/>
            </w14:solidFill>
          </w14:textFill>
        </w:rPr>
      </w:pPr>
      <w:r>
        <w:rPr>
          <w:rFonts w:ascii="仿宋" w:hAnsi="仿宋" w:eastAsia="仿宋" w:cs="仿宋_GB2312"/>
          <w:color w:val="000000" w:themeColor="text1"/>
          <w:kern w:val="0"/>
          <w:sz w:val="24"/>
          <w:highlight w:val="none"/>
          <w:lang w:val="zh-CN"/>
          <w14:textFill>
            <w14:solidFill>
              <w14:schemeClr w14:val="tx1"/>
            </w14:solidFill>
          </w14:textFill>
        </w:rPr>
        <w:t xml:space="preserve">                   日期：  年  月  日</w:t>
      </w:r>
    </w:p>
    <w:p w14:paraId="552B87B1">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5522BBFD">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451C8CCB">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1AAA547D">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683E214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3E08EC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64B66B9">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B412EE0">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7082D08D">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6EF3000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19C83C21">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35DDA07">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5E9303AD">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6E5EE0E2">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31385E2">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6188A6A">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7AE0D89E">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6062512D">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30890647">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44E46E7C">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3A5DEFD3">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1FE4EC3C">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9A69104">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5" w:type="first"/>
          <w:footerReference r:id="rId17" w:type="first"/>
          <w:headerReference r:id="rId14" w:type="default"/>
          <w:footerReference r:id="rId16" w:type="default"/>
          <w:pgSz w:w="11905" w:h="16838"/>
          <w:pgMar w:top="680" w:right="1417" w:bottom="680" w:left="1417" w:header="851" w:footer="992" w:gutter="0"/>
          <w:cols w:space="0" w:num="1"/>
          <w:titlePg/>
          <w:rtlGutter w:val="0"/>
          <w:docGrid w:linePitch="312" w:charSpace="0"/>
        </w:sectPr>
      </w:pPr>
    </w:p>
    <w:p w14:paraId="319D5F7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2BA7A339">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173236AB">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30C5CDA7">
      <w:pPr>
        <w:numPr>
          <w:ilvl w:val="0"/>
          <w:numId w:val="6"/>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开标一览表（报价表）………………………………………………………（页码）</w:t>
      </w:r>
    </w:p>
    <w:p w14:paraId="7580ADAE">
      <w:pPr>
        <w:numPr>
          <w:ilvl w:val="0"/>
          <w:numId w:val="6"/>
        </w:num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报价情况说明…………………………………………………………………（页码）</w:t>
      </w:r>
    </w:p>
    <w:p w14:paraId="78C1DBF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（3）中小企业声明函………………………………………………………………（页码）</w:t>
      </w:r>
    </w:p>
    <w:p w14:paraId="332895D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1FF240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5ADDF1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FDF40C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2D24D8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5603D8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BBA2B61">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AF80A4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B6E93E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22373B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D07D6B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F5D0D1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53229C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E2965D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2A2DF1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682C8AD">
      <w:pPr>
        <w:pStyle w:val="378"/>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5" w:h="16838"/>
          <w:pgMar w:top="680" w:right="1417" w:bottom="680" w:left="1417" w:header="851" w:footer="992" w:gutter="0"/>
          <w:cols w:space="0" w:num="1"/>
          <w:titlePg/>
          <w:rtlGutter w:val="0"/>
          <w:docGrid w:linePitch="312" w:charSpace="0"/>
        </w:sectPr>
      </w:pPr>
    </w:p>
    <w:p w14:paraId="30DB515A">
      <w:pPr>
        <w:pStyle w:val="378"/>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0F8B7BE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60BD2D8">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A7F1AA6">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83"/>
        <w:gridCol w:w="918"/>
        <w:gridCol w:w="1309"/>
        <w:gridCol w:w="1169"/>
        <w:gridCol w:w="995"/>
        <w:gridCol w:w="1046"/>
        <w:gridCol w:w="916"/>
        <w:gridCol w:w="900"/>
        <w:gridCol w:w="1356"/>
      </w:tblGrid>
      <w:tr w14:paraId="4B2B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62" w:type="dxa"/>
            <w:vAlign w:val="center"/>
          </w:tcPr>
          <w:p w14:paraId="4649B12F">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683" w:type="dxa"/>
            <w:vAlign w:val="center"/>
          </w:tcPr>
          <w:p w14:paraId="6D556F6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918" w:type="dxa"/>
            <w:vAlign w:val="center"/>
          </w:tcPr>
          <w:p w14:paraId="7B8CE00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服务范围</w:t>
            </w:r>
          </w:p>
        </w:tc>
        <w:tc>
          <w:tcPr>
            <w:tcW w:w="1309" w:type="dxa"/>
            <w:vAlign w:val="center"/>
          </w:tcPr>
          <w:p w14:paraId="11DB20E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1169" w:type="dxa"/>
            <w:vAlign w:val="center"/>
          </w:tcPr>
          <w:p w14:paraId="68F4A34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服务时间</w:t>
            </w:r>
          </w:p>
        </w:tc>
        <w:tc>
          <w:tcPr>
            <w:tcW w:w="995" w:type="dxa"/>
            <w:vAlign w:val="center"/>
          </w:tcPr>
          <w:p w14:paraId="4100ADD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服务标准</w:t>
            </w:r>
          </w:p>
        </w:tc>
        <w:tc>
          <w:tcPr>
            <w:tcW w:w="1046" w:type="dxa"/>
            <w:vAlign w:val="center"/>
          </w:tcPr>
          <w:p w14:paraId="41F38DF2">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服务人数</w:t>
            </w:r>
          </w:p>
        </w:tc>
        <w:tc>
          <w:tcPr>
            <w:tcW w:w="916" w:type="dxa"/>
            <w:vAlign w:val="center"/>
          </w:tcPr>
          <w:p w14:paraId="55A60475">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单价</w:t>
            </w:r>
          </w:p>
        </w:tc>
        <w:tc>
          <w:tcPr>
            <w:tcW w:w="900" w:type="dxa"/>
            <w:vAlign w:val="center"/>
          </w:tcPr>
          <w:p w14:paraId="7F555372">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合计</w:t>
            </w:r>
          </w:p>
        </w:tc>
        <w:tc>
          <w:tcPr>
            <w:tcW w:w="1356" w:type="dxa"/>
            <w:vAlign w:val="center"/>
          </w:tcPr>
          <w:p w14:paraId="3E439E61">
            <w:pPr>
              <w:spacing w:line="360" w:lineRule="auto"/>
              <w:jc w:val="center"/>
              <w:rPr>
                <w:rFonts w:hint="eastAsia" w:ascii="仿宋" w:hAnsi="仿宋" w:eastAsia="仿宋" w:cs="仿宋"/>
                <w:b/>
                <w:sz w:val="24"/>
                <w:highlight w:val="none"/>
              </w:rPr>
            </w:pPr>
          </w:p>
          <w:p w14:paraId="231FE995">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2B8B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5E1915F1">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1</w:t>
            </w:r>
          </w:p>
        </w:tc>
        <w:tc>
          <w:tcPr>
            <w:tcW w:w="683" w:type="dxa"/>
            <w:vAlign w:val="center"/>
          </w:tcPr>
          <w:p w14:paraId="3A854464">
            <w:pPr>
              <w:snapToGrid w:val="0"/>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XX</w:t>
            </w:r>
          </w:p>
        </w:tc>
        <w:tc>
          <w:tcPr>
            <w:tcW w:w="918" w:type="dxa"/>
            <w:vAlign w:val="center"/>
          </w:tcPr>
          <w:p w14:paraId="25B8630D">
            <w:pPr>
              <w:snapToGrid w:val="0"/>
              <w:spacing w:line="360" w:lineRule="auto"/>
              <w:jc w:val="center"/>
              <w:rPr>
                <w:rFonts w:hint="eastAsia" w:ascii="仿宋" w:hAnsi="仿宋" w:eastAsia="仿宋" w:cs="仿宋"/>
                <w:sz w:val="24"/>
                <w:highlight w:val="none"/>
              </w:rPr>
            </w:pPr>
          </w:p>
        </w:tc>
        <w:tc>
          <w:tcPr>
            <w:tcW w:w="1309" w:type="dxa"/>
            <w:vAlign w:val="center"/>
          </w:tcPr>
          <w:p w14:paraId="7F44692E">
            <w:pPr>
              <w:snapToGrid w:val="0"/>
              <w:spacing w:line="360" w:lineRule="auto"/>
              <w:jc w:val="center"/>
              <w:rPr>
                <w:rFonts w:hint="eastAsia" w:ascii="仿宋" w:hAnsi="仿宋" w:eastAsia="仿宋" w:cs="仿宋"/>
                <w:sz w:val="24"/>
                <w:highlight w:val="none"/>
              </w:rPr>
            </w:pPr>
          </w:p>
        </w:tc>
        <w:tc>
          <w:tcPr>
            <w:tcW w:w="1169" w:type="dxa"/>
            <w:vAlign w:val="center"/>
          </w:tcPr>
          <w:p w14:paraId="3ADFFFAF">
            <w:pPr>
              <w:snapToGrid w:val="0"/>
              <w:spacing w:line="360" w:lineRule="auto"/>
              <w:jc w:val="center"/>
              <w:rPr>
                <w:rFonts w:hint="eastAsia" w:ascii="仿宋" w:hAnsi="仿宋" w:eastAsia="仿宋" w:cs="仿宋"/>
                <w:sz w:val="24"/>
                <w:highlight w:val="none"/>
              </w:rPr>
            </w:pPr>
          </w:p>
        </w:tc>
        <w:tc>
          <w:tcPr>
            <w:tcW w:w="995" w:type="dxa"/>
            <w:vAlign w:val="center"/>
          </w:tcPr>
          <w:p w14:paraId="7DCFCBAB">
            <w:pPr>
              <w:spacing w:line="360" w:lineRule="auto"/>
              <w:jc w:val="center"/>
              <w:rPr>
                <w:rFonts w:hint="eastAsia" w:ascii="仿宋" w:hAnsi="仿宋" w:eastAsia="仿宋" w:cs="仿宋"/>
                <w:sz w:val="24"/>
                <w:highlight w:val="none"/>
              </w:rPr>
            </w:pPr>
          </w:p>
        </w:tc>
        <w:tc>
          <w:tcPr>
            <w:tcW w:w="1046" w:type="dxa"/>
            <w:vAlign w:val="center"/>
          </w:tcPr>
          <w:p w14:paraId="13D39EF5">
            <w:pPr>
              <w:spacing w:line="360" w:lineRule="auto"/>
              <w:jc w:val="center"/>
              <w:rPr>
                <w:rFonts w:hint="eastAsia" w:ascii="仿宋" w:hAnsi="仿宋" w:eastAsia="仿宋" w:cs="仿宋"/>
                <w:sz w:val="24"/>
                <w:highlight w:val="none"/>
              </w:rPr>
            </w:pPr>
          </w:p>
        </w:tc>
        <w:tc>
          <w:tcPr>
            <w:tcW w:w="916" w:type="dxa"/>
            <w:vAlign w:val="top"/>
          </w:tcPr>
          <w:p w14:paraId="4F54861B">
            <w:pPr>
              <w:spacing w:line="360" w:lineRule="auto"/>
              <w:jc w:val="center"/>
              <w:rPr>
                <w:rFonts w:hint="eastAsia" w:ascii="仿宋" w:hAnsi="仿宋" w:eastAsia="仿宋" w:cs="仿宋"/>
                <w:sz w:val="24"/>
                <w:highlight w:val="none"/>
              </w:rPr>
            </w:pPr>
          </w:p>
        </w:tc>
        <w:tc>
          <w:tcPr>
            <w:tcW w:w="900" w:type="dxa"/>
            <w:vAlign w:val="top"/>
          </w:tcPr>
          <w:p w14:paraId="1F9EDB06">
            <w:pPr>
              <w:spacing w:line="360" w:lineRule="auto"/>
              <w:jc w:val="center"/>
              <w:rPr>
                <w:rFonts w:hint="eastAsia" w:ascii="仿宋" w:hAnsi="仿宋" w:eastAsia="仿宋" w:cs="仿宋"/>
                <w:sz w:val="24"/>
                <w:highlight w:val="none"/>
              </w:rPr>
            </w:pPr>
          </w:p>
        </w:tc>
        <w:tc>
          <w:tcPr>
            <w:tcW w:w="1356" w:type="dxa"/>
            <w:vAlign w:val="center"/>
          </w:tcPr>
          <w:p w14:paraId="72D859B5">
            <w:pPr>
              <w:spacing w:line="360" w:lineRule="auto"/>
              <w:jc w:val="center"/>
              <w:rPr>
                <w:rFonts w:hint="eastAsia" w:ascii="仿宋" w:hAnsi="仿宋" w:eastAsia="仿宋" w:cs="仿宋"/>
                <w:sz w:val="24"/>
                <w:highlight w:val="none"/>
              </w:rPr>
            </w:pPr>
          </w:p>
        </w:tc>
      </w:tr>
      <w:tr w14:paraId="4BAE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33CC6DCF">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2</w:t>
            </w:r>
          </w:p>
        </w:tc>
        <w:tc>
          <w:tcPr>
            <w:tcW w:w="683" w:type="dxa"/>
            <w:vAlign w:val="center"/>
          </w:tcPr>
          <w:p w14:paraId="333C70ED">
            <w:pPr>
              <w:snapToGrid w:val="0"/>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XX</w:t>
            </w:r>
          </w:p>
        </w:tc>
        <w:tc>
          <w:tcPr>
            <w:tcW w:w="918" w:type="dxa"/>
            <w:vAlign w:val="center"/>
          </w:tcPr>
          <w:p w14:paraId="0D916A46">
            <w:pPr>
              <w:snapToGrid w:val="0"/>
              <w:spacing w:line="360" w:lineRule="auto"/>
              <w:jc w:val="center"/>
              <w:rPr>
                <w:rFonts w:hint="eastAsia" w:ascii="仿宋" w:hAnsi="仿宋" w:eastAsia="仿宋" w:cs="仿宋"/>
                <w:sz w:val="24"/>
                <w:highlight w:val="none"/>
              </w:rPr>
            </w:pPr>
          </w:p>
        </w:tc>
        <w:tc>
          <w:tcPr>
            <w:tcW w:w="1309" w:type="dxa"/>
            <w:vAlign w:val="center"/>
          </w:tcPr>
          <w:p w14:paraId="57539EEF">
            <w:pPr>
              <w:snapToGrid w:val="0"/>
              <w:spacing w:line="360" w:lineRule="auto"/>
              <w:jc w:val="center"/>
              <w:rPr>
                <w:rFonts w:hint="eastAsia" w:ascii="仿宋" w:hAnsi="仿宋" w:eastAsia="仿宋" w:cs="仿宋"/>
                <w:sz w:val="24"/>
                <w:highlight w:val="none"/>
              </w:rPr>
            </w:pPr>
          </w:p>
        </w:tc>
        <w:tc>
          <w:tcPr>
            <w:tcW w:w="1169" w:type="dxa"/>
            <w:vAlign w:val="center"/>
          </w:tcPr>
          <w:p w14:paraId="0F0F6AB1">
            <w:pPr>
              <w:snapToGrid w:val="0"/>
              <w:spacing w:line="360" w:lineRule="auto"/>
              <w:jc w:val="center"/>
              <w:rPr>
                <w:rFonts w:hint="eastAsia" w:ascii="仿宋" w:hAnsi="仿宋" w:eastAsia="仿宋" w:cs="仿宋"/>
                <w:sz w:val="24"/>
                <w:highlight w:val="none"/>
              </w:rPr>
            </w:pPr>
          </w:p>
        </w:tc>
        <w:tc>
          <w:tcPr>
            <w:tcW w:w="995" w:type="dxa"/>
            <w:vAlign w:val="center"/>
          </w:tcPr>
          <w:p w14:paraId="79018484">
            <w:pPr>
              <w:spacing w:line="360" w:lineRule="auto"/>
              <w:jc w:val="center"/>
              <w:rPr>
                <w:rFonts w:hint="eastAsia" w:ascii="仿宋" w:hAnsi="仿宋" w:eastAsia="仿宋" w:cs="仿宋"/>
                <w:sz w:val="24"/>
                <w:highlight w:val="none"/>
              </w:rPr>
            </w:pPr>
          </w:p>
        </w:tc>
        <w:tc>
          <w:tcPr>
            <w:tcW w:w="1046" w:type="dxa"/>
            <w:vAlign w:val="center"/>
          </w:tcPr>
          <w:p w14:paraId="47DF70AD">
            <w:pPr>
              <w:spacing w:line="360" w:lineRule="auto"/>
              <w:jc w:val="center"/>
              <w:rPr>
                <w:rFonts w:hint="eastAsia" w:ascii="仿宋" w:hAnsi="仿宋" w:eastAsia="仿宋" w:cs="仿宋"/>
                <w:sz w:val="24"/>
                <w:highlight w:val="none"/>
              </w:rPr>
            </w:pPr>
          </w:p>
        </w:tc>
        <w:tc>
          <w:tcPr>
            <w:tcW w:w="916" w:type="dxa"/>
            <w:vAlign w:val="top"/>
          </w:tcPr>
          <w:p w14:paraId="3AE89228">
            <w:pPr>
              <w:spacing w:line="360" w:lineRule="auto"/>
              <w:jc w:val="center"/>
              <w:rPr>
                <w:rFonts w:hint="eastAsia" w:ascii="仿宋" w:hAnsi="仿宋" w:eastAsia="仿宋" w:cs="仿宋"/>
                <w:sz w:val="24"/>
                <w:highlight w:val="none"/>
              </w:rPr>
            </w:pPr>
          </w:p>
        </w:tc>
        <w:tc>
          <w:tcPr>
            <w:tcW w:w="900" w:type="dxa"/>
            <w:vAlign w:val="top"/>
          </w:tcPr>
          <w:p w14:paraId="7133B5DB">
            <w:pPr>
              <w:spacing w:line="360" w:lineRule="auto"/>
              <w:jc w:val="center"/>
              <w:rPr>
                <w:rFonts w:hint="eastAsia" w:ascii="仿宋" w:hAnsi="仿宋" w:eastAsia="仿宋" w:cs="仿宋"/>
                <w:sz w:val="24"/>
                <w:highlight w:val="none"/>
              </w:rPr>
            </w:pPr>
          </w:p>
        </w:tc>
        <w:tc>
          <w:tcPr>
            <w:tcW w:w="1356" w:type="dxa"/>
            <w:vAlign w:val="center"/>
          </w:tcPr>
          <w:p w14:paraId="520224CB">
            <w:pPr>
              <w:spacing w:line="360" w:lineRule="auto"/>
              <w:jc w:val="center"/>
              <w:rPr>
                <w:rFonts w:hint="eastAsia" w:ascii="仿宋" w:hAnsi="仿宋" w:eastAsia="仿宋" w:cs="仿宋"/>
                <w:sz w:val="24"/>
                <w:highlight w:val="none"/>
              </w:rPr>
            </w:pPr>
          </w:p>
        </w:tc>
      </w:tr>
      <w:tr w14:paraId="4508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54923D37">
            <w:pPr>
              <w:spacing w:line="360" w:lineRule="auto"/>
              <w:jc w:val="center"/>
              <w:rPr>
                <w:rFonts w:hint="eastAsia" w:ascii="仿宋" w:hAnsi="仿宋" w:eastAsia="仿宋" w:cs="仿宋"/>
                <w:color w:val="0000FF"/>
                <w:sz w:val="24"/>
                <w:highlight w:val="none"/>
              </w:rPr>
            </w:pPr>
            <w:r>
              <w:rPr>
                <w:rFonts w:hint="eastAsia" w:ascii="仿宋" w:hAnsi="仿宋" w:eastAsia="仿宋" w:cs="仿宋"/>
                <w:color w:val="0000FF"/>
                <w:sz w:val="24"/>
                <w:highlight w:val="none"/>
              </w:rPr>
              <w:t>…</w:t>
            </w:r>
          </w:p>
        </w:tc>
        <w:tc>
          <w:tcPr>
            <w:tcW w:w="683" w:type="dxa"/>
            <w:vAlign w:val="center"/>
          </w:tcPr>
          <w:p w14:paraId="389D50C7">
            <w:pPr>
              <w:snapToGrid w:val="0"/>
              <w:spacing w:line="360" w:lineRule="auto"/>
              <w:jc w:val="center"/>
              <w:rPr>
                <w:rFonts w:hint="eastAsia" w:ascii="仿宋" w:hAnsi="仿宋" w:eastAsia="仿宋" w:cs="仿宋"/>
                <w:color w:val="0000FF"/>
                <w:sz w:val="24"/>
                <w:highlight w:val="none"/>
              </w:rPr>
            </w:pPr>
          </w:p>
        </w:tc>
        <w:tc>
          <w:tcPr>
            <w:tcW w:w="918" w:type="dxa"/>
            <w:vAlign w:val="center"/>
          </w:tcPr>
          <w:p w14:paraId="664E589D">
            <w:pPr>
              <w:snapToGrid w:val="0"/>
              <w:spacing w:line="360" w:lineRule="auto"/>
              <w:jc w:val="center"/>
              <w:rPr>
                <w:rFonts w:hint="eastAsia" w:ascii="仿宋" w:hAnsi="仿宋" w:eastAsia="仿宋" w:cs="仿宋"/>
                <w:sz w:val="24"/>
                <w:highlight w:val="none"/>
              </w:rPr>
            </w:pPr>
          </w:p>
        </w:tc>
        <w:tc>
          <w:tcPr>
            <w:tcW w:w="1309" w:type="dxa"/>
            <w:vAlign w:val="center"/>
          </w:tcPr>
          <w:p w14:paraId="64501BBF">
            <w:pPr>
              <w:snapToGrid w:val="0"/>
              <w:spacing w:line="360" w:lineRule="auto"/>
              <w:jc w:val="center"/>
              <w:rPr>
                <w:rFonts w:hint="eastAsia" w:ascii="仿宋" w:hAnsi="仿宋" w:eastAsia="仿宋" w:cs="仿宋"/>
                <w:sz w:val="24"/>
                <w:highlight w:val="none"/>
              </w:rPr>
            </w:pPr>
          </w:p>
        </w:tc>
        <w:tc>
          <w:tcPr>
            <w:tcW w:w="1169" w:type="dxa"/>
            <w:vAlign w:val="center"/>
          </w:tcPr>
          <w:p w14:paraId="48666678">
            <w:pPr>
              <w:snapToGrid w:val="0"/>
              <w:spacing w:line="360" w:lineRule="auto"/>
              <w:jc w:val="center"/>
              <w:rPr>
                <w:rFonts w:hint="eastAsia" w:ascii="仿宋" w:hAnsi="仿宋" w:eastAsia="仿宋" w:cs="仿宋"/>
                <w:sz w:val="24"/>
                <w:highlight w:val="none"/>
              </w:rPr>
            </w:pPr>
          </w:p>
        </w:tc>
        <w:tc>
          <w:tcPr>
            <w:tcW w:w="995" w:type="dxa"/>
            <w:vAlign w:val="center"/>
          </w:tcPr>
          <w:p w14:paraId="5EE227E6">
            <w:pPr>
              <w:spacing w:line="360" w:lineRule="auto"/>
              <w:jc w:val="center"/>
              <w:rPr>
                <w:rFonts w:hint="eastAsia" w:ascii="仿宋" w:hAnsi="仿宋" w:eastAsia="仿宋" w:cs="仿宋"/>
                <w:sz w:val="24"/>
                <w:highlight w:val="none"/>
              </w:rPr>
            </w:pPr>
          </w:p>
        </w:tc>
        <w:tc>
          <w:tcPr>
            <w:tcW w:w="1046" w:type="dxa"/>
            <w:vAlign w:val="center"/>
          </w:tcPr>
          <w:p w14:paraId="5B4F5A63">
            <w:pPr>
              <w:spacing w:line="360" w:lineRule="auto"/>
              <w:jc w:val="center"/>
              <w:rPr>
                <w:rFonts w:hint="eastAsia" w:ascii="仿宋" w:hAnsi="仿宋" w:eastAsia="仿宋" w:cs="仿宋"/>
                <w:sz w:val="24"/>
                <w:highlight w:val="none"/>
              </w:rPr>
            </w:pPr>
          </w:p>
        </w:tc>
        <w:tc>
          <w:tcPr>
            <w:tcW w:w="916" w:type="dxa"/>
            <w:vAlign w:val="top"/>
          </w:tcPr>
          <w:p w14:paraId="5F5C5832">
            <w:pPr>
              <w:spacing w:line="360" w:lineRule="auto"/>
              <w:jc w:val="center"/>
              <w:rPr>
                <w:rFonts w:hint="eastAsia" w:ascii="仿宋" w:hAnsi="仿宋" w:eastAsia="仿宋" w:cs="仿宋"/>
                <w:sz w:val="24"/>
                <w:highlight w:val="none"/>
              </w:rPr>
            </w:pPr>
          </w:p>
        </w:tc>
        <w:tc>
          <w:tcPr>
            <w:tcW w:w="900" w:type="dxa"/>
            <w:vAlign w:val="top"/>
          </w:tcPr>
          <w:p w14:paraId="1E64F23D">
            <w:pPr>
              <w:spacing w:line="360" w:lineRule="auto"/>
              <w:jc w:val="center"/>
              <w:rPr>
                <w:rFonts w:hint="eastAsia" w:ascii="仿宋" w:hAnsi="仿宋" w:eastAsia="仿宋" w:cs="仿宋"/>
                <w:sz w:val="24"/>
                <w:highlight w:val="none"/>
              </w:rPr>
            </w:pPr>
          </w:p>
        </w:tc>
        <w:tc>
          <w:tcPr>
            <w:tcW w:w="1356" w:type="dxa"/>
            <w:vAlign w:val="center"/>
          </w:tcPr>
          <w:p w14:paraId="35B748F7">
            <w:pPr>
              <w:spacing w:line="360" w:lineRule="auto"/>
              <w:jc w:val="center"/>
              <w:rPr>
                <w:rFonts w:hint="eastAsia" w:ascii="仿宋" w:hAnsi="仿宋" w:eastAsia="仿宋" w:cs="仿宋"/>
                <w:sz w:val="24"/>
                <w:highlight w:val="none"/>
              </w:rPr>
            </w:pPr>
          </w:p>
        </w:tc>
      </w:tr>
      <w:tr w14:paraId="2D29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787404FF">
            <w:pPr>
              <w:spacing w:line="360" w:lineRule="auto"/>
              <w:jc w:val="center"/>
              <w:rPr>
                <w:rFonts w:hint="eastAsia" w:ascii="仿宋" w:hAnsi="仿宋" w:eastAsia="仿宋" w:cs="仿宋"/>
                <w:sz w:val="24"/>
                <w:highlight w:val="none"/>
              </w:rPr>
            </w:pPr>
          </w:p>
        </w:tc>
        <w:tc>
          <w:tcPr>
            <w:tcW w:w="683" w:type="dxa"/>
            <w:vAlign w:val="center"/>
          </w:tcPr>
          <w:p w14:paraId="6E7183E2">
            <w:pPr>
              <w:snapToGrid w:val="0"/>
              <w:spacing w:line="360" w:lineRule="auto"/>
              <w:jc w:val="center"/>
              <w:rPr>
                <w:rFonts w:hint="eastAsia" w:ascii="仿宋" w:hAnsi="仿宋" w:eastAsia="仿宋" w:cs="仿宋"/>
                <w:sz w:val="24"/>
                <w:highlight w:val="none"/>
              </w:rPr>
            </w:pPr>
          </w:p>
        </w:tc>
        <w:tc>
          <w:tcPr>
            <w:tcW w:w="918" w:type="dxa"/>
            <w:vAlign w:val="center"/>
          </w:tcPr>
          <w:p w14:paraId="4284AFDE">
            <w:pPr>
              <w:snapToGrid w:val="0"/>
              <w:spacing w:line="360" w:lineRule="auto"/>
              <w:jc w:val="center"/>
              <w:rPr>
                <w:rFonts w:hint="eastAsia" w:ascii="仿宋" w:hAnsi="仿宋" w:eastAsia="仿宋" w:cs="仿宋"/>
                <w:sz w:val="24"/>
                <w:highlight w:val="none"/>
              </w:rPr>
            </w:pPr>
          </w:p>
        </w:tc>
        <w:tc>
          <w:tcPr>
            <w:tcW w:w="1309" w:type="dxa"/>
            <w:vAlign w:val="center"/>
          </w:tcPr>
          <w:p w14:paraId="71FFDB6E">
            <w:pPr>
              <w:snapToGrid w:val="0"/>
              <w:spacing w:line="360" w:lineRule="auto"/>
              <w:jc w:val="center"/>
              <w:rPr>
                <w:rFonts w:hint="eastAsia" w:ascii="仿宋" w:hAnsi="仿宋" w:eastAsia="仿宋" w:cs="仿宋"/>
                <w:sz w:val="24"/>
                <w:highlight w:val="none"/>
              </w:rPr>
            </w:pPr>
          </w:p>
        </w:tc>
        <w:tc>
          <w:tcPr>
            <w:tcW w:w="1169" w:type="dxa"/>
            <w:vAlign w:val="center"/>
          </w:tcPr>
          <w:p w14:paraId="1A9827EB">
            <w:pPr>
              <w:snapToGrid w:val="0"/>
              <w:spacing w:line="360" w:lineRule="auto"/>
              <w:jc w:val="center"/>
              <w:rPr>
                <w:rFonts w:hint="eastAsia" w:ascii="仿宋" w:hAnsi="仿宋" w:eastAsia="仿宋" w:cs="仿宋"/>
                <w:sz w:val="24"/>
                <w:highlight w:val="none"/>
              </w:rPr>
            </w:pPr>
          </w:p>
        </w:tc>
        <w:tc>
          <w:tcPr>
            <w:tcW w:w="995" w:type="dxa"/>
            <w:vAlign w:val="center"/>
          </w:tcPr>
          <w:p w14:paraId="2CA56880">
            <w:pPr>
              <w:spacing w:line="360" w:lineRule="auto"/>
              <w:jc w:val="center"/>
              <w:rPr>
                <w:rFonts w:hint="eastAsia" w:ascii="仿宋" w:hAnsi="仿宋" w:eastAsia="仿宋" w:cs="仿宋"/>
                <w:sz w:val="24"/>
                <w:highlight w:val="none"/>
              </w:rPr>
            </w:pPr>
          </w:p>
        </w:tc>
        <w:tc>
          <w:tcPr>
            <w:tcW w:w="1046" w:type="dxa"/>
            <w:vAlign w:val="center"/>
          </w:tcPr>
          <w:p w14:paraId="15C88D62">
            <w:pPr>
              <w:spacing w:line="360" w:lineRule="auto"/>
              <w:jc w:val="center"/>
              <w:rPr>
                <w:rFonts w:hint="eastAsia" w:ascii="仿宋" w:hAnsi="仿宋" w:eastAsia="仿宋" w:cs="仿宋"/>
                <w:sz w:val="24"/>
                <w:highlight w:val="none"/>
              </w:rPr>
            </w:pPr>
          </w:p>
        </w:tc>
        <w:tc>
          <w:tcPr>
            <w:tcW w:w="916" w:type="dxa"/>
            <w:vAlign w:val="top"/>
          </w:tcPr>
          <w:p w14:paraId="6A409A75">
            <w:pPr>
              <w:spacing w:line="360" w:lineRule="auto"/>
              <w:jc w:val="center"/>
              <w:rPr>
                <w:rFonts w:hint="eastAsia" w:ascii="仿宋" w:hAnsi="仿宋" w:eastAsia="仿宋" w:cs="仿宋"/>
                <w:sz w:val="24"/>
                <w:highlight w:val="none"/>
              </w:rPr>
            </w:pPr>
          </w:p>
        </w:tc>
        <w:tc>
          <w:tcPr>
            <w:tcW w:w="900" w:type="dxa"/>
            <w:vAlign w:val="top"/>
          </w:tcPr>
          <w:p w14:paraId="6E965341">
            <w:pPr>
              <w:spacing w:line="360" w:lineRule="auto"/>
              <w:jc w:val="center"/>
              <w:rPr>
                <w:rFonts w:hint="eastAsia" w:ascii="仿宋" w:hAnsi="仿宋" w:eastAsia="仿宋" w:cs="仿宋"/>
                <w:sz w:val="24"/>
                <w:highlight w:val="none"/>
              </w:rPr>
            </w:pPr>
          </w:p>
        </w:tc>
        <w:tc>
          <w:tcPr>
            <w:tcW w:w="1356" w:type="dxa"/>
            <w:vAlign w:val="center"/>
          </w:tcPr>
          <w:p w14:paraId="796F2BCD">
            <w:pPr>
              <w:spacing w:line="360" w:lineRule="auto"/>
              <w:jc w:val="center"/>
              <w:rPr>
                <w:rFonts w:hint="eastAsia" w:ascii="仿宋" w:hAnsi="仿宋" w:eastAsia="仿宋" w:cs="仿宋"/>
                <w:sz w:val="24"/>
                <w:highlight w:val="none"/>
              </w:rPr>
            </w:pPr>
          </w:p>
        </w:tc>
      </w:tr>
      <w:tr w14:paraId="2645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2" w:type="dxa"/>
            <w:vAlign w:val="center"/>
          </w:tcPr>
          <w:p w14:paraId="74283252">
            <w:pPr>
              <w:spacing w:line="360" w:lineRule="auto"/>
              <w:jc w:val="center"/>
              <w:rPr>
                <w:rFonts w:hint="eastAsia" w:ascii="仿宋" w:hAnsi="仿宋" w:eastAsia="仿宋" w:cs="仿宋"/>
                <w:sz w:val="24"/>
                <w:highlight w:val="none"/>
              </w:rPr>
            </w:pPr>
          </w:p>
        </w:tc>
        <w:tc>
          <w:tcPr>
            <w:tcW w:w="683" w:type="dxa"/>
            <w:vAlign w:val="center"/>
          </w:tcPr>
          <w:p w14:paraId="666D24E8">
            <w:pPr>
              <w:snapToGrid w:val="0"/>
              <w:spacing w:line="360" w:lineRule="auto"/>
              <w:jc w:val="center"/>
              <w:rPr>
                <w:rFonts w:hint="eastAsia" w:ascii="仿宋" w:hAnsi="仿宋" w:eastAsia="仿宋" w:cs="仿宋"/>
                <w:sz w:val="24"/>
                <w:highlight w:val="none"/>
              </w:rPr>
            </w:pPr>
          </w:p>
        </w:tc>
        <w:tc>
          <w:tcPr>
            <w:tcW w:w="918" w:type="dxa"/>
            <w:vAlign w:val="center"/>
          </w:tcPr>
          <w:p w14:paraId="194CA860">
            <w:pPr>
              <w:snapToGrid w:val="0"/>
              <w:spacing w:line="360" w:lineRule="auto"/>
              <w:jc w:val="center"/>
              <w:rPr>
                <w:rFonts w:hint="eastAsia" w:ascii="仿宋" w:hAnsi="仿宋" w:eastAsia="仿宋" w:cs="仿宋"/>
                <w:sz w:val="24"/>
                <w:highlight w:val="none"/>
              </w:rPr>
            </w:pPr>
          </w:p>
        </w:tc>
        <w:tc>
          <w:tcPr>
            <w:tcW w:w="1309" w:type="dxa"/>
            <w:vAlign w:val="center"/>
          </w:tcPr>
          <w:p w14:paraId="2B5F5F26">
            <w:pPr>
              <w:snapToGrid w:val="0"/>
              <w:spacing w:line="360" w:lineRule="auto"/>
              <w:jc w:val="center"/>
              <w:rPr>
                <w:rFonts w:hint="eastAsia" w:ascii="仿宋" w:hAnsi="仿宋" w:eastAsia="仿宋" w:cs="仿宋"/>
                <w:sz w:val="24"/>
                <w:highlight w:val="none"/>
              </w:rPr>
            </w:pPr>
          </w:p>
        </w:tc>
        <w:tc>
          <w:tcPr>
            <w:tcW w:w="1169" w:type="dxa"/>
            <w:vAlign w:val="center"/>
          </w:tcPr>
          <w:p w14:paraId="1BEB0F09">
            <w:pPr>
              <w:snapToGrid w:val="0"/>
              <w:spacing w:line="360" w:lineRule="auto"/>
              <w:jc w:val="center"/>
              <w:rPr>
                <w:rFonts w:hint="eastAsia" w:ascii="仿宋" w:hAnsi="仿宋" w:eastAsia="仿宋" w:cs="仿宋"/>
                <w:sz w:val="24"/>
                <w:highlight w:val="none"/>
              </w:rPr>
            </w:pPr>
          </w:p>
        </w:tc>
        <w:tc>
          <w:tcPr>
            <w:tcW w:w="995" w:type="dxa"/>
            <w:vAlign w:val="center"/>
          </w:tcPr>
          <w:p w14:paraId="4B6C44D5">
            <w:pPr>
              <w:spacing w:line="360" w:lineRule="auto"/>
              <w:jc w:val="center"/>
              <w:rPr>
                <w:rFonts w:hint="eastAsia" w:ascii="仿宋" w:hAnsi="仿宋" w:eastAsia="仿宋" w:cs="仿宋"/>
                <w:sz w:val="24"/>
                <w:highlight w:val="none"/>
              </w:rPr>
            </w:pPr>
          </w:p>
        </w:tc>
        <w:tc>
          <w:tcPr>
            <w:tcW w:w="1046" w:type="dxa"/>
            <w:vAlign w:val="center"/>
          </w:tcPr>
          <w:p w14:paraId="2EFCCA73">
            <w:pPr>
              <w:spacing w:line="360" w:lineRule="auto"/>
              <w:jc w:val="center"/>
              <w:rPr>
                <w:rFonts w:hint="eastAsia" w:ascii="仿宋" w:hAnsi="仿宋" w:eastAsia="仿宋" w:cs="仿宋"/>
                <w:sz w:val="24"/>
                <w:highlight w:val="none"/>
              </w:rPr>
            </w:pPr>
          </w:p>
        </w:tc>
        <w:tc>
          <w:tcPr>
            <w:tcW w:w="916" w:type="dxa"/>
            <w:vAlign w:val="top"/>
          </w:tcPr>
          <w:p w14:paraId="5F796B68">
            <w:pPr>
              <w:spacing w:line="360" w:lineRule="auto"/>
              <w:jc w:val="center"/>
              <w:rPr>
                <w:rFonts w:hint="eastAsia" w:ascii="仿宋" w:hAnsi="仿宋" w:eastAsia="仿宋" w:cs="仿宋"/>
                <w:sz w:val="24"/>
                <w:highlight w:val="none"/>
              </w:rPr>
            </w:pPr>
          </w:p>
        </w:tc>
        <w:tc>
          <w:tcPr>
            <w:tcW w:w="900" w:type="dxa"/>
            <w:vAlign w:val="top"/>
          </w:tcPr>
          <w:p w14:paraId="4C64D279">
            <w:pPr>
              <w:spacing w:line="360" w:lineRule="auto"/>
              <w:jc w:val="center"/>
              <w:rPr>
                <w:rFonts w:hint="eastAsia" w:ascii="仿宋" w:hAnsi="仿宋" w:eastAsia="仿宋" w:cs="仿宋"/>
                <w:sz w:val="24"/>
                <w:highlight w:val="none"/>
              </w:rPr>
            </w:pPr>
          </w:p>
        </w:tc>
        <w:tc>
          <w:tcPr>
            <w:tcW w:w="1356" w:type="dxa"/>
            <w:vAlign w:val="center"/>
          </w:tcPr>
          <w:p w14:paraId="6FB48C6B">
            <w:pPr>
              <w:spacing w:line="360" w:lineRule="auto"/>
              <w:jc w:val="center"/>
              <w:rPr>
                <w:rFonts w:hint="eastAsia" w:ascii="仿宋" w:hAnsi="仿宋" w:eastAsia="仿宋" w:cs="仿宋"/>
                <w:sz w:val="24"/>
                <w:highlight w:val="none"/>
              </w:rPr>
            </w:pPr>
          </w:p>
        </w:tc>
      </w:tr>
      <w:tr w14:paraId="1831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72" w:type="dxa"/>
            <w:gridSpan w:val="4"/>
            <w:vAlign w:val="center"/>
          </w:tcPr>
          <w:p w14:paraId="4C40B2E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投标报价（小写）</w:t>
            </w:r>
          </w:p>
        </w:tc>
        <w:tc>
          <w:tcPr>
            <w:tcW w:w="6382" w:type="dxa"/>
            <w:gridSpan w:val="6"/>
            <w:vAlign w:val="top"/>
          </w:tcPr>
          <w:p w14:paraId="0B696624">
            <w:pPr>
              <w:spacing w:line="360" w:lineRule="auto"/>
              <w:jc w:val="center"/>
              <w:rPr>
                <w:rFonts w:hint="eastAsia" w:ascii="仿宋" w:hAnsi="仿宋" w:eastAsia="仿宋" w:cs="仿宋"/>
                <w:sz w:val="24"/>
                <w:highlight w:val="none"/>
              </w:rPr>
            </w:pPr>
          </w:p>
        </w:tc>
      </w:tr>
      <w:tr w14:paraId="458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472" w:type="dxa"/>
            <w:gridSpan w:val="4"/>
            <w:vAlign w:val="center"/>
          </w:tcPr>
          <w:p w14:paraId="201E750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投标报价（大写）</w:t>
            </w:r>
          </w:p>
        </w:tc>
        <w:tc>
          <w:tcPr>
            <w:tcW w:w="6382" w:type="dxa"/>
            <w:gridSpan w:val="6"/>
            <w:vAlign w:val="top"/>
          </w:tcPr>
          <w:p w14:paraId="12EF91CD">
            <w:pPr>
              <w:spacing w:line="360" w:lineRule="auto"/>
              <w:jc w:val="center"/>
              <w:rPr>
                <w:rFonts w:hint="eastAsia" w:ascii="仿宋" w:hAnsi="仿宋" w:eastAsia="仿宋" w:cs="仿宋"/>
                <w:sz w:val="24"/>
                <w:highlight w:val="none"/>
              </w:rPr>
            </w:pPr>
          </w:p>
        </w:tc>
      </w:tr>
    </w:tbl>
    <w:p w14:paraId="0C61A153">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3C0F1F4B">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14:paraId="6135A482">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kern w:val="0"/>
          <w:sz w:val="24"/>
          <w:highlight w:val="none"/>
          <w:lang w:val="zh-CN"/>
        </w:rPr>
        <w:t>总价</w:t>
      </w:r>
      <w:r>
        <w:rPr>
          <w:rFonts w:hint="eastAsia" w:ascii="仿宋" w:hAnsi="仿宋" w:eastAsia="仿宋" w:cs="仿宋"/>
          <w:kern w:val="0"/>
          <w:sz w:val="24"/>
          <w:highlight w:val="none"/>
          <w:lang w:val="zh-CN" w:eastAsia="zh-CN"/>
        </w:rPr>
        <w:t>不为零</w:t>
      </w:r>
      <w:r>
        <w:rPr>
          <w:rFonts w:hint="eastAsia" w:ascii="仿宋" w:hAnsi="仿宋" w:eastAsia="仿宋" w:cs="仿宋"/>
          <w:kern w:val="0"/>
          <w:sz w:val="24"/>
          <w:highlight w:val="none"/>
          <w:lang w:val="zh-CN"/>
        </w:rPr>
        <w:t>，报价明细表中</w:t>
      </w:r>
      <w:r>
        <w:rPr>
          <w:rFonts w:hint="eastAsia" w:ascii="仿宋" w:hAnsi="仿宋" w:eastAsia="仿宋" w:cs="仿宋"/>
          <w:kern w:val="0"/>
          <w:sz w:val="24"/>
          <w:highlight w:val="none"/>
          <w:lang w:val="zh-CN" w:eastAsia="zh-CN"/>
        </w:rPr>
        <w:t>（删除）部分</w:t>
      </w:r>
      <w:r>
        <w:rPr>
          <w:rFonts w:hint="eastAsia" w:ascii="仿宋" w:hAnsi="仿宋" w:eastAsia="仿宋" w:cs="仿宋"/>
          <w:kern w:val="0"/>
          <w:sz w:val="24"/>
          <w:highlight w:val="none"/>
          <w:lang w:val="zh-CN"/>
        </w:rPr>
        <w:t>产品、服务单价为零的，视作已包含在总价中</w:t>
      </w:r>
      <w:r>
        <w:rPr>
          <w:rFonts w:hint="eastAsia" w:ascii="仿宋" w:hAnsi="仿宋" w:eastAsia="仿宋" w:cs="仿宋"/>
          <w:kern w:val="0"/>
          <w:sz w:val="24"/>
          <w:highlight w:val="none"/>
          <w:lang w:val="zh-CN" w:eastAsia="zh-CN"/>
        </w:rPr>
        <w:t>。</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14:paraId="78596292">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kern w:val="0"/>
          <w:sz w:val="24"/>
          <w:highlight w:val="none"/>
          <w:lang w:val="zh-CN"/>
        </w:rPr>
        <w:t>3、特别提示：采购代理机构将对项目名称和项目编号，中标供应商名称、地址和</w:t>
      </w:r>
      <w:r>
        <w:rPr>
          <w:rFonts w:hint="eastAsia" w:ascii="仿宋" w:hAnsi="仿宋" w:eastAsia="仿宋" w:cs="仿宋"/>
          <w:color w:val="000000" w:themeColor="text1"/>
          <w:kern w:val="0"/>
          <w:sz w:val="24"/>
          <w:highlight w:val="none"/>
          <w:lang w:val="zh-CN"/>
          <w14:textFill>
            <w14:solidFill>
              <w14:schemeClr w14:val="tx1"/>
            </w14:solidFill>
          </w14:textFill>
        </w:rPr>
        <w:t>中标金额，主要中标标的名称、服务范围、服务要求、服务时间、服务标准等予以公示。</w:t>
      </w:r>
    </w:p>
    <w:p w14:paraId="1669A104">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5C5A40">
      <w:pPr>
        <w:snapToGrid w:val="0"/>
        <w:spacing w:line="360" w:lineRule="auto"/>
        <w:ind w:firstLine="480" w:firstLineChars="200"/>
        <w:jc w:val="right"/>
        <w:rPr>
          <w:rFonts w:ascii="仿宋" w:hAnsi="仿宋" w:eastAsia="仿宋" w:cs="宋体"/>
          <w:b w:val="0"/>
          <w:bCs w:val="0"/>
          <w:color w:val="000000" w:themeColor="text1"/>
          <w:kern w:val="0"/>
          <w:sz w:val="24"/>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highlight w:val="none"/>
          <w:lang w:val="zh-CN"/>
          <w14:textFill>
            <w14:solidFill>
              <w14:schemeClr w14:val="tx1"/>
            </w14:solidFill>
          </w14:textFill>
        </w:rPr>
        <w:t>投标人（或联合体牵头人）名称(电子签名)：</w:t>
      </w:r>
    </w:p>
    <w:p w14:paraId="7130BE75">
      <w:pPr>
        <w:spacing w:line="360" w:lineRule="auto"/>
        <w:ind w:left="4620" w:leftChars="2200" w:firstLine="235" w:firstLineChars="98"/>
        <w:jc w:val="right"/>
        <w:rPr>
          <w:rFonts w:ascii="仿宋" w:hAnsi="仿宋" w:eastAsia="仿宋" w:cs="宋体"/>
          <w:b w:val="0"/>
          <w:bCs w:val="0"/>
          <w:color w:val="000000" w:themeColor="text1"/>
          <w:kern w:val="0"/>
          <w:sz w:val="24"/>
          <w:szCs w:val="20"/>
          <w:highlight w:val="none"/>
          <w:lang w:val="zh-CN"/>
          <w14:textFill>
            <w14:solidFill>
              <w14:schemeClr w14:val="tx1"/>
            </w14:solidFill>
          </w14:textFill>
        </w:rPr>
      </w:pPr>
      <w:r>
        <w:rPr>
          <w:rFonts w:hint="eastAsia" w:ascii="仿宋" w:hAnsi="仿宋" w:eastAsia="仿宋" w:cs="宋体"/>
          <w:b w:val="0"/>
          <w:bCs w:val="0"/>
          <w:color w:val="000000" w:themeColor="text1"/>
          <w:kern w:val="0"/>
          <w:sz w:val="24"/>
          <w:szCs w:val="20"/>
          <w:highlight w:val="none"/>
          <w:lang w:val="zh-CN"/>
          <w14:textFill>
            <w14:solidFill>
              <w14:schemeClr w14:val="tx1"/>
            </w14:solidFill>
          </w14:textFill>
        </w:rPr>
        <w:t>日期：   年   月   日</w:t>
      </w:r>
    </w:p>
    <w:p w14:paraId="4F151FA0">
      <w:pPr>
        <w:pStyle w:val="378"/>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5" w:h="16838"/>
          <w:pgMar w:top="680" w:right="1417" w:bottom="680" w:left="1417" w:header="851" w:footer="992" w:gutter="0"/>
          <w:cols w:space="0" w:num="1"/>
          <w:titlePg/>
          <w:rtlGutter w:val="0"/>
          <w:docGrid w:linePitch="312" w:charSpace="0"/>
        </w:sectPr>
      </w:pPr>
    </w:p>
    <w:p w14:paraId="577ED128">
      <w:pPr>
        <w:jc w:val="center"/>
        <w:rPr>
          <w:rFonts w:ascii="仿宋" w:hAnsi="仿宋" w:eastAsia="仿宋" w:cs="宋体"/>
          <w:b/>
          <w:color w:val="000000" w:themeColor="text1"/>
          <w:kern w:val="44"/>
          <w:sz w:val="32"/>
          <w:szCs w:val="32"/>
          <w:highlight w:val="none"/>
          <w14:textFill>
            <w14:solidFill>
              <w14:schemeClr w14:val="tx1"/>
            </w14:solidFill>
          </w14:textFill>
        </w:rPr>
      </w:pPr>
      <w:r>
        <w:rPr>
          <w:rFonts w:hint="eastAsia" w:ascii="仿宋" w:hAnsi="仿宋" w:eastAsia="仿宋" w:cs="宋体"/>
          <w:b/>
          <w:color w:val="000000" w:themeColor="text1"/>
          <w:kern w:val="44"/>
          <w:sz w:val="32"/>
          <w:szCs w:val="32"/>
          <w:highlight w:val="none"/>
          <w14:textFill>
            <w14:solidFill>
              <w14:schemeClr w14:val="tx1"/>
            </w14:solidFill>
          </w14:textFill>
        </w:rPr>
        <w:t>二、报价情况说明（如果有）</w:t>
      </w:r>
    </w:p>
    <w:p w14:paraId="1892B37B">
      <w:pPr>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59D6763A">
      <w:pPr>
        <w:pStyle w:val="378"/>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三、</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4256264E">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6796D307">
      <w:pPr>
        <w:pStyle w:val="5"/>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6E1A8843">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6372C0B3">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409" w:name="OLE_LINK14"/>
      <w:bookmarkStart w:id="410"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409"/>
    <w:bookmarkEnd w:id="410"/>
    <w:p w14:paraId="040DED9C">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2CF57DE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A3CEEB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4EC1028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F1EA19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43CD29D5">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0B89174D">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60A1169C">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6C8DB4C">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0D09040B">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708EC0FD">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2453EB1B">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F64A650">
      <w:pPr>
        <w:spacing w:line="360" w:lineRule="auto"/>
        <w:rPr>
          <w:rFonts w:ascii="仿宋" w:hAnsi="仿宋" w:eastAsia="仿宋" w:cs="宋体"/>
          <w:b/>
          <w:color w:val="000000" w:themeColor="text1"/>
          <w:sz w:val="24"/>
          <w:highlight w:val="none"/>
          <w14:textFill>
            <w14:solidFill>
              <w14:schemeClr w14:val="tx1"/>
            </w14:solidFill>
          </w14:textFill>
        </w:rPr>
      </w:pPr>
    </w:p>
    <w:p w14:paraId="06F8CC0B">
      <w:pPr>
        <w:spacing w:line="360" w:lineRule="auto"/>
        <w:rPr>
          <w:rFonts w:ascii="仿宋" w:hAnsi="仿宋" w:eastAsia="仿宋" w:cs="宋体"/>
          <w:b/>
          <w:color w:val="000000" w:themeColor="text1"/>
          <w:sz w:val="24"/>
          <w:highlight w:val="none"/>
          <w14:textFill>
            <w14:solidFill>
              <w14:schemeClr w14:val="tx1"/>
            </w14:solidFill>
          </w14:textFill>
        </w:rPr>
      </w:pPr>
    </w:p>
    <w:p w14:paraId="4DEFFE26">
      <w:pPr>
        <w:spacing w:line="360" w:lineRule="auto"/>
        <w:rPr>
          <w:rFonts w:ascii="仿宋" w:hAnsi="仿宋" w:eastAsia="仿宋" w:cs="宋体"/>
          <w:b/>
          <w:color w:val="000000" w:themeColor="text1"/>
          <w:sz w:val="24"/>
          <w:highlight w:val="none"/>
          <w14:textFill>
            <w14:solidFill>
              <w14:schemeClr w14:val="tx1"/>
            </w14:solidFill>
          </w14:textFill>
        </w:rPr>
      </w:pPr>
    </w:p>
    <w:p w14:paraId="1E09A9B2">
      <w:pPr>
        <w:spacing w:line="360" w:lineRule="auto"/>
        <w:rPr>
          <w:rFonts w:ascii="仿宋" w:hAnsi="仿宋" w:eastAsia="仿宋" w:cs="宋体"/>
          <w:b/>
          <w:color w:val="000000" w:themeColor="text1"/>
          <w:sz w:val="24"/>
          <w:highlight w:val="none"/>
          <w14:textFill>
            <w14:solidFill>
              <w14:schemeClr w14:val="tx1"/>
            </w14:solidFill>
          </w14:textFill>
        </w:rPr>
      </w:pPr>
    </w:p>
    <w:p w14:paraId="50F96BC4">
      <w:pPr>
        <w:spacing w:line="360" w:lineRule="auto"/>
        <w:rPr>
          <w:rFonts w:ascii="仿宋" w:hAnsi="仿宋" w:eastAsia="仿宋" w:cs="宋体"/>
          <w:b/>
          <w:color w:val="000000" w:themeColor="text1"/>
          <w:sz w:val="24"/>
          <w:highlight w:val="none"/>
          <w14:textFill>
            <w14:solidFill>
              <w14:schemeClr w14:val="tx1"/>
            </w14:solidFill>
          </w14:textFill>
        </w:rPr>
      </w:pPr>
    </w:p>
    <w:p w14:paraId="7DF68051">
      <w:pPr>
        <w:spacing w:line="360" w:lineRule="auto"/>
        <w:rPr>
          <w:rFonts w:ascii="仿宋" w:hAnsi="仿宋" w:eastAsia="仿宋" w:cs="宋体"/>
          <w:b/>
          <w:color w:val="000000" w:themeColor="text1"/>
          <w:sz w:val="24"/>
          <w:highlight w:val="none"/>
          <w14:textFill>
            <w14:solidFill>
              <w14:schemeClr w14:val="tx1"/>
            </w14:solidFill>
          </w14:textFill>
        </w:rPr>
      </w:pPr>
    </w:p>
    <w:p w14:paraId="26F70466">
      <w:pPr>
        <w:spacing w:line="360" w:lineRule="auto"/>
        <w:rPr>
          <w:rFonts w:ascii="仿宋" w:hAnsi="仿宋" w:eastAsia="仿宋" w:cs="宋体"/>
          <w:b/>
          <w:color w:val="000000" w:themeColor="text1"/>
          <w:sz w:val="24"/>
          <w:highlight w:val="none"/>
          <w14:textFill>
            <w14:solidFill>
              <w14:schemeClr w14:val="tx1"/>
            </w14:solidFill>
          </w14:textFill>
        </w:rPr>
      </w:pPr>
    </w:p>
    <w:p w14:paraId="51C353F7">
      <w:pPr>
        <w:spacing w:line="360" w:lineRule="auto"/>
        <w:rPr>
          <w:rFonts w:ascii="仿宋" w:hAnsi="仿宋" w:eastAsia="仿宋" w:cs="宋体"/>
          <w:b/>
          <w:color w:val="000000" w:themeColor="text1"/>
          <w:sz w:val="24"/>
          <w:highlight w:val="none"/>
          <w14:textFill>
            <w14:solidFill>
              <w14:schemeClr w14:val="tx1"/>
            </w14:solidFill>
          </w14:textFill>
        </w:rPr>
      </w:pPr>
    </w:p>
    <w:p w14:paraId="780F69A5">
      <w:pPr>
        <w:spacing w:line="360" w:lineRule="auto"/>
        <w:rPr>
          <w:rFonts w:ascii="仿宋" w:hAnsi="仿宋" w:eastAsia="仿宋" w:cs="宋体"/>
          <w:b/>
          <w:color w:val="000000" w:themeColor="text1"/>
          <w:sz w:val="24"/>
          <w:highlight w:val="none"/>
          <w14:textFill>
            <w14:solidFill>
              <w14:schemeClr w14:val="tx1"/>
            </w14:solidFill>
          </w14:textFill>
        </w:rPr>
      </w:pPr>
    </w:p>
    <w:p w14:paraId="32B6D475">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403613D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7DDC52D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3CF0677A">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2225365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3B8C8B1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557230C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2DA091B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4977CC5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6CD53BC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12A3ADFB">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11C7070E">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2A086CA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1BEA6893">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2A077FB9">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4EC04C93">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3B71BC6A">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736265AB">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5801D98">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10622D1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0A36F48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5F155CB0">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4C6D216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5A5D94C6">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0D26FF0D">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726356C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3A2EAEE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4F0AD261">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11922945">
      <w:pPr>
        <w:spacing w:line="360" w:lineRule="auto"/>
        <w:rPr>
          <w:rFonts w:ascii="仿宋" w:hAnsi="仿宋" w:eastAsia="仿宋" w:cs="宋体"/>
          <w:b/>
          <w:color w:val="000000" w:themeColor="text1"/>
          <w:sz w:val="24"/>
          <w:highlight w:val="none"/>
          <w14:textFill>
            <w14:solidFill>
              <w14:schemeClr w14:val="tx1"/>
            </w14:solidFill>
          </w14:textFill>
        </w:rPr>
      </w:pPr>
    </w:p>
    <w:p w14:paraId="43A141B3">
      <w:pPr>
        <w:spacing w:line="360" w:lineRule="auto"/>
        <w:rPr>
          <w:rFonts w:ascii="仿宋" w:hAnsi="仿宋" w:eastAsia="仿宋" w:cs="宋体"/>
          <w:b/>
          <w:color w:val="000000" w:themeColor="text1"/>
          <w:sz w:val="24"/>
          <w:highlight w:val="none"/>
          <w14:textFill>
            <w14:solidFill>
              <w14:schemeClr w14:val="tx1"/>
            </w14:solidFill>
          </w14:textFill>
        </w:rPr>
      </w:pPr>
    </w:p>
    <w:p w14:paraId="217B812B">
      <w:pPr>
        <w:spacing w:line="360" w:lineRule="auto"/>
        <w:rPr>
          <w:rFonts w:ascii="仿宋" w:hAnsi="仿宋" w:eastAsia="仿宋" w:cs="宋体"/>
          <w:b/>
          <w:color w:val="000000" w:themeColor="text1"/>
          <w:sz w:val="24"/>
          <w:highlight w:val="none"/>
          <w14:textFill>
            <w14:solidFill>
              <w14:schemeClr w14:val="tx1"/>
            </w14:solidFill>
          </w14:textFill>
        </w:rPr>
      </w:pPr>
    </w:p>
    <w:p w14:paraId="050E2D2A">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59608C2F">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4366E61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645BFB3C">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65853631">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080DE78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6AA6C480">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942D0B1">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5A09BFE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2C8CD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CF62C9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F66191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6F24562">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A2A4A0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000B7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D7CD85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239512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0BAF391">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FCC4C0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34ACFB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9A73188">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043F2875">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291AC26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59093F5F">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015B2C0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7AAFDAB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44283406">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2AA00F0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DC1D8C0">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040E11AB">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76066EAA">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75A0769B">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573D970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23BC62E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1FACEDA9">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1E43291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1E6628E6">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6FEDAC8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49359BE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EF83D6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5BC79CD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554F83E5">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015DD88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75126D7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226F5C4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3F74D177">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01AEFF0A">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1062F7D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03A04C05">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1E790230">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34B1979">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6B35DA9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02CB8DF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28BB9EE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345452E5">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0F5BDC80">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7456A030">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6A4F74A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1D8E13F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6563D96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4500428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7262E121">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66FCE67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44E9985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767367BE">
      <w:pPr>
        <w:spacing w:line="360" w:lineRule="auto"/>
        <w:rPr>
          <w:rFonts w:ascii="仿宋" w:hAnsi="仿宋" w:eastAsia="仿宋" w:cs="宋体"/>
          <w:b/>
          <w:color w:val="000000" w:themeColor="text1"/>
          <w:sz w:val="24"/>
          <w:highlight w:val="none"/>
          <w14:textFill>
            <w14:solidFill>
              <w14:schemeClr w14:val="tx1"/>
            </w14:solidFill>
          </w14:textFill>
        </w:rPr>
      </w:pPr>
    </w:p>
    <w:p w14:paraId="465905FA">
      <w:pPr>
        <w:spacing w:line="360" w:lineRule="auto"/>
        <w:rPr>
          <w:rFonts w:ascii="仿宋" w:hAnsi="仿宋" w:eastAsia="仿宋" w:cs="宋体"/>
          <w:b/>
          <w:color w:val="000000" w:themeColor="text1"/>
          <w:sz w:val="24"/>
          <w:highlight w:val="none"/>
          <w14:textFill>
            <w14:solidFill>
              <w14:schemeClr w14:val="tx1"/>
            </w14:solidFill>
          </w14:textFill>
        </w:rPr>
      </w:pPr>
    </w:p>
    <w:p w14:paraId="081EE12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19ACEB83">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D81D3FB">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E0B175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6310783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30B65966">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2F386BD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5794FADE">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1C50E99">
      <w:pPr>
        <w:spacing w:line="360" w:lineRule="auto"/>
        <w:rPr>
          <w:rFonts w:ascii="仿宋" w:hAnsi="仿宋" w:eastAsia="仿宋" w:cs="宋体"/>
          <w:b/>
          <w:color w:val="000000" w:themeColor="text1"/>
          <w:sz w:val="24"/>
          <w:highlight w:val="none"/>
          <w14:textFill>
            <w14:solidFill>
              <w14:schemeClr w14:val="tx1"/>
            </w14:solidFill>
          </w14:textFill>
        </w:rPr>
      </w:pPr>
    </w:p>
    <w:p w14:paraId="2854871C">
      <w:pPr>
        <w:pStyle w:val="80"/>
      </w:pPr>
    </w:p>
    <w:p w14:paraId="4972709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90D4377">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5720D2EB">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59DE0E14">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25718049">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2394D87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1ADB35">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62EEB24C">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E36DE2E">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BAD49DA">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2AD0F65">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CB950BA">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215C1EF6">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2F7DAAE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50DBAAE4">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269E20A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278694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6388ED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2A6D04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2FA90FA">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5237A2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063B59E">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932316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3A82E6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2CFDCC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ED9601C">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0029545B">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1B83FA6E">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B82E8F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0571FD6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3FA647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61DB9BD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14443F9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7420D865">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B7BB6F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7BABE55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3F69228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411"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411"/>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   %以上</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C767A2B">
      <w:pPr>
        <w:snapToGrid w:val="0"/>
        <w:spacing w:line="360" w:lineRule="auto"/>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412"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412"/>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41E61B3C">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413" w:name="_Hlk101133173"/>
      <w:r>
        <w:rPr>
          <w:rFonts w:hint="eastAsia" w:ascii="仿宋" w:hAnsi="仿宋" w:eastAsia="仿宋" w:cs="宋体"/>
          <w:color w:val="000000" w:themeColor="text1"/>
          <w:sz w:val="24"/>
          <w:highlight w:val="none"/>
          <w14:textFill>
            <w14:solidFill>
              <w14:schemeClr w14:val="tx1"/>
            </w14:solidFill>
          </w14:textFill>
        </w:rPr>
        <w:t>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413"/>
    </w:p>
    <w:p w14:paraId="4BD340F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24EB6F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2A3DF2E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BA7867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364A3877">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8625E8D">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5656A29A">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2C6CF81E">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1C6AEBF0">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669C8147">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76986FE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84C672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6204328">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F544F3">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CF2C29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0A6042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68724E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33C329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E81A8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90871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C1E97D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A58EB79">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BB92A3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C5974F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978D16F">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p>
    <w:p w14:paraId="5F57BDF9">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74B2DA6F">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62C21FC9">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1C6613B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155964E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4071C935">
      <w:pPr>
        <w:snapToGrid w:val="0"/>
        <w:spacing w:line="360" w:lineRule="auto"/>
        <w:ind w:firstLine="576"/>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hAnsi="仿宋" w:eastAsia="仿宋"/>
          <w:b/>
          <w:color w:val="000000" w:themeColor="text1"/>
          <w:sz w:val="32"/>
          <w:szCs w:val="32"/>
          <w:highlight w:val="none"/>
          <w14:textFill>
            <w14:solidFill>
              <w14:schemeClr w14:val="tx1"/>
            </w14:solidFill>
          </w14:textFill>
        </w:rPr>
        <w:t>…</w:t>
      </w:r>
    </w:p>
    <w:p w14:paraId="1942ED1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4313E3F7">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   %以上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39092BF9">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    %，小微企业合同金额达到    %</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6CD1A73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6D13125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01AC733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13BE2555">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2526553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257B6F52">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5F63A3C8">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033DB28C">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p>
    <w:p w14:paraId="1BE27C7A">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00F467B3">
      <w:pPr>
        <w:spacing w:line="360" w:lineRule="auto"/>
        <w:ind w:right="42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65CADD2A">
      <w:pPr>
        <w:pStyle w:val="80"/>
      </w:pPr>
    </w:p>
    <w:p w14:paraId="1EFA7F43">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0C14E21F">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2C438CF2">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11BECEC5">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B55BC08">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杭州西站枢纽区域序化管理服务项目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（租赁和商务服务业）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58AC524C">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u w:val="single"/>
          <w:lang w:eastAsia="zh-CN"/>
          <w14:textFill>
            <w14:solidFill>
              <w14:schemeClr w14:val="tx1"/>
            </w14:solidFill>
          </w14:textFill>
        </w:rPr>
        <w:t>杭州西站枢纽区域序化管理服务项目</w:t>
      </w:r>
      <w:r>
        <w:rPr>
          <w:rFonts w:hint="eastAsia" w:ascii="仿宋" w:hAnsi="仿宋" w:eastAsia="仿宋" w:cs="宋体"/>
          <w:color w:val="000000" w:themeColor="text1"/>
          <w:sz w:val="24"/>
          <w:highlight w:val="none"/>
          <w:u w:val="singl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（租赁和商务服务业）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人，营业收入为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万元，资产总额为</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0A2A4D4F">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4AA000F6">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A578B1B">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1840BBDC">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3AB724FE">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7782CDD9">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19807621">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57AD770F">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  注：</w:t>
      </w:r>
    </w:p>
    <w:p w14:paraId="21F9D7E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D2D6F7">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05811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96C48CF">
      <w:pPr>
        <w:spacing w:line="360" w:lineRule="auto"/>
        <w:ind w:right="420"/>
        <w:rPr>
          <w:rFonts w:ascii="仿宋" w:hAnsi="仿宋" w:eastAsia="仿宋" w:cs="宋体"/>
          <w:color w:val="000000" w:themeColor="text1"/>
          <w:highlight w:val="none"/>
          <w14:textFill>
            <w14:solidFill>
              <w14:schemeClr w14:val="tx1"/>
            </w14:solidFill>
          </w14:textFill>
        </w:rPr>
      </w:pPr>
    </w:p>
    <w:p w14:paraId="14948BA2">
      <w:pPr>
        <w:pStyle w:val="3"/>
        <w:ind w:firstLine="0"/>
        <w:rPr>
          <w:rFonts w:ascii="仿宋" w:hAnsi="仿宋" w:eastAsia="仿宋" w:cs="宋体"/>
          <w:b/>
          <w:color w:val="000000" w:themeColor="text1"/>
          <w:szCs w:val="21"/>
          <w:highlight w:val="none"/>
          <w:lang w:val="en-US"/>
          <w14:textFill>
            <w14:solidFill>
              <w14:schemeClr w14:val="tx1"/>
            </w14:solidFill>
          </w14:textFill>
        </w:rPr>
      </w:pPr>
    </w:p>
    <w:p w14:paraId="6321DBA4">
      <w:pPr>
        <w:pStyle w:val="3"/>
        <w:ind w:firstLine="0"/>
        <w:rPr>
          <w:rFonts w:ascii="仿宋" w:hAnsi="仿宋" w:eastAsia="仿宋" w:cs="宋体"/>
          <w:b/>
          <w:color w:val="000000" w:themeColor="text1"/>
          <w:szCs w:val="21"/>
          <w:highlight w:val="none"/>
          <w14:textFill>
            <w14:solidFill>
              <w14:schemeClr w14:val="tx1"/>
            </w14:solidFill>
          </w14:textFill>
        </w:rPr>
      </w:pPr>
    </w:p>
    <w:p w14:paraId="4B6B7858">
      <w:pPr>
        <w:pStyle w:val="3"/>
        <w:ind w:firstLine="0"/>
        <w:rPr>
          <w:rFonts w:ascii="仿宋" w:hAnsi="仿宋" w:eastAsia="仿宋" w:cs="宋体"/>
          <w:b/>
          <w:color w:val="000000" w:themeColor="text1"/>
          <w:szCs w:val="21"/>
          <w:highlight w:val="none"/>
          <w14:textFill>
            <w14:solidFill>
              <w14:schemeClr w14:val="tx1"/>
            </w14:solidFill>
          </w14:textFill>
        </w:rPr>
      </w:pPr>
    </w:p>
    <w:p w14:paraId="516AC695">
      <w:pPr>
        <w:pStyle w:val="3"/>
        <w:ind w:firstLine="0"/>
        <w:rPr>
          <w:rFonts w:ascii="仿宋" w:hAnsi="仿宋" w:eastAsia="仿宋" w:cs="宋体"/>
          <w:b/>
          <w:color w:val="000000" w:themeColor="text1"/>
          <w:szCs w:val="21"/>
          <w:highlight w:val="none"/>
          <w14:textFill>
            <w14:solidFill>
              <w14:schemeClr w14:val="tx1"/>
            </w14:solidFill>
          </w14:textFill>
        </w:rPr>
      </w:pPr>
    </w:p>
    <w:p w14:paraId="37508638">
      <w:pPr>
        <w:pStyle w:val="3"/>
        <w:ind w:firstLine="0"/>
        <w:rPr>
          <w:rFonts w:ascii="仿宋" w:hAnsi="仿宋" w:eastAsia="仿宋" w:cs="宋体"/>
          <w:b/>
          <w:color w:val="000000" w:themeColor="text1"/>
          <w:szCs w:val="21"/>
          <w:highlight w:val="none"/>
          <w14:textFill>
            <w14:solidFill>
              <w14:schemeClr w14:val="tx1"/>
            </w14:solidFill>
          </w14:textFill>
        </w:rPr>
      </w:pPr>
    </w:p>
    <w:p w14:paraId="598F2B60">
      <w:pPr>
        <w:pStyle w:val="3"/>
        <w:ind w:firstLine="0"/>
        <w:rPr>
          <w:rFonts w:ascii="仿宋" w:hAnsi="仿宋" w:eastAsia="仿宋" w:cs="宋体"/>
          <w:b/>
          <w:color w:val="000000" w:themeColor="text1"/>
          <w:szCs w:val="21"/>
          <w:highlight w:val="none"/>
          <w14:textFill>
            <w14:solidFill>
              <w14:schemeClr w14:val="tx1"/>
            </w14:solidFill>
          </w14:textFill>
        </w:rPr>
      </w:pPr>
    </w:p>
    <w:p w14:paraId="7AFC50DF">
      <w:pPr>
        <w:pStyle w:val="3"/>
        <w:ind w:firstLine="0"/>
        <w:rPr>
          <w:rFonts w:ascii="仿宋" w:hAnsi="仿宋" w:eastAsia="仿宋" w:cs="宋体"/>
          <w:b/>
          <w:color w:val="000000" w:themeColor="text1"/>
          <w:szCs w:val="21"/>
          <w:highlight w:val="none"/>
          <w14:textFill>
            <w14:solidFill>
              <w14:schemeClr w14:val="tx1"/>
            </w14:solidFill>
          </w14:textFill>
        </w:rPr>
      </w:pPr>
    </w:p>
    <w:p w14:paraId="6A808D9C">
      <w:pPr>
        <w:pStyle w:val="3"/>
        <w:ind w:firstLine="0"/>
        <w:rPr>
          <w:rFonts w:ascii="仿宋" w:hAnsi="仿宋" w:eastAsia="仿宋" w:cs="宋体"/>
          <w:b/>
          <w:color w:val="000000" w:themeColor="text1"/>
          <w:szCs w:val="21"/>
          <w:highlight w:val="none"/>
          <w14:textFill>
            <w14:solidFill>
              <w14:schemeClr w14:val="tx1"/>
            </w14:solidFill>
          </w14:textFill>
        </w:rPr>
      </w:pPr>
    </w:p>
    <w:p w14:paraId="243A0866">
      <w:pPr>
        <w:pStyle w:val="3"/>
        <w:ind w:firstLine="0"/>
        <w:rPr>
          <w:rFonts w:ascii="仿宋" w:hAnsi="仿宋" w:eastAsia="仿宋" w:cs="宋体"/>
          <w:b/>
          <w:color w:val="000000" w:themeColor="text1"/>
          <w:szCs w:val="21"/>
          <w:highlight w:val="none"/>
          <w14:textFill>
            <w14:solidFill>
              <w14:schemeClr w14:val="tx1"/>
            </w14:solidFill>
          </w14:textFill>
        </w:rPr>
      </w:pPr>
    </w:p>
    <w:p w14:paraId="2CB84C00">
      <w:pPr>
        <w:pStyle w:val="3"/>
        <w:ind w:firstLine="0"/>
        <w:rPr>
          <w:rFonts w:ascii="仿宋" w:hAnsi="仿宋" w:eastAsia="仿宋" w:cs="宋体"/>
          <w:b/>
          <w:color w:val="000000" w:themeColor="text1"/>
          <w:szCs w:val="21"/>
          <w:highlight w:val="none"/>
          <w14:textFill>
            <w14:solidFill>
              <w14:schemeClr w14:val="tx1"/>
            </w14:solidFill>
          </w14:textFill>
        </w:rPr>
      </w:pPr>
    </w:p>
    <w:p w14:paraId="44FA3D07">
      <w:pPr>
        <w:pStyle w:val="3"/>
        <w:ind w:firstLine="0"/>
        <w:rPr>
          <w:rFonts w:ascii="仿宋" w:hAnsi="仿宋" w:eastAsia="仿宋" w:cs="宋体"/>
          <w:b/>
          <w:color w:val="000000" w:themeColor="text1"/>
          <w:szCs w:val="21"/>
          <w:highlight w:val="none"/>
          <w14:textFill>
            <w14:solidFill>
              <w14:schemeClr w14:val="tx1"/>
            </w14:solidFill>
          </w14:textFill>
        </w:rPr>
      </w:pPr>
    </w:p>
    <w:p w14:paraId="53C6A39C">
      <w:pPr>
        <w:pStyle w:val="3"/>
        <w:ind w:firstLine="0"/>
        <w:rPr>
          <w:rFonts w:ascii="仿宋" w:hAnsi="仿宋" w:eastAsia="仿宋" w:cs="宋体"/>
          <w:b/>
          <w:color w:val="000000" w:themeColor="text1"/>
          <w:szCs w:val="21"/>
          <w:highlight w:val="none"/>
          <w14:textFill>
            <w14:solidFill>
              <w14:schemeClr w14:val="tx1"/>
            </w14:solidFill>
          </w14:textFill>
        </w:rPr>
      </w:pPr>
    </w:p>
    <w:p w14:paraId="6B4816D2">
      <w:pPr>
        <w:pStyle w:val="3"/>
        <w:ind w:firstLine="0"/>
        <w:rPr>
          <w:rFonts w:ascii="仿宋" w:hAnsi="仿宋" w:eastAsia="仿宋" w:cs="宋体"/>
          <w:b/>
          <w:color w:val="000000" w:themeColor="text1"/>
          <w:szCs w:val="21"/>
          <w:highlight w:val="none"/>
          <w14:textFill>
            <w14:solidFill>
              <w14:schemeClr w14:val="tx1"/>
            </w14:solidFill>
          </w14:textFill>
        </w:rPr>
      </w:pPr>
    </w:p>
    <w:p w14:paraId="12D1FBD5">
      <w:pPr>
        <w:pStyle w:val="3"/>
        <w:ind w:firstLine="0"/>
        <w:rPr>
          <w:rFonts w:ascii="仿宋" w:hAnsi="仿宋" w:eastAsia="仿宋" w:cs="宋体"/>
          <w:b/>
          <w:color w:val="000000" w:themeColor="text1"/>
          <w:szCs w:val="21"/>
          <w:highlight w:val="none"/>
          <w14:textFill>
            <w14:solidFill>
              <w14:schemeClr w14:val="tx1"/>
            </w14:solidFill>
          </w14:textFill>
        </w:rPr>
      </w:pPr>
    </w:p>
    <w:p w14:paraId="1CEE2E14">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E1B71D9">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258C1FF3">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6B00ACEE">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2E8CD6F3">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5BC48B08">
      <w:pPr>
        <w:pStyle w:val="3"/>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30CCD35B">
      <w:pPr>
        <w:pStyle w:val="3"/>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6065E72E">
      <w:pPr>
        <w:pStyle w:val="620"/>
        <w:spacing w:line="360" w:lineRule="auto"/>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51F8E0B">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国务院关于进一步促进中小企业发展的若干意见</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国发〔2009〕36号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)，制定本规定。</w:t>
      </w:r>
    </w:p>
    <w:p w14:paraId="23DC9286">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2337E3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622153">
      <w:pPr>
        <w:pStyle w:val="620"/>
        <w:adjustRightInd w:val="0"/>
        <w:spacing w:line="360" w:lineRule="auto"/>
        <w:ind w:firstLine="444" w:firstLineChars="200"/>
        <w:jc w:val="both"/>
        <w:rPr>
          <w:rFonts w:hint="eastAsia" w:ascii="仿宋" w:hAnsi="仿宋" w:eastAsia="仿宋" w:cs="宋体"/>
          <w:color w:val="000000" w:themeColor="text1"/>
          <w:spacing w:val="6"/>
          <w:szCs w:val="21"/>
          <w:highlight w:val="none"/>
          <w:lang w:eastAsia="zh-CN"/>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四、各行业划型标准为：</w:t>
      </w:r>
    </w:p>
    <w:p w14:paraId="5DF6626D">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4669253">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184F71">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AFFF9EC">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5F75D2">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9DCF630">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FECE2B">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D0C55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AACEC7">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7D5D52">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EA9B0A">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DF15E9">
      <w:pPr>
        <w:pStyle w:val="3"/>
        <w:rPr>
          <w:rFonts w:ascii="仿宋" w:hAnsi="仿宋" w:eastAsia="仿宋" w:cs="宋体"/>
          <w:b/>
          <w:color w:val="000000" w:themeColor="text1"/>
          <w:sz w:val="21"/>
          <w:szCs w:val="21"/>
          <w:highlight w:val="none"/>
          <w14:textFill>
            <w14:solidFill>
              <w14:schemeClr w14:val="tx1"/>
            </w14:solidFill>
          </w14:textFill>
        </w:rPr>
      </w:pPr>
      <w:r>
        <w:rPr>
          <w:rFonts w:hint="eastAsia" w:ascii="仿宋" w:hAnsi="仿宋" w:eastAsia="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71F3A5">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6136C6">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8B41CB">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78AC25">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620C5429">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五、企业类型的划分以统计部门的统计数据为依据。</w:t>
      </w:r>
    </w:p>
    <w:p w14:paraId="28F6D09A">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13AD9C10">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6C8F4459">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5D7EC23E">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3883B92A">
      <w:pPr>
        <w:pStyle w:val="620"/>
        <w:adjustRightInd w:val="0"/>
        <w:spacing w:line="360" w:lineRule="auto"/>
        <w:ind w:firstLine="444" w:firstLineChars="200"/>
        <w:jc w:val="both"/>
        <w:rPr>
          <w:rFonts w:ascii="仿宋" w:hAnsi="仿宋" w:eastAsia="仿宋" w:cs="宋体"/>
          <w:color w:val="000000" w:themeColor="text1"/>
          <w:spacing w:val="6"/>
          <w:szCs w:val="21"/>
          <w:highlight w:val="none"/>
          <w14:textFill>
            <w14:solidFill>
              <w14:schemeClr w14:val="tx1"/>
            </w14:solidFill>
          </w14:textFill>
        </w:rPr>
      </w:pPr>
      <w:r>
        <w:rPr>
          <w:rFonts w:hint="eastAsia" w:ascii="仿宋" w:hAnsi="仿宋" w:eastAsia="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中小企业标准暂行规定</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宋体"/>
          <w:color w:val="000000" w:themeColor="text1"/>
          <w:spacing w:val="6"/>
          <w:szCs w:val="21"/>
          <w:highlight w:val="none"/>
          <w14:textFill>
            <w14:solidFill>
              <w14:schemeClr w14:val="tx1"/>
            </w14:solidFill>
          </w14:textFill>
        </w:rPr>
        <w:t>国经贸中小企[2003]143号</w:t>
      </w:r>
      <w:r>
        <w:rPr>
          <w:rFonts w:hint="eastAsia" w:ascii="仿宋" w:hAnsi="仿宋" w:eastAsia="仿宋" w:cs="宋体"/>
          <w:color w:val="000000" w:themeColor="text1"/>
          <w:spacing w:val="6"/>
          <w:szCs w:val="21"/>
          <w:highlight w:val="none"/>
          <w14:textFill>
            <w14:solidFill>
              <w14:schemeClr w14:val="tx1"/>
            </w14:solidFill>
          </w14:textFill>
        </w:rPr>
        <w:fldChar w:fldCharType="end"/>
      </w:r>
      <w:r>
        <w:rPr>
          <w:rFonts w:hint="eastAsia" w:ascii="仿宋" w:hAnsi="仿宋" w:eastAsia="仿宋" w:cs="宋体"/>
          <w:color w:val="000000" w:themeColor="text1"/>
          <w:spacing w:val="6"/>
          <w:szCs w:val="21"/>
          <w:highlight w:val="none"/>
          <w14:textFill>
            <w14:solidFill>
              <w14:schemeClr w14:val="tx1"/>
            </w14:solidFill>
          </w14:textFill>
        </w:rPr>
        <w:t>同时废止。</w:t>
      </w:r>
    </w:p>
    <w:p w14:paraId="051F8026">
      <w:pPr>
        <w:pStyle w:val="398"/>
        <w:ind w:firstLine="480"/>
        <w:rPr>
          <w:rFonts w:ascii="仿宋" w:hAnsi="仿宋" w:eastAsia="仿宋"/>
          <w:color w:val="000000" w:themeColor="text1"/>
          <w:highlight w:val="none"/>
          <w14:textFill>
            <w14:solidFill>
              <w14:schemeClr w14:val="tx1"/>
            </w14:solidFill>
          </w14:textFill>
        </w:rPr>
      </w:pPr>
    </w:p>
    <w:p w14:paraId="783ACF64">
      <w:pPr>
        <w:pStyle w:val="398"/>
        <w:ind w:firstLine="480"/>
        <w:rPr>
          <w:rFonts w:ascii="仿宋" w:hAnsi="仿宋" w:eastAsia="仿宋"/>
          <w:color w:val="000000" w:themeColor="text1"/>
          <w:highlight w:val="none"/>
          <w14:textFill>
            <w14:solidFill>
              <w14:schemeClr w14:val="tx1"/>
            </w14:solidFill>
          </w14:textFill>
        </w:rPr>
      </w:pPr>
    </w:p>
    <w:p w14:paraId="76F87B0A">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0E5F152A">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22F78722">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64D87D56">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22D734B5">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064A5BD2">
      <w:pPr>
        <w:pStyle w:val="3"/>
        <w:ind w:firstLine="0"/>
        <w:rPr>
          <w:rFonts w:ascii="仿宋" w:hAnsi="仿宋" w:eastAsia="仿宋" w:cs="宋体"/>
          <w:b/>
          <w:color w:val="000000" w:themeColor="text1"/>
          <w:sz w:val="36"/>
          <w:highlight w:val="none"/>
          <w:lang w:val="en-US"/>
          <w14:textFill>
            <w14:solidFill>
              <w14:schemeClr w14:val="tx1"/>
            </w14:solidFill>
          </w14:textFill>
        </w:rPr>
      </w:pPr>
    </w:p>
    <w:p w14:paraId="03E4A232">
      <w:pPr>
        <w:pStyle w:val="3"/>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767075E4">
      <w:pPr>
        <w:pStyle w:val="6"/>
        <w:jc w:val="center"/>
        <w:rPr>
          <w:rFonts w:ascii="仿宋" w:eastAsia="仿宋"/>
          <w:color w:val="000000" w:themeColor="text1"/>
          <w:highlight w:val="none"/>
          <w:lang w:val="en-US"/>
          <w14:textFill>
            <w14:solidFill>
              <w14:schemeClr w14:val="tx1"/>
            </w14:solidFill>
          </w14:textFill>
        </w:rPr>
      </w:pPr>
      <w:r>
        <w:rPr>
          <w:rFonts w:ascii="仿宋" w:eastAsia="仿宋"/>
          <w:color w:val="000000" w:themeColor="text1"/>
          <w:highlight w:val="none"/>
          <w14:textFill>
            <w14:solidFill>
              <w14:schemeClr w14:val="tx1"/>
            </w14:solidFill>
          </w14:textFill>
        </w:rPr>
        <w:t>政府采购活动现场确认声明书</w:t>
      </w:r>
    </w:p>
    <w:p w14:paraId="7E1B4C3A">
      <w:pPr>
        <w:spacing w:line="360" w:lineRule="auto"/>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天阳建设管理有限公司：</w:t>
      </w:r>
    </w:p>
    <w:p w14:paraId="338AC37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5F06283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434BF49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二、现己清楚知道参加本项目采购活动的其他所有供应商名称，本单位口与其他所有供应商之间均不存在利害关系 口与______________（供应商名称）之间存在下列利害关系: </w:t>
      </w:r>
    </w:p>
    <w:p w14:paraId="52EB819A">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66FE370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7DCC525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4043929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48033C8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4186930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6DC2398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261EA69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2EFECD3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6E62F33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61FD6D5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705F2ED7">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76A87515">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2AA8A571">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37E18804">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202年月日</w:t>
      </w:r>
    </w:p>
    <w:p w14:paraId="7DB337A9">
      <w:pPr>
        <w:spacing w:line="360" w:lineRule="auto"/>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注：在供应商完成本项目在线解密，并知道参加本项目采购活动的其他所有供应商名称后进行签署，签署完毕后将扫描件发送至采购代理机构邮箱：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"mailto:289427596@qq.com" </w:instrText>
      </w:r>
      <w:r>
        <w:rPr>
          <w:color w:val="000000" w:themeColor="text1"/>
          <w:highlight w:val="none"/>
          <w14:textFill>
            <w14:solidFill>
              <w14:schemeClr w14:val="tx1"/>
            </w14:solidFill>
          </w14:textFill>
        </w:rPr>
        <w:fldChar w:fldCharType="separate"/>
      </w:r>
      <w:r>
        <w:rPr>
          <w:rFonts w:hint="eastAsia" w:ascii="仿宋" w:hAnsi="仿宋" w:eastAsia="仿宋"/>
          <w:b/>
          <w:color w:val="000000" w:themeColor="text1"/>
          <w:sz w:val="28"/>
          <w:szCs w:val="28"/>
          <w:highlight w:val="none"/>
          <w:lang w:val="en-US" w:eastAsia="zh-CN"/>
          <w14:textFill>
            <w14:solidFill>
              <w14:schemeClr w14:val="tx1"/>
            </w14:solidFill>
          </w14:textFill>
        </w:rPr>
        <w:t>770210663</w:t>
      </w:r>
      <w:r>
        <w:rPr>
          <w:rFonts w:hint="eastAsia" w:ascii="仿宋" w:hAnsi="仿宋" w:eastAsia="仿宋"/>
          <w:b/>
          <w:color w:val="000000" w:themeColor="text1"/>
          <w:sz w:val="28"/>
          <w:szCs w:val="28"/>
          <w:highlight w:val="none"/>
          <w14:textFill>
            <w14:solidFill>
              <w14:schemeClr w14:val="tx1"/>
            </w14:solidFill>
          </w14:textFill>
        </w:rPr>
        <w:t>@qq.com</w:t>
      </w:r>
      <w:r>
        <w:rPr>
          <w:rFonts w:hint="eastAsia" w:ascii="仿宋" w:hAnsi="仿宋" w:eastAsia="仿宋"/>
          <w:b/>
          <w:color w:val="000000" w:themeColor="text1"/>
          <w:sz w:val="28"/>
          <w:szCs w:val="28"/>
          <w:highlight w:val="none"/>
          <w14:textFill>
            <w14:solidFill>
              <w14:schemeClr w14:val="tx1"/>
            </w14:solidFill>
          </w14:textFill>
        </w:rPr>
        <w:fldChar w:fldCharType="end"/>
      </w:r>
      <w:r>
        <w:rPr>
          <w:rFonts w:hint="eastAsia" w:ascii="仿宋" w:hAnsi="仿宋" w:eastAsia="仿宋"/>
          <w:b/>
          <w:color w:val="000000" w:themeColor="text1"/>
          <w:sz w:val="28"/>
          <w:szCs w:val="28"/>
          <w:highlight w:val="none"/>
          <w14:textFill>
            <w14:solidFill>
              <w14:schemeClr w14:val="tx1"/>
            </w14:solidFill>
          </w14:textFill>
        </w:rPr>
        <w:t>。投标文件中无需提供此声明书。</w:t>
      </w:r>
    </w:p>
    <w:p w14:paraId="391C4DF0">
      <w:pPr>
        <w:pStyle w:val="398"/>
        <w:ind w:firstLine="480"/>
        <w:rPr>
          <w:rFonts w:ascii="仿宋" w:hAnsi="仿宋" w:eastAsia="仿宋"/>
          <w:color w:val="000000" w:themeColor="text1"/>
          <w:highlight w:val="none"/>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国标黑体">
    <w:altName w:val="黑体"/>
    <w:panose1 w:val="02000500000000000000"/>
    <w:charset w:val="86"/>
    <w:family w:val="auto"/>
    <w:pitch w:val="default"/>
    <w:sig w:usb0="00000000" w:usb1="00000000" w:usb2="00000000" w:usb3="00000000" w:csb0="00060007" w:csb1="00000000"/>
  </w:font>
  <w:font w:name="国标仿宋">
    <w:altName w:val="仿宋"/>
    <w:panose1 w:val="02000500000000000000"/>
    <w:charset w:val="86"/>
    <w:family w:val="auto"/>
    <w:pitch w:val="default"/>
    <w:sig w:usb0="00000000" w:usb1="00000000" w:usb2="00000016" w:usb3="00000000" w:csb0="00060007"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B6D0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155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0A85527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68C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E9C7">
    <w:pPr>
      <w:pStyle w:val="42"/>
      <w:framePr w:wrap="around" w:vAnchor="text" w:hAnchor="margin" w:xAlign="right" w:y="1"/>
      <w:rPr>
        <w:rStyle w:val="73"/>
      </w:rPr>
    </w:pPr>
    <w:r>
      <w:fldChar w:fldCharType="begin"/>
    </w:r>
    <w:r>
      <w:rPr>
        <w:rStyle w:val="73"/>
      </w:rPr>
      <w:instrText xml:space="preserve">PAGE  </w:instrText>
    </w:r>
    <w:r>
      <w:fldChar w:fldCharType="end"/>
    </w:r>
  </w:p>
  <w:p w14:paraId="32CA4523">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6F6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4" w:name="_Toc131845147"/>
    <w:bookmarkStart w:id="415" w:name="_Toc91899912"/>
    <w:bookmarkStart w:id="416" w:name="_Toc36110187"/>
    <w:bookmarkStart w:id="417" w:name="_Toc164085800"/>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9BDF">
    <w:pPr>
      <w:pStyle w:val="42"/>
      <w:framePr w:wrap="around" w:vAnchor="text" w:hAnchor="margin" w:xAlign="right" w:y="1"/>
      <w:rPr>
        <w:rStyle w:val="73"/>
      </w:rPr>
    </w:pPr>
    <w:r>
      <w:fldChar w:fldCharType="begin"/>
    </w:r>
    <w:r>
      <w:rPr>
        <w:rStyle w:val="73"/>
      </w:rPr>
      <w:instrText xml:space="preserve">PAGE  </w:instrText>
    </w:r>
    <w:r>
      <w:fldChar w:fldCharType="end"/>
    </w:r>
  </w:p>
  <w:p w14:paraId="135728E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3550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0C2B">
    <w:pPr>
      <w:pStyle w:val="4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A99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2E1BB2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01B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C6C47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77A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3BDEDF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4C6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5DD23E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2E4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97978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B2CC">
    <w:pPr>
      <w:pStyle w:val="43"/>
      <w:pBdr>
        <w:bottom w:val="single" w:color="auto" w:sz="6" w:space="4"/>
      </w:pBdr>
      <w:jc w:val="right"/>
    </w:pPr>
    <w:r>
      <w:t>杭州市政府采购公开招标文件</w:t>
    </w:r>
  </w:p>
  <w:p w14:paraId="6F7F6495">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7C15">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9F09">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878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03AE">
    <w:pPr>
      <w:pStyle w:val="43"/>
      <w:pBdr>
        <w:bottom w:val="single" w:color="auto" w:sz="6" w:space="4"/>
      </w:pBdr>
      <w:jc w:val="right"/>
    </w:pPr>
    <w:r>
      <w:t></w:t>
    </w:r>
    <w:r>
      <w:rPr>
        <w:rFonts w:hint="eastAsia"/>
      </w:rPr>
      <w:t xml:space="preserve">             </w:t>
    </w:r>
    <w:r>
      <w:t>杭州市政府采购公开招标文件</w:t>
    </w:r>
  </w:p>
  <w:p w14:paraId="4D807FD7">
    <w:pPr>
      <w:pStyle w:val="60"/>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48F14">
    <w:pPr>
      <w:pStyle w:val="43"/>
      <w:rPr>
        <w:rFonts w:ascii="仿宋_GB2312" w:eastAsia="仿宋_GB2312"/>
        <w:b/>
        <w:i/>
        <w:u w:val="single"/>
      </w:rPr>
    </w:pPr>
    <w:r>
      <w:t>杭州市政府采购公开招标文件</w:t>
    </w:r>
  </w:p>
  <w:p w14:paraId="2A3A1EF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FA30">
    <w:pPr>
      <w:pStyle w:val="43"/>
    </w:pPr>
    <w:r>
      <w:t></w:t>
    </w:r>
  </w:p>
  <w:p w14:paraId="05762B1C">
    <w:pPr>
      <w:pStyle w:val="43"/>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C67C">
    <w:pPr>
      <w:pStyle w:val="43"/>
      <w:rPr>
        <w:rFonts w:ascii="仿宋_GB2312" w:eastAsia="仿宋_GB2312"/>
        <w:b/>
        <w:i/>
        <w:u w:val="single"/>
      </w:rPr>
    </w:pPr>
    <w:r>
      <w:t>杭州市政府采购公开招标文件</w:t>
    </w:r>
  </w:p>
  <w:p w14:paraId="02DE4E0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13DF">
    <w:pPr>
      <w:pStyle w:val="43"/>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D242">
    <w:pPr>
      <w:pStyle w:val="43"/>
      <w:jc w:val="right"/>
      <w:rPr>
        <w:rFonts w:ascii="仿宋_GB2312" w:eastAsia="仿宋_GB2312"/>
        <w:b/>
        <w:i/>
        <w:u w:val="single"/>
      </w:rPr>
    </w:pPr>
    <w:r>
      <w:t>杭州市政府采购公开招标文件</w:t>
    </w:r>
  </w:p>
  <w:p w14:paraId="1161EFF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914C">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FFB277F9"/>
    <w:multiLevelType w:val="singleLevel"/>
    <w:tmpl w:val="FFB277F9"/>
    <w:lvl w:ilvl="0" w:tentative="0">
      <w:start w:val="1"/>
      <w:numFmt w:val="decimal"/>
      <w:suff w:val="nothing"/>
      <w:lvlText w:val="（%1）"/>
      <w:lvlJc w:val="left"/>
      <w:rPr>
        <w:rFonts w:cs="Times New Roman"/>
      </w:rPr>
    </w:lvl>
  </w:abstractNum>
  <w:abstractNum w:abstractNumId="2">
    <w:nsid w:val="37E7D791"/>
    <w:multiLevelType w:val="singleLevel"/>
    <w:tmpl w:val="37E7D791"/>
    <w:lvl w:ilvl="0" w:tentative="0">
      <w:start w:val="1"/>
      <w:numFmt w:val="decimal"/>
      <w:suff w:val="nothing"/>
      <w:lvlText w:val="（%1）"/>
      <w:lvlJc w:val="left"/>
    </w:lvl>
  </w:abstractNum>
  <w:abstractNum w:abstractNumId="3">
    <w:nsid w:val="4A782818"/>
    <w:multiLevelType w:val="multilevel"/>
    <w:tmpl w:val="4A782818"/>
    <w:lvl w:ilvl="0" w:tentative="0">
      <w:start w:val="1"/>
      <w:numFmt w:val="decimal"/>
      <w:pStyle w:val="966"/>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97B626A"/>
    <w:multiLevelType w:val="singleLevel"/>
    <w:tmpl w:val="597B626A"/>
    <w:lvl w:ilvl="0" w:tentative="0">
      <w:start w:val="5"/>
      <w:numFmt w:val="decimal"/>
      <w:suff w:val="nothing"/>
      <w:lvlText w:val="%1、"/>
      <w:lvlJc w:val="left"/>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NzZmZjk2OTdjMGJlMWQ5NWNmNWI4ZmJlMWVmNmQifQ=="/>
    <w:docVar w:name="KSO_WPS_MARK_KEY" w:val="7d062787-e1cd-445f-ac23-da9f26fac6ae"/>
  </w:docVars>
  <w:rsids>
    <w:rsidRoot w:val="00000000"/>
    <w:rsid w:val="03A0180E"/>
    <w:rsid w:val="03F62DA4"/>
    <w:rsid w:val="0A66686C"/>
    <w:rsid w:val="0C605C22"/>
    <w:rsid w:val="0D167ABF"/>
    <w:rsid w:val="109127D2"/>
    <w:rsid w:val="12401209"/>
    <w:rsid w:val="12956F9D"/>
    <w:rsid w:val="12D877D9"/>
    <w:rsid w:val="138E5887"/>
    <w:rsid w:val="144F233D"/>
    <w:rsid w:val="150E2185"/>
    <w:rsid w:val="15577718"/>
    <w:rsid w:val="167B387A"/>
    <w:rsid w:val="16C635F7"/>
    <w:rsid w:val="1DBA28BE"/>
    <w:rsid w:val="204D2CF8"/>
    <w:rsid w:val="24FC661E"/>
    <w:rsid w:val="26420927"/>
    <w:rsid w:val="270E2AEA"/>
    <w:rsid w:val="29B26860"/>
    <w:rsid w:val="2F9B3EE4"/>
    <w:rsid w:val="31717E30"/>
    <w:rsid w:val="326902B9"/>
    <w:rsid w:val="37CA50B9"/>
    <w:rsid w:val="3BC32B4B"/>
    <w:rsid w:val="408204F5"/>
    <w:rsid w:val="44400DDD"/>
    <w:rsid w:val="48EA2E54"/>
    <w:rsid w:val="4D5A6798"/>
    <w:rsid w:val="4D8460B9"/>
    <w:rsid w:val="4D9354E2"/>
    <w:rsid w:val="4EFE07E8"/>
    <w:rsid w:val="5017233C"/>
    <w:rsid w:val="52C0037C"/>
    <w:rsid w:val="54141A1F"/>
    <w:rsid w:val="55985036"/>
    <w:rsid w:val="56153315"/>
    <w:rsid w:val="57BC6C22"/>
    <w:rsid w:val="5832792B"/>
    <w:rsid w:val="58F71E10"/>
    <w:rsid w:val="5EAF5C82"/>
    <w:rsid w:val="608B52CB"/>
    <w:rsid w:val="638A4D17"/>
    <w:rsid w:val="63C13032"/>
    <w:rsid w:val="63C42F10"/>
    <w:rsid w:val="63E72D17"/>
    <w:rsid w:val="65903F67"/>
    <w:rsid w:val="697215F3"/>
    <w:rsid w:val="6AAC20D3"/>
    <w:rsid w:val="6B752606"/>
    <w:rsid w:val="6C5B4034"/>
    <w:rsid w:val="6E285043"/>
    <w:rsid w:val="6E502713"/>
    <w:rsid w:val="728778F7"/>
    <w:rsid w:val="76223DB7"/>
    <w:rsid w:val="77011A91"/>
    <w:rsid w:val="792170A5"/>
    <w:rsid w:val="7A9909E9"/>
    <w:rsid w:val="7D213533"/>
    <w:rsid w:val="7DF01A9B"/>
    <w:rsid w:val="7E640F7B"/>
    <w:rsid w:val="7F797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2"/>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4"/>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8">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styleId="27">
    <w:name w:val="envelope return"/>
    <w:basedOn w:val="1"/>
    <w:qFormat/>
    <w:uiPriority w:val="99"/>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2"/>
    <w:qFormat/>
    <w:uiPriority w:val="0"/>
    <w:rPr>
      <w:b/>
      <w:bCs/>
    </w:rPr>
  </w:style>
  <w:style w:type="paragraph" w:styleId="62">
    <w:name w:val="Body Text First Indent 2"/>
    <w:basedOn w:val="26"/>
    <w:link w:val="65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9"/>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9"/>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9"/>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7"/>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10"/>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9"/>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5"/>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9"/>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9"/>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7"/>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1"/>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7"/>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0"/>
    <w:next w:val="1"/>
    <w:qFormat/>
    <w:uiPriority w:val="0"/>
    <w:pPr>
      <w:tabs>
        <w:tab w:val="left" w:pos="1080"/>
        <w:tab w:val="clear" w:pos="1008"/>
      </w:tabs>
      <w:ind w:left="1080" w:hanging="1080"/>
    </w:pPr>
  </w:style>
  <w:style w:type="paragraph" w:customStyle="1" w:styleId="581">
    <w:name w:val="数字标题1"/>
    <w:basedOn w:val="5"/>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7"/>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1"/>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4"/>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0"/>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2"/>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9"/>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99"/>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3"/>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6">
    <w:name w:val="List Paragraph"/>
    <w:basedOn w:val="1"/>
    <w:qFormat/>
    <w:uiPriority w:val="34"/>
    <w:pPr>
      <w:numPr>
        <w:ilvl w:val="0"/>
        <w:numId w:val="1"/>
      </w:numPr>
      <w:snapToGrid w:val="0"/>
      <w:spacing w:line="276" w:lineRule="auto"/>
    </w:pPr>
  </w:style>
  <w:style w:type="paragraph" w:customStyle="1" w:styleId="967">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15688</Words>
  <Characters>16897</Characters>
  <Lines>58</Lines>
  <Paragraphs>95</Paragraphs>
  <TotalTime>1</TotalTime>
  <ScaleCrop>false</ScaleCrop>
  <LinksUpToDate>false</LinksUpToDate>
  <CharactersWithSpaces>17173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天阳-SYB</cp:lastModifiedBy>
  <cp:lastPrinted>2024-06-13T17:40:00Z</cp:lastPrinted>
  <dcterms:modified xsi:type="dcterms:W3CDTF">2025-01-16T02:32:29Z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813989DE0E4E465B814D99414BA8E794_13</vt:lpwstr>
  </property>
  <property fmtid="{D5CDD505-2E9C-101B-9397-08002B2CF9AE}" pid="5" name="KSOTemplateDocerSaveRecord">
    <vt:lpwstr>eyJoZGlkIjoiYjE2OTliZjA0OTVkNzY4M2MxYzVkYjBiNjBjMGJkN2UiLCJ1c2VySWQiOiIxMDEzOTg3MjEzIn0=</vt:lpwstr>
  </property>
</Properties>
</file>