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09291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182328C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highlight w:val="none"/>
                <w:vertAlign w:val="baseline"/>
              </w:rPr>
            </w:pPr>
            <w:bookmarkStart w:id="0" w:name="_Hlt74728647"/>
            <w:bookmarkEnd w:id="0"/>
            <w:bookmarkStart w:id="1" w:name="_Hlt74707423"/>
            <w:bookmarkEnd w:id="1"/>
            <w:bookmarkStart w:id="2" w:name="_Hlt74729822"/>
            <w:bookmarkEnd w:id="2"/>
            <w:bookmarkStart w:id="3" w:name="_Hlt74649545"/>
            <w:bookmarkEnd w:id="3"/>
            <w:bookmarkStart w:id="4" w:name="第二部分"/>
            <w:bookmarkStart w:id="5" w:name="_Toc91899870"/>
            <w:bookmarkStart w:id="6" w:name="_Toc91899871"/>
          </w:p>
        </w:tc>
      </w:tr>
      <w:tr w14:paraId="06B7C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5A35752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highlight w:val="none"/>
                <w:vertAlign w:val="baseline"/>
              </w:rPr>
            </w:pPr>
            <w:r>
              <w:rPr>
                <w:rFonts w:hint="eastAsia" w:ascii="宋体" w:hAnsi="宋体" w:cs="宋体"/>
                <w:color w:val="auto"/>
                <w:sz w:val="48"/>
                <w:szCs w:val="48"/>
                <w:highlight w:val="none"/>
              </w:rPr>
              <w:t>杭州市规划和自然资源局萧山分局大楼、自然资源所及档案大楼物业服务政府采购项目</w:t>
            </w:r>
            <w:bookmarkStart w:id="508" w:name="_GoBack"/>
            <w:bookmarkEnd w:id="508"/>
          </w:p>
        </w:tc>
      </w:tr>
      <w:tr w14:paraId="460DF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3FCF779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highlight w:val="none"/>
              </w:rPr>
            </w:pPr>
            <w:r>
              <w:rPr>
                <w:rFonts w:hint="eastAsia" w:ascii="宋体" w:hAnsi="宋体" w:cs="宋体"/>
                <w:color w:val="auto"/>
                <w:sz w:val="48"/>
                <w:szCs w:val="48"/>
                <w:highlight w:val="none"/>
              </w:rPr>
              <w:t>招标文件</w:t>
            </w:r>
          </w:p>
          <w:p w14:paraId="5E58FBB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color w:val="auto"/>
                <w:highlight w:val="none"/>
              </w:rPr>
            </w:pPr>
            <w:r>
              <w:rPr>
                <w:rFonts w:hint="eastAsia" w:ascii="宋体" w:hAnsi="宋体" w:cs="宋体"/>
                <w:b/>
                <w:color w:val="auto"/>
                <w:sz w:val="44"/>
                <w:szCs w:val="44"/>
                <w:highlight w:val="none"/>
              </w:rPr>
              <w:t>（电子招投标）</w:t>
            </w:r>
          </w:p>
        </w:tc>
      </w:tr>
      <w:tr w14:paraId="1980C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26DAFB1B">
            <w:pPr>
              <w:pStyle w:val="2"/>
              <w:jc w:val="center"/>
              <w:rPr>
                <w:rFonts w:hint="default" w:eastAsiaTheme="minorEastAsia"/>
                <w:color w:val="auto"/>
                <w:highlight w:val="none"/>
                <w:lang w:val="en-US" w:eastAsia="zh-CN"/>
              </w:rPr>
            </w:pPr>
            <w:r>
              <w:rPr>
                <w:rFonts w:hint="eastAsia" w:asciiTheme="minorEastAsia" w:hAnsiTheme="minorEastAsia" w:eastAsiaTheme="minorEastAsia" w:cstheme="minorEastAsia"/>
                <w:color w:val="auto"/>
                <w:sz w:val="30"/>
                <w:szCs w:val="30"/>
                <w:highlight w:val="none"/>
              </w:rPr>
              <w:t>编号:</w:t>
            </w:r>
            <w:r>
              <w:rPr>
                <w:rFonts w:hint="eastAsia" w:asciiTheme="minorEastAsia" w:hAnsiTheme="minorEastAsia" w:eastAsiaTheme="minorEastAsia" w:cstheme="minorEastAsia"/>
                <w:color w:val="auto"/>
                <w:sz w:val="30"/>
                <w:szCs w:val="30"/>
                <w:highlight w:val="none"/>
                <w:lang w:val="en-US" w:eastAsia="zh-CN"/>
              </w:rPr>
              <w:t>XZCG2025-GK-ZCY030</w:t>
            </w:r>
          </w:p>
        </w:tc>
      </w:tr>
      <w:tr w14:paraId="11BC3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6" w:hRule="atLeast"/>
          <w:jc w:val="center"/>
        </w:trPr>
        <w:tc>
          <w:tcPr>
            <w:tcW w:w="8440" w:type="dxa"/>
            <w:tcBorders>
              <w:bottom w:val="nil"/>
            </w:tcBorders>
            <w:vAlign w:val="top"/>
          </w:tcPr>
          <w:p w14:paraId="48EAC566">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cs="宋体"/>
                <w:color w:val="auto"/>
                <w:sz w:val="48"/>
                <w:szCs w:val="48"/>
                <w:highlight w:val="none"/>
                <w:vertAlign w:val="baseline"/>
              </w:rPr>
            </w:pPr>
          </w:p>
        </w:tc>
      </w:tr>
      <w:tr w14:paraId="00E8A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8" w:hRule="atLeast"/>
          <w:jc w:val="center"/>
        </w:trPr>
        <w:tc>
          <w:tcPr>
            <w:tcW w:w="8440" w:type="dxa"/>
            <w:tcBorders>
              <w:top w:val="nil"/>
              <w:left w:val="nil"/>
              <w:bottom w:val="nil"/>
              <w:right w:val="nil"/>
            </w:tcBorders>
            <w:vAlign w:val="top"/>
          </w:tcPr>
          <w:p w14:paraId="30D86210">
            <w:pPr>
              <w:snapToGrid w:val="0"/>
              <w:spacing w:line="360" w:lineRule="auto"/>
              <w:jc w:val="center"/>
              <w:rPr>
                <w:rFonts w:hint="eastAsia" w:ascii="宋体" w:hAnsi="宋体" w:cs="宋体"/>
                <w:color w:val="auto"/>
                <w:sz w:val="48"/>
                <w:szCs w:val="48"/>
                <w:highlight w:val="none"/>
                <w:vertAlign w:val="baseline"/>
              </w:rPr>
            </w:pPr>
            <w:r>
              <w:rPr>
                <w:rFonts w:hint="eastAsia" w:ascii="宋体" w:hAnsi="宋体" w:cs="宋体"/>
                <w:color w:val="auto"/>
                <w:sz w:val="32"/>
                <w:szCs w:val="32"/>
                <w:highlight w:val="none"/>
              </w:rPr>
              <w:t>杭州市规划和自然资源局萧山分局</w:t>
            </w:r>
          </w:p>
        </w:tc>
      </w:tr>
      <w:tr w14:paraId="51908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440" w:type="dxa"/>
            <w:tcBorders>
              <w:top w:val="nil"/>
              <w:left w:val="nil"/>
              <w:bottom w:val="nil"/>
              <w:right w:val="nil"/>
            </w:tcBorders>
          </w:tcPr>
          <w:p w14:paraId="18E3F8C5">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杭州市公共资源交易中心萧山分中心</w:t>
            </w:r>
          </w:p>
          <w:p w14:paraId="1306D9D4">
            <w:pPr>
              <w:snapToGrid w:val="0"/>
              <w:spacing w:line="360" w:lineRule="auto"/>
              <w:jc w:val="center"/>
              <w:rPr>
                <w:rFonts w:hint="eastAsia" w:ascii="宋体" w:hAnsi="宋体" w:cs="宋体"/>
                <w:color w:val="auto"/>
                <w:sz w:val="48"/>
                <w:szCs w:val="48"/>
                <w:highlight w:val="none"/>
                <w:vertAlign w:val="baseline"/>
              </w:rPr>
            </w:pP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4</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21</w:t>
            </w:r>
            <w:r>
              <w:rPr>
                <w:rFonts w:hint="eastAsia" w:ascii="宋体" w:hAnsi="宋体" w:cs="宋体"/>
                <w:bCs/>
                <w:color w:val="auto"/>
                <w:sz w:val="32"/>
                <w:szCs w:val="32"/>
                <w:highlight w:val="none"/>
              </w:rPr>
              <w:t>日</w:t>
            </w:r>
          </w:p>
        </w:tc>
      </w:tr>
    </w:tbl>
    <w:p w14:paraId="599F2702">
      <w:pPr>
        <w:rPr>
          <w:color w:val="auto"/>
          <w:highlight w:val="none"/>
        </w:rPr>
      </w:pPr>
      <w:r>
        <w:rPr>
          <w:rFonts w:hint="eastAsia"/>
          <w:color w:val="auto"/>
          <w:highlight w:val="none"/>
        </w:rPr>
        <w:br w:type="page"/>
      </w:r>
    </w:p>
    <w:p w14:paraId="03950B8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E75389C">
      <w:pPr>
        <w:spacing w:line="360" w:lineRule="auto"/>
        <w:rPr>
          <w:rFonts w:ascii="宋体" w:hAnsi="宋体" w:cs="宋体"/>
          <w:color w:val="auto"/>
          <w:sz w:val="32"/>
          <w:szCs w:val="32"/>
          <w:highlight w:val="none"/>
        </w:rPr>
      </w:pPr>
    </w:p>
    <w:p w14:paraId="5E566F71">
      <w:pPr>
        <w:spacing w:line="360" w:lineRule="auto"/>
        <w:rPr>
          <w:rFonts w:ascii="宋体" w:hAnsi="宋体" w:cs="宋体"/>
          <w:color w:val="auto"/>
          <w:sz w:val="32"/>
          <w:szCs w:val="32"/>
          <w:highlight w:val="none"/>
        </w:rPr>
      </w:pPr>
    </w:p>
    <w:p w14:paraId="7564198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0B28AF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9AC2D1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3FFC06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DC7E4E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6DBA97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E61A2FB">
      <w:pPr>
        <w:rPr>
          <w:rFonts w:ascii="宋体" w:hAnsi="宋体" w:cs="宋体"/>
          <w:color w:val="auto"/>
          <w:sz w:val="32"/>
          <w:szCs w:val="32"/>
          <w:highlight w:val="none"/>
        </w:rPr>
      </w:pPr>
      <w:r>
        <w:rPr>
          <w:rFonts w:hint="eastAsia" w:ascii="宋体" w:hAnsi="宋体" w:cs="宋体"/>
          <w:color w:val="auto"/>
          <w:sz w:val="32"/>
          <w:szCs w:val="32"/>
          <w:highlight w:val="none"/>
        </w:rPr>
        <w:br w:type="page"/>
      </w:r>
    </w:p>
    <w:p w14:paraId="6F7DC7DA">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0645D08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1FAE8D8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杭州市规划和自然资源局萧山分局大楼、自然资源所及档案大楼物业服务政府采购项目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lang w:val="en-US" w:eastAsia="zh-CN"/>
        </w:rPr>
        <w:t>2025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13</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00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6B741B5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202EA1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XZCG2025-GK-ZCY030</w:t>
      </w:r>
    </w:p>
    <w:p w14:paraId="070ACA6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杭州市规划和自然资源局萧山分局大楼、自然资源所及档案大楼物业服务政府采购项目</w:t>
      </w:r>
    </w:p>
    <w:p w14:paraId="1E39FAB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6000000</w:t>
      </w:r>
    </w:p>
    <w:p w14:paraId="4BC958DB">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bCs/>
          <w:color w:val="auto"/>
          <w:sz w:val="24"/>
          <w:highlight w:val="none"/>
        </w:rPr>
        <w:t>6000000</w:t>
      </w:r>
    </w:p>
    <w:p w14:paraId="6D598584">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杭州市规划和自然资源局萧山分局大楼、自然资源所及档案大楼物业服务政府采购项目</w:t>
      </w:r>
      <w:r>
        <w:rPr>
          <w:rFonts w:hint="eastAsia" w:hAnsi="宋体" w:cs="宋体"/>
          <w:bCs/>
          <w:snapToGrid/>
          <w:color w:val="auto"/>
          <w:kern w:val="2"/>
          <w:sz w:val="24"/>
          <w:szCs w:val="24"/>
          <w:highlight w:val="none"/>
          <w:lang w:val="en-US" w:eastAsia="zh-CN"/>
        </w:rPr>
        <w:t xml:space="preserve"> </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rPr>
        <w:t>保安、保洁、绿化等服务</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4A57C63C">
      <w:pPr>
        <w:pStyle w:val="128"/>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ascii="宋体" w:hAnsi="宋体" w:cs="宋体"/>
          <w:b/>
          <w:bCs w:val="0"/>
          <w:color w:val="auto"/>
          <w:highlight w:val="none"/>
          <w:lang w:val="en-US" w:eastAsia="zh-CN"/>
        </w:rPr>
        <w:t>2</w:t>
      </w:r>
      <w:r>
        <w:rPr>
          <w:rFonts w:hint="eastAsia" w:hAnsi="宋体" w:cs="宋体"/>
          <w:b/>
          <w:bCs w:val="0"/>
          <w:snapToGrid/>
          <w:color w:val="auto"/>
          <w:kern w:val="2"/>
          <w:sz w:val="24"/>
          <w:szCs w:val="24"/>
          <w:highlight w:val="none"/>
          <w:lang w:val="en-US" w:eastAsia="zh-CN"/>
        </w:rPr>
        <w:t>年</w:t>
      </w:r>
      <w:r>
        <w:rPr>
          <w:rFonts w:hint="eastAsia" w:hAnsi="宋体" w:cs="宋体"/>
          <w:b/>
          <w:bCs w:val="0"/>
          <w:snapToGrid/>
          <w:color w:val="auto"/>
          <w:kern w:val="2"/>
          <w:sz w:val="24"/>
          <w:szCs w:val="24"/>
          <w:highlight w:val="none"/>
          <w:lang w:eastAsia="zh-CN"/>
        </w:rPr>
        <w:t>，</w:t>
      </w:r>
      <w:r>
        <w:rPr>
          <w:rFonts w:hint="eastAsia" w:ascii="宋体" w:hAnsi="宋体" w:cs="宋体"/>
          <w:b/>
          <w:color w:val="auto"/>
          <w:highlight w:val="none"/>
          <w:lang w:eastAsia="zh-CN"/>
        </w:rPr>
        <w:t>详见招标文件</w:t>
      </w:r>
    </w:p>
    <w:p w14:paraId="7CF600FA">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ascii="宋体" w:hAnsi="宋体" w:cs="宋体"/>
            <w:color w:val="auto"/>
            <w:kern w:val="0"/>
            <w:sz w:val="24"/>
            <w:highlight w:val="none"/>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Wingdings" w:hAnsi="Wingdings" w:eastAsia="宋体" w:cs="宋体"/>
              <w:snapToGrid/>
              <w:color w:val="auto"/>
              <w:kern w:val="2"/>
              <w:sz w:val="24"/>
              <w:szCs w:val="24"/>
              <w:highlight w:val="none"/>
              <w:lang w:val="en-US" w:eastAsia="zh-CN" w:bidi="ar-SA"/>
            </w:rPr>
            <w:t>þ</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是；</w:t>
      </w:r>
      <w:sdt>
        <w:sdtPr>
          <w:rPr>
            <w:rFonts w:hint="eastAsia" w:ascii="宋体"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宋体" w:hAnsi="宋体" w:cs="宋体"/>
              <w:snapToGrid/>
              <w:color w:val="auto"/>
              <w:kern w:val="2"/>
              <w:sz w:val="24"/>
              <w:szCs w:val="24"/>
              <w:highlight w:val="none"/>
            </w:rPr>
            <w:t>☐</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否</w:t>
      </w:r>
    </w:p>
    <w:p w14:paraId="0474AA0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F4DBCEC">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B6738F2">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3BD437A1">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BDA435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38BDFB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42EB04F">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w:t>
      </w:r>
      <w:r>
        <w:rPr>
          <w:rFonts w:hint="eastAsia" w:ascii="宋体" w:hAnsi="宋体" w:cs="宋体"/>
          <w:color w:val="auto"/>
          <w:sz w:val="24"/>
          <w:szCs w:val="24"/>
          <w:highlight w:val="none"/>
        </w:rPr>
        <w:t>中小微</w:t>
      </w:r>
      <w:r>
        <w:rPr>
          <w:rFonts w:hint="eastAsia" w:ascii="宋体" w:hAnsi="宋体" w:cs="宋体"/>
          <w:color w:val="auto"/>
          <w:sz w:val="24"/>
          <w:highlight w:val="none"/>
        </w:rPr>
        <w:t>企业承接，提供中小企业声明函；</w:t>
      </w:r>
    </w:p>
    <w:p w14:paraId="28B73E8C">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w:t>
      </w:r>
      <w:r>
        <w:rPr>
          <w:rFonts w:hint="eastAsia" w:ascii="宋体" w:hAnsi="宋体" w:cs="宋体"/>
          <w:color w:val="auto"/>
          <w:sz w:val="24"/>
          <w:szCs w:val="24"/>
          <w:highlight w:val="none"/>
        </w:rPr>
        <w:t>小微</w:t>
      </w:r>
      <w:r>
        <w:rPr>
          <w:rFonts w:hint="eastAsia" w:ascii="宋体" w:hAnsi="宋体" w:cs="宋体"/>
          <w:color w:val="auto"/>
          <w:sz w:val="24"/>
          <w:highlight w:val="none"/>
        </w:rPr>
        <w:t>企业承接，提供中小企业声明函；</w:t>
      </w:r>
    </w:p>
    <w:p w14:paraId="7C588892">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bookmarkStart w:id="7" w:name="_Hlk101132524"/>
        </w:sdtContent>
      </w:sdt>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7"/>
    <w:p w14:paraId="1EA98071">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14:paraId="1FE1F7AE">
      <w:pPr>
        <w:numPr>
          <w:ilvl w:val="0"/>
          <w:numId w:val="1"/>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14:paraId="7EED48AD">
      <w:pPr>
        <w:spacing w:line="360" w:lineRule="auto"/>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sz w:val="24"/>
            <w:szCs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14:paraId="22891574">
      <w:pPr>
        <w:spacing w:line="360" w:lineRule="auto"/>
        <w:rPr>
          <w:color w:val="auto"/>
          <w:highlight w:val="none"/>
        </w:rPr>
      </w:pPr>
      <w:sdt>
        <w:sdtPr>
          <w:rPr>
            <w:rFonts w:hint="eastAsia" w:ascii="宋体" w:hAnsi="宋体" w:eastAsia="宋体" w:cs="宋体"/>
            <w:color w:val="auto"/>
            <w:sz w:val="24"/>
            <w:szCs w:val="24"/>
            <w:highlight w:val="none"/>
          </w:rPr>
          <w:id w:val="4657"/>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lang w:val="en-US" w:eastAsia="zh-CN"/>
            </w:rPr>
            <w:t>☐</w:t>
          </w:r>
        </w:sdtContent>
      </w:sdt>
      <w:r>
        <w:rPr>
          <w:rFonts w:hint="eastAsia" w:ascii="宋体" w:hAnsi="宋体" w:eastAsia="宋体" w:cs="宋体"/>
          <w:color w:val="auto"/>
          <w:sz w:val="24"/>
          <w:szCs w:val="24"/>
          <w:highlight w:val="none"/>
        </w:rPr>
        <w:t>有特定资格要求：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，该特定条件的法律法规据：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50D214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FADA8E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121653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B47FCB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576610F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9CA116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106E42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CADB55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6558C0C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8C7816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7824DDD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79A8632">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B1660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5293D14">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347FE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5978C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83B5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898D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FEF9962">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636B28A">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ab/>
      </w:r>
      <w:r>
        <w:rPr>
          <w:rFonts w:hint="eastAsia" w:ascii="宋体" w:hAnsi="宋体" w:cs="宋体"/>
          <w:color w:val="auto"/>
          <w:sz w:val="24"/>
          <w:highlight w:val="none"/>
        </w:rPr>
        <w:t>1.采购人信息</w:t>
      </w:r>
    </w:p>
    <w:p w14:paraId="7832CC46">
      <w:pPr>
        <w:spacing w:line="360" w:lineRule="auto"/>
        <w:ind w:firstLine="422" w:firstLineChars="0"/>
        <w:rPr>
          <w:rFonts w:hint="eastAsia" w:ascii="宋体" w:hAnsi="宋体" w:cs="宋体"/>
          <w:color w:val="auto"/>
          <w:sz w:val="24"/>
          <w:highlight w:val="none"/>
        </w:rPr>
      </w:pPr>
      <w:r>
        <w:rPr>
          <w:rFonts w:hint="eastAsia" w:ascii="宋体" w:hAnsi="宋体" w:cs="宋体"/>
          <w:color w:val="auto"/>
          <w:sz w:val="24"/>
          <w:highlight w:val="none"/>
        </w:rPr>
        <w:t>名    称：杭州市规划和自然资源局萧山分局</w:t>
      </w:r>
    </w:p>
    <w:p w14:paraId="1E81DEFB">
      <w:pPr>
        <w:spacing w:line="360" w:lineRule="auto"/>
        <w:ind w:firstLine="422" w:firstLineChars="0"/>
        <w:rPr>
          <w:rFonts w:hint="eastAsia" w:ascii="宋体" w:hAnsi="宋体" w:cs="宋体"/>
          <w:color w:val="auto"/>
          <w:sz w:val="24"/>
          <w:highlight w:val="none"/>
        </w:rPr>
      </w:pPr>
      <w:r>
        <w:rPr>
          <w:rFonts w:hint="eastAsia" w:ascii="宋体" w:hAnsi="宋体" w:cs="宋体"/>
          <w:color w:val="auto"/>
          <w:sz w:val="24"/>
          <w:highlight w:val="none"/>
        </w:rPr>
        <w:t>地    址：杭州市萧山区育才北路508号</w:t>
      </w:r>
    </w:p>
    <w:p w14:paraId="3D05BAD9">
      <w:pPr>
        <w:spacing w:line="360" w:lineRule="auto"/>
        <w:ind w:firstLine="422" w:firstLineChars="0"/>
        <w:rPr>
          <w:rFonts w:hint="eastAsia" w:ascii="宋体" w:hAnsi="宋体" w:cs="宋体"/>
          <w:color w:val="auto"/>
          <w:sz w:val="24"/>
          <w:highlight w:val="none"/>
        </w:rPr>
      </w:pPr>
      <w:r>
        <w:rPr>
          <w:rFonts w:hint="eastAsia" w:ascii="宋体" w:hAnsi="宋体" w:cs="宋体"/>
          <w:color w:val="auto"/>
          <w:sz w:val="24"/>
          <w:highlight w:val="none"/>
        </w:rPr>
        <w:t>传    真：/</w:t>
      </w:r>
    </w:p>
    <w:p w14:paraId="65AF49D3">
      <w:pPr>
        <w:spacing w:line="360" w:lineRule="auto"/>
        <w:ind w:firstLine="422" w:firstLineChars="0"/>
        <w:rPr>
          <w:rFonts w:hint="eastAsia" w:ascii="宋体" w:hAnsi="宋体" w:cs="宋体"/>
          <w:color w:val="auto"/>
          <w:sz w:val="24"/>
          <w:highlight w:val="none"/>
        </w:rPr>
      </w:pPr>
      <w:r>
        <w:rPr>
          <w:rFonts w:hint="eastAsia" w:ascii="宋体" w:hAnsi="宋体" w:cs="宋体"/>
          <w:color w:val="auto"/>
          <w:sz w:val="24"/>
          <w:highlight w:val="none"/>
        </w:rPr>
        <w:t>项目联系人（询问）：王女士</w:t>
      </w:r>
    </w:p>
    <w:p w14:paraId="7CCC1F19">
      <w:pPr>
        <w:spacing w:line="360" w:lineRule="auto"/>
        <w:ind w:firstLine="422" w:firstLineChars="0"/>
        <w:rPr>
          <w:rFonts w:hint="eastAsia" w:ascii="宋体" w:hAnsi="宋体" w:cs="宋体"/>
          <w:color w:val="auto"/>
          <w:sz w:val="24"/>
          <w:highlight w:val="none"/>
        </w:rPr>
      </w:pPr>
      <w:r>
        <w:rPr>
          <w:rFonts w:hint="eastAsia" w:ascii="宋体" w:hAnsi="宋体" w:cs="宋体"/>
          <w:color w:val="auto"/>
          <w:sz w:val="24"/>
          <w:highlight w:val="none"/>
        </w:rPr>
        <w:t>项目联系方式（询问）：13867133176</w:t>
      </w:r>
    </w:p>
    <w:p w14:paraId="40D73DA5">
      <w:pPr>
        <w:spacing w:line="360" w:lineRule="auto"/>
        <w:ind w:firstLine="422" w:firstLineChars="0"/>
        <w:rPr>
          <w:rFonts w:hint="eastAsia" w:ascii="宋体" w:hAnsi="宋体" w:cs="宋体"/>
          <w:color w:val="auto"/>
          <w:sz w:val="24"/>
          <w:highlight w:val="none"/>
        </w:rPr>
      </w:pPr>
      <w:r>
        <w:rPr>
          <w:rFonts w:hint="eastAsia" w:ascii="宋体" w:hAnsi="宋体" w:cs="宋体"/>
          <w:color w:val="auto"/>
          <w:sz w:val="24"/>
          <w:highlight w:val="none"/>
        </w:rPr>
        <w:t>质疑联系人：莫先生</w:t>
      </w:r>
    </w:p>
    <w:p w14:paraId="5D25C2FA">
      <w:pPr>
        <w:spacing w:line="360" w:lineRule="auto"/>
        <w:ind w:firstLine="422" w:firstLineChars="0"/>
        <w:rPr>
          <w:rFonts w:ascii="宋体" w:hAnsi="宋体" w:cs="宋体"/>
          <w:color w:val="auto"/>
          <w:sz w:val="24"/>
          <w:highlight w:val="none"/>
        </w:rPr>
      </w:pPr>
      <w:r>
        <w:rPr>
          <w:rFonts w:hint="eastAsia" w:ascii="宋体" w:hAnsi="宋体" w:cs="宋体"/>
          <w:color w:val="auto"/>
          <w:sz w:val="24"/>
          <w:highlight w:val="none"/>
        </w:rPr>
        <w:t>质疑联系方式：0571-83869801</w:t>
      </w:r>
      <w:r>
        <w:rPr>
          <w:rFonts w:hint="eastAsia" w:ascii="宋体" w:hAnsi="宋体" w:cs="宋体"/>
          <w:color w:val="auto"/>
          <w:sz w:val="24"/>
          <w:highlight w:val="none"/>
          <w:lang w:val="en-US" w:eastAsia="zh-CN"/>
        </w:rPr>
        <w:t>（请通过以下路径在线提起质疑：政采云-项目采购-询问质疑投诉-质疑列表）</w:t>
      </w:r>
    </w:p>
    <w:p w14:paraId="6D616C03">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ab/>
      </w:r>
      <w:r>
        <w:rPr>
          <w:rFonts w:hint="eastAsia" w:ascii="宋体" w:hAnsi="宋体" w:cs="宋体"/>
          <w:color w:val="auto"/>
          <w:sz w:val="24"/>
          <w:highlight w:val="none"/>
        </w:rPr>
        <w:t xml:space="preserve">2.采购代理机构信息            </w:t>
      </w:r>
    </w:p>
    <w:p w14:paraId="7374EEC7">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cs="宋体"/>
          <w:color w:val="auto"/>
          <w:sz w:val="24"/>
          <w:highlight w:val="none"/>
        </w:rPr>
      </w:pPr>
      <w:r>
        <w:rPr>
          <w:rFonts w:hint="eastAsia" w:ascii="宋体" w:hAnsi="宋体" w:cs="宋体"/>
          <w:color w:val="auto"/>
          <w:sz w:val="24"/>
          <w:highlight w:val="none"/>
        </w:rPr>
        <w:t>名    称：杭州市公共资源交易中心萧山分中心</w:t>
      </w:r>
    </w:p>
    <w:p w14:paraId="6D63F73B">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cs="宋体"/>
          <w:color w:val="auto"/>
          <w:sz w:val="24"/>
          <w:highlight w:val="none"/>
        </w:rPr>
      </w:pPr>
      <w:r>
        <w:rPr>
          <w:rFonts w:hint="eastAsia" w:ascii="宋体" w:hAnsi="宋体" w:cs="宋体"/>
          <w:color w:val="auto"/>
          <w:sz w:val="24"/>
          <w:highlight w:val="none"/>
        </w:rPr>
        <w:t>地    址：杭州市萧山区博学路618号政务服务中心4楼</w:t>
      </w:r>
    </w:p>
    <w:p w14:paraId="1BF4717B">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cs="宋体"/>
          <w:color w:val="auto"/>
          <w:sz w:val="24"/>
          <w:highlight w:val="none"/>
        </w:rPr>
      </w:pPr>
      <w:r>
        <w:rPr>
          <w:rFonts w:hint="eastAsia" w:ascii="宋体" w:hAnsi="宋体" w:cs="宋体"/>
          <w:color w:val="auto"/>
          <w:sz w:val="24"/>
          <w:highlight w:val="none"/>
        </w:rPr>
        <w:t>传    真：/</w:t>
      </w:r>
    </w:p>
    <w:p w14:paraId="7BD12851">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cs="宋体"/>
          <w:color w:val="auto"/>
          <w:sz w:val="24"/>
          <w:highlight w:val="none"/>
        </w:rPr>
      </w:pPr>
      <w:r>
        <w:rPr>
          <w:rFonts w:hint="eastAsia" w:ascii="宋体" w:hAnsi="宋体" w:cs="宋体"/>
          <w:color w:val="auto"/>
          <w:sz w:val="24"/>
          <w:highlight w:val="none"/>
        </w:rPr>
        <w:t>项目联系人（询问）：吴工</w:t>
      </w:r>
    </w:p>
    <w:p w14:paraId="5F0EE423">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cs="宋体"/>
          <w:color w:val="auto"/>
          <w:sz w:val="24"/>
          <w:highlight w:val="none"/>
        </w:rPr>
      </w:pPr>
      <w:r>
        <w:rPr>
          <w:rFonts w:hint="eastAsia" w:ascii="宋体" w:hAnsi="宋体" w:cs="宋体"/>
          <w:color w:val="auto"/>
          <w:sz w:val="24"/>
          <w:highlight w:val="none"/>
        </w:rPr>
        <w:t>项目联系方式（询问）：0571-89615409</w:t>
      </w:r>
    </w:p>
    <w:p w14:paraId="168592C5">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沈先生</w:t>
      </w:r>
    </w:p>
    <w:p w14:paraId="4989ED9A">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cs="宋体"/>
          <w:color w:val="auto"/>
          <w:sz w:val="24"/>
          <w:highlight w:val="none"/>
        </w:rPr>
      </w:pPr>
      <w:r>
        <w:rPr>
          <w:rFonts w:hint="eastAsia" w:ascii="宋体" w:hAnsi="宋体" w:cs="宋体"/>
          <w:color w:val="auto"/>
          <w:sz w:val="24"/>
          <w:highlight w:val="none"/>
        </w:rPr>
        <w:t>质疑联系方式：0571-89615</w:t>
      </w:r>
      <w:r>
        <w:rPr>
          <w:rFonts w:hint="eastAsia" w:ascii="宋体" w:hAnsi="宋体" w:cs="宋体"/>
          <w:color w:val="auto"/>
          <w:sz w:val="24"/>
          <w:highlight w:val="none"/>
          <w:lang w:val="en-US" w:eastAsia="zh-CN"/>
        </w:rPr>
        <w:t>040</w:t>
      </w:r>
      <w:r>
        <w:rPr>
          <w:rFonts w:hint="eastAsia" w:ascii="宋体" w:hAnsi="宋体" w:cs="宋体"/>
          <w:color w:val="auto"/>
          <w:sz w:val="24"/>
          <w:highlight w:val="none"/>
          <w:lang w:val="en-US" w:eastAsia="zh-CN"/>
        </w:rPr>
        <w:t>（请通过以下路径在线提起质疑：政采云-项目采购-询问质疑投诉-质疑列表）</w:t>
      </w:r>
    </w:p>
    <w:p w14:paraId="5C47FE5E">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ab/>
      </w:r>
      <w:r>
        <w:rPr>
          <w:rFonts w:hint="eastAsia" w:ascii="宋体" w:hAnsi="宋体" w:cs="宋体"/>
          <w:color w:val="auto"/>
          <w:sz w:val="24"/>
          <w:highlight w:val="none"/>
        </w:rPr>
        <w:t>3.同级政府采购监督管理部门</w:t>
      </w:r>
    </w:p>
    <w:p w14:paraId="664B0F63">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名    称：萧山区财政局</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浙江省政府采购行政裁决服务中心（杭州）</w:t>
      </w:r>
    </w:p>
    <w:p w14:paraId="3C43768A">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lang w:eastAsia="zh-CN"/>
        </w:rPr>
        <w:t>杭州市上城区清泰街549号城建综合大楼11楼</w:t>
      </w:r>
      <w:r>
        <w:rPr>
          <w:rFonts w:hint="eastAsia" w:ascii="宋体" w:hAnsi="宋体" w:eastAsia="宋体" w:cs="宋体"/>
          <w:color w:val="auto"/>
          <w:sz w:val="24"/>
          <w:highlight w:val="none"/>
        </w:rPr>
        <w:t>（快递仅限ems或顺丰）</w:t>
      </w:r>
    </w:p>
    <w:p w14:paraId="24E909B2">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2389E81D">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联系人 ：</w:t>
      </w:r>
      <w:r>
        <w:rPr>
          <w:rFonts w:hint="eastAsia" w:ascii="宋体" w:hAnsi="宋体" w:cs="宋体"/>
          <w:color w:val="auto"/>
          <w:sz w:val="24"/>
          <w:highlight w:val="none"/>
          <w:lang w:val="en-US" w:eastAsia="zh-CN"/>
        </w:rPr>
        <w:t>朱女士、王女士</w:t>
      </w:r>
    </w:p>
    <w:p w14:paraId="536BE86D">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cs="宋体"/>
          <w:color w:val="auto"/>
          <w:sz w:val="24"/>
          <w:highlight w:val="none"/>
        </w:rPr>
      </w:pPr>
      <w:r>
        <w:rPr>
          <w:rFonts w:hint="eastAsia" w:ascii="宋体" w:hAnsi="宋体" w:cs="宋体"/>
          <w:color w:val="auto"/>
          <w:sz w:val="24"/>
          <w:highlight w:val="none"/>
        </w:rPr>
        <w:t>监督投诉电话：0571-8</w:t>
      </w:r>
      <w:r>
        <w:rPr>
          <w:rFonts w:hint="eastAsia" w:ascii="宋体" w:hAnsi="宋体" w:cs="宋体"/>
          <w:color w:val="auto"/>
          <w:sz w:val="24"/>
          <w:highlight w:val="none"/>
          <w:lang w:val="en-US" w:eastAsia="zh-CN"/>
        </w:rPr>
        <w:t>7227671,0571-87800218</w:t>
      </w:r>
    </w:p>
    <w:p w14:paraId="2D0CFCCA">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政策咨询电话：</w:t>
      </w:r>
      <w:r>
        <w:rPr>
          <w:rFonts w:hint="eastAsia" w:ascii="宋体" w:hAnsi="宋体" w:cs="宋体"/>
          <w:color w:val="auto"/>
          <w:sz w:val="24"/>
          <w:highlight w:val="none"/>
        </w:rPr>
        <w:t>0571-82756122</w:t>
      </w:r>
      <w:r>
        <w:rPr>
          <w:rFonts w:hint="eastAsia" w:ascii="宋体" w:hAnsi="宋体" w:eastAsia="宋体" w:cs="宋体"/>
          <w:color w:val="auto"/>
          <w:sz w:val="24"/>
          <w:highlight w:val="none"/>
          <w:lang w:eastAsia="zh-CN"/>
        </w:rPr>
        <w:t>（汤先生）</w:t>
      </w:r>
    </w:p>
    <w:p w14:paraId="76A6260F">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highlight w:val="none"/>
        </w:rPr>
        <w:t>获取热线服务帮助。</w:t>
      </w:r>
    </w:p>
    <w:p w14:paraId="4B5AF350">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9CA412">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01E289C2">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14:paraId="1D49D254">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C7881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tcPr>
          <w:p w14:paraId="37D7F74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FF871C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B941B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224A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230037">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A657B58">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B7025F4">
            <w:pPr>
              <w:pageBreakBefore w:val="0"/>
              <w:kinsoku/>
              <w:wordWrap/>
              <w:overflowPunct/>
              <w:topLinePunct w:val="0"/>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服务类。</w:t>
            </w:r>
          </w:p>
        </w:tc>
      </w:tr>
      <w:tr w14:paraId="4EC20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874159">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E7F4C86">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AA118A2">
            <w:pPr>
              <w:pageBreakBefore w:val="0"/>
              <w:kinsoku/>
              <w:wordWrap/>
              <w:overflowPunct/>
              <w:topLinePunct w:val="0"/>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rPr>
              <w:t>标的：</w:t>
            </w:r>
            <w:r>
              <w:rPr>
                <w:rFonts w:hint="eastAsia" w:ascii="宋体" w:hAnsi="宋体" w:cs="宋体"/>
                <w:color w:val="auto"/>
                <w:sz w:val="24"/>
                <w:highlight w:val="none"/>
                <w:u w:val="single"/>
                <w:lang w:val="en-US" w:eastAsia="zh-CN"/>
              </w:rPr>
              <w:t>物业管理服务</w:t>
            </w:r>
            <w:r>
              <w:rPr>
                <w:rFonts w:hint="eastAsia" w:ascii="宋体" w:hAnsi="宋体" w:cs="宋体"/>
                <w:color w:val="auto"/>
                <w:sz w:val="24"/>
                <w:highlight w:val="none"/>
                <w:u w:val="none"/>
              </w:rPr>
              <w:t>，</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物业管理</w:t>
            </w:r>
            <w:r>
              <w:rPr>
                <w:rFonts w:hint="eastAsia" w:ascii="宋体" w:hAnsi="宋体" w:cs="宋体"/>
                <w:color w:val="auto"/>
                <w:sz w:val="24"/>
                <w:highlight w:val="none"/>
              </w:rPr>
              <w:t>行业；</w:t>
            </w:r>
          </w:p>
          <w:p w14:paraId="494BE12C">
            <w:pPr>
              <w:pageBreakBefore w:val="0"/>
              <w:kinsoku/>
              <w:wordWrap/>
              <w:overflowPunct/>
              <w:topLinePunct w:val="0"/>
              <w:bidi w:val="0"/>
              <w:snapToGrid w:val="0"/>
              <w:spacing w:line="360" w:lineRule="auto"/>
              <w:textAlignment w:val="auto"/>
              <w:rPr>
                <w:color w:val="auto"/>
                <w:highlight w:val="none"/>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14:paraId="1826A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C9C1A4">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66122FE">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E4B4F">
            <w:pPr>
              <w:pageBreakBefore w:val="0"/>
              <w:kinsoku/>
              <w:wordWrap/>
              <w:overflowPunct/>
              <w:topLinePunct w:val="0"/>
              <w:bidi w:val="0"/>
              <w:snapToGrid w:val="0"/>
              <w:spacing w:line="360" w:lineRule="auto"/>
              <w:textAlignment w:val="auto"/>
              <w:rPr>
                <w:rFonts w:hint="eastAsia"/>
                <w:color w:val="auto"/>
                <w:sz w:val="24"/>
                <w:szCs w:val="24"/>
                <w:highlight w:val="none"/>
              </w:rPr>
            </w:pPr>
            <w:sdt>
              <w:sdtPr>
                <w:rPr>
                  <w:rFonts w:hint="eastAsia"/>
                  <w:color w:val="auto"/>
                  <w:sz w:val="24"/>
                  <w:szCs w:val="24"/>
                  <w:highlight w:val="none"/>
                </w:rPr>
                <w:id w:val="4658"/>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sym w:font="Wingdings" w:char="F0FE"/>
                </w:r>
              </w:sdtContent>
            </w:sdt>
            <w:r>
              <w:rPr>
                <w:rFonts w:hint="eastAsia"/>
                <w:color w:val="auto"/>
                <w:sz w:val="24"/>
                <w:szCs w:val="24"/>
                <w:highlight w:val="none"/>
              </w:rPr>
              <w:t>本项目不允许采购进口产品。</w:t>
            </w:r>
          </w:p>
          <w:p w14:paraId="31A92558">
            <w:pPr>
              <w:pageBreakBefore w:val="0"/>
              <w:kinsoku/>
              <w:wordWrap/>
              <w:overflowPunct/>
              <w:topLinePunct w:val="0"/>
              <w:bidi w:val="0"/>
              <w:snapToGrid w:val="0"/>
              <w:spacing w:line="360" w:lineRule="auto"/>
              <w:textAlignment w:val="auto"/>
              <w:rPr>
                <w:rFonts w:ascii="宋体" w:hAnsi="宋体" w:cs="宋体"/>
                <w:color w:val="auto"/>
                <w:highlight w:val="none"/>
              </w:rPr>
            </w:pPr>
            <w:sdt>
              <w:sdtPr>
                <w:rPr>
                  <w:rFonts w:hint="eastAsia"/>
                  <w:color w:val="auto"/>
                  <w:sz w:val="24"/>
                  <w:szCs w:val="24"/>
                  <w:highlight w:val="none"/>
                </w:rPr>
                <w:id w:val="4659"/>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可以就</w:t>
            </w:r>
            <w:r>
              <w:rPr>
                <w:rFonts w:hint="eastAsia"/>
                <w:color w:val="auto"/>
                <w:sz w:val="24"/>
                <w:szCs w:val="24"/>
                <w:highlight w:val="none"/>
                <w:u w:val="single"/>
              </w:rPr>
              <w:t xml:space="preserve">    </w:t>
            </w:r>
            <w:r>
              <w:rPr>
                <w:rFonts w:hint="eastAsia"/>
                <w:color w:val="auto"/>
                <w:sz w:val="24"/>
                <w:szCs w:val="24"/>
                <w:highlight w:val="none"/>
              </w:rPr>
              <w:t>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12FF8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7601ECC">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B681A66">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C410CF8">
            <w:pPr>
              <w:pageBreakBefore w:val="0"/>
              <w:kinsoku/>
              <w:wordWrap/>
              <w:overflowPunct/>
              <w:topLinePunct w:val="0"/>
              <w:bidi w:val="0"/>
              <w:snapToGrid w:val="0"/>
              <w:spacing w:line="360" w:lineRule="auto"/>
              <w:textAlignment w:val="auto"/>
              <w:rPr>
                <w:rFonts w:hint="eastAsia" w:ascii="宋体" w:hAnsi="宋体" w:cs="宋体"/>
                <w:color w:val="auto"/>
                <w:sz w:val="24"/>
                <w:szCs w:val="24"/>
                <w:highlight w:val="none"/>
              </w:rPr>
            </w:pPr>
            <w:sdt>
              <w:sdtPr>
                <w:rPr>
                  <w:rFonts w:hint="eastAsia" w:ascii="宋体" w:hAnsi="宋体" w:cs="宋体"/>
                  <w:color w:val="auto"/>
                  <w:kern w:val="0"/>
                  <w:sz w:val="24"/>
                  <w:szCs w:val="24"/>
                  <w:highlight w:val="none"/>
                </w:rPr>
                <w:id w:val="466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ascii="Wingdings" w:hAnsi="Wingdings" w:cs="宋体"/>
                    <w:color w:val="auto"/>
                    <w:kern w:val="0"/>
                    <w:sz w:val="24"/>
                    <w:szCs w:val="24"/>
                    <w:highlight w:val="none"/>
                  </w:rPr>
                  <w:t></w:t>
                </w:r>
              </w:sdtContent>
            </w:sdt>
            <w:r>
              <w:rPr>
                <w:rFonts w:hint="eastAsia" w:ascii="宋体" w:hAnsi="宋体" w:cs="宋体"/>
                <w:color w:val="auto"/>
                <w:kern w:val="0"/>
                <w:sz w:val="24"/>
                <w:szCs w:val="24"/>
                <w:highlight w:val="none"/>
              </w:rPr>
              <w:t xml:space="preserve"> A</w:t>
            </w:r>
            <w:r>
              <w:rPr>
                <w:rFonts w:hint="eastAsia" w:ascii="宋体" w:hAnsi="宋体" w:cs="宋体"/>
                <w:color w:val="auto"/>
                <w:sz w:val="24"/>
                <w:szCs w:val="24"/>
                <w:highlight w:val="none"/>
              </w:rPr>
              <w:t>同意将非主体、非关键性的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垃圾清运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工作分包。</w:t>
            </w:r>
          </w:p>
          <w:p w14:paraId="2DB5597D">
            <w:pPr>
              <w:pageBreakBefore w:val="0"/>
              <w:kinsoku/>
              <w:wordWrap/>
              <w:overflowPunct/>
              <w:topLinePunct w:val="0"/>
              <w:bidi w:val="0"/>
              <w:snapToGrid w:val="0"/>
              <w:spacing w:line="360" w:lineRule="auto"/>
              <w:textAlignment w:val="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6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cs="宋体"/>
                    <w:color w:val="auto"/>
                    <w:kern w:val="0"/>
                    <w:sz w:val="24"/>
                    <w:szCs w:val="24"/>
                    <w:highlight w:val="none"/>
                  </w:rPr>
                  <w:t>☐</w:t>
                </w:r>
              </w:sdtContent>
            </w:sdt>
            <w:r>
              <w:rPr>
                <w:rFonts w:hint="eastAsia" w:ascii="宋体" w:hAnsi="宋体" w:cs="宋体"/>
                <w:color w:val="auto"/>
                <w:kern w:val="0"/>
                <w:sz w:val="24"/>
                <w:szCs w:val="24"/>
                <w:highlight w:val="none"/>
              </w:rPr>
              <w:t xml:space="preserve"> B</w:t>
            </w:r>
            <w:r>
              <w:rPr>
                <w:rFonts w:hint="eastAsia" w:ascii="宋体" w:hAnsi="宋体" w:cs="宋体"/>
                <w:color w:val="auto"/>
                <w:sz w:val="24"/>
                <w:szCs w:val="24"/>
                <w:highlight w:val="none"/>
              </w:rPr>
              <w:t>不同意分包。</w:t>
            </w:r>
          </w:p>
          <w:p w14:paraId="4A99196F">
            <w:pPr>
              <w:pageBreakBefore w:val="0"/>
              <w:kinsoku/>
              <w:wordWrap/>
              <w:overflowPunct/>
              <w:topLinePunct w:val="0"/>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szCs w:val="24"/>
                <w:highlight w:val="none"/>
              </w:rPr>
              <w:t>注：不得限制大中型企业向小微企业合理分包。</w:t>
            </w:r>
          </w:p>
        </w:tc>
      </w:tr>
      <w:tr w14:paraId="2BB5E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D5B368">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2B3CC36">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EF8B047">
            <w:pPr>
              <w:pageBreakBefore w:val="0"/>
              <w:kinsoku/>
              <w:wordWrap/>
              <w:overflowPunct/>
              <w:topLinePunct w:val="0"/>
              <w:bidi w:val="0"/>
              <w:snapToGrid w:val="0"/>
              <w:spacing w:line="36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4747981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675F415">
            <w:pPr>
              <w:pageBreakBefore w:val="0"/>
              <w:kinsoku/>
              <w:wordWrap/>
              <w:overflowPunct/>
              <w:topLinePunct w:val="0"/>
              <w:bidi w:val="0"/>
              <w:snapToGrid w:val="0"/>
              <w:spacing w:line="360" w:lineRule="auto"/>
              <w:textAlignment w:val="auto"/>
              <w:rPr>
                <w:rFonts w:ascii="宋体" w:hAnsi="宋体" w:cs="宋体"/>
                <w:color w:val="auto"/>
                <w:sz w:val="24"/>
                <w:szCs w:val="20"/>
                <w:highlight w:val="none"/>
              </w:rPr>
            </w:pPr>
            <w:sdt>
              <w:sdtPr>
                <w:rPr>
                  <w:rFonts w:hint="eastAsia" w:ascii="宋体" w:hAnsi="宋体" w:cs="宋体"/>
                  <w:color w:val="auto"/>
                  <w:kern w:val="0"/>
                  <w:sz w:val="24"/>
                  <w:highlight w:val="none"/>
                </w:rPr>
                <w:id w:val="14746089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szCs w:val="20"/>
                <w:highlight w:val="none"/>
              </w:rPr>
              <w:t>。</w:t>
            </w:r>
          </w:p>
        </w:tc>
      </w:tr>
      <w:tr w14:paraId="6E797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1C2583">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040BB4B">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0E6EAB8">
            <w:pPr>
              <w:pageBreakBefore w:val="0"/>
              <w:kinsoku/>
              <w:wordWrap/>
              <w:overflowPunct/>
              <w:topLinePunct w:val="0"/>
              <w:bidi w:val="0"/>
              <w:snapToGrid w:val="0"/>
              <w:spacing w:line="360" w:lineRule="auto"/>
              <w:textAlignment w:val="auto"/>
              <w:rPr>
                <w:color w:val="auto"/>
                <w:sz w:val="24"/>
                <w:szCs w:val="24"/>
                <w:highlight w:val="none"/>
              </w:rPr>
            </w:pPr>
            <w:sdt>
              <w:sdtPr>
                <w:rPr>
                  <w:rFonts w:hint="eastAsia"/>
                  <w:color w:val="auto"/>
                  <w:sz w:val="24"/>
                  <w:szCs w:val="24"/>
                  <w:highlight w:val="none"/>
                </w:rPr>
                <w:id w:val="4664"/>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ascii="Wingdings" w:hAnsi="Wingdings" w:eastAsia="宋体" w:cs="Times New Roman"/>
                    <w:color w:val="auto"/>
                    <w:kern w:val="2"/>
                    <w:sz w:val="24"/>
                    <w:szCs w:val="24"/>
                    <w:highlight w:val="none"/>
                    <w:lang w:val="en-US" w:eastAsia="zh-CN" w:bidi="ar-SA"/>
                  </w:rPr>
                  <w:t>þ</w:t>
                </w:r>
              </w:sdtContent>
            </w:sdt>
            <w:r>
              <w:rPr>
                <w:rFonts w:hint="eastAsia"/>
                <w:color w:val="auto"/>
                <w:sz w:val="24"/>
                <w:szCs w:val="24"/>
                <w:highlight w:val="none"/>
              </w:rPr>
              <w:t>A不要求提供。</w:t>
            </w:r>
          </w:p>
          <w:p w14:paraId="2AB512C3">
            <w:pPr>
              <w:pageBreakBefore w:val="0"/>
              <w:kinsoku/>
              <w:wordWrap/>
              <w:overflowPunct/>
              <w:topLinePunct w:val="0"/>
              <w:bidi w:val="0"/>
              <w:snapToGrid w:val="0"/>
              <w:spacing w:line="360" w:lineRule="auto"/>
              <w:textAlignment w:val="auto"/>
              <w:rPr>
                <w:color w:val="auto"/>
                <w:highlight w:val="none"/>
              </w:rPr>
            </w:pPr>
            <w:sdt>
              <w:sdtPr>
                <w:rPr>
                  <w:rFonts w:hint="eastAsia"/>
                  <w:color w:val="auto"/>
                  <w:sz w:val="24"/>
                  <w:szCs w:val="24"/>
                  <w:highlight w:val="none"/>
                </w:rPr>
                <w:id w:val="1026831988"/>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B要求提供</w:t>
            </w:r>
            <w:r>
              <w:rPr>
                <w:rFonts w:hint="eastAsia"/>
                <w:color w:val="auto"/>
                <w:sz w:val="24"/>
                <w:szCs w:val="24"/>
                <w:highlight w:val="none"/>
              </w:rPr>
              <w:t>。</w:t>
            </w:r>
          </w:p>
        </w:tc>
      </w:tr>
      <w:tr w14:paraId="158D1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918AB4">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F9A4064">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07A8D83">
            <w:pPr>
              <w:pageBreakBefore w:val="0"/>
              <w:kinsoku/>
              <w:wordWrap/>
              <w:overflowPunct/>
              <w:topLinePunct w:val="0"/>
              <w:bidi w:val="0"/>
              <w:snapToGrid w:val="0"/>
              <w:spacing w:line="360" w:lineRule="auto"/>
              <w:textAlignment w:val="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p w14:paraId="68670FBF">
            <w:pPr>
              <w:pageBreakBefore w:val="0"/>
              <w:kinsoku/>
              <w:wordWrap/>
              <w:overflowPunct/>
              <w:topLinePunct w:val="0"/>
              <w:bidi w:val="0"/>
              <w:snapToGrid w:val="0"/>
              <w:spacing w:line="360" w:lineRule="auto"/>
              <w:textAlignment w:val="auto"/>
              <w:rPr>
                <w:rFonts w:ascii="宋体" w:hAnsi="宋体" w:cs="宋体"/>
                <w:b/>
                <w:color w:val="auto"/>
                <w:kern w:val="0"/>
                <w:sz w:val="24"/>
                <w:highlight w:val="none"/>
                <w:lang w:val="zh-CN"/>
              </w:rPr>
            </w:pPr>
            <w:sdt>
              <w:sdtPr>
                <w:rPr>
                  <w:rFonts w:hint="eastAsia" w:ascii="宋体" w:hAnsi="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0"/>
                <w:sz w:val="24"/>
                <w:szCs w:val="24"/>
                <w:highlight w:val="none"/>
              </w:rPr>
              <w:t>B组织。</w:t>
            </w:r>
          </w:p>
        </w:tc>
      </w:tr>
      <w:tr w14:paraId="22863B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restart"/>
            <w:tcBorders>
              <w:top w:val="single" w:color="auto" w:sz="4" w:space="0"/>
              <w:left w:val="single" w:color="auto" w:sz="4" w:space="0"/>
              <w:right w:val="single" w:color="auto" w:sz="4" w:space="0"/>
            </w:tcBorders>
            <w:vAlign w:val="center"/>
          </w:tcPr>
          <w:p w14:paraId="1824DD26">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A3FEF1B">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F7BE0AD">
            <w:pPr>
              <w:pageBreakBefore w:val="0"/>
              <w:kinsoku/>
              <w:wordWrap/>
              <w:overflowPunct/>
              <w:topLinePunct w:val="0"/>
              <w:bidi w:val="0"/>
              <w:snapToGrid w:val="0"/>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（1）资格证明文件：见招标文件第二部分11.1。</w:t>
            </w:r>
          </w:p>
          <w:p w14:paraId="7B2641EA">
            <w:pPr>
              <w:pageBreakBefore w:val="0"/>
              <w:kinsoku/>
              <w:wordWrap/>
              <w:overflowPunct/>
              <w:topLinePunct w:val="0"/>
              <w:bidi w:val="0"/>
              <w:snapToGrid w:val="0"/>
              <w:spacing w:line="360" w:lineRule="auto"/>
              <w:textAlignment w:val="auto"/>
              <w:rPr>
                <w:rFonts w:ascii="宋体" w:hAnsi="宋体" w:cs="宋体"/>
                <w:snapToGrid w:val="0"/>
                <w:color w:val="auto"/>
                <w:kern w:val="0"/>
                <w:szCs w:val="21"/>
                <w:highlight w:val="none"/>
              </w:rPr>
            </w:pPr>
            <w:r>
              <w:rPr>
                <w:rFonts w:hint="eastAsia" w:ascii="宋体" w:hAnsi="宋体" w:cs="宋体"/>
                <w:color w:val="auto"/>
                <w:kern w:val="0"/>
                <w:sz w:val="24"/>
                <w:szCs w:val="24"/>
                <w:highlight w:val="none"/>
                <w:lang w:val="zh-CN"/>
              </w:rPr>
              <w:t>投标人未提供有效的资格证明文件的，视为投标人不具备招标文件中规定的资格要求，投标无效。</w:t>
            </w:r>
          </w:p>
        </w:tc>
      </w:tr>
      <w:tr w14:paraId="75200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continue"/>
            <w:tcBorders>
              <w:left w:val="single" w:color="auto" w:sz="4" w:space="0"/>
              <w:bottom w:val="single" w:color="auto" w:sz="4" w:space="0"/>
              <w:right w:val="single" w:color="auto" w:sz="4" w:space="0"/>
            </w:tcBorders>
            <w:vAlign w:val="center"/>
          </w:tcPr>
          <w:p w14:paraId="70A9280F">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E34227C">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072DE05">
            <w:pPr>
              <w:pageBreakBefore w:val="0"/>
              <w:kinsoku/>
              <w:wordWrap/>
              <w:overflowPunct/>
              <w:topLinePunct w:val="0"/>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szCs w:val="24"/>
                <w:highlight w:val="none"/>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highlight w:val="none"/>
                <w:u w:val="single"/>
              </w:rPr>
              <w:t>。</w:t>
            </w:r>
          </w:p>
        </w:tc>
      </w:tr>
      <w:tr w14:paraId="2519A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89EEA01">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7BC253C">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DF48DC5">
            <w:pPr>
              <w:pageBreakBefore w:val="0"/>
              <w:kinsoku/>
              <w:wordWrap/>
              <w:overflowPunct/>
              <w:topLinePunct w:val="0"/>
              <w:bidi w:val="0"/>
              <w:snapToGrid w:val="0"/>
              <w:spacing w:line="360" w:lineRule="auto"/>
              <w:textAlignment w:val="auto"/>
              <w:rPr>
                <w:rFonts w:ascii="宋体" w:hAnsi="宋体" w:cs="宋体"/>
                <w:color w:val="auto"/>
                <w:highlight w:val="none"/>
              </w:rPr>
            </w:pPr>
            <w:sdt>
              <w:sdtPr>
                <w:rPr>
                  <w:rFonts w:hint="eastAsia" w:ascii="宋体" w:hAnsi="宋体" w:eastAsia="宋体" w:cs="宋体"/>
                  <w:color w:val="auto"/>
                  <w:kern w:val="2"/>
                  <w:sz w:val="24"/>
                  <w:szCs w:val="24"/>
                  <w:highlight w:val="none"/>
                  <w:lang w:val="en-US" w:eastAsia="zh-CN" w:bidi="ar-SA"/>
                </w:rPr>
                <w:id w:val="147479076"/>
                <w14:checkbox>
                  <w14:checked w14:val="1"/>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kern w:val="2"/>
                <w:sz w:val="24"/>
                <w:szCs w:val="24"/>
                <w:highlight w:val="none"/>
                <w:lang w:val="en-US" w:eastAsia="zh-CN" w:bidi="ar-SA"/>
              </w:rPr>
              <w:t>无。</w:t>
            </w:r>
          </w:p>
        </w:tc>
      </w:tr>
      <w:tr w14:paraId="4DDDD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9E72E2E">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2D91345">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EEAEBE6">
            <w:pPr>
              <w:pageBreakBefore w:val="0"/>
              <w:kinsoku/>
              <w:wordWrap/>
              <w:overflowPunct/>
              <w:topLinePunct w:val="0"/>
              <w:bidi w:val="0"/>
              <w:snapToGrid w:val="0"/>
              <w:spacing w:line="360" w:lineRule="auto"/>
              <w:jc w:val="left"/>
              <w:textAlignment w:val="auto"/>
              <w:rPr>
                <w:rFonts w:ascii="宋体" w:hAnsi="宋体" w:cs="宋体"/>
                <w:b/>
                <w:color w:val="auto"/>
                <w:kern w:val="0"/>
                <w:sz w:val="24"/>
                <w:szCs w:val="24"/>
                <w:highlight w:val="none"/>
                <w:lang w:val="zh-CN"/>
              </w:rPr>
            </w:pPr>
            <w:r>
              <w:rPr>
                <w:rFonts w:hint="eastAsia" w:ascii="宋体" w:hAnsi="宋体" w:cs="宋体"/>
                <w:color w:val="auto"/>
                <w:kern w:val="0"/>
                <w:sz w:val="24"/>
                <w:szCs w:val="24"/>
                <w:highlight w:val="none"/>
                <w:lang w:val="zh-CN"/>
              </w:rPr>
              <w:t>有关本项目实施所需的所有费用（含税费）均计入报价。</w:t>
            </w:r>
            <w:r>
              <w:rPr>
                <w:rFonts w:hint="eastAsia" w:ascii="宋体" w:hAnsi="宋体" w:cs="宋体"/>
                <w:b/>
                <w:bCs/>
                <w:color w:val="auto"/>
                <w:kern w:val="0"/>
                <w:sz w:val="24"/>
                <w:szCs w:val="24"/>
                <w:highlight w:val="none"/>
                <w:lang w:val="zh-CN"/>
              </w:rPr>
              <w:t>投标文件</w:t>
            </w:r>
            <w:r>
              <w:rPr>
                <w:rFonts w:hint="eastAsia" w:ascii="宋体" w:hAnsi="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szCs w:val="24"/>
                <w:highlight w:val="none"/>
                <w:lang w:val="zh-CN"/>
              </w:rPr>
              <w:t>提醒：验收时检测费用由采购人承担，不包含在投标总价中。</w:t>
            </w:r>
          </w:p>
          <w:p w14:paraId="4D4D4E5C">
            <w:pPr>
              <w:pageBreakBefore w:val="0"/>
              <w:kinsoku/>
              <w:wordWrap/>
              <w:overflowPunct/>
              <w:topLinePunct w:val="0"/>
              <w:bidi w:val="0"/>
              <w:snapToGrid w:val="0"/>
              <w:spacing w:line="360" w:lineRule="auto"/>
              <w:jc w:val="left"/>
              <w:textAlignment w:val="auto"/>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投标报价出现下列情形的，投标无效：</w:t>
            </w:r>
          </w:p>
          <w:p w14:paraId="284BE4C6">
            <w:pPr>
              <w:pageBreakBefore w:val="0"/>
              <w:kinsoku/>
              <w:wordWrap/>
              <w:overflowPunct/>
              <w:topLinePunct w:val="0"/>
              <w:bidi w:val="0"/>
              <w:snapToGrid w:val="0"/>
              <w:spacing w:line="360" w:lineRule="auto"/>
              <w:ind w:firstLine="241" w:firstLineChars="100"/>
              <w:jc w:val="left"/>
              <w:textAlignment w:val="auto"/>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投标文件出现不是唯一的、有选择性投标报价的；</w:t>
            </w:r>
          </w:p>
          <w:p w14:paraId="191F1F0F">
            <w:pPr>
              <w:pageBreakBefore w:val="0"/>
              <w:kinsoku/>
              <w:wordWrap/>
              <w:overflowPunct/>
              <w:topLinePunct w:val="0"/>
              <w:bidi w:val="0"/>
              <w:snapToGrid w:val="0"/>
              <w:spacing w:line="360" w:lineRule="auto"/>
              <w:ind w:firstLine="241" w:firstLineChars="100"/>
              <w:jc w:val="left"/>
              <w:textAlignment w:val="auto"/>
              <w:rPr>
                <w:rFonts w:ascii="宋体" w:hAnsi="宋体" w:cs="宋体"/>
                <w:color w:val="auto"/>
                <w:kern w:val="0"/>
                <w:sz w:val="24"/>
                <w:szCs w:val="24"/>
                <w:highlight w:val="none"/>
                <w:lang w:val="zh-CN"/>
              </w:rPr>
            </w:pPr>
            <w:r>
              <w:rPr>
                <w:rFonts w:hint="eastAsia" w:ascii="宋体" w:hAnsi="宋体" w:cs="宋体"/>
                <w:b/>
                <w:color w:val="auto"/>
                <w:kern w:val="0"/>
                <w:sz w:val="24"/>
                <w:szCs w:val="24"/>
                <w:highlight w:val="none"/>
                <w:lang w:val="zh-CN"/>
              </w:rPr>
              <w:t>投标报价超过招标文件中规定的预算金额或者最高限价的;</w:t>
            </w:r>
          </w:p>
          <w:p w14:paraId="60CC473C">
            <w:pPr>
              <w:pageBreakBefore w:val="0"/>
              <w:kinsoku/>
              <w:wordWrap/>
              <w:overflowPunct/>
              <w:topLinePunct w:val="0"/>
              <w:bidi w:val="0"/>
              <w:snapToGrid w:val="0"/>
              <w:spacing w:line="360" w:lineRule="auto"/>
              <w:ind w:firstLine="241" w:firstLineChars="100"/>
              <w:textAlignment w:val="auto"/>
              <w:rPr>
                <w:rFonts w:ascii="宋体" w:hAnsi="宋体" w:cs="宋体"/>
                <w:b/>
                <w:color w:val="auto"/>
                <w:sz w:val="24"/>
                <w:szCs w:val="24"/>
                <w:highlight w:val="none"/>
              </w:rPr>
            </w:pPr>
            <w:r>
              <w:rPr>
                <w:rFonts w:hint="eastAsia" w:ascii="宋体" w:hAnsi="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highlight w:val="none"/>
              </w:rPr>
              <w:t>;</w:t>
            </w:r>
          </w:p>
          <w:p w14:paraId="11B011A3">
            <w:pPr>
              <w:pageBreakBefore w:val="0"/>
              <w:kinsoku/>
              <w:wordWrap/>
              <w:overflowPunct/>
              <w:topLinePunct w:val="0"/>
              <w:bidi w:val="0"/>
              <w:snapToGrid w:val="0"/>
              <w:spacing w:line="360" w:lineRule="auto"/>
              <w:ind w:firstLine="241" w:firstLineChars="100"/>
              <w:textAlignment w:val="auto"/>
              <w:rPr>
                <w:rFonts w:ascii="宋体" w:hAnsi="宋体" w:cs="宋体"/>
                <w:color w:val="auto"/>
                <w:sz w:val="24"/>
                <w:highlight w:val="none"/>
              </w:rPr>
            </w:pPr>
            <w:r>
              <w:rPr>
                <w:rFonts w:hint="eastAsia" w:ascii="宋体" w:hAnsi="宋体" w:cs="宋体"/>
                <w:b/>
                <w:color w:val="auto"/>
                <w:kern w:val="0"/>
                <w:sz w:val="24"/>
                <w:szCs w:val="24"/>
                <w:highlight w:val="none"/>
              </w:rPr>
              <w:t>投标人对根据修正原则修正后的报价不确认的</w:t>
            </w:r>
            <w:r>
              <w:rPr>
                <w:rFonts w:hint="eastAsia" w:ascii="宋体" w:hAnsi="宋体" w:cs="宋体"/>
                <w:b/>
                <w:color w:val="auto"/>
                <w:sz w:val="24"/>
                <w:szCs w:val="24"/>
                <w:highlight w:val="none"/>
              </w:rPr>
              <w:t>。</w:t>
            </w:r>
          </w:p>
        </w:tc>
      </w:tr>
      <w:tr w14:paraId="12B40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right w:val="single" w:color="000000" w:sz="2" w:space="0"/>
            </w:tcBorders>
            <w:vAlign w:val="center"/>
          </w:tcPr>
          <w:p w14:paraId="07A33737">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11A4E5EE">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1F6D32A">
            <w:pPr>
              <w:pageBreakBefore w:val="0"/>
              <w:kinsoku/>
              <w:wordWrap/>
              <w:overflowPunct/>
              <w:topLinePunct w:val="0"/>
              <w:bidi w:val="0"/>
              <w:snapToGrid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6AB99128">
            <w:pPr>
              <w:pageBreakBefore w:val="0"/>
              <w:kinsoku/>
              <w:wordWrap/>
              <w:overflowPunct/>
              <w:topLinePunct w:val="0"/>
              <w:bidi w:val="0"/>
              <w:snapToGrid w:val="0"/>
              <w:spacing w:after="0" w:line="360" w:lineRule="auto"/>
              <w:textAlignment w:val="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14:paraId="37737B3B">
            <w:pPr>
              <w:pageBreakBefore w:val="0"/>
              <w:kinsoku/>
              <w:wordWrap/>
              <w:overflowPunct/>
              <w:topLinePunct w:val="0"/>
              <w:bidi w:val="0"/>
              <w:snapToGrid w:val="0"/>
              <w:spacing w:after="0" w:line="360" w:lineRule="auto"/>
              <w:textAlignment w:val="auto"/>
              <w:rPr>
                <w:rFonts w:ascii="宋体" w:hAnsi="宋体" w:cs="宋体"/>
                <w:color w:val="auto"/>
                <w:sz w:val="24"/>
                <w:highlight w:val="none"/>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6"/>
                <w:rFonts w:ascii="仿宋" w:hAnsi="仿宋" w:eastAsia="仿宋" w:cstheme="majorBidi"/>
                <w:snapToGrid/>
                <w:color w:val="auto"/>
                <w:sz w:val="24"/>
                <w:szCs w:val="24"/>
                <w:highlight w:val="none"/>
              </w:rPr>
              <w:t>http://www.xiaoshan.gov.cn/art/2018/12/20/art_1229293109_1559514.html</w:t>
            </w:r>
            <w:r>
              <w:rPr>
                <w:rStyle w:val="76"/>
                <w:rFonts w:ascii="仿宋" w:hAnsi="仿宋" w:eastAsia="仿宋" w:cstheme="majorBidi"/>
                <w:snapToGrid/>
                <w:color w:val="auto"/>
                <w:sz w:val="24"/>
                <w:szCs w:val="24"/>
                <w:highlight w:val="none"/>
              </w:rPr>
              <w:fldChar w:fldCharType="end"/>
            </w:r>
          </w:p>
        </w:tc>
      </w:tr>
      <w:tr w14:paraId="3A8A6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B2AB37">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5922D7C">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0722E13D">
            <w:pPr>
              <w:pStyle w:val="32"/>
              <w:pageBreakBefore w:val="0"/>
              <w:kinsoku/>
              <w:wordWrap/>
              <w:overflowPunct/>
              <w:topLinePunct w:val="0"/>
              <w:bidi w:val="0"/>
              <w:snapToGrid w:val="0"/>
              <w:spacing w:line="360" w:lineRule="auto"/>
              <w:textAlignment w:val="auto"/>
              <w:rPr>
                <w:rFonts w:hint="eastAsia" w:hAnsi="宋体" w:cs="宋体"/>
                <w:color w:val="auto"/>
                <w:kern w:val="28"/>
                <w:sz w:val="24"/>
                <w:szCs w:val="24"/>
                <w:highlight w:val="none"/>
              </w:rPr>
            </w:pPr>
            <w:r>
              <w:rPr>
                <w:rFonts w:hint="eastAsia" w:hAnsi="宋体" w:cs="宋体"/>
                <w:color w:val="auto"/>
                <w:kern w:val="28"/>
                <w:sz w:val="24"/>
                <w:szCs w:val="24"/>
                <w:highlight w:val="none"/>
              </w:rPr>
              <w:t>本项目备份文件是否收取：不收取</w:t>
            </w:r>
          </w:p>
          <w:p w14:paraId="11C9101F">
            <w:pPr>
              <w:pStyle w:val="32"/>
              <w:pageBreakBefore w:val="0"/>
              <w:kinsoku/>
              <w:wordWrap/>
              <w:overflowPunct/>
              <w:topLinePunct w:val="0"/>
              <w:bidi w:val="0"/>
              <w:snapToGrid w:val="0"/>
              <w:spacing w:line="360" w:lineRule="auto"/>
              <w:textAlignment w:val="auto"/>
              <w:rPr>
                <w:rFonts w:hAnsi="宋体" w:cs="宋体"/>
                <w:color w:val="auto"/>
                <w:kern w:val="28"/>
                <w:sz w:val="24"/>
                <w:highlight w:val="none"/>
              </w:rPr>
            </w:pPr>
            <w:r>
              <w:rPr>
                <w:rFonts w:hint="eastAsia" w:hAnsi="宋体" w:cs="宋体"/>
                <w:b/>
                <w:bCs/>
                <w:color w:val="auto"/>
                <w:kern w:val="28"/>
                <w:sz w:val="24"/>
                <w:szCs w:val="24"/>
                <w:highlight w:val="none"/>
              </w:rPr>
              <w:t>采购人、采购代理机构不强制或变相强制投标人提交备份投标文件。</w:t>
            </w:r>
          </w:p>
        </w:tc>
      </w:tr>
      <w:tr w14:paraId="42506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2DE719B">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DB0AB36">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3D1049CD">
            <w:pPr>
              <w:pageBreakBefore w:val="0"/>
              <w:kinsoku/>
              <w:wordWrap/>
              <w:overflowPunct/>
              <w:topLinePunct w:val="0"/>
              <w:bidi w:val="0"/>
              <w:snapToGrid w:val="0"/>
              <w:spacing w:after="0" w:line="360" w:lineRule="auto"/>
              <w:textAlignment w:val="auto"/>
              <w:rPr>
                <w:rFonts w:hAnsi="宋体" w:cs="宋体"/>
                <w:color w:val="auto"/>
                <w:kern w:val="28"/>
                <w:sz w:val="24"/>
                <w:highlight w:val="none"/>
              </w:rPr>
            </w:pPr>
            <w:r>
              <w:rPr>
                <w:rFonts w:hint="eastAsia"/>
                <w:color w:val="auto"/>
                <w:sz w:val="24"/>
                <w:szCs w:val="24"/>
                <w:highlight w:val="none"/>
              </w:rPr>
              <w:t>无。</w:t>
            </w:r>
          </w:p>
        </w:tc>
      </w:tr>
      <w:tr w14:paraId="01ABA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8629630">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AD472DD">
            <w:pPr>
              <w:keepNext w:val="0"/>
              <w:keepLines w:val="0"/>
              <w:pageBreakBefore w:val="0"/>
              <w:widowControl w:val="0"/>
              <w:kinsoku/>
              <w:wordWrap/>
              <w:overflowPunct/>
              <w:topLinePunct w:val="0"/>
              <w:bidi w:val="0"/>
              <w:adjustRightInd w:val="0"/>
              <w:snapToGrid w:val="0"/>
              <w:spacing w:line="240" w:lineRule="auto"/>
              <w:jc w:val="center"/>
              <w:textAlignment w:val="auto"/>
              <w:rPr>
                <w:color w:val="auto"/>
                <w:highlight w:val="none"/>
              </w:rPr>
            </w:pPr>
            <w:r>
              <w:rPr>
                <w:rFonts w:hint="eastAsia"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1E099BBF">
            <w:pPr>
              <w:pageBreakBefore w:val="0"/>
              <w:kinsoku/>
              <w:wordWrap/>
              <w:overflowPunct/>
              <w:topLinePunct w:val="0"/>
              <w:bidi w:val="0"/>
              <w:snapToGrid w:val="0"/>
              <w:spacing w:after="0" w:line="360" w:lineRule="auto"/>
              <w:textAlignment w:val="auto"/>
              <w:rPr>
                <w:color w:val="auto"/>
                <w:highlight w:val="none"/>
              </w:rPr>
            </w:pPr>
            <w:r>
              <w:rPr>
                <w:rFonts w:hint="eastAsia" w:cs="仿宋_GB2312"/>
                <w:color w:val="auto"/>
                <w:sz w:val="24"/>
                <w:szCs w:val="24"/>
                <w:highlight w:val="none"/>
              </w:rPr>
              <w:t>本项目</w:t>
            </w:r>
            <w:r>
              <w:rPr>
                <w:rFonts w:cs="仿宋_GB2312"/>
                <w:color w:val="auto"/>
                <w:sz w:val="24"/>
                <w:szCs w:val="24"/>
                <w:highlight w:val="none"/>
              </w:rPr>
              <w:t>由采购人</w:t>
            </w:r>
            <w:r>
              <w:rPr>
                <w:rFonts w:hint="eastAsia" w:cs="仿宋_GB2312"/>
                <w:color w:val="auto"/>
                <w:sz w:val="24"/>
                <w:szCs w:val="24"/>
                <w:highlight w:val="none"/>
              </w:rPr>
              <w:t>进行</w:t>
            </w:r>
            <w:r>
              <w:rPr>
                <w:rFonts w:cs="仿宋_GB2312"/>
                <w:color w:val="auto"/>
                <w:sz w:val="24"/>
                <w:szCs w:val="24"/>
                <w:highlight w:val="none"/>
              </w:rPr>
              <w:t>资格文件</w:t>
            </w:r>
            <w:r>
              <w:rPr>
                <w:rFonts w:hint="eastAsia" w:cs="仿宋_GB2312"/>
                <w:color w:val="auto"/>
                <w:sz w:val="24"/>
                <w:szCs w:val="24"/>
                <w:highlight w:val="none"/>
              </w:rPr>
              <w:t>及</w:t>
            </w:r>
            <w:r>
              <w:rPr>
                <w:rFonts w:cs="仿宋_GB2312"/>
                <w:color w:val="auto"/>
                <w:sz w:val="24"/>
                <w:szCs w:val="24"/>
                <w:highlight w:val="none"/>
              </w:rPr>
              <w:t>信用信息</w:t>
            </w:r>
            <w:r>
              <w:rPr>
                <w:rFonts w:hint="eastAsia" w:cs="仿宋_GB2312"/>
                <w:color w:val="auto"/>
                <w:sz w:val="24"/>
                <w:szCs w:val="24"/>
                <w:highlight w:val="none"/>
              </w:rPr>
              <w:t>查询</w:t>
            </w:r>
            <w:r>
              <w:rPr>
                <w:rFonts w:cs="仿宋_GB2312"/>
                <w:color w:val="auto"/>
                <w:sz w:val="24"/>
                <w:szCs w:val="24"/>
                <w:highlight w:val="none"/>
              </w:rPr>
              <w:t>。</w:t>
            </w:r>
          </w:p>
        </w:tc>
      </w:tr>
      <w:tr w14:paraId="08CA1B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623F2BF">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59FE461B">
            <w:pPr>
              <w:keepNext w:val="0"/>
              <w:keepLines w:val="0"/>
              <w:pageBreakBefore w:val="0"/>
              <w:widowControl w:val="0"/>
              <w:kinsoku/>
              <w:wordWrap/>
              <w:overflowPunct/>
              <w:topLinePunct w:val="0"/>
              <w:bidi w:val="0"/>
              <w:adjustRightInd w:val="0"/>
              <w:snapToGrid w:val="0"/>
              <w:spacing w:line="240" w:lineRule="auto"/>
              <w:jc w:val="center"/>
              <w:textAlignment w:val="auto"/>
              <w:rPr>
                <w:rFonts w:cs="仿宋"/>
                <w:b/>
                <w:color w:val="auto"/>
                <w:sz w:val="22"/>
                <w:highlight w:val="none"/>
              </w:rPr>
            </w:pPr>
            <w:r>
              <w:rPr>
                <w:rFonts w:hint="eastAsia"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7389DC81">
            <w:pPr>
              <w:pageBreakBefore w:val="0"/>
              <w:kinsoku/>
              <w:wordWrap/>
              <w:overflowPunct/>
              <w:topLinePunct w:val="0"/>
              <w:bidi w:val="0"/>
              <w:snapToGrid w:val="0"/>
              <w:spacing w:after="0" w:line="360" w:lineRule="auto"/>
              <w:textAlignment w:val="auto"/>
              <w:rPr>
                <w:color w:val="auto"/>
                <w:sz w:val="24"/>
                <w:szCs w:val="24"/>
                <w:highlight w:val="none"/>
                <w:u w:val="single"/>
              </w:rPr>
            </w:pPr>
            <w:r>
              <w:rPr>
                <w:rFonts w:hint="eastAsia"/>
                <w:color w:val="auto"/>
                <w:sz w:val="24"/>
                <w:szCs w:val="24"/>
                <w:highlight w:val="none"/>
              </w:rPr>
              <w:t>采购</w:t>
            </w:r>
            <w:r>
              <w:rPr>
                <w:color w:val="auto"/>
                <w:sz w:val="24"/>
                <w:szCs w:val="24"/>
                <w:highlight w:val="none"/>
              </w:rPr>
              <w:t>人、</w:t>
            </w:r>
            <w:r>
              <w:rPr>
                <w:rFonts w:hint="eastAsia"/>
                <w:color w:val="auto"/>
                <w:sz w:val="24"/>
                <w:szCs w:val="24"/>
                <w:highlight w:val="none"/>
              </w:rPr>
              <w:t>采购</w:t>
            </w:r>
            <w:r>
              <w:rPr>
                <w:color w:val="auto"/>
                <w:sz w:val="24"/>
                <w:szCs w:val="24"/>
                <w:highlight w:val="none"/>
              </w:rPr>
              <w:t>机构质疑接收人</w:t>
            </w:r>
            <w:r>
              <w:rPr>
                <w:rFonts w:hint="eastAsia"/>
                <w:color w:val="auto"/>
                <w:sz w:val="24"/>
                <w:szCs w:val="24"/>
                <w:highlight w:val="none"/>
              </w:rPr>
              <w:t>、联系方式</w:t>
            </w:r>
            <w:r>
              <w:rPr>
                <w:color w:val="auto"/>
                <w:sz w:val="24"/>
                <w:szCs w:val="24"/>
                <w:highlight w:val="none"/>
              </w:rPr>
              <w:t>：</w:t>
            </w:r>
            <w:r>
              <w:rPr>
                <w:rFonts w:hint="eastAsia"/>
                <w:color w:val="auto"/>
                <w:sz w:val="24"/>
                <w:szCs w:val="24"/>
                <w:highlight w:val="none"/>
              </w:rPr>
              <w:t>详见公告</w:t>
            </w:r>
          </w:p>
          <w:p w14:paraId="059ADD53">
            <w:pPr>
              <w:pageBreakBefore w:val="0"/>
              <w:kinsoku/>
              <w:wordWrap/>
              <w:overflowPunct/>
              <w:topLinePunct w:val="0"/>
              <w:bidi w:val="0"/>
              <w:snapToGrid w:val="0"/>
              <w:spacing w:after="0" w:line="360" w:lineRule="auto"/>
              <w:textAlignment w:val="auto"/>
              <w:rPr>
                <w:b/>
                <w:color w:val="auto"/>
                <w:sz w:val="24"/>
                <w:szCs w:val="24"/>
                <w:highlight w:val="none"/>
              </w:rPr>
            </w:pPr>
            <w:r>
              <w:rPr>
                <w:rFonts w:hint="eastAsia"/>
                <w:b/>
                <w:color w:val="auto"/>
                <w:sz w:val="24"/>
                <w:szCs w:val="24"/>
                <w:highlight w:val="none"/>
              </w:rPr>
              <w:t>线上提交质疑方式：政采云线上质疑路径：项目采购-询问质疑投诉-质疑列表。请使用ca签章在每一页质疑文件中加盖电子公章，上传完整附件。</w:t>
            </w:r>
          </w:p>
          <w:p w14:paraId="301D0335">
            <w:pPr>
              <w:pageBreakBefore w:val="0"/>
              <w:kinsoku/>
              <w:wordWrap/>
              <w:overflowPunct/>
              <w:topLinePunct w:val="0"/>
              <w:bidi w:val="0"/>
              <w:snapToGrid w:val="0"/>
              <w:spacing w:after="0" w:line="360" w:lineRule="auto"/>
              <w:textAlignment w:val="auto"/>
              <w:rPr>
                <w:color w:val="auto"/>
                <w:sz w:val="24"/>
                <w:szCs w:val="24"/>
                <w:highlight w:val="none"/>
              </w:rPr>
            </w:pPr>
            <w:r>
              <w:rPr>
                <w:rFonts w:hint="eastAsia"/>
                <w:color w:val="auto"/>
                <w:sz w:val="24"/>
                <w:szCs w:val="24"/>
                <w:highlight w:val="none"/>
              </w:rPr>
              <w:t>本项目涉及资格条件、采购需求、评分办法及采购过程中有关现场考察或开标前答疑会等事项由</w:t>
            </w:r>
            <w:r>
              <w:rPr>
                <w:b/>
                <w:bCs/>
                <w:color w:val="auto"/>
                <w:sz w:val="24"/>
                <w:szCs w:val="24"/>
                <w:highlight w:val="none"/>
              </w:rPr>
              <w:t>采购人</w:t>
            </w:r>
            <w:r>
              <w:rPr>
                <w:color w:val="auto"/>
                <w:sz w:val="24"/>
                <w:szCs w:val="24"/>
                <w:highlight w:val="none"/>
              </w:rPr>
              <w:t>进行答复。</w:t>
            </w:r>
          </w:p>
          <w:p w14:paraId="47D0C227">
            <w:pPr>
              <w:pageBreakBefore w:val="0"/>
              <w:kinsoku/>
              <w:wordWrap/>
              <w:overflowPunct/>
              <w:topLinePunct w:val="0"/>
              <w:bidi w:val="0"/>
              <w:snapToGrid w:val="0"/>
              <w:spacing w:after="0" w:line="360" w:lineRule="auto"/>
              <w:textAlignment w:val="auto"/>
              <w:rPr>
                <w:rFonts w:cs="仿宋_GB2312"/>
                <w:color w:val="auto"/>
                <w:sz w:val="22"/>
                <w:highlight w:val="none"/>
              </w:rPr>
            </w:pPr>
            <w:r>
              <w:rPr>
                <w:rFonts w:hint="eastAsia"/>
                <w:color w:val="auto"/>
                <w:sz w:val="24"/>
                <w:szCs w:val="24"/>
                <w:highlight w:val="none"/>
              </w:rPr>
              <w:t>涉及</w:t>
            </w:r>
            <w:r>
              <w:rPr>
                <w:color w:val="auto"/>
                <w:sz w:val="24"/>
                <w:szCs w:val="24"/>
                <w:highlight w:val="none"/>
              </w:rPr>
              <w:t>流程规范性、组织程序等</w:t>
            </w:r>
            <w:r>
              <w:rPr>
                <w:rFonts w:hint="eastAsia"/>
                <w:color w:val="auto"/>
                <w:sz w:val="24"/>
                <w:szCs w:val="24"/>
                <w:highlight w:val="none"/>
              </w:rPr>
              <w:t>相关</w:t>
            </w:r>
            <w:r>
              <w:rPr>
                <w:color w:val="auto"/>
                <w:sz w:val="24"/>
                <w:szCs w:val="24"/>
                <w:highlight w:val="none"/>
              </w:rPr>
              <w:t>事项，由</w:t>
            </w:r>
            <w:r>
              <w:rPr>
                <w:rFonts w:hint="eastAsia"/>
                <w:b/>
                <w:bCs/>
                <w:color w:val="auto"/>
                <w:sz w:val="24"/>
                <w:szCs w:val="24"/>
                <w:highlight w:val="none"/>
              </w:rPr>
              <w:t>采购</w:t>
            </w:r>
            <w:r>
              <w:rPr>
                <w:rFonts w:hint="eastAsia"/>
                <w:b/>
                <w:bCs/>
                <w:color w:val="auto"/>
                <w:sz w:val="24"/>
                <w:szCs w:val="24"/>
                <w:highlight w:val="none"/>
                <w:lang w:eastAsia="zh-CN"/>
              </w:rPr>
              <w:t>代理</w:t>
            </w:r>
            <w:r>
              <w:rPr>
                <w:b/>
                <w:bCs/>
                <w:color w:val="auto"/>
                <w:sz w:val="24"/>
                <w:szCs w:val="24"/>
                <w:highlight w:val="none"/>
              </w:rPr>
              <w:t>机构</w:t>
            </w:r>
            <w:r>
              <w:rPr>
                <w:color w:val="auto"/>
                <w:sz w:val="24"/>
                <w:szCs w:val="24"/>
                <w:highlight w:val="none"/>
              </w:rPr>
              <w:t>进行答复。</w:t>
            </w:r>
          </w:p>
        </w:tc>
      </w:tr>
      <w:tr w14:paraId="65AA2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1FB6C09">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264B1430">
            <w:pPr>
              <w:keepNext w:val="0"/>
              <w:keepLines w:val="0"/>
              <w:pageBreakBefore w:val="0"/>
              <w:widowControl w:val="0"/>
              <w:kinsoku/>
              <w:wordWrap/>
              <w:overflowPunct/>
              <w:topLinePunct w:val="0"/>
              <w:bidi w:val="0"/>
              <w:adjustRightInd w:val="0"/>
              <w:snapToGrid w:val="0"/>
              <w:spacing w:line="240" w:lineRule="auto"/>
              <w:jc w:val="center"/>
              <w:textAlignment w:val="auto"/>
              <w:rPr>
                <w:rFonts w:cs="仿宋"/>
                <w:b/>
                <w:color w:val="auto"/>
                <w:sz w:val="22"/>
                <w:highlight w:val="none"/>
              </w:rPr>
            </w:pPr>
            <w:r>
              <w:rPr>
                <w:rFonts w:hint="eastAsia"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0C3D7362">
            <w:pPr>
              <w:pageBreakBefore w:val="0"/>
              <w:kinsoku/>
              <w:wordWrap/>
              <w:overflowPunct/>
              <w:topLinePunct w:val="0"/>
              <w:bidi w:val="0"/>
              <w:snapToGrid w:val="0"/>
              <w:spacing w:line="360" w:lineRule="auto"/>
              <w:textAlignment w:val="auto"/>
              <w:rPr>
                <w:color w:val="auto"/>
                <w:sz w:val="22"/>
                <w:highlight w:val="none"/>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联系电话: 0571-83587785/0571-82816012 联系地址: 萧山区通惠北路2-1号304室</w:t>
            </w:r>
          </w:p>
        </w:tc>
      </w:tr>
      <w:tr w14:paraId="3C001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restart"/>
            <w:tcBorders>
              <w:top w:val="single" w:color="auto" w:sz="4" w:space="0"/>
              <w:left w:val="single" w:color="000000" w:sz="8" w:space="0"/>
              <w:right w:val="single" w:color="000000" w:sz="2" w:space="0"/>
            </w:tcBorders>
            <w:vAlign w:val="center"/>
          </w:tcPr>
          <w:p w14:paraId="0D6FB187">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099FCAF9">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9D351F0">
            <w:pPr>
              <w:pStyle w:val="2"/>
              <w:pageBreakBefore w:val="0"/>
              <w:kinsoku/>
              <w:wordWrap/>
              <w:overflowPunct/>
              <w:topLinePunct w:val="0"/>
              <w:bidi w:val="0"/>
              <w:snapToGrid w:val="0"/>
              <w:spacing w:line="360" w:lineRule="auto"/>
              <w:ind w:left="0" w:leftChars="0" w:firstLine="0" w:firstLineChars="0"/>
              <w:textAlignment w:val="auto"/>
              <w:rPr>
                <w:rFonts w:ascii="宋体" w:hAnsi="宋体" w:cs="宋体"/>
                <w:snapToGrid w:val="0"/>
                <w:color w:val="auto"/>
                <w:kern w:val="28"/>
                <w:sz w:val="24"/>
                <w:highlight w:val="none"/>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42A7E9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continue"/>
            <w:tcBorders>
              <w:left w:val="single" w:color="000000" w:sz="8" w:space="0"/>
              <w:right w:val="single" w:color="000000" w:sz="2" w:space="0"/>
            </w:tcBorders>
          </w:tcPr>
          <w:p w14:paraId="76469F5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488BE314">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0FF1E8E">
            <w:pPr>
              <w:pageBreakBefore w:val="0"/>
              <w:kinsoku/>
              <w:wordWrap/>
              <w:overflowPunct/>
              <w:topLinePunct w:val="0"/>
              <w:bidi w:val="0"/>
              <w:snapToGrid w:val="0"/>
              <w:spacing w:line="360" w:lineRule="auto"/>
              <w:textAlignment w:val="auto"/>
              <w:rPr>
                <w:color w:val="auto"/>
                <w:sz w:val="24"/>
                <w:szCs w:val="24"/>
                <w:highlight w:val="none"/>
              </w:rPr>
            </w:pPr>
            <w:sdt>
              <w:sdtPr>
                <w:rPr>
                  <w:rFonts w:hint="eastAsia"/>
                  <w:color w:val="auto"/>
                  <w:sz w:val="24"/>
                  <w:szCs w:val="24"/>
                  <w:highlight w:val="none"/>
                </w:rPr>
                <w:id w:val="4672"/>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联合体投标的，联合体各方均需按招标文件第四部分评标标准要求提供资信证明文件，否则视为不符合相关要求。</w:t>
            </w:r>
          </w:p>
          <w:p w14:paraId="57CB2C8C">
            <w:pPr>
              <w:pStyle w:val="2"/>
              <w:pageBreakBefore w:val="0"/>
              <w:kinsoku/>
              <w:wordWrap/>
              <w:overflowPunct/>
              <w:topLinePunct w:val="0"/>
              <w:bidi w:val="0"/>
              <w:snapToGrid w:val="0"/>
              <w:spacing w:line="360" w:lineRule="auto"/>
              <w:ind w:left="0" w:leftChars="0" w:firstLine="0" w:firstLineChars="0"/>
              <w:textAlignment w:val="auto"/>
              <w:rPr>
                <w:color w:val="auto"/>
                <w:highlight w:val="none"/>
              </w:rPr>
            </w:pPr>
            <w:sdt>
              <w:sdtPr>
                <w:rPr>
                  <w:rFonts w:hint="eastAsia"/>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eastAsia="zh-CN" w:bidi="ar-SA"/>
                </w:rPr>
              </w:sdtEndPr>
              <w:sdtContent>
                <w:r>
                  <w:rPr>
                    <w:rFonts w:hint="eastAsia"/>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40057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continue"/>
            <w:tcBorders>
              <w:left w:val="single" w:color="000000" w:sz="8" w:space="0"/>
              <w:bottom w:val="single" w:color="auto" w:sz="4" w:space="0"/>
              <w:right w:val="single" w:color="000000" w:sz="2" w:space="0"/>
            </w:tcBorders>
          </w:tcPr>
          <w:p w14:paraId="7AE7AB81">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4E771AA">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03D00A0">
            <w:pPr>
              <w:pageBreakBefore w:val="0"/>
              <w:kinsoku/>
              <w:wordWrap/>
              <w:overflowPunct/>
              <w:topLinePunct w:val="0"/>
              <w:bidi w:val="0"/>
              <w:snapToGrid w:val="0"/>
              <w:spacing w:line="360" w:lineRule="auto"/>
              <w:textAlignment w:val="auto"/>
              <w:rPr>
                <w:b/>
                <w:bCs/>
                <w:color w:val="auto"/>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bookmarkEnd w:id="6"/>
    </w:tbl>
    <w:p w14:paraId="7DF46076">
      <w:pPr>
        <w:rPr>
          <w:rFonts w:ascii="宋体" w:hAnsi="宋体" w:cs="宋体"/>
          <w:b/>
          <w:color w:val="auto"/>
          <w:sz w:val="32"/>
          <w:szCs w:val="20"/>
          <w:highlight w:val="none"/>
        </w:rPr>
      </w:pPr>
      <w:bookmarkStart w:id="8" w:name="第三部分"/>
      <w:bookmarkStart w:id="9" w:name="_Toc164416483"/>
      <w:r>
        <w:rPr>
          <w:rFonts w:hint="eastAsia" w:ascii="宋体" w:hAnsi="宋体" w:cs="宋体"/>
          <w:b/>
          <w:color w:val="auto"/>
          <w:sz w:val="32"/>
          <w:szCs w:val="20"/>
          <w:highlight w:val="none"/>
        </w:rPr>
        <w:br w:type="page"/>
      </w:r>
    </w:p>
    <w:p w14:paraId="119CB341">
      <w:pPr>
        <w:pageBreakBefore w:val="0"/>
        <w:kinsoku/>
        <w:wordWrap/>
        <w:overflowPunct/>
        <w:topLinePunct w:val="0"/>
        <w:bidi w:val="0"/>
        <w:adjustRightInd/>
        <w:snapToGrid w:val="0"/>
        <w:spacing w:beforeAutospacing="0" w:line="360" w:lineRule="auto"/>
        <w:ind w:firstLine="3845" w:firstLineChars="1197"/>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0BAC1BB">
      <w:pPr>
        <w:pageBreakBefore w:val="0"/>
        <w:kinsoku/>
        <w:wordWrap/>
        <w:overflowPunct/>
        <w:topLinePunct w:val="0"/>
        <w:bidi w:val="0"/>
        <w:snapToGrid w:val="0"/>
        <w:spacing w:beforeAutospacing="0" w:line="360" w:lineRule="auto"/>
        <w:jc w:val="left"/>
        <w:textAlignment w:val="auto"/>
        <w:outlineLvl w:val="1"/>
        <w:rPr>
          <w:rFonts w:ascii="宋体" w:hAnsi="宋体" w:cs="宋体"/>
          <w:b/>
          <w:color w:val="auto"/>
          <w:sz w:val="24"/>
          <w:highlight w:val="none"/>
        </w:rPr>
      </w:pPr>
      <w:bookmarkStart w:id="10" w:name="_Toc91899903"/>
      <w:r>
        <w:rPr>
          <w:rFonts w:hint="eastAsia" w:ascii="宋体" w:hAnsi="宋体" w:cs="宋体"/>
          <w:b/>
          <w:color w:val="auto"/>
          <w:sz w:val="24"/>
          <w:highlight w:val="none"/>
        </w:rPr>
        <w:t>1. 适用范围</w:t>
      </w:r>
    </w:p>
    <w:p w14:paraId="4AF00E57">
      <w:pPr>
        <w:pageBreakBefore w:val="0"/>
        <w:kinsoku/>
        <w:wordWrap/>
        <w:overflowPunct/>
        <w:topLinePunct w:val="0"/>
        <w:bidi w:val="0"/>
        <w:snapToGrid w:val="0"/>
        <w:spacing w:beforeAutospacing="0"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A360E05">
      <w:pPr>
        <w:pageBreakBefore w:val="0"/>
        <w:numPr>
          <w:ilvl w:val="0"/>
          <w:numId w:val="2"/>
        </w:numPr>
        <w:kinsoku/>
        <w:wordWrap/>
        <w:overflowPunct/>
        <w:topLinePunct w:val="0"/>
        <w:bidi w:val="0"/>
        <w:adjustRightInd/>
        <w:snapToGrid w:val="0"/>
        <w:spacing w:beforeAutospacing="0" w:line="360" w:lineRule="auto"/>
        <w:textAlignment w:val="auto"/>
        <w:outlineLvl w:val="0"/>
        <w:rPr>
          <w:rFonts w:ascii="宋体" w:hAnsi="宋体" w:cs="宋体"/>
          <w:b/>
          <w:color w:val="auto"/>
          <w:sz w:val="24"/>
          <w:highlight w:val="none"/>
        </w:rPr>
      </w:pPr>
      <w:r>
        <w:rPr>
          <w:rFonts w:hint="eastAsia" w:ascii="宋体" w:hAnsi="宋体" w:cs="宋体"/>
          <w:b/>
          <w:color w:val="auto"/>
          <w:sz w:val="24"/>
          <w:highlight w:val="none"/>
        </w:rPr>
        <w:t>定义</w:t>
      </w:r>
    </w:p>
    <w:p w14:paraId="0AAE32A5">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20B5ADA">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365961C7">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77E430A">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FFF9448">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3B25A62">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611FFFB8">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03FDD79">
      <w:pPr>
        <w:pageBreakBefore w:val="0"/>
        <w:kinsoku/>
        <w:wordWrap/>
        <w:overflowPunct/>
        <w:topLinePunct w:val="0"/>
        <w:bidi w:val="0"/>
        <w:snapToGrid w:val="0"/>
        <w:spacing w:beforeAutospacing="0"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4D9E0DE">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735548B">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3.2 支持绿色发展</w:t>
      </w:r>
    </w:p>
    <w:p w14:paraId="2DE31B3B">
      <w:pPr>
        <w:pageBreakBefore w:val="0"/>
        <w:kinsoku/>
        <w:wordWrap/>
        <w:overflowPunct/>
        <w:topLinePunct w:val="0"/>
        <w:bidi w:val="0"/>
        <w:snapToGrid w:val="0"/>
        <w:spacing w:beforeAutospacing="0" w:line="360" w:lineRule="auto"/>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65F7843">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2F8B656D">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BFF88B7">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2B095214">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支持中小企业发展</w:t>
      </w:r>
    </w:p>
    <w:p w14:paraId="12C42ABE">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E2F4751">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4D319BD">
      <w:pPr>
        <w:pageBreakBefore w:val="0"/>
        <w:widowControl/>
        <w:kinsoku/>
        <w:wordWrap/>
        <w:overflowPunct/>
        <w:topLinePunct w:val="0"/>
        <w:bidi w:val="0"/>
        <w:snapToGrid w:val="0"/>
        <w:spacing w:beforeAutospacing="0" w:line="360" w:lineRule="auto"/>
        <w:ind w:firstLine="480" w:firstLineChars="200"/>
        <w:jc w:val="left"/>
        <w:textAlignment w:val="auto"/>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6284305">
      <w:pPr>
        <w:pageBreakBefore w:val="0"/>
        <w:widowControl/>
        <w:kinsoku/>
        <w:wordWrap/>
        <w:overflowPunct/>
        <w:topLinePunct w:val="0"/>
        <w:bidi w:val="0"/>
        <w:snapToGrid w:val="0"/>
        <w:spacing w:beforeAutospacing="0"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3D12E32">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4B91E71A">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64D4924">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509B8DB">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7276761D">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FD4CFF0">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 xml:space="preserve">3.4 </w:t>
      </w:r>
      <w:r>
        <w:rPr>
          <w:rFonts w:hint="eastAsia" w:ascii="宋体" w:hAnsi="宋体" w:cs="宋体"/>
          <w:bCs/>
          <w:color w:val="auto"/>
          <w:sz w:val="24"/>
          <w:highlight w:val="none"/>
        </w:rPr>
        <w:t>支持创新发展</w:t>
      </w:r>
    </w:p>
    <w:p w14:paraId="71256399">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0B385651">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469C4F6C">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平等对待内外资企业和符合条件的破产重整企业</w:t>
      </w:r>
    </w:p>
    <w:p w14:paraId="202B9589">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601E4183">
      <w:pPr>
        <w:pageBreakBefore w:val="0"/>
        <w:kinsoku/>
        <w:wordWrap/>
        <w:overflowPunct/>
        <w:topLinePunct w:val="0"/>
        <w:bidi w:val="0"/>
        <w:snapToGrid w:val="0"/>
        <w:spacing w:beforeAutospacing="0" w:line="360" w:lineRule="auto"/>
        <w:textAlignment w:val="auto"/>
        <w:rPr>
          <w:b/>
          <w:color w:val="auto"/>
          <w:highlight w:val="none"/>
        </w:rPr>
      </w:pPr>
      <w:r>
        <w:rPr>
          <w:rFonts w:hint="eastAsia" w:ascii="宋体" w:hAnsi="宋体" w:cs="宋体"/>
          <w:b/>
          <w:color w:val="auto"/>
          <w:sz w:val="24"/>
          <w:highlight w:val="none"/>
        </w:rPr>
        <w:t>4. 询问、质疑、投诉</w:t>
      </w:r>
    </w:p>
    <w:p w14:paraId="14ABA44D">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4.1</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在线询问、质疑、投诉</w:t>
      </w:r>
    </w:p>
    <w:p w14:paraId="479C48BB">
      <w:pPr>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2817E60">
      <w:pPr>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供应商询问</w:t>
      </w:r>
    </w:p>
    <w:p w14:paraId="1C1EA77A">
      <w:pPr>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CB5B95A">
      <w:pPr>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供应商质疑</w:t>
      </w:r>
    </w:p>
    <w:p w14:paraId="1A7223AD">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.1提出质疑的供应商应当是参与所质疑项目采购活动的供应商。潜在供应商已依法获取其可质疑的招标文件的，可以对该文件提出质疑。</w:t>
      </w:r>
    </w:p>
    <w:p w14:paraId="7437C66B">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F9FD887">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4.3.2.1对招标文件提出质疑的，质疑期限为供应商获得招标文件之日或者招标文件公告期限届满之日起计算。</w:t>
      </w:r>
    </w:p>
    <w:p w14:paraId="7678F61F">
      <w:pPr>
        <w:pageBreakBefore w:val="0"/>
        <w:kinsoku/>
        <w:wordWrap/>
        <w:overflowPunct/>
        <w:topLinePunct w:val="0"/>
        <w:bidi w:val="0"/>
        <w:snapToGrid w:val="0"/>
        <w:spacing w:beforeAutospacing="0" w:line="360" w:lineRule="auto"/>
        <w:ind w:left="479" w:leftChars="228"/>
        <w:textAlignment w:val="auto"/>
        <w:rPr>
          <w:rFonts w:ascii="宋体" w:hAnsi="宋体" w:cs="宋体"/>
          <w:color w:val="auto"/>
          <w:sz w:val="24"/>
          <w:highlight w:val="none"/>
        </w:rPr>
      </w:pPr>
      <w:r>
        <w:rPr>
          <w:rFonts w:hint="eastAsia" w:ascii="宋体"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27BB737">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4.3.3</w:t>
      </w:r>
      <w:r>
        <w:rPr>
          <w:rFonts w:hint="eastAsia" w:ascii="宋体" w:hAnsi="宋体" w:cs="宋体"/>
          <w:color w:val="auto"/>
          <w:sz w:val="24"/>
          <w:highlight w:val="none"/>
        </w:rPr>
        <w:t>供应商提出质疑应当提交质疑函和必要的证明材料。质疑函应当包括下列内容：</w:t>
      </w:r>
    </w:p>
    <w:p w14:paraId="630BDA1E">
      <w:pPr>
        <w:pageBreakBefore w:val="0"/>
        <w:kinsoku/>
        <w:wordWrap/>
        <w:overflowPunct/>
        <w:topLinePunct w:val="0"/>
        <w:bidi w:val="0"/>
        <w:snapToGrid w:val="0"/>
        <w:spacing w:beforeAutospacing="0" w:line="360" w:lineRule="auto"/>
        <w:ind w:left="479" w:leftChars="228"/>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4.3.3.1供应商的姓名或者名称、地址、邮编、联系人及联系电话；</w:t>
      </w:r>
    </w:p>
    <w:p w14:paraId="2237C135">
      <w:pPr>
        <w:pageBreakBefore w:val="0"/>
        <w:kinsoku/>
        <w:wordWrap/>
        <w:overflowPunct/>
        <w:topLinePunct w:val="0"/>
        <w:bidi w:val="0"/>
        <w:snapToGrid w:val="0"/>
        <w:spacing w:beforeAutospacing="0" w:line="360" w:lineRule="auto"/>
        <w:ind w:left="479" w:leftChars="228"/>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4.3.3.2质疑项目的名称、编号；</w:t>
      </w:r>
    </w:p>
    <w:p w14:paraId="723140E5">
      <w:pPr>
        <w:pageBreakBefore w:val="0"/>
        <w:kinsoku/>
        <w:wordWrap/>
        <w:overflowPunct/>
        <w:topLinePunct w:val="0"/>
        <w:bidi w:val="0"/>
        <w:snapToGrid w:val="0"/>
        <w:spacing w:beforeAutospacing="0" w:line="360" w:lineRule="auto"/>
        <w:ind w:left="479" w:leftChars="228"/>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4.3.3.3具体、明确的质疑事项和与质疑事项相关的请求；</w:t>
      </w:r>
    </w:p>
    <w:p w14:paraId="23E98FD5">
      <w:pPr>
        <w:pageBreakBefore w:val="0"/>
        <w:kinsoku/>
        <w:wordWrap/>
        <w:overflowPunct/>
        <w:topLinePunct w:val="0"/>
        <w:bidi w:val="0"/>
        <w:snapToGrid w:val="0"/>
        <w:spacing w:beforeAutospacing="0" w:line="360" w:lineRule="auto"/>
        <w:ind w:left="479" w:leftChars="228"/>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4.3.3.4事实依据；</w:t>
      </w:r>
    </w:p>
    <w:p w14:paraId="2629B9C5">
      <w:pPr>
        <w:pageBreakBefore w:val="0"/>
        <w:kinsoku/>
        <w:wordWrap/>
        <w:overflowPunct/>
        <w:topLinePunct w:val="0"/>
        <w:bidi w:val="0"/>
        <w:snapToGrid w:val="0"/>
        <w:spacing w:beforeAutospacing="0" w:line="360" w:lineRule="auto"/>
        <w:ind w:left="479" w:leftChars="228"/>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4.3.3.5必要的法律依据；</w:t>
      </w:r>
    </w:p>
    <w:p w14:paraId="6017D009">
      <w:pPr>
        <w:pageBreakBefore w:val="0"/>
        <w:kinsoku/>
        <w:wordWrap/>
        <w:overflowPunct/>
        <w:topLinePunct w:val="0"/>
        <w:bidi w:val="0"/>
        <w:snapToGrid w:val="0"/>
        <w:spacing w:beforeAutospacing="0" w:line="360" w:lineRule="auto"/>
        <w:ind w:left="479" w:leftChars="228"/>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4.3.3.6提出质疑的日期。</w:t>
      </w:r>
    </w:p>
    <w:p w14:paraId="1BF3D9E0">
      <w:pPr>
        <w:pageBreakBefore w:val="0"/>
        <w:kinsoku/>
        <w:wordWrap/>
        <w:overflowPunct/>
        <w:topLinePunct w:val="0"/>
        <w:bidi w:val="0"/>
        <w:snapToGrid w:val="0"/>
        <w:spacing w:beforeAutospacing="0" w:line="360" w:lineRule="auto"/>
        <w:ind w:left="479" w:leftChars="228"/>
        <w:textAlignment w:val="auto"/>
        <w:rPr>
          <w:color w:val="auto"/>
          <w:highlight w:val="none"/>
        </w:rPr>
      </w:pPr>
      <w:r>
        <w:rPr>
          <w:rFonts w:hint="eastAsia"/>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2C0FA7DF">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4.3.4对同一采购程序环节的质疑，供应商须在法定质疑期内一次性提出。</w:t>
      </w:r>
    </w:p>
    <w:p w14:paraId="63984D02">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9E7CAC4">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4.3.6询问或者质疑事项可能影响采购结果的，采购人应当暂停签订合同，已经签订合同的，应当中止履行合同。</w:t>
      </w:r>
    </w:p>
    <w:p w14:paraId="39A1D09B">
      <w:pPr>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4.4</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供应商投诉</w:t>
      </w:r>
    </w:p>
    <w:p w14:paraId="5887EFDB">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1483AC29">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4.4.2供应商投诉的事项不得超出已质疑事项的范围，基于质疑答复内容提出的投诉事项除外。</w:t>
      </w:r>
    </w:p>
    <w:p w14:paraId="55C6E1BD">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4.4.3供应商投诉应当有明确的请求和必要的证明材料。</w:t>
      </w:r>
    </w:p>
    <w:p w14:paraId="4EDEAB80">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4.4.4 以联合体形式参加政府采购活动的，其投诉应当由组成联合体的所有供应商共同提出。</w:t>
      </w:r>
    </w:p>
    <w:p w14:paraId="05CCE0FC">
      <w:pPr>
        <w:pStyle w:val="886"/>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4.4.5</w:t>
      </w:r>
      <w:r>
        <w:rPr>
          <w:rFonts w:hint="eastAsia"/>
          <w:color w:val="auto"/>
          <w:highlight w:val="none"/>
        </w:rPr>
        <w:t>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44E58656">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4.5 补偿救济</w:t>
      </w:r>
    </w:p>
    <w:p w14:paraId="78599251">
      <w:pPr>
        <w:pStyle w:val="886"/>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CB4D29C">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投诉书范本及制作说明详见附件3。</w:t>
      </w:r>
    </w:p>
    <w:p w14:paraId="43DBCE2A">
      <w:pPr>
        <w:pageBreakBefore w:val="0"/>
        <w:kinsoku/>
        <w:wordWrap/>
        <w:overflowPunct/>
        <w:topLinePunct w:val="0"/>
        <w:bidi w:val="0"/>
        <w:adjustRightInd/>
        <w:snapToGrid w:val="0"/>
        <w:spacing w:beforeAutospacing="0" w:line="360" w:lineRule="auto"/>
        <w:jc w:val="center"/>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4AB7716E">
      <w:pPr>
        <w:pageBreakBefore w:val="0"/>
        <w:kinsoku/>
        <w:wordWrap/>
        <w:overflowPunct/>
        <w:topLinePunct w:val="0"/>
        <w:bidi w:val="0"/>
        <w:snapToGrid w:val="0"/>
        <w:spacing w:beforeAutospacing="0"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5</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招标文件的构成</w:t>
      </w:r>
    </w:p>
    <w:p w14:paraId="6859E096">
      <w:pPr>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5.1 招标文件包括下列文件及附件：</w:t>
      </w:r>
    </w:p>
    <w:p w14:paraId="67DC435C">
      <w:pPr>
        <w:pStyle w:val="32"/>
        <w:pageBreakBefore w:val="0"/>
        <w:tabs>
          <w:tab w:val="left" w:pos="840"/>
        </w:tabs>
        <w:kinsoku/>
        <w:wordWrap/>
        <w:overflowPunct/>
        <w:topLinePunct w:val="0"/>
        <w:bidi w:val="0"/>
        <w:snapToGrid w:val="0"/>
        <w:spacing w:beforeAutospacing="0" w:line="360" w:lineRule="auto"/>
        <w:ind w:firstLine="960" w:firstLineChars="400"/>
        <w:textAlignment w:val="auto"/>
        <w:rPr>
          <w:rFonts w:hAnsi="宋体" w:cs="宋体"/>
          <w:snapToGrid/>
          <w:color w:val="auto"/>
          <w:sz w:val="24"/>
          <w:szCs w:val="24"/>
          <w:highlight w:val="none"/>
          <w:lang w:val="zh-CN"/>
        </w:rPr>
      </w:pPr>
      <w:r>
        <w:rPr>
          <w:rFonts w:hint="eastAsia" w:hAnsi="宋体" w:cs="宋体"/>
          <w:snapToGrid/>
          <w:color w:val="auto"/>
          <w:sz w:val="24"/>
          <w:szCs w:val="24"/>
          <w:highlight w:val="none"/>
          <w:lang w:val="zh-CN"/>
        </w:rPr>
        <w:t>5.1.1招标公告；</w:t>
      </w:r>
    </w:p>
    <w:p w14:paraId="7CC6EADE">
      <w:pPr>
        <w:pStyle w:val="32"/>
        <w:pageBreakBefore w:val="0"/>
        <w:tabs>
          <w:tab w:val="left" w:pos="840"/>
        </w:tabs>
        <w:kinsoku/>
        <w:wordWrap/>
        <w:overflowPunct/>
        <w:topLinePunct w:val="0"/>
        <w:bidi w:val="0"/>
        <w:snapToGrid w:val="0"/>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w:t>
      </w:r>
      <w:r>
        <w:rPr>
          <w:rFonts w:hint="eastAsia" w:hAnsi="宋体" w:cs="宋体"/>
          <w:snapToGrid/>
          <w:color w:val="auto"/>
          <w:sz w:val="24"/>
          <w:szCs w:val="24"/>
          <w:highlight w:val="none"/>
          <w:lang w:val="zh-CN"/>
        </w:rPr>
        <w:t>.1.2投标人须知</w:t>
      </w:r>
      <w:r>
        <w:rPr>
          <w:rFonts w:hint="eastAsia" w:hAnsi="宋体" w:cs="宋体"/>
          <w:color w:val="auto"/>
          <w:sz w:val="24"/>
          <w:szCs w:val="24"/>
          <w:highlight w:val="none"/>
        </w:rPr>
        <w:t>；</w:t>
      </w:r>
    </w:p>
    <w:p w14:paraId="6D15174B">
      <w:pPr>
        <w:pStyle w:val="32"/>
        <w:pageBreakBefore w:val="0"/>
        <w:tabs>
          <w:tab w:val="left" w:pos="840"/>
        </w:tabs>
        <w:kinsoku/>
        <w:wordWrap/>
        <w:overflowPunct/>
        <w:topLinePunct w:val="0"/>
        <w:bidi w:val="0"/>
        <w:snapToGrid w:val="0"/>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5.1.3采购需求；</w:t>
      </w:r>
    </w:p>
    <w:p w14:paraId="435E3EBE">
      <w:pPr>
        <w:pStyle w:val="32"/>
        <w:pageBreakBefore w:val="0"/>
        <w:tabs>
          <w:tab w:val="left" w:pos="840"/>
        </w:tabs>
        <w:kinsoku/>
        <w:wordWrap/>
        <w:overflowPunct/>
        <w:topLinePunct w:val="0"/>
        <w:bidi w:val="0"/>
        <w:snapToGrid w:val="0"/>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5.1.4评标办法；</w:t>
      </w:r>
    </w:p>
    <w:p w14:paraId="4615C27E">
      <w:pPr>
        <w:pStyle w:val="32"/>
        <w:pageBreakBefore w:val="0"/>
        <w:tabs>
          <w:tab w:val="left" w:pos="840"/>
        </w:tabs>
        <w:kinsoku/>
        <w:wordWrap/>
        <w:overflowPunct/>
        <w:topLinePunct w:val="0"/>
        <w:bidi w:val="0"/>
        <w:snapToGrid w:val="0"/>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5.1.5拟签订的合同文本；</w:t>
      </w:r>
    </w:p>
    <w:p w14:paraId="59D874BC">
      <w:pPr>
        <w:pStyle w:val="32"/>
        <w:pageBreakBefore w:val="0"/>
        <w:tabs>
          <w:tab w:val="left" w:pos="840"/>
        </w:tabs>
        <w:kinsoku/>
        <w:wordWrap/>
        <w:overflowPunct/>
        <w:topLinePunct w:val="0"/>
        <w:bidi w:val="0"/>
        <w:snapToGrid w:val="0"/>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D8A1DC7">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E1C4FA">
      <w:pPr>
        <w:pStyle w:val="32"/>
        <w:pageBreakBefore w:val="0"/>
        <w:kinsoku/>
        <w:wordWrap/>
        <w:overflowPunct/>
        <w:topLinePunct w:val="0"/>
        <w:bidi w:val="0"/>
        <w:snapToGrid w:val="0"/>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4BBC6223">
      <w:pPr>
        <w:pStyle w:val="128"/>
        <w:pageBreakBefore w:val="0"/>
        <w:kinsoku/>
        <w:wordWrap/>
        <w:overflowPunct/>
        <w:topLinePunct w:val="0"/>
        <w:bidi w:val="0"/>
        <w:snapToGrid w:val="0"/>
        <w:spacing w:before="0" w:beforeAutospacing="0"/>
        <w:ind w:firstLine="480"/>
        <w:textAlignment w:val="auto"/>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32F1AA62">
      <w:pPr>
        <w:pStyle w:val="128"/>
        <w:pageBreakBefore w:val="0"/>
        <w:kinsoku/>
        <w:wordWrap/>
        <w:overflowPunct/>
        <w:topLinePunct w:val="0"/>
        <w:bidi w:val="0"/>
        <w:snapToGrid w:val="0"/>
        <w:spacing w:before="0" w:beforeAutospacing="0"/>
        <w:ind w:firstLine="480"/>
        <w:textAlignment w:val="auto"/>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156DCF2">
      <w:pPr>
        <w:pageBreakBefore w:val="0"/>
        <w:kinsoku/>
        <w:wordWrap/>
        <w:overflowPunct/>
        <w:topLinePunct w:val="0"/>
        <w:bidi w:val="0"/>
        <w:adjustRightInd/>
        <w:snapToGrid w:val="0"/>
        <w:spacing w:beforeAutospacing="0" w:line="360" w:lineRule="auto"/>
        <w:jc w:val="center"/>
        <w:textAlignment w:val="auto"/>
        <w:outlineLvl w:val="0"/>
        <w:rPr>
          <w:rFonts w:ascii="宋体" w:hAnsi="宋体" w:cs="宋体"/>
          <w:b/>
          <w:color w:val="auto"/>
          <w:sz w:val="32"/>
          <w:szCs w:val="21"/>
          <w:highlight w:val="none"/>
        </w:rPr>
      </w:pPr>
      <w:r>
        <w:rPr>
          <w:rFonts w:hint="eastAsia" w:ascii="宋体" w:hAnsi="宋体" w:cs="宋体"/>
          <w:b/>
          <w:color w:val="auto"/>
          <w:sz w:val="32"/>
          <w:szCs w:val="21"/>
          <w:highlight w:val="none"/>
        </w:rPr>
        <w:t>三、投标</w:t>
      </w:r>
    </w:p>
    <w:p w14:paraId="3BEC9925">
      <w:pPr>
        <w:pStyle w:val="32"/>
        <w:pageBreakBefore w:val="0"/>
        <w:kinsoku/>
        <w:wordWrap/>
        <w:overflowPunct/>
        <w:topLinePunct w:val="0"/>
        <w:bidi w:val="0"/>
        <w:snapToGrid w:val="0"/>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AE4A5EA">
      <w:pPr>
        <w:pageBreakBefore w:val="0"/>
        <w:kinsoku/>
        <w:wordWrap/>
        <w:overflowPunct/>
        <w:topLinePunct w:val="0"/>
        <w:bidi w:val="0"/>
        <w:snapToGrid w:val="0"/>
        <w:spacing w:beforeAutospacing="0" w:line="360" w:lineRule="auto"/>
        <w:ind w:firstLine="480" w:firstLineChars="200"/>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5073429">
      <w:pPr>
        <w:pStyle w:val="32"/>
        <w:pageBreakBefore w:val="0"/>
        <w:numPr>
          <w:ilvl w:val="0"/>
          <w:numId w:val="3"/>
        </w:numPr>
        <w:kinsoku/>
        <w:wordWrap/>
        <w:overflowPunct/>
        <w:topLinePunct w:val="0"/>
        <w:bidi w:val="0"/>
        <w:snapToGrid w:val="0"/>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开标前答疑会或现场考察</w:t>
      </w:r>
    </w:p>
    <w:p w14:paraId="52E96A4F">
      <w:pPr>
        <w:pStyle w:val="32"/>
        <w:pageBreakBefore w:val="0"/>
        <w:kinsoku/>
        <w:wordWrap/>
        <w:overflowPunct/>
        <w:topLinePunct w:val="0"/>
        <w:bidi w:val="0"/>
        <w:snapToGrid w:val="0"/>
        <w:spacing w:beforeAutospacing="0"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62084E7">
      <w:pPr>
        <w:pStyle w:val="32"/>
        <w:pageBreakBefore w:val="0"/>
        <w:numPr>
          <w:ilvl w:val="0"/>
          <w:numId w:val="3"/>
        </w:numPr>
        <w:kinsoku/>
        <w:wordWrap/>
        <w:overflowPunct/>
        <w:topLinePunct w:val="0"/>
        <w:bidi w:val="0"/>
        <w:snapToGrid w:val="0"/>
        <w:spacing w:beforeAutospacing="0" w:line="360" w:lineRule="auto"/>
        <w:ind w:left="0" w:leftChars="0" w:firstLine="0" w:firstLineChars="0"/>
        <w:textAlignment w:val="auto"/>
        <w:rPr>
          <w:rFonts w:hAnsi="宋体" w:cs="宋体"/>
          <w:b/>
          <w:color w:val="auto"/>
          <w:sz w:val="24"/>
          <w:szCs w:val="24"/>
          <w:highlight w:val="none"/>
        </w:rPr>
      </w:pPr>
      <w:r>
        <w:rPr>
          <w:rFonts w:hint="eastAsia" w:hAnsi="宋体" w:cs="宋体"/>
          <w:b/>
          <w:color w:val="auto"/>
          <w:sz w:val="24"/>
          <w:szCs w:val="24"/>
          <w:highlight w:val="none"/>
        </w:rPr>
        <w:t>投标保证金</w:t>
      </w:r>
    </w:p>
    <w:p w14:paraId="0D6A3892">
      <w:pPr>
        <w:pStyle w:val="5"/>
        <w:pageBreakBefore w:val="0"/>
        <w:kinsoku/>
        <w:wordWrap/>
        <w:overflowPunct/>
        <w:topLinePunct w:val="0"/>
        <w:bidi w:val="0"/>
        <w:snapToGrid w:val="0"/>
        <w:spacing w:beforeAutospacing="0" w:line="360" w:lineRule="auto"/>
        <w:ind w:firstLine="470" w:firstLineChars="196"/>
        <w:textAlignment w:val="auto"/>
        <w:rPr>
          <w:rFonts w:hAnsi="宋体" w:cs="宋体"/>
          <w:color w:val="auto"/>
          <w:sz w:val="24"/>
          <w:highlight w:val="none"/>
        </w:rPr>
      </w:pPr>
      <w:r>
        <w:rPr>
          <w:rFonts w:hint="eastAsia" w:hAnsi="宋体" w:cs="宋体"/>
          <w:color w:val="auto"/>
          <w:sz w:val="24"/>
          <w:highlight w:val="none"/>
        </w:rPr>
        <w:t>本项目不需缴纳投标保证金。</w:t>
      </w:r>
    </w:p>
    <w:p w14:paraId="63092CD4">
      <w:pPr>
        <w:pStyle w:val="32"/>
        <w:pageBreakBefore w:val="0"/>
        <w:kinsoku/>
        <w:wordWrap/>
        <w:overflowPunct/>
        <w:topLinePunct w:val="0"/>
        <w:bidi w:val="0"/>
        <w:snapToGrid w:val="0"/>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11C1F5E7">
      <w:pPr>
        <w:pageBreakBefore w:val="0"/>
        <w:kinsoku/>
        <w:wordWrap/>
        <w:overflowPunct/>
        <w:topLinePunct w:val="0"/>
        <w:autoSpaceDE w:val="0"/>
        <w:autoSpaceDN w:val="0"/>
        <w:bidi w:val="0"/>
        <w:snapToGrid w:val="0"/>
        <w:spacing w:beforeAutospacing="0"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3A3904F">
      <w:pPr>
        <w:pStyle w:val="32"/>
        <w:pageBreakBefore w:val="0"/>
        <w:kinsoku/>
        <w:wordWrap/>
        <w:overflowPunct/>
        <w:topLinePunct w:val="0"/>
        <w:bidi w:val="0"/>
        <w:snapToGrid w:val="0"/>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D0CD030">
      <w:pPr>
        <w:pageBreakBefore w:val="0"/>
        <w:kinsoku/>
        <w:wordWrap/>
        <w:overflowPunct/>
        <w:topLinePunct w:val="0"/>
        <w:bidi w:val="0"/>
        <w:snapToGrid w:val="0"/>
        <w:spacing w:beforeAutospacing="0" w:line="360" w:lineRule="auto"/>
        <w:ind w:firstLine="482" w:firstLineChars="200"/>
        <w:textAlignment w:val="auto"/>
        <w:rPr>
          <w:rFonts w:hint="eastAsia" w:hAnsi="宋体" w:cs="宋体"/>
          <w:b/>
          <w:color w:val="auto"/>
          <w:sz w:val="24"/>
          <w:szCs w:val="24"/>
          <w:highlight w:val="none"/>
        </w:rPr>
      </w:pPr>
      <w:r>
        <w:rPr>
          <w:rFonts w:hint="eastAsia" w:ascii="宋体" w:hAnsi="宋体" w:cs="宋体"/>
          <w:b/>
          <w:snapToGrid w:val="0"/>
          <w:color w:val="auto"/>
          <w:sz w:val="24"/>
          <w:highlight w:val="none"/>
        </w:rPr>
        <w:t>▲投标文件至少应包括以下文件。</w:t>
      </w:r>
    </w:p>
    <w:p w14:paraId="717E5E66">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8D77D48">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94F5AF8">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6B5B0CD9">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2C81DA">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78CBEAD">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2895E163">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1EECAE4">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9506504">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5973AD2">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61D0935">
      <w:pPr>
        <w:pageBreakBefore w:val="0"/>
        <w:kinsoku/>
        <w:wordWrap/>
        <w:overflowPunct/>
        <w:topLinePunct w:val="0"/>
        <w:bidi w:val="0"/>
        <w:snapToGrid w:val="0"/>
        <w:spacing w:beforeAutospacing="0"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2B5B7B7">
      <w:pPr>
        <w:pageBreakBefore w:val="0"/>
        <w:kinsoku/>
        <w:wordWrap/>
        <w:overflowPunct/>
        <w:topLinePunct w:val="0"/>
        <w:bidi w:val="0"/>
        <w:snapToGrid w:val="0"/>
        <w:spacing w:beforeAutospacing="0"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92E5283">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BCBAB44">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C1BA6FD">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AD69FA9">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11.3.1开标一览表（报价表）；</w:t>
      </w:r>
    </w:p>
    <w:p w14:paraId="3B814D49">
      <w:pPr>
        <w:pStyle w:val="964"/>
        <w:pageBreakBefore w:val="0"/>
        <w:kinsoku/>
        <w:wordWrap/>
        <w:overflowPunct/>
        <w:topLinePunct w:val="0"/>
        <w:bidi w:val="0"/>
        <w:adjustRightInd w:val="0"/>
        <w:snapToGrid w:val="0"/>
        <w:spacing w:beforeAutospacing="0" w:line="360" w:lineRule="auto"/>
        <w:ind w:firstLine="960" w:firstLineChars="400"/>
        <w:textAlignment w:val="auto"/>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3A98AA1A">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28C0746F">
      <w:pPr>
        <w:pageBreakBefore w:val="0"/>
        <w:kinsoku/>
        <w:wordWrap/>
        <w:overflowPunct/>
        <w:topLinePunct w:val="0"/>
        <w:bidi w:val="0"/>
        <w:snapToGrid w:val="0"/>
        <w:spacing w:beforeAutospacing="0" w:line="360" w:lineRule="auto"/>
        <w:ind w:firstLine="723" w:firstLineChars="300"/>
        <w:textAlignment w:val="auto"/>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C272180">
      <w:pPr>
        <w:pageBreakBefore w:val="0"/>
        <w:kinsoku/>
        <w:wordWrap/>
        <w:overflowPunct/>
        <w:topLinePunct w:val="0"/>
        <w:bidi w:val="0"/>
        <w:snapToGrid w:val="0"/>
        <w:spacing w:beforeAutospacing="0" w:line="360" w:lineRule="auto"/>
        <w:ind w:firstLine="723" w:firstLineChars="300"/>
        <w:textAlignment w:val="auto"/>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E5E2FA4">
      <w:pPr>
        <w:pageBreakBefore w:val="0"/>
        <w:kinsoku/>
        <w:wordWrap/>
        <w:overflowPunct/>
        <w:topLinePunct w:val="0"/>
        <w:bidi w:val="0"/>
        <w:snapToGrid w:val="0"/>
        <w:spacing w:beforeAutospacing="0" w:line="360" w:lineRule="auto"/>
        <w:ind w:firstLine="720" w:firstLineChars="300"/>
        <w:textAlignment w:val="auto"/>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776305B7">
      <w:pPr>
        <w:pStyle w:val="128"/>
        <w:pageBreakBefore w:val="0"/>
        <w:kinsoku/>
        <w:wordWrap/>
        <w:overflowPunct/>
        <w:topLinePunct w:val="0"/>
        <w:bidi w:val="0"/>
        <w:snapToGrid w:val="0"/>
        <w:spacing w:before="0" w:beforeAutospacing="0"/>
        <w:ind w:firstLine="0" w:firstLineChars="0"/>
        <w:textAlignment w:val="auto"/>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268E361">
      <w:pPr>
        <w:pageBreakBefore w:val="0"/>
        <w:kinsoku/>
        <w:wordWrap/>
        <w:overflowPunct/>
        <w:topLinePunct w:val="0"/>
        <w:bidi w:val="0"/>
        <w:snapToGrid w:val="0"/>
        <w:spacing w:beforeAutospacing="0" w:line="360" w:lineRule="auto"/>
        <w:ind w:firstLine="480" w:firstLineChars="200"/>
        <w:textAlignment w:val="auto"/>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w:t>
      </w:r>
      <w:r>
        <w:rPr>
          <w:rFonts w:hint="eastAsia" w:ascii="宋体" w:hAnsi="宋体" w:cs="宋体"/>
          <w:color w:val="auto"/>
          <w:kern w:val="0"/>
          <w:sz w:val="24"/>
          <w:highlight w:val="none"/>
          <w:lang w:val="zh-CN"/>
        </w:rPr>
        <w:t>如果本项目分多个标项的，投标人应按所投标项提交相应的投标文件。</w:t>
      </w:r>
      <w:r>
        <w:rPr>
          <w:rFonts w:hint="eastAsia" w:ascii="宋体" w:hAnsi="宋体" w:cs="宋体"/>
          <w:color w:val="auto"/>
          <w:kern w:val="0"/>
          <w:sz w:val="24"/>
          <w:highlight w:val="none"/>
          <w:lang w:val="zh-CN"/>
        </w:rPr>
        <w:t>各投标人在编制投标文件时请按照招标文件第六部分规定的格式进行，混乱的编排导致投标文件被误读或评标委员会查找不到有效文件是投标人的风险。</w:t>
      </w:r>
    </w:p>
    <w:p w14:paraId="74D66128">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E3D4528">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850D5B7">
      <w:pPr>
        <w:pageBreakBefore w:val="0"/>
        <w:numPr>
          <w:ilvl w:val="0"/>
          <w:numId w:val="4"/>
        </w:numPr>
        <w:kinsoku/>
        <w:wordWrap/>
        <w:overflowPunct/>
        <w:topLinePunct w:val="0"/>
        <w:bidi w:val="0"/>
        <w:snapToGrid w:val="0"/>
        <w:spacing w:beforeAutospacing="0"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投标文件的签署、盖章</w:t>
      </w:r>
    </w:p>
    <w:p w14:paraId="58D6B3A7">
      <w:pPr>
        <w:pStyle w:val="128"/>
        <w:pageBreakBefore w:val="0"/>
        <w:kinsoku/>
        <w:wordWrap/>
        <w:overflowPunct/>
        <w:topLinePunct w:val="0"/>
        <w:bidi w:val="0"/>
        <w:snapToGrid w:val="0"/>
        <w:spacing w:before="0" w:beforeAutospacing="0"/>
        <w:ind w:firstLine="480"/>
        <w:textAlignment w:val="auto"/>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4E6C1BB">
      <w:pPr>
        <w:pStyle w:val="128"/>
        <w:pageBreakBefore w:val="0"/>
        <w:kinsoku/>
        <w:wordWrap/>
        <w:overflowPunct/>
        <w:topLinePunct w:val="0"/>
        <w:bidi w:val="0"/>
        <w:snapToGrid w:val="0"/>
        <w:spacing w:before="0" w:beforeAutospacing="0"/>
        <w:ind w:firstLine="480"/>
        <w:textAlignment w:val="auto"/>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FE52104">
      <w:pPr>
        <w:pStyle w:val="128"/>
        <w:pageBreakBefore w:val="0"/>
        <w:kinsoku/>
        <w:wordWrap/>
        <w:overflowPunct/>
        <w:topLinePunct w:val="0"/>
        <w:bidi w:val="0"/>
        <w:snapToGrid w:val="0"/>
        <w:spacing w:before="0" w:beforeAutospacing="0"/>
        <w:ind w:firstLine="480"/>
        <w:textAlignment w:val="auto"/>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C93401B">
      <w:pPr>
        <w:pStyle w:val="128"/>
        <w:pageBreakBefore w:val="0"/>
        <w:kinsoku/>
        <w:wordWrap/>
        <w:overflowPunct/>
        <w:topLinePunct w:val="0"/>
        <w:bidi w:val="0"/>
        <w:snapToGrid w:val="0"/>
        <w:spacing w:before="0" w:beforeAutospacing="0"/>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A2CECFA">
      <w:pPr>
        <w:pStyle w:val="128"/>
        <w:pageBreakBefore w:val="0"/>
        <w:kinsoku/>
        <w:wordWrap/>
        <w:overflowPunct/>
        <w:topLinePunct w:val="0"/>
        <w:bidi w:val="0"/>
        <w:snapToGrid w:val="0"/>
        <w:spacing w:before="0" w:beforeAutospacing="0"/>
        <w:ind w:firstLine="480"/>
        <w:textAlignment w:val="auto"/>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0636FAD">
      <w:pPr>
        <w:pStyle w:val="128"/>
        <w:pageBreakBefore w:val="0"/>
        <w:kinsoku/>
        <w:wordWrap/>
        <w:overflowPunct/>
        <w:topLinePunct w:val="0"/>
        <w:bidi w:val="0"/>
        <w:snapToGrid w:val="0"/>
        <w:spacing w:before="0" w:beforeAutospacing="0"/>
        <w:ind w:firstLine="480"/>
        <w:textAlignment w:val="auto"/>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FFA5BC">
      <w:pPr>
        <w:pStyle w:val="128"/>
        <w:pageBreakBefore w:val="0"/>
        <w:kinsoku/>
        <w:wordWrap/>
        <w:overflowPunct/>
        <w:topLinePunct w:val="0"/>
        <w:bidi w:val="0"/>
        <w:snapToGrid w:val="0"/>
        <w:spacing w:before="0" w:beforeAutospacing="0"/>
        <w:ind w:firstLine="480"/>
        <w:textAlignment w:val="auto"/>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4EEB1A9">
      <w:pPr>
        <w:pStyle w:val="32"/>
        <w:pageBreakBefore w:val="0"/>
        <w:numPr>
          <w:ilvl w:val="0"/>
          <w:numId w:val="5"/>
        </w:numPr>
        <w:kinsoku/>
        <w:wordWrap/>
        <w:overflowPunct/>
        <w:topLinePunct w:val="0"/>
        <w:bidi w:val="0"/>
        <w:snapToGrid w:val="0"/>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备份投标文件</w:t>
      </w:r>
    </w:p>
    <w:p w14:paraId="0AB487EB">
      <w:pPr>
        <w:pStyle w:val="32"/>
        <w:pageBreakBefore w:val="0"/>
        <w:kinsoku/>
        <w:wordWrap/>
        <w:overflowPunct/>
        <w:topLinePunct w:val="0"/>
        <w:bidi w:val="0"/>
        <w:snapToGrid w:val="0"/>
        <w:spacing w:beforeAutospacing="0" w:line="360" w:lineRule="auto"/>
        <w:ind w:firstLine="360" w:firstLineChars="150"/>
        <w:textAlignment w:val="auto"/>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7513D8C4">
      <w:pPr>
        <w:pStyle w:val="32"/>
        <w:pageBreakBefore w:val="0"/>
        <w:kinsoku/>
        <w:wordWrap/>
        <w:overflowPunct/>
        <w:topLinePunct w:val="0"/>
        <w:bidi w:val="0"/>
        <w:snapToGrid w:val="0"/>
        <w:spacing w:beforeAutospacing="0" w:line="360" w:lineRule="auto"/>
        <w:ind w:firstLine="480" w:firstLineChars="200"/>
        <w:textAlignment w:val="auto"/>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94367A3">
      <w:pPr>
        <w:pStyle w:val="32"/>
        <w:pageBreakBefore w:val="0"/>
        <w:kinsoku/>
        <w:wordWrap/>
        <w:overflowPunct/>
        <w:topLinePunct w:val="0"/>
        <w:bidi w:val="0"/>
        <w:snapToGrid w:val="0"/>
        <w:spacing w:beforeAutospacing="0"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222F092">
      <w:pPr>
        <w:pStyle w:val="32"/>
        <w:pageBreakBefore w:val="0"/>
        <w:kinsoku/>
        <w:wordWrap/>
        <w:overflowPunct/>
        <w:topLinePunct w:val="0"/>
        <w:bidi w:val="0"/>
        <w:snapToGrid w:val="0"/>
        <w:spacing w:beforeAutospacing="0"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B0AB5AD">
      <w:pPr>
        <w:pStyle w:val="32"/>
        <w:pageBreakBefore w:val="0"/>
        <w:kinsoku/>
        <w:wordWrap/>
        <w:overflowPunct/>
        <w:topLinePunct w:val="0"/>
        <w:bidi w:val="0"/>
        <w:snapToGrid w:val="0"/>
        <w:spacing w:beforeAutospacing="0" w:line="360" w:lineRule="auto"/>
        <w:ind w:firstLine="479" w:firstLineChars="199"/>
        <w:textAlignment w:val="auto"/>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A39B52E">
      <w:pPr>
        <w:pStyle w:val="128"/>
        <w:pageBreakBefore w:val="0"/>
        <w:numPr>
          <w:ilvl w:val="0"/>
          <w:numId w:val="6"/>
        </w:numPr>
        <w:kinsoku/>
        <w:wordWrap/>
        <w:overflowPunct/>
        <w:topLinePunct w:val="0"/>
        <w:bidi w:val="0"/>
        <w:snapToGrid w:val="0"/>
        <w:spacing w:before="0" w:beforeAutospacing="0"/>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投标文件的无效处理</w:t>
      </w:r>
    </w:p>
    <w:p w14:paraId="6C36F8D7">
      <w:pPr>
        <w:pStyle w:val="24"/>
        <w:pageBreakBefore w:val="0"/>
        <w:kinsoku/>
        <w:wordWrap/>
        <w:overflowPunct/>
        <w:topLinePunct w:val="0"/>
        <w:bidi w:val="0"/>
        <w:snapToGrid w:val="0"/>
        <w:spacing w:beforeAutospacing="0" w:line="360" w:lineRule="auto"/>
        <w:ind w:firstLine="360" w:firstLineChars="150"/>
        <w:textAlignment w:val="auto"/>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07BF13F">
      <w:pPr>
        <w:pStyle w:val="128"/>
        <w:pageBreakBefore w:val="0"/>
        <w:numPr>
          <w:ilvl w:val="0"/>
          <w:numId w:val="6"/>
        </w:numPr>
        <w:kinsoku/>
        <w:wordWrap/>
        <w:overflowPunct/>
        <w:topLinePunct w:val="0"/>
        <w:bidi w:val="0"/>
        <w:snapToGrid w:val="0"/>
        <w:spacing w:before="0" w:beforeAutospacing="0"/>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投标有效期</w:t>
      </w:r>
    </w:p>
    <w:p w14:paraId="78B2DBEE">
      <w:pPr>
        <w:pageBreakBefore w:val="0"/>
        <w:kinsoku/>
        <w:wordWrap/>
        <w:overflowPunct/>
        <w:topLinePunct w:val="0"/>
        <w:bidi w:val="0"/>
        <w:snapToGrid w:val="0"/>
        <w:spacing w:beforeAutospacing="0" w:line="360" w:lineRule="auto"/>
        <w:ind w:firstLine="480" w:firstLineChars="200"/>
        <w:textAlignment w:val="auto"/>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CEDA18F">
      <w:pPr>
        <w:pStyle w:val="128"/>
        <w:pageBreakBefore w:val="0"/>
        <w:kinsoku/>
        <w:wordWrap/>
        <w:overflowPunct/>
        <w:topLinePunct w:val="0"/>
        <w:bidi w:val="0"/>
        <w:snapToGrid w:val="0"/>
        <w:spacing w:before="0" w:beforeAutospacing="0"/>
        <w:ind w:firstLine="480"/>
        <w:textAlignment w:val="auto"/>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84F89C0">
      <w:pPr>
        <w:pStyle w:val="128"/>
        <w:pageBreakBefore w:val="0"/>
        <w:kinsoku/>
        <w:wordWrap/>
        <w:overflowPunct/>
        <w:topLinePunct w:val="0"/>
        <w:bidi w:val="0"/>
        <w:snapToGrid w:val="0"/>
        <w:spacing w:before="0" w:beforeAutospacing="0"/>
        <w:ind w:firstLine="480"/>
        <w:textAlignment w:val="auto"/>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7456699">
      <w:pPr>
        <w:pStyle w:val="128"/>
        <w:pageBreakBefore w:val="0"/>
        <w:kinsoku/>
        <w:wordWrap/>
        <w:overflowPunct/>
        <w:topLinePunct w:val="0"/>
        <w:bidi w:val="0"/>
        <w:snapToGrid w:val="0"/>
        <w:spacing w:before="0" w:beforeAutospacing="0"/>
        <w:ind w:firstLine="480"/>
        <w:textAlignment w:val="auto"/>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6CEC3BBA">
      <w:pPr>
        <w:pStyle w:val="128"/>
        <w:pageBreakBefore w:val="0"/>
        <w:kinsoku/>
        <w:wordWrap/>
        <w:overflowPunct/>
        <w:topLinePunct w:val="0"/>
        <w:bidi w:val="0"/>
        <w:snapToGrid w:val="0"/>
        <w:spacing w:before="0" w:beforeAutospacing="0"/>
        <w:ind w:left="0" w:leftChars="0" w:firstLine="0" w:firstLineChars="0"/>
        <w:jc w:val="center"/>
        <w:textAlignment w:val="auto"/>
        <w:rPr>
          <w:rFonts w:ascii="宋体" w:hAnsi="宋体" w:cs="宋体"/>
          <w:b/>
          <w:color w:val="auto"/>
          <w:sz w:val="32"/>
          <w:highlight w:val="none"/>
        </w:rPr>
      </w:pPr>
      <w:r>
        <w:rPr>
          <w:rFonts w:hint="eastAsia" w:ascii="宋体" w:hAnsi="宋体" w:cs="宋体"/>
          <w:b/>
          <w:color w:val="auto"/>
          <w:sz w:val="32"/>
          <w:highlight w:val="none"/>
        </w:rPr>
        <w:t>四、开标</w:t>
      </w:r>
    </w:p>
    <w:p w14:paraId="761A5422">
      <w:pPr>
        <w:pStyle w:val="554"/>
        <w:pageBreakBefore w:val="0"/>
        <w:kinsoku/>
        <w:wordWrap/>
        <w:overflowPunct/>
        <w:topLinePunct w:val="0"/>
        <w:bidi w:val="0"/>
        <w:snapToGrid w:val="0"/>
        <w:spacing w:before="0" w:beforeAutospacing="0" w:line="360" w:lineRule="auto"/>
        <w:ind w:left="0" w:leftChars="0" w:firstLine="0" w:firstLineChars="0"/>
        <w:contextualSpacing/>
        <w:textAlignment w:val="auto"/>
        <w:rPr>
          <w:rFonts w:ascii="宋体" w:hAnsi="宋体" w:cs="宋体"/>
          <w:color w:val="auto"/>
          <w:sz w:val="24"/>
          <w:highlight w:val="none"/>
        </w:rPr>
      </w:pPr>
      <w:r>
        <w:rPr>
          <w:rFonts w:hint="eastAsia" w:ascii="宋体" w:hAnsi="宋体" w:cs="宋体"/>
          <w:b/>
          <w:color w:val="auto"/>
          <w:sz w:val="24"/>
          <w:szCs w:val="24"/>
          <w:highlight w:val="none"/>
        </w:rPr>
        <w:t>18.</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3670A586">
      <w:pPr>
        <w:pStyle w:val="554"/>
        <w:pageBreakBefore w:val="0"/>
        <w:kinsoku/>
        <w:wordWrap/>
        <w:overflowPunct/>
        <w:topLinePunct w:val="0"/>
        <w:bidi w:val="0"/>
        <w:snapToGrid w:val="0"/>
        <w:spacing w:before="0" w:beforeAutospacing="0" w:line="360" w:lineRule="auto"/>
        <w:ind w:left="0"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406CC4A1">
      <w:pPr>
        <w:pStyle w:val="554"/>
        <w:pageBreakBefore w:val="0"/>
        <w:kinsoku/>
        <w:wordWrap/>
        <w:overflowPunct/>
        <w:topLinePunct w:val="0"/>
        <w:bidi w:val="0"/>
        <w:snapToGrid w:val="0"/>
        <w:spacing w:before="0" w:beforeAutospacing="0" w:line="360" w:lineRule="auto"/>
        <w:ind w:left="0" w:firstLine="240" w:firstLineChars="100"/>
        <w:contextualSpacing/>
        <w:textAlignment w:val="auto"/>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FD7E4DB">
      <w:pPr>
        <w:pStyle w:val="554"/>
        <w:pageBreakBefore w:val="0"/>
        <w:kinsoku/>
        <w:wordWrap/>
        <w:overflowPunct/>
        <w:topLinePunct w:val="0"/>
        <w:bidi w:val="0"/>
        <w:snapToGrid w:val="0"/>
        <w:spacing w:before="0" w:beforeAutospacing="0" w:line="360" w:lineRule="auto"/>
        <w:ind w:left="0" w:firstLine="240" w:firstLineChars="100"/>
        <w:contextualSpacing/>
        <w:textAlignment w:val="auto"/>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F95F0A9">
      <w:pPr>
        <w:pStyle w:val="128"/>
        <w:pageBreakBefore w:val="0"/>
        <w:kinsoku/>
        <w:wordWrap/>
        <w:overflowPunct/>
        <w:topLinePunct w:val="0"/>
        <w:bidi w:val="0"/>
        <w:snapToGrid w:val="0"/>
        <w:spacing w:before="0" w:beforeAutospacing="0"/>
        <w:ind w:left="0" w:leftChars="0" w:firstLine="0" w:firstLineChars="0"/>
        <w:jc w:val="center"/>
        <w:textAlignment w:val="auto"/>
        <w:rPr>
          <w:rFonts w:hint="eastAsia" w:ascii="宋体" w:hAnsi="宋体" w:cs="宋体"/>
          <w:b/>
          <w:color w:val="auto"/>
          <w:sz w:val="24"/>
          <w:highlight w:val="none"/>
        </w:rPr>
      </w:pPr>
      <w:r>
        <w:rPr>
          <w:rFonts w:hint="eastAsia" w:ascii="宋体" w:hAnsi="宋体" w:cs="宋体"/>
          <w:b/>
          <w:color w:val="auto"/>
          <w:sz w:val="32"/>
          <w:highlight w:val="none"/>
          <w:lang w:eastAsia="zh-CN"/>
        </w:rPr>
        <w:t>五</w:t>
      </w:r>
      <w:r>
        <w:rPr>
          <w:rFonts w:hint="eastAsia" w:ascii="宋体" w:hAnsi="宋体" w:cs="宋体"/>
          <w:b/>
          <w:color w:val="auto"/>
          <w:sz w:val="32"/>
          <w:highlight w:val="none"/>
        </w:rPr>
        <w:t>、</w:t>
      </w:r>
      <w:r>
        <w:rPr>
          <w:rFonts w:hint="eastAsia" w:ascii="宋体" w:hAnsi="宋体" w:cs="宋体"/>
          <w:b/>
          <w:color w:val="auto"/>
          <w:sz w:val="32"/>
          <w:highlight w:val="none"/>
          <w:lang w:eastAsia="zh-CN"/>
        </w:rPr>
        <w:t>资格审查</w:t>
      </w:r>
    </w:p>
    <w:p w14:paraId="1B0D4256">
      <w:pPr>
        <w:pageBreakBefore w:val="0"/>
        <w:widowControl/>
        <w:numPr>
          <w:ilvl w:val="0"/>
          <w:numId w:val="7"/>
        </w:numPr>
        <w:kinsoku/>
        <w:wordWrap/>
        <w:overflowPunct/>
        <w:topLinePunct w:val="0"/>
        <w:bidi w:val="0"/>
        <w:snapToGrid w:val="0"/>
        <w:spacing w:beforeAutospacing="0" w:line="360" w:lineRule="auto"/>
        <w:jc w:val="left"/>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资格审查</w:t>
      </w:r>
    </w:p>
    <w:p w14:paraId="1E71403D">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7D63327F">
      <w:pPr>
        <w:pStyle w:val="128"/>
        <w:pageBreakBefore w:val="0"/>
        <w:kinsoku/>
        <w:wordWrap/>
        <w:overflowPunct/>
        <w:topLinePunct w:val="0"/>
        <w:bidi w:val="0"/>
        <w:snapToGrid w:val="0"/>
        <w:spacing w:before="0" w:beforeAutospacing="0"/>
        <w:ind w:firstLine="480"/>
        <w:textAlignment w:val="auto"/>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4294545">
      <w:pPr>
        <w:pStyle w:val="128"/>
        <w:pageBreakBefore w:val="0"/>
        <w:kinsoku/>
        <w:wordWrap/>
        <w:overflowPunct/>
        <w:topLinePunct w:val="0"/>
        <w:bidi w:val="0"/>
        <w:snapToGrid w:val="0"/>
        <w:spacing w:before="0" w:beforeAutospacing="0"/>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408419BC">
      <w:pPr>
        <w:pStyle w:val="128"/>
        <w:pageBreakBefore w:val="0"/>
        <w:kinsoku/>
        <w:wordWrap/>
        <w:overflowPunct/>
        <w:topLinePunct w:val="0"/>
        <w:bidi w:val="0"/>
        <w:snapToGrid w:val="0"/>
        <w:spacing w:before="0" w:beforeAutospacing="0"/>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122D03A2">
      <w:pPr>
        <w:pStyle w:val="128"/>
        <w:pageBreakBefore w:val="0"/>
        <w:numPr>
          <w:ilvl w:val="0"/>
          <w:numId w:val="7"/>
        </w:numPr>
        <w:kinsoku/>
        <w:wordWrap/>
        <w:overflowPunct/>
        <w:topLinePunct w:val="0"/>
        <w:bidi w:val="0"/>
        <w:snapToGrid w:val="0"/>
        <w:spacing w:before="0" w:beforeAutospacing="0"/>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信用信息查询</w:t>
      </w:r>
    </w:p>
    <w:p w14:paraId="1BCC139F">
      <w:pPr>
        <w:pStyle w:val="128"/>
        <w:pageBreakBefore w:val="0"/>
        <w:kinsoku/>
        <w:wordWrap/>
        <w:overflowPunct/>
        <w:topLinePunct w:val="0"/>
        <w:bidi w:val="0"/>
        <w:snapToGrid w:val="0"/>
        <w:spacing w:before="0" w:beforeAutospacing="0"/>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6BBD7621">
      <w:pPr>
        <w:pStyle w:val="128"/>
        <w:pageBreakBefore w:val="0"/>
        <w:kinsoku/>
        <w:wordWrap/>
        <w:overflowPunct/>
        <w:topLinePunct w:val="0"/>
        <w:bidi w:val="0"/>
        <w:snapToGrid w:val="0"/>
        <w:spacing w:before="0" w:beforeAutospacing="0"/>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E8C0C23">
      <w:pPr>
        <w:pStyle w:val="128"/>
        <w:pageBreakBefore w:val="0"/>
        <w:kinsoku/>
        <w:wordWrap/>
        <w:overflowPunct/>
        <w:topLinePunct w:val="0"/>
        <w:bidi w:val="0"/>
        <w:snapToGrid w:val="0"/>
        <w:spacing w:before="0" w:beforeAutospacing="0"/>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A193DFC">
      <w:pPr>
        <w:pStyle w:val="128"/>
        <w:pageBreakBefore w:val="0"/>
        <w:kinsoku/>
        <w:wordWrap/>
        <w:overflowPunct/>
        <w:topLinePunct w:val="0"/>
        <w:bidi w:val="0"/>
        <w:snapToGrid w:val="0"/>
        <w:spacing w:before="0" w:beforeAutospacing="0"/>
        <w:ind w:firstLine="480"/>
        <w:textAlignment w:val="auto"/>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1968FC8">
      <w:pPr>
        <w:pageBreakBefore w:val="0"/>
        <w:kinsoku/>
        <w:wordWrap/>
        <w:overflowPunct/>
        <w:topLinePunct w:val="0"/>
        <w:bidi w:val="0"/>
        <w:snapToGrid w:val="0"/>
        <w:spacing w:beforeAutospacing="0" w:line="360" w:lineRule="auto"/>
        <w:jc w:val="center"/>
        <w:textAlignment w:val="auto"/>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六</w:t>
      </w:r>
      <w:r>
        <w:rPr>
          <w:rFonts w:hint="eastAsia" w:ascii="宋体" w:hAnsi="宋体" w:cs="宋体"/>
          <w:b/>
          <w:color w:val="auto"/>
          <w:sz w:val="32"/>
          <w:szCs w:val="32"/>
          <w:highlight w:val="none"/>
        </w:rPr>
        <w:t>、评标</w:t>
      </w:r>
    </w:p>
    <w:p w14:paraId="7EA59CE4">
      <w:pPr>
        <w:pageBreakBefore w:val="0"/>
        <w:kinsoku/>
        <w:wordWrap/>
        <w:overflowPunct/>
        <w:topLinePunct w:val="0"/>
        <w:bidi w:val="0"/>
        <w:snapToGrid w:val="0"/>
        <w:spacing w:beforeAutospacing="0"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A7D4589">
      <w:pPr>
        <w:pageBreakBefore w:val="0"/>
        <w:kinsoku/>
        <w:wordWrap/>
        <w:overflowPunct/>
        <w:topLinePunct w:val="0"/>
        <w:bidi w:val="0"/>
        <w:snapToGrid w:val="0"/>
        <w:spacing w:beforeAutospacing="0" w:line="360" w:lineRule="auto"/>
        <w:jc w:val="center"/>
        <w:textAlignment w:val="auto"/>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七</w:t>
      </w:r>
      <w:r>
        <w:rPr>
          <w:rFonts w:hint="eastAsia" w:ascii="宋体" w:hAnsi="宋体" w:cs="宋体"/>
          <w:b/>
          <w:color w:val="auto"/>
          <w:sz w:val="32"/>
          <w:szCs w:val="32"/>
          <w:highlight w:val="none"/>
        </w:rPr>
        <w:t>、定标</w:t>
      </w:r>
    </w:p>
    <w:p w14:paraId="5FBFC163">
      <w:pPr>
        <w:pStyle w:val="24"/>
        <w:pageBreakBefore w:val="0"/>
        <w:kinsoku/>
        <w:wordWrap/>
        <w:overflowPunct/>
        <w:topLinePunct w:val="0"/>
        <w:bidi w:val="0"/>
        <w:snapToGrid w:val="0"/>
        <w:spacing w:beforeAutospacing="0" w:line="360" w:lineRule="auto"/>
        <w:ind w:left="479" w:hanging="479" w:hangingChars="199"/>
        <w:textAlignment w:val="auto"/>
        <w:rPr>
          <w:rFonts w:cs="宋体"/>
          <w:b/>
          <w:color w:val="auto"/>
          <w:highlight w:val="none"/>
        </w:rPr>
      </w:pPr>
      <w:r>
        <w:rPr>
          <w:rFonts w:hint="eastAsia" w:cs="宋体"/>
          <w:b/>
          <w:color w:val="auto"/>
          <w:highlight w:val="none"/>
        </w:rPr>
        <w:t>22. 确定中标供应商</w:t>
      </w:r>
    </w:p>
    <w:p w14:paraId="541AFCFB">
      <w:pPr>
        <w:pStyle w:val="128"/>
        <w:pageBreakBefore w:val="0"/>
        <w:kinsoku/>
        <w:wordWrap/>
        <w:overflowPunct/>
        <w:topLinePunct w:val="0"/>
        <w:bidi w:val="0"/>
        <w:snapToGrid w:val="0"/>
        <w:spacing w:before="0" w:beforeAutospacing="0"/>
        <w:ind w:firstLine="480"/>
        <w:textAlignment w:val="auto"/>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color w:val="auto"/>
          <w:szCs w:val="24"/>
          <w:highlight w:val="none"/>
        </w:rPr>
        <w:t>。中标、成交通知书和中标、成交结果公告应当在规定时间内同时发出。</w:t>
      </w:r>
    </w:p>
    <w:p w14:paraId="4F9265D5">
      <w:pPr>
        <w:pStyle w:val="128"/>
        <w:pageBreakBefore w:val="0"/>
        <w:kinsoku/>
        <w:wordWrap/>
        <w:overflowPunct/>
        <w:topLinePunct w:val="0"/>
        <w:bidi w:val="0"/>
        <w:snapToGrid w:val="0"/>
        <w:spacing w:before="0" w:beforeAutospacing="0"/>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8D0AEEA">
      <w:pPr>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56134E45">
      <w:pPr>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E6A2F02">
      <w:pPr>
        <w:keepLines w:val="0"/>
        <w:pageBreakBefore w:val="0"/>
        <w:widowControl/>
        <w:shd w:val="clear" w:color="auto" w:fill="FFFFFF"/>
        <w:kinsoku/>
        <w:wordWrap/>
        <w:overflowPunct/>
        <w:topLinePunct w:val="0"/>
        <w:autoSpaceDE/>
        <w:autoSpaceDN/>
        <w:bidi w:val="0"/>
        <w:snapToGrid w:val="0"/>
        <w:spacing w:beforeAutospacing="0" w:line="360" w:lineRule="auto"/>
        <w:ind w:firstLine="48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491FBEE5">
      <w:pPr>
        <w:pStyle w:val="2"/>
        <w:keepLines w:val="0"/>
        <w:pageBreakBefore w:val="0"/>
        <w:tabs>
          <w:tab w:val="clear" w:pos="432"/>
        </w:tabs>
        <w:kinsoku/>
        <w:wordWrap/>
        <w:overflowPunct/>
        <w:topLinePunct w:val="0"/>
        <w:autoSpaceDE/>
        <w:autoSpaceDN/>
        <w:bidi w:val="0"/>
        <w:snapToGrid w:val="0"/>
        <w:spacing w:beforeAutospacing="0"/>
        <w:ind w:left="12" w:hanging="12"/>
        <w:textAlignment w:val="auto"/>
        <w:rPr>
          <w:color w:val="auto"/>
          <w:highlight w:val="none"/>
        </w:rPr>
      </w:pPr>
      <w:r>
        <w:rPr>
          <w:rFonts w:hint="default" w:cs="仿宋_GB2312" w:asciiTheme="minorEastAsia" w:hAnsiTheme="minorEastAsia" w:eastAsiaTheme="minorEastAsia"/>
          <w:b/>
          <w:bCs/>
          <w:color w:val="auto"/>
          <w:kern w:val="2"/>
          <w:sz w:val="24"/>
          <w:szCs w:val="24"/>
          <w:highlight w:val="none"/>
          <w:lang w:val="zh-CN" w:eastAsia="zh-CN" w:bidi="ar-SA"/>
        </w:rPr>
        <w:t>24.</w:t>
      </w:r>
      <w:r>
        <w:rPr>
          <w:rFonts w:hint="eastAsia" w:cs="仿宋_GB2312" w:asciiTheme="minorEastAsia" w:hAnsiTheme="minorEastAsia" w:eastAsiaTheme="minorEastAsia"/>
          <w:b/>
          <w:bCs/>
          <w:color w:val="auto"/>
          <w:kern w:val="2"/>
          <w:sz w:val="24"/>
          <w:szCs w:val="24"/>
          <w:highlight w:val="none"/>
          <w:lang w:val="en-US" w:eastAsia="zh-CN" w:bidi="ar-SA"/>
        </w:rPr>
        <w:t xml:space="preserve"> </w:t>
      </w:r>
      <w:r>
        <w:rPr>
          <w:rFonts w:hint="default" w:cs="仿宋_GB2312" w:asciiTheme="minorEastAsia" w:hAnsiTheme="minorEastAsia" w:eastAsiaTheme="minorEastAsia"/>
          <w:b/>
          <w:bCs/>
          <w:color w:val="auto"/>
          <w:kern w:val="2"/>
          <w:sz w:val="24"/>
          <w:szCs w:val="24"/>
          <w:highlight w:val="none"/>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5AC2A2B6">
      <w:pPr>
        <w:pageBreakBefore w:val="0"/>
        <w:kinsoku/>
        <w:wordWrap/>
        <w:overflowPunct/>
        <w:topLinePunct w:val="0"/>
        <w:bidi w:val="0"/>
        <w:snapToGrid w:val="0"/>
        <w:spacing w:beforeAutospacing="0" w:line="360" w:lineRule="auto"/>
        <w:ind w:left="120" w:leftChars="57"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lang w:eastAsia="zh-CN"/>
        </w:rPr>
        <w:t>八</w:t>
      </w:r>
      <w:r>
        <w:rPr>
          <w:rFonts w:hint="eastAsia" w:ascii="宋体" w:hAnsi="宋体" w:cs="宋体"/>
          <w:b/>
          <w:color w:val="auto"/>
          <w:sz w:val="32"/>
          <w:highlight w:val="none"/>
        </w:rPr>
        <w:t>、合同授予</w:t>
      </w:r>
    </w:p>
    <w:p w14:paraId="5AD4F3BB">
      <w:pPr>
        <w:pStyle w:val="24"/>
        <w:pageBreakBefore w:val="0"/>
        <w:kinsoku/>
        <w:wordWrap/>
        <w:overflowPunct/>
        <w:topLinePunct w:val="0"/>
        <w:bidi w:val="0"/>
        <w:snapToGrid w:val="0"/>
        <w:spacing w:beforeAutospacing="0" w:line="360" w:lineRule="auto"/>
        <w:ind w:left="479" w:hanging="479" w:hangingChars="199"/>
        <w:textAlignment w:val="auto"/>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5</w:t>
      </w:r>
      <w:r>
        <w:rPr>
          <w:rFonts w:hint="eastAsia" w:cs="宋体"/>
          <w:b/>
          <w:color w:val="auto"/>
          <w:highlight w:val="none"/>
        </w:rPr>
        <w:t>.</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5A67033F">
      <w:pPr>
        <w:pStyle w:val="24"/>
        <w:pageBreakBefore w:val="0"/>
        <w:kinsoku/>
        <w:wordWrap/>
        <w:overflowPunct/>
        <w:topLinePunct w:val="0"/>
        <w:bidi w:val="0"/>
        <w:snapToGrid w:val="0"/>
        <w:spacing w:beforeAutospacing="0" w:line="360" w:lineRule="auto"/>
        <w:ind w:left="479" w:hanging="479" w:hangingChars="199"/>
        <w:textAlignment w:val="auto"/>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6</w:t>
      </w:r>
      <w:r>
        <w:rPr>
          <w:rFonts w:hint="eastAsia" w:cs="宋体"/>
          <w:b/>
          <w:color w:val="auto"/>
          <w:highlight w:val="none"/>
        </w:rPr>
        <w:t>.</w:t>
      </w:r>
      <w:r>
        <w:rPr>
          <w:rFonts w:hint="eastAsia" w:cs="宋体"/>
          <w:b/>
          <w:color w:val="auto"/>
          <w:highlight w:val="none"/>
        </w:rPr>
        <w:t xml:space="preserve"> 合同的签订</w:t>
      </w:r>
    </w:p>
    <w:p w14:paraId="568CA4AC">
      <w:pPr>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71870F">
      <w:pPr>
        <w:pStyle w:val="128"/>
        <w:pageBreakBefore w:val="0"/>
        <w:kinsoku/>
        <w:wordWrap/>
        <w:overflowPunct/>
        <w:topLinePunct w:val="0"/>
        <w:bidi w:val="0"/>
        <w:snapToGrid w:val="0"/>
        <w:spacing w:before="0" w:beforeAutospacing="0"/>
        <w:ind w:firstLine="480"/>
        <w:textAlignment w:val="auto"/>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.2</w:t>
      </w:r>
      <w:r>
        <w:rPr>
          <w:rFonts w:hint="eastAsia" w:ascii="宋体" w:hAnsi="宋体" w:cs="宋体"/>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0A7E2957">
      <w:pPr>
        <w:pStyle w:val="128"/>
        <w:pageBreakBefore w:val="0"/>
        <w:kinsoku/>
        <w:wordWrap/>
        <w:overflowPunct/>
        <w:topLinePunct w:val="0"/>
        <w:bidi w:val="0"/>
        <w:snapToGrid w:val="0"/>
        <w:spacing w:before="0" w:beforeAutospacing="0"/>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w:t>
      </w:r>
      <w:r>
        <w:rPr>
          <w:rFonts w:hint="eastAsia" w:ascii="宋体" w:hAnsi="宋体" w:cs="宋体"/>
          <w:color w:val="auto"/>
          <w:highlight w:val="none"/>
        </w:rPr>
        <w:t>如签订合同并生效后，供应商无故拒绝或延期，除按照合同条款处理外，列入不良行为记录一次，并给予通报。</w:t>
      </w:r>
    </w:p>
    <w:p w14:paraId="5FF6DF1D">
      <w:pPr>
        <w:pStyle w:val="128"/>
        <w:pageBreakBefore w:val="0"/>
        <w:kinsoku/>
        <w:wordWrap/>
        <w:overflowPunct/>
        <w:topLinePunct w:val="0"/>
        <w:bidi w:val="0"/>
        <w:snapToGrid w:val="0"/>
        <w:spacing w:before="0" w:beforeAutospacing="0"/>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.4</w:t>
      </w:r>
      <w:r>
        <w:rPr>
          <w:rFonts w:hint="eastAsia" w:ascii="宋体" w:hAnsi="宋体" w:cs="宋体"/>
          <w:color w:val="auto"/>
          <w:highlight w:val="none"/>
        </w:rPr>
        <w:t>中标供应商拒绝与采购人签订合同的，采购人可以按照评审报告推荐的中标或者成交候选人名单排序，确定下一候选人为中标供应商，也可以重新开展政府采购活动。</w:t>
      </w:r>
    </w:p>
    <w:p w14:paraId="5C1092F8">
      <w:pPr>
        <w:pStyle w:val="128"/>
        <w:pageBreakBefore w:val="0"/>
        <w:kinsoku/>
        <w:wordWrap/>
        <w:overflowPunct/>
        <w:topLinePunct w:val="0"/>
        <w:bidi w:val="0"/>
        <w:snapToGrid w:val="0"/>
        <w:spacing w:before="0" w:beforeAutospacing="0"/>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.5</w:t>
      </w:r>
      <w:r>
        <w:rPr>
          <w:rFonts w:hint="eastAsia" w:ascii="宋体" w:hAnsi="宋体" w:cs="宋体"/>
          <w:color w:val="auto"/>
          <w:highlight w:val="none"/>
        </w:rPr>
        <w:t>采购合同由采购人与中标供应商根据招标文件、投标文件等内容通过政府采购电子交易平台在线签订，自动备案。</w:t>
      </w:r>
    </w:p>
    <w:p w14:paraId="105AA891">
      <w:pPr>
        <w:pStyle w:val="24"/>
        <w:pageBreakBefore w:val="0"/>
        <w:kinsoku/>
        <w:wordWrap/>
        <w:overflowPunct/>
        <w:topLinePunct w:val="0"/>
        <w:bidi w:val="0"/>
        <w:snapToGrid w:val="0"/>
        <w:spacing w:beforeAutospacing="0" w:line="360" w:lineRule="auto"/>
        <w:ind w:left="479" w:hanging="479" w:hangingChars="199"/>
        <w:textAlignment w:val="auto"/>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 xml:space="preserve">. </w:t>
      </w:r>
      <w:r>
        <w:rPr>
          <w:rFonts w:hint="eastAsia" w:cs="宋体"/>
          <w:b/>
          <w:color w:val="auto"/>
          <w:highlight w:val="none"/>
        </w:rPr>
        <w:t>履约保证金</w:t>
      </w:r>
    </w:p>
    <w:p w14:paraId="7733FCB4">
      <w:pPr>
        <w:pageBreakBefore w:val="0"/>
        <w:tabs>
          <w:tab w:val="left" w:pos="0"/>
        </w:tabs>
        <w:kinsoku/>
        <w:wordWrap/>
        <w:overflowPunct/>
        <w:topLinePunct w:val="0"/>
        <w:bidi w:val="0"/>
        <w:snapToGrid w:val="0"/>
        <w:spacing w:beforeAutospacing="0" w:line="360" w:lineRule="auto"/>
        <w:ind w:firstLine="482"/>
        <w:textAlignment w:val="auto"/>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highlight w:val="none"/>
        </w:rPr>
        <w:t>。</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731174E">
      <w:pPr>
        <w:pageBreakBefore w:val="0"/>
        <w:tabs>
          <w:tab w:val="left" w:pos="0"/>
        </w:tabs>
        <w:kinsoku/>
        <w:wordWrap/>
        <w:overflowPunct/>
        <w:topLinePunct w:val="0"/>
        <w:bidi w:val="0"/>
        <w:snapToGrid w:val="0"/>
        <w:spacing w:beforeAutospacing="0" w:line="360" w:lineRule="auto"/>
        <w:ind w:firstLine="482"/>
        <w:textAlignment w:val="auto"/>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6FB8C968">
      <w:pPr>
        <w:pStyle w:val="2"/>
        <w:pageBreakBefore w:val="0"/>
        <w:numPr>
          <w:ilvl w:val="0"/>
          <w:numId w:val="0"/>
        </w:numPr>
        <w:kinsoku/>
        <w:wordWrap/>
        <w:overflowPunct/>
        <w:topLinePunct w:val="0"/>
        <w:bidi w:val="0"/>
        <w:snapToGrid w:val="0"/>
        <w:spacing w:beforeAutospacing="0"/>
        <w:ind w:leftChars="0"/>
        <w:textAlignment w:val="auto"/>
        <w:rPr>
          <w:color w:val="auto"/>
          <w:highlight w:val="none"/>
        </w:rPr>
      </w:pPr>
      <w:r>
        <w:rPr>
          <w:rFonts w:hint="eastAsia" w:ascii="宋体" w:hAnsi="宋体" w:eastAsia="宋体" w:cs="Times New Roman"/>
          <w:b/>
          <w:bCs/>
          <w:color w:val="auto"/>
          <w:kern w:val="2"/>
          <w:sz w:val="24"/>
          <w:szCs w:val="32"/>
          <w:highlight w:val="none"/>
          <w:lang w:val="en-US" w:eastAsia="zh-CN"/>
        </w:rPr>
        <w:t xml:space="preserve">28. </w:t>
      </w:r>
      <w:r>
        <w:rPr>
          <w:rFonts w:ascii="宋体" w:hAnsi="宋体" w:eastAsia="宋体" w:cs="Times New Roman"/>
          <w:b/>
          <w:bCs/>
          <w:color w:val="auto"/>
          <w:kern w:val="2"/>
          <w:sz w:val="24"/>
          <w:szCs w:val="32"/>
          <w:highlight w:val="none"/>
          <w:lang w:val="en-US"/>
        </w:rPr>
        <w:t>预付款</w:t>
      </w:r>
    </w:p>
    <w:p w14:paraId="7C9C9FCE">
      <w:pPr>
        <w:pageBreakBefore w:val="0"/>
        <w:kinsoku/>
        <w:wordWrap/>
        <w:overflowPunct/>
        <w:topLinePunct w:val="0"/>
        <w:bidi w:val="0"/>
        <w:adjustRightInd/>
        <w:snapToGrid w:val="0"/>
        <w:spacing w:beforeAutospacing="0" w:line="360" w:lineRule="auto"/>
        <w:ind w:firstLine="480" w:firstLineChars="200"/>
        <w:textAlignment w:val="auto"/>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2441E078">
      <w:pPr>
        <w:pageBreakBefore w:val="0"/>
        <w:kinsoku/>
        <w:wordWrap/>
        <w:overflowPunct/>
        <w:topLinePunct w:val="0"/>
        <w:bidi w:val="0"/>
        <w:snapToGrid w:val="0"/>
        <w:spacing w:beforeAutospacing="0" w:line="360" w:lineRule="auto"/>
        <w:ind w:firstLine="3357" w:firstLineChars="1045"/>
        <w:textAlignment w:val="auto"/>
        <w:rPr>
          <w:rFonts w:ascii="宋体" w:hAnsi="宋体" w:cs="宋体"/>
          <w:b/>
          <w:color w:val="auto"/>
          <w:sz w:val="24"/>
          <w:highlight w:val="none"/>
        </w:rPr>
      </w:pPr>
      <w:r>
        <w:rPr>
          <w:rFonts w:hint="eastAsia" w:ascii="宋体" w:hAnsi="宋体" w:cs="宋体"/>
          <w:b/>
          <w:color w:val="auto"/>
          <w:sz w:val="32"/>
          <w:highlight w:val="none"/>
          <w:lang w:eastAsia="zh-CN"/>
        </w:rPr>
        <w:t>九</w:t>
      </w:r>
      <w:r>
        <w:rPr>
          <w:rFonts w:hint="eastAsia" w:ascii="宋体" w:hAnsi="宋体" w:cs="宋体"/>
          <w:b/>
          <w:color w:val="auto"/>
          <w:sz w:val="32"/>
          <w:highlight w:val="none"/>
        </w:rPr>
        <w:t>、电子交易活动的中止</w:t>
      </w:r>
    </w:p>
    <w:p w14:paraId="39641493">
      <w:pPr>
        <w:pStyle w:val="128"/>
        <w:pageBreakBefore w:val="0"/>
        <w:kinsoku/>
        <w:wordWrap/>
        <w:overflowPunct/>
        <w:topLinePunct w:val="0"/>
        <w:bidi w:val="0"/>
        <w:snapToGrid w:val="0"/>
        <w:spacing w:before="0" w:beforeAutospacing="0"/>
        <w:ind w:firstLine="0" w:firstLineChars="0"/>
        <w:textAlignment w:val="auto"/>
        <w:rPr>
          <w:rFonts w:ascii="宋体" w:hAnsi="宋体" w:cs="宋体"/>
          <w:color w:val="auto"/>
          <w:highlight w:val="none"/>
        </w:rPr>
      </w:pPr>
      <w:r>
        <w:rPr>
          <w:rFonts w:ascii="宋体" w:hAnsi="宋体" w:cs="宋体"/>
          <w:b/>
          <w:bCs/>
          <w:color w:val="auto"/>
          <w:kern w:val="2"/>
          <w:sz w:val="24"/>
          <w:szCs w:val="20"/>
          <w:highlight w:val="none"/>
        </w:rPr>
        <w:t>2</w:t>
      </w:r>
      <w:r>
        <w:rPr>
          <w:rFonts w:hint="eastAsia" w:ascii="宋体" w:hAnsi="宋体" w:cs="宋体"/>
          <w:b/>
          <w:bCs/>
          <w:color w:val="auto"/>
          <w:kern w:val="2"/>
          <w:sz w:val="24"/>
          <w:szCs w:val="24"/>
          <w:highlight w:val="none"/>
          <w:lang w:val="en-US" w:eastAsia="zh-CN"/>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3B91D1ED">
      <w:pPr>
        <w:pStyle w:val="128"/>
        <w:pageBreakBefore w:val="0"/>
        <w:kinsoku/>
        <w:wordWrap/>
        <w:overflowPunct/>
        <w:topLinePunct w:val="0"/>
        <w:bidi w:val="0"/>
        <w:snapToGrid w:val="0"/>
        <w:spacing w:before="0" w:beforeAutospacing="0"/>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.1电子交易平台发生故障而无法登录访问的； </w:t>
      </w:r>
    </w:p>
    <w:p w14:paraId="394E5E93">
      <w:pPr>
        <w:pStyle w:val="128"/>
        <w:pageBreakBefore w:val="0"/>
        <w:kinsoku/>
        <w:wordWrap/>
        <w:overflowPunct/>
        <w:topLinePunct w:val="0"/>
        <w:bidi w:val="0"/>
        <w:snapToGrid w:val="0"/>
        <w:spacing w:before="0" w:beforeAutospacing="0"/>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.2电子交易平台应用或数据库出现错误，不能进行正常操作的；</w:t>
      </w:r>
    </w:p>
    <w:p w14:paraId="16F23285">
      <w:pPr>
        <w:pStyle w:val="128"/>
        <w:pageBreakBefore w:val="0"/>
        <w:kinsoku/>
        <w:wordWrap/>
        <w:overflowPunct/>
        <w:topLinePunct w:val="0"/>
        <w:bidi w:val="0"/>
        <w:snapToGrid w:val="0"/>
        <w:spacing w:before="0" w:beforeAutospacing="0"/>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.3电子交易平台发现严重安全漏洞，有潜在泄密危险的；</w:t>
      </w:r>
    </w:p>
    <w:p w14:paraId="744D416F">
      <w:pPr>
        <w:pStyle w:val="128"/>
        <w:pageBreakBefore w:val="0"/>
        <w:kinsoku/>
        <w:wordWrap/>
        <w:overflowPunct/>
        <w:topLinePunct w:val="0"/>
        <w:bidi w:val="0"/>
        <w:snapToGrid w:val="0"/>
        <w:spacing w:before="0" w:beforeAutospacing="0"/>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.4病毒发作导致不能进行正常操作的； </w:t>
      </w:r>
    </w:p>
    <w:p w14:paraId="0576C465">
      <w:pPr>
        <w:pStyle w:val="128"/>
        <w:pageBreakBefore w:val="0"/>
        <w:kinsoku/>
        <w:wordWrap/>
        <w:overflowPunct/>
        <w:topLinePunct w:val="0"/>
        <w:bidi w:val="0"/>
        <w:snapToGrid w:val="0"/>
        <w:spacing w:before="0" w:beforeAutospacing="0"/>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.5其他无法保证电子交易的公平、公正和安全的情况。</w:t>
      </w:r>
    </w:p>
    <w:p w14:paraId="2B60DF88">
      <w:pPr>
        <w:pStyle w:val="128"/>
        <w:pageBreakBefore w:val="0"/>
        <w:numPr>
          <w:ilvl w:val="0"/>
          <w:numId w:val="8"/>
        </w:numPr>
        <w:kinsoku/>
        <w:wordWrap/>
        <w:overflowPunct/>
        <w:topLinePunct w:val="0"/>
        <w:bidi w:val="0"/>
        <w:snapToGrid w:val="0"/>
        <w:spacing w:before="0" w:beforeAutospacing="0"/>
        <w:ind w:firstLine="0" w:firstLineChars="0"/>
        <w:textAlignment w:val="auto"/>
        <w:rPr>
          <w:rFonts w:ascii="宋体" w:hAnsi="宋体" w:cs="宋体"/>
          <w:color w:val="auto"/>
          <w:highlight w:val="none"/>
        </w:rPr>
      </w:pP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56ED18F">
      <w:pPr>
        <w:pageBreakBefore w:val="0"/>
        <w:kinsoku/>
        <w:wordWrap/>
        <w:overflowPunct/>
        <w:topLinePunct w:val="0"/>
        <w:bidi w:val="0"/>
        <w:snapToGrid w:val="0"/>
        <w:spacing w:beforeAutospacing="0" w:line="360" w:lineRule="auto"/>
        <w:ind w:left="120" w:leftChars="57"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lang w:eastAsia="zh-CN"/>
        </w:rPr>
        <w:t>十</w:t>
      </w:r>
      <w:r>
        <w:rPr>
          <w:rFonts w:hint="eastAsia" w:ascii="宋体" w:hAnsi="宋体" w:cs="宋体"/>
          <w:b/>
          <w:color w:val="auto"/>
          <w:sz w:val="32"/>
          <w:highlight w:val="none"/>
        </w:rPr>
        <w:t>、验收</w:t>
      </w:r>
    </w:p>
    <w:p w14:paraId="6B3DB0FB">
      <w:pPr>
        <w:pStyle w:val="24"/>
        <w:pageBreakBefore w:val="0"/>
        <w:kinsoku/>
        <w:wordWrap/>
        <w:overflowPunct/>
        <w:topLinePunct w:val="0"/>
        <w:bidi w:val="0"/>
        <w:snapToGrid w:val="0"/>
        <w:spacing w:beforeAutospacing="0" w:line="360" w:lineRule="auto"/>
        <w:ind w:firstLine="0" w:firstLineChars="0"/>
        <w:textAlignment w:val="auto"/>
        <w:rPr>
          <w:rFonts w:cs="宋体"/>
          <w:b/>
          <w:color w:val="auto"/>
          <w:highlight w:val="none"/>
        </w:rPr>
      </w:pPr>
      <w:r>
        <w:rPr>
          <w:rFonts w:hint="eastAsia" w:cs="宋体"/>
          <w:b/>
          <w:color w:val="auto"/>
          <w:highlight w:val="none"/>
        </w:rPr>
        <w:t>3</w:t>
      </w:r>
      <w:r>
        <w:rPr>
          <w:rFonts w:hint="eastAsia" w:cs="宋体"/>
          <w:b/>
          <w:color w:val="auto"/>
          <w:highlight w:val="none"/>
          <w:lang w:val="en-US" w:eastAsia="zh-CN"/>
        </w:rPr>
        <w:t>1</w:t>
      </w:r>
      <w:r>
        <w:rPr>
          <w:rFonts w:hint="eastAsia" w:cs="宋体"/>
          <w:b/>
          <w:color w:val="auto"/>
          <w:highlight w:val="none"/>
        </w:rPr>
        <w:t>.</w:t>
      </w:r>
      <w:r>
        <w:rPr>
          <w:rFonts w:hint="eastAsia" w:cs="宋体"/>
          <w:b/>
          <w:color w:val="auto"/>
          <w:highlight w:val="none"/>
          <w:lang w:val="en-US" w:eastAsia="zh-CN"/>
        </w:rPr>
        <w:t xml:space="preserve"> </w:t>
      </w:r>
      <w:r>
        <w:rPr>
          <w:rFonts w:hint="eastAsia" w:cs="宋体"/>
          <w:b/>
          <w:color w:val="auto"/>
          <w:highlight w:val="none"/>
        </w:rPr>
        <w:t>验收</w:t>
      </w:r>
    </w:p>
    <w:p w14:paraId="5F06C413">
      <w:pPr>
        <w:pageBreakBefore w:val="0"/>
        <w:tabs>
          <w:tab w:val="left" w:pos="0"/>
        </w:tabs>
        <w:kinsoku/>
        <w:wordWrap/>
        <w:overflowPunct/>
        <w:topLinePunct w:val="0"/>
        <w:bidi w:val="0"/>
        <w:snapToGrid w:val="0"/>
        <w:spacing w:beforeAutospacing="0"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cs="宋体"/>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9DC5105">
      <w:pPr>
        <w:pageBreakBefore w:val="0"/>
        <w:tabs>
          <w:tab w:val="left" w:pos="0"/>
        </w:tabs>
        <w:kinsoku/>
        <w:wordWrap/>
        <w:overflowPunct/>
        <w:topLinePunct w:val="0"/>
        <w:bidi w:val="0"/>
        <w:snapToGrid w:val="0"/>
        <w:spacing w:beforeAutospacing="0"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7D2E8DB8">
      <w:pPr>
        <w:pageBreakBefore w:val="0"/>
        <w:tabs>
          <w:tab w:val="left" w:pos="0"/>
        </w:tabs>
        <w:kinsoku/>
        <w:wordWrap/>
        <w:overflowPunct/>
        <w:topLinePunct w:val="0"/>
        <w:bidi w:val="0"/>
        <w:snapToGrid w:val="0"/>
        <w:spacing w:beforeAutospacing="0"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F0859BC">
      <w:pPr>
        <w:pageBreakBefore w:val="0"/>
        <w:tabs>
          <w:tab w:val="left" w:pos="0"/>
        </w:tabs>
        <w:kinsoku/>
        <w:wordWrap/>
        <w:overflowPunct/>
        <w:topLinePunct w:val="0"/>
        <w:bidi w:val="0"/>
        <w:snapToGrid w:val="0"/>
        <w:spacing w:beforeAutospacing="0" w:line="360" w:lineRule="auto"/>
        <w:ind w:firstLine="48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color w:val="auto"/>
          <w:kern w:val="0"/>
          <w:sz w:val="24"/>
          <w:highlight w:val="none"/>
          <w:lang w:eastAsia="zh-CN"/>
        </w:rPr>
        <w:t>。</w:t>
      </w:r>
    </w:p>
    <w:bookmarkEnd w:id="8"/>
    <w:bookmarkEnd w:id="9"/>
    <w:bookmarkEnd w:id="10"/>
    <w:p w14:paraId="74AA227E">
      <w:pPr>
        <w:widowControl/>
        <w:adjustRightInd/>
        <w:jc w:val="left"/>
        <w:rPr>
          <w:rFonts w:ascii="宋体" w:hAnsi="宋体" w:cs="宋体"/>
          <w:color w:val="auto"/>
          <w:kern w:val="0"/>
          <w:sz w:val="24"/>
          <w:highlight w:val="none"/>
        </w:rPr>
      </w:pPr>
      <w:bookmarkStart w:id="14" w:name="_Hlt74714665"/>
      <w:bookmarkEnd w:id="14"/>
      <w:bookmarkStart w:id="15" w:name="_Hlt68057669"/>
      <w:bookmarkEnd w:id="15"/>
      <w:bookmarkStart w:id="16" w:name="_Hlt74730295"/>
      <w:bookmarkEnd w:id="16"/>
      <w:bookmarkStart w:id="17" w:name="_Hlt74729768"/>
      <w:bookmarkEnd w:id="17"/>
      <w:bookmarkStart w:id="18" w:name="_Hlt75236290"/>
      <w:bookmarkEnd w:id="18"/>
      <w:bookmarkStart w:id="19" w:name="_Hlt68072998"/>
      <w:bookmarkEnd w:id="19"/>
      <w:bookmarkStart w:id="20" w:name="_Hlt68073093"/>
      <w:bookmarkEnd w:id="20"/>
      <w:bookmarkStart w:id="21" w:name="_Hlt74707468"/>
      <w:bookmarkEnd w:id="21"/>
      <w:bookmarkStart w:id="22" w:name="_Hlt68403820"/>
      <w:bookmarkEnd w:id="22"/>
      <w:bookmarkStart w:id="23" w:name="_Hlt68072990"/>
      <w:bookmarkEnd w:id="23"/>
      <w:bookmarkStart w:id="24" w:name="_Hlt75236101"/>
      <w:bookmarkEnd w:id="24"/>
      <w:bookmarkStart w:id="25" w:name="_Hlt75236011"/>
      <w:bookmarkEnd w:id="25"/>
      <w:bookmarkStart w:id="26" w:name="第四部分"/>
      <w:r>
        <w:rPr>
          <w:rFonts w:ascii="宋体" w:hAnsi="宋体" w:cs="宋体"/>
          <w:color w:val="auto"/>
          <w:kern w:val="0"/>
          <w:sz w:val="24"/>
          <w:highlight w:val="none"/>
        </w:rPr>
        <w:br w:type="page"/>
      </w:r>
    </w:p>
    <w:p w14:paraId="6544B4C1">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55EC1EB3">
      <w:pPr>
        <w:snapToGrid w:val="0"/>
        <w:rPr>
          <w:rStyle w:val="962"/>
          <w:i w:val="0"/>
          <w:iCs w:val="0"/>
          <w:color w:val="auto"/>
          <w:highlight w:val="none"/>
        </w:rPr>
      </w:pPr>
      <w:r>
        <w:rPr>
          <w:rStyle w:val="962"/>
          <w:rFonts w:hint="eastAsia"/>
          <w:i w:val="0"/>
          <w:iCs w:val="0"/>
          <w:color w:val="auto"/>
          <w:highlight w:val="none"/>
        </w:rPr>
        <w:t>属于实质性要求条款的，请用符号“▲”标明，否则属于非实质性要求。“★”系产品采购项目中单一产品或核心产品。</w:t>
      </w:r>
    </w:p>
    <w:p w14:paraId="39F2F424">
      <w:pPr>
        <w:pStyle w:val="2"/>
        <w:numPr>
          <w:ilvl w:val="0"/>
          <w:numId w:val="9"/>
        </w:num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招标一览表</w:t>
      </w:r>
    </w:p>
    <w:p w14:paraId="596EA4CC">
      <w:pPr>
        <w:pStyle w:val="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标项一：杭州市规划和自然资源局萧山分局大楼、自然资源所及档案大楼物业服务政府采购项目</w:t>
      </w:r>
    </w:p>
    <w:tbl>
      <w:tblPr>
        <w:tblStyle w:val="62"/>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785"/>
        <w:gridCol w:w="540"/>
        <w:gridCol w:w="528"/>
        <w:gridCol w:w="1152"/>
        <w:gridCol w:w="1620"/>
        <w:gridCol w:w="1531"/>
      </w:tblGrid>
      <w:tr w14:paraId="41E2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jc w:val="center"/>
        </w:trPr>
        <w:tc>
          <w:tcPr>
            <w:tcW w:w="523" w:type="dxa"/>
            <w:tcMar>
              <w:top w:w="15" w:type="dxa"/>
              <w:left w:w="15" w:type="dxa"/>
              <w:bottom w:w="0" w:type="dxa"/>
              <w:right w:w="15" w:type="dxa"/>
            </w:tcMar>
            <w:vAlign w:val="center"/>
          </w:tcPr>
          <w:p w14:paraId="1821D55F">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2785" w:type="dxa"/>
            <w:tcMar>
              <w:top w:w="15" w:type="dxa"/>
              <w:left w:w="15" w:type="dxa"/>
              <w:bottom w:w="0" w:type="dxa"/>
              <w:right w:w="15" w:type="dxa"/>
            </w:tcMar>
            <w:vAlign w:val="center"/>
          </w:tcPr>
          <w:p w14:paraId="6C15D023">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名称</w:t>
            </w:r>
          </w:p>
        </w:tc>
        <w:tc>
          <w:tcPr>
            <w:tcW w:w="540" w:type="dxa"/>
            <w:tcMar>
              <w:top w:w="15" w:type="dxa"/>
              <w:left w:w="15" w:type="dxa"/>
              <w:bottom w:w="0" w:type="dxa"/>
              <w:right w:w="15" w:type="dxa"/>
            </w:tcMar>
            <w:vAlign w:val="center"/>
          </w:tcPr>
          <w:p w14:paraId="1B7D795A">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数量</w:t>
            </w:r>
          </w:p>
        </w:tc>
        <w:tc>
          <w:tcPr>
            <w:tcW w:w="528" w:type="dxa"/>
            <w:tcMar>
              <w:top w:w="15" w:type="dxa"/>
              <w:left w:w="15" w:type="dxa"/>
              <w:bottom w:w="0" w:type="dxa"/>
              <w:right w:w="15" w:type="dxa"/>
            </w:tcMar>
            <w:vAlign w:val="center"/>
          </w:tcPr>
          <w:p w14:paraId="454C1A68">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w:t>
            </w:r>
          </w:p>
        </w:tc>
        <w:tc>
          <w:tcPr>
            <w:tcW w:w="1152" w:type="dxa"/>
            <w:vAlign w:val="center"/>
          </w:tcPr>
          <w:p w14:paraId="296381FA">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预算（元）</w:t>
            </w:r>
          </w:p>
        </w:tc>
        <w:tc>
          <w:tcPr>
            <w:tcW w:w="1620" w:type="dxa"/>
            <w:vAlign w:val="center"/>
          </w:tcPr>
          <w:p w14:paraId="7B53B968">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简要规格描述或基本情况介绍</w:t>
            </w:r>
          </w:p>
        </w:tc>
        <w:tc>
          <w:tcPr>
            <w:tcW w:w="1531" w:type="dxa"/>
            <w:vAlign w:val="center"/>
          </w:tcPr>
          <w:p w14:paraId="2770FB9D">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最高限价（元）</w:t>
            </w:r>
          </w:p>
        </w:tc>
      </w:tr>
      <w:tr w14:paraId="4CF7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jc w:val="center"/>
        </w:trPr>
        <w:tc>
          <w:tcPr>
            <w:tcW w:w="523" w:type="dxa"/>
            <w:tcMar>
              <w:top w:w="15" w:type="dxa"/>
              <w:left w:w="15" w:type="dxa"/>
              <w:bottom w:w="0" w:type="dxa"/>
              <w:right w:w="15" w:type="dxa"/>
            </w:tcMar>
            <w:vAlign w:val="center"/>
          </w:tcPr>
          <w:p w14:paraId="1DC2A5E7">
            <w:pPr>
              <w:tabs>
                <w:tab w:val="left" w:pos="0"/>
              </w:tabs>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2785" w:type="dxa"/>
            <w:tcMar>
              <w:top w:w="15" w:type="dxa"/>
              <w:left w:w="15" w:type="dxa"/>
              <w:bottom w:w="0" w:type="dxa"/>
              <w:right w:w="15" w:type="dxa"/>
            </w:tcMar>
            <w:vAlign w:val="center"/>
          </w:tcPr>
          <w:p w14:paraId="01660390">
            <w:pPr>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杭州市规划和自然资源局萧山分局大楼、自然资源所及档案大楼物业服务政府采购项目</w:t>
            </w:r>
          </w:p>
        </w:tc>
        <w:tc>
          <w:tcPr>
            <w:tcW w:w="540" w:type="dxa"/>
            <w:tcMar>
              <w:top w:w="15" w:type="dxa"/>
              <w:left w:w="15" w:type="dxa"/>
              <w:bottom w:w="0" w:type="dxa"/>
              <w:right w:w="15" w:type="dxa"/>
            </w:tcMar>
            <w:vAlign w:val="center"/>
          </w:tcPr>
          <w:p w14:paraId="05A76537">
            <w:pPr>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528" w:type="dxa"/>
            <w:tcMar>
              <w:top w:w="15" w:type="dxa"/>
              <w:left w:w="15" w:type="dxa"/>
              <w:bottom w:w="0" w:type="dxa"/>
              <w:right w:w="15" w:type="dxa"/>
            </w:tcMar>
            <w:vAlign w:val="center"/>
          </w:tcPr>
          <w:p w14:paraId="3C62785C">
            <w:pPr>
              <w:jc w:val="center"/>
              <w:textAlignment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年</w:t>
            </w:r>
          </w:p>
        </w:tc>
        <w:tc>
          <w:tcPr>
            <w:tcW w:w="1152" w:type="dxa"/>
            <w:vAlign w:val="center"/>
          </w:tcPr>
          <w:p w14:paraId="25CBAA24">
            <w:pPr>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6000000</w:t>
            </w:r>
          </w:p>
        </w:tc>
        <w:tc>
          <w:tcPr>
            <w:tcW w:w="1620" w:type="dxa"/>
            <w:vAlign w:val="center"/>
          </w:tcPr>
          <w:p w14:paraId="2B6DB922">
            <w:pPr>
              <w:tabs>
                <w:tab w:val="left" w:pos="0"/>
              </w:tabs>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详见</w:t>
            </w:r>
            <w:r>
              <w:rPr>
                <w:rFonts w:hint="eastAsia" w:asciiTheme="minorEastAsia" w:hAnsiTheme="minorEastAsia" w:eastAsiaTheme="minorEastAsia" w:cstheme="minorEastAsia"/>
                <w:color w:val="auto"/>
                <w:highlight w:val="none"/>
                <w:lang w:eastAsia="zh-Hans"/>
              </w:rPr>
              <w:t>二、</w:t>
            </w:r>
            <w:r>
              <w:rPr>
                <w:rFonts w:hint="eastAsia" w:asciiTheme="minorEastAsia" w:hAnsiTheme="minorEastAsia" w:eastAsiaTheme="minorEastAsia" w:cstheme="minorEastAsia"/>
                <w:color w:val="auto"/>
                <w:highlight w:val="none"/>
              </w:rPr>
              <w:t>招标需求</w:t>
            </w:r>
          </w:p>
        </w:tc>
        <w:tc>
          <w:tcPr>
            <w:tcW w:w="1531" w:type="dxa"/>
            <w:vAlign w:val="center"/>
          </w:tcPr>
          <w:p w14:paraId="34C8CDBE">
            <w:pPr>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6000000</w:t>
            </w:r>
          </w:p>
        </w:tc>
      </w:tr>
    </w:tbl>
    <w:p w14:paraId="075E2585">
      <w:pPr>
        <w:rPr>
          <w:rFonts w:hint="eastAsia" w:asciiTheme="minorEastAsia" w:hAnsiTheme="minorEastAsia" w:eastAsiaTheme="minorEastAsia" w:cstheme="minorEastAsia"/>
          <w:b/>
          <w:color w:val="auto"/>
          <w:sz w:val="22"/>
          <w:szCs w:val="22"/>
          <w:highlight w:val="none"/>
        </w:rPr>
        <w:sectPr>
          <w:headerReference r:id="rId3" w:type="default"/>
          <w:footerReference r:id="rId4" w:type="default"/>
          <w:pgSz w:w="11907" w:h="16840"/>
          <w:pgMar w:top="1276" w:right="1417" w:bottom="1247" w:left="1417" w:header="850" w:footer="992" w:gutter="0"/>
          <w:pgBorders>
            <w:top w:val="none" w:sz="0" w:space="0"/>
            <w:left w:val="none" w:sz="0" w:space="0"/>
            <w:bottom w:val="none" w:sz="0" w:space="0"/>
            <w:right w:val="none" w:sz="0" w:space="0"/>
          </w:pgBorders>
          <w:cols w:space="720" w:num="1"/>
        </w:sectPr>
      </w:pPr>
      <w:r>
        <w:rPr>
          <w:rFonts w:hint="eastAsia" w:asciiTheme="minorEastAsia" w:hAnsiTheme="minorEastAsia" w:eastAsiaTheme="minorEastAsia" w:cstheme="minorEastAsia"/>
          <w:b/>
          <w:color w:val="auto"/>
          <w:sz w:val="22"/>
          <w:szCs w:val="22"/>
          <w:highlight w:val="none"/>
        </w:rPr>
        <w:t>注：▲投标人需在投标（开标）一览表中明确投标报价（总价），总价不得超过最高限价。</w:t>
      </w:r>
    </w:p>
    <w:p w14:paraId="0CED3E98">
      <w:pPr>
        <w:pStyle w:val="2"/>
        <w:numPr>
          <w:ilvl w:val="0"/>
          <w:numId w:val="9"/>
        </w:num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招标</w:t>
      </w:r>
      <w:r>
        <w:rPr>
          <w:rFonts w:hint="eastAsia" w:asciiTheme="minorEastAsia" w:hAnsiTheme="minorEastAsia" w:eastAsiaTheme="minorEastAsia" w:cstheme="minorEastAsia"/>
          <w:color w:val="auto"/>
          <w:highlight w:val="none"/>
        </w:rPr>
        <w:t>需求</w:t>
      </w:r>
    </w:p>
    <w:p w14:paraId="66F4207B">
      <w:pPr>
        <w:numPr>
          <w:ilvl w:val="0"/>
          <w:numId w:val="10"/>
        </w:num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技术需求：</w:t>
      </w:r>
    </w:p>
    <w:p w14:paraId="436424E8">
      <w:pPr>
        <w:keepNext w:val="0"/>
        <w:keepLines w:val="0"/>
        <w:pageBreakBefore w:val="0"/>
        <w:widowControl w:val="0"/>
        <w:tabs>
          <w:tab w:val="left" w:pos="2340"/>
        </w:tabs>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（一）项目基本情况</w:t>
      </w:r>
    </w:p>
    <w:p w14:paraId="6E0E9A46">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u w:val="none"/>
          <w:lang w:val="en-US" w:eastAsia="zh-CN" w:bidi="ar-SA"/>
        </w:rPr>
        <w:t>物业管理服务包括基本服务、保安服务、保洁服务、绿化服务、</w:t>
      </w:r>
      <w:r>
        <w:rPr>
          <w:rFonts w:hint="eastAsia" w:ascii="宋体" w:hAnsi="宋体" w:cs="宋体"/>
          <w:color w:val="auto"/>
          <w:kern w:val="2"/>
          <w:sz w:val="24"/>
          <w:szCs w:val="24"/>
          <w:highlight w:val="none"/>
          <w:u w:val="none"/>
          <w:lang w:val="en-US" w:eastAsia="zh-CN" w:bidi="ar-SA"/>
        </w:rPr>
        <w:t>工程</w:t>
      </w:r>
      <w:r>
        <w:rPr>
          <w:rFonts w:hint="eastAsia" w:ascii="宋体" w:hAnsi="宋体" w:eastAsia="宋体" w:cs="宋体"/>
          <w:color w:val="auto"/>
          <w:kern w:val="2"/>
          <w:sz w:val="24"/>
          <w:szCs w:val="24"/>
          <w:highlight w:val="none"/>
          <w:u w:val="none"/>
          <w:lang w:val="en-US" w:eastAsia="zh-CN" w:bidi="ar-SA"/>
        </w:rPr>
        <w:t>服务、会议服务等。</w:t>
      </w:r>
    </w:p>
    <w:tbl>
      <w:tblPr>
        <w:tblStyle w:val="62"/>
        <w:tblW w:w="14173"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3543"/>
        <w:gridCol w:w="402"/>
        <w:gridCol w:w="3184"/>
        <w:gridCol w:w="266"/>
        <w:gridCol w:w="1446"/>
        <w:gridCol w:w="1788"/>
        <w:gridCol w:w="4"/>
        <w:gridCol w:w="1748"/>
        <w:gridCol w:w="1792"/>
      </w:tblGrid>
      <w:tr w14:paraId="36DC706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jc w:val="center"/>
        </w:trPr>
        <w:tc>
          <w:tcPr>
            <w:tcW w:w="14173" w:type="dxa"/>
            <w:gridSpan w:val="9"/>
            <w:tcBorders>
              <w:bottom w:val="single" w:color="000000" w:sz="4" w:space="0"/>
            </w:tcBorders>
            <w:shd w:val="clear" w:color="auto" w:fill="auto"/>
            <w:vAlign w:val="center"/>
          </w:tcPr>
          <w:p w14:paraId="231A46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1.1</w:t>
            </w:r>
            <w:r>
              <w:rPr>
                <w:rFonts w:hint="eastAsia" w:ascii="宋体" w:hAnsi="宋体" w:eastAsia="宋体" w:cs="宋体"/>
                <w:b/>
                <w:bCs/>
                <w:color w:val="auto"/>
                <w:kern w:val="0"/>
                <w:sz w:val="24"/>
                <w:szCs w:val="24"/>
                <w:highlight w:val="none"/>
                <w:lang w:eastAsia="zh-CN"/>
              </w:rPr>
              <w:t>物业服务涉及内容清单</w:t>
            </w:r>
          </w:p>
        </w:tc>
      </w:tr>
      <w:tr w14:paraId="207572A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jc w:val="center"/>
        </w:trPr>
        <w:tc>
          <w:tcPr>
            <w:tcW w:w="14173" w:type="dxa"/>
            <w:gridSpan w:val="9"/>
            <w:tcBorders>
              <w:top w:val="single" w:color="000000" w:sz="4" w:space="0"/>
              <w:bottom w:val="single" w:color="000000" w:sz="4" w:space="0"/>
            </w:tcBorders>
            <w:shd w:val="clear" w:color="auto" w:fill="auto"/>
            <w:vAlign w:val="center"/>
          </w:tcPr>
          <w:p w14:paraId="758BB23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规资萧山分局办公大楼</w:t>
            </w:r>
          </w:p>
        </w:tc>
      </w:tr>
      <w:tr w14:paraId="6B00F4A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77" w:hRule="exact"/>
          <w:jc w:val="center"/>
        </w:trPr>
        <w:tc>
          <w:tcPr>
            <w:tcW w:w="3945" w:type="dxa"/>
            <w:gridSpan w:val="2"/>
            <w:tcBorders>
              <w:top w:val="single" w:color="000000" w:sz="4" w:space="0"/>
              <w:bottom w:val="single" w:color="000000" w:sz="4" w:space="0"/>
              <w:right w:val="single" w:color="000000" w:sz="4" w:space="0"/>
            </w:tcBorders>
            <w:shd w:val="clear" w:color="auto" w:fill="auto"/>
            <w:vAlign w:val="center"/>
          </w:tcPr>
          <w:p w14:paraId="4DDE81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总面积</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506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18254平方米</w:t>
            </w:r>
          </w:p>
        </w:tc>
        <w:tc>
          <w:tcPr>
            <w:tcW w:w="1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A08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rPr>
              <w:t>给排水</w:t>
            </w:r>
            <w:r>
              <w:rPr>
                <w:rFonts w:hint="eastAsia" w:ascii="宋体" w:hAnsi="宋体" w:eastAsia="宋体" w:cs="宋体"/>
                <w:b w:val="0"/>
                <w:bCs w:val="0"/>
                <w:color w:val="auto"/>
                <w:kern w:val="0"/>
                <w:sz w:val="24"/>
                <w:szCs w:val="24"/>
                <w:highlight w:val="none"/>
                <w:lang w:eastAsia="zh-CN"/>
              </w:rPr>
              <w:t>系统</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7AC1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8套</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6A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eastAsia="zh-CN"/>
              </w:rPr>
              <w:t>办公室间数</w:t>
            </w:r>
          </w:p>
        </w:tc>
        <w:tc>
          <w:tcPr>
            <w:tcW w:w="1792" w:type="dxa"/>
            <w:tcBorders>
              <w:top w:val="single" w:color="000000" w:sz="4" w:space="0"/>
              <w:left w:val="single" w:color="000000" w:sz="4" w:space="0"/>
              <w:bottom w:val="single" w:color="000000" w:sz="4" w:space="0"/>
            </w:tcBorders>
            <w:shd w:val="clear" w:color="auto" w:fill="auto"/>
            <w:vAlign w:val="center"/>
          </w:tcPr>
          <w:p w14:paraId="75F7EE7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112个</w:t>
            </w:r>
          </w:p>
        </w:tc>
      </w:tr>
      <w:tr w14:paraId="6897F37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jc w:val="center"/>
        </w:trPr>
        <w:tc>
          <w:tcPr>
            <w:tcW w:w="3945" w:type="dxa"/>
            <w:gridSpan w:val="2"/>
            <w:tcBorders>
              <w:top w:val="single" w:color="000000" w:sz="4" w:space="0"/>
              <w:bottom w:val="single" w:color="000000" w:sz="4" w:space="0"/>
              <w:right w:val="single" w:color="000000" w:sz="4" w:space="0"/>
            </w:tcBorders>
            <w:shd w:val="clear" w:color="auto" w:fill="auto"/>
            <w:vAlign w:val="center"/>
          </w:tcPr>
          <w:p w14:paraId="4BC4E1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建筑面积</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6607">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13260平方米</w:t>
            </w:r>
          </w:p>
        </w:tc>
        <w:tc>
          <w:tcPr>
            <w:tcW w:w="1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C99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rPr>
              <w:t>供电</w:t>
            </w:r>
            <w:r>
              <w:rPr>
                <w:rFonts w:hint="eastAsia" w:ascii="宋体" w:hAnsi="宋体" w:eastAsia="宋体" w:cs="宋体"/>
                <w:b w:val="0"/>
                <w:bCs w:val="0"/>
                <w:color w:val="auto"/>
                <w:kern w:val="0"/>
                <w:sz w:val="24"/>
                <w:szCs w:val="24"/>
                <w:highlight w:val="none"/>
                <w:lang w:eastAsia="zh-CN"/>
              </w:rPr>
              <w:t>系统</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3F0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8套</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23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lang w:eastAsia="zh-CN"/>
              </w:rPr>
              <w:t>会议室个数</w:t>
            </w:r>
          </w:p>
        </w:tc>
        <w:tc>
          <w:tcPr>
            <w:tcW w:w="1792" w:type="dxa"/>
            <w:tcBorders>
              <w:top w:val="single" w:color="000000" w:sz="4" w:space="0"/>
              <w:left w:val="single" w:color="000000" w:sz="4" w:space="0"/>
              <w:bottom w:val="single" w:color="000000" w:sz="4" w:space="0"/>
            </w:tcBorders>
            <w:shd w:val="clear" w:color="auto" w:fill="auto"/>
            <w:vAlign w:val="center"/>
          </w:tcPr>
          <w:p w14:paraId="3ECC24CF">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14个</w:t>
            </w:r>
          </w:p>
        </w:tc>
      </w:tr>
      <w:tr w14:paraId="38B8FFE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jc w:val="center"/>
        </w:trPr>
        <w:tc>
          <w:tcPr>
            <w:tcW w:w="3945" w:type="dxa"/>
            <w:gridSpan w:val="2"/>
            <w:tcBorders>
              <w:top w:val="single" w:color="000000" w:sz="4" w:space="0"/>
              <w:bottom w:val="single" w:color="000000" w:sz="4" w:space="0"/>
              <w:right w:val="single" w:color="000000" w:sz="4" w:space="0"/>
            </w:tcBorders>
            <w:shd w:val="clear" w:color="auto" w:fill="auto"/>
            <w:vAlign w:val="center"/>
          </w:tcPr>
          <w:p w14:paraId="197B8D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室外面积</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A276">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w:t>
            </w:r>
          </w:p>
        </w:tc>
        <w:tc>
          <w:tcPr>
            <w:tcW w:w="1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A6DA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rPr>
              <w:t>中央空调系统</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C53E2">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9套</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B9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eastAsia="zh-CN"/>
              </w:rPr>
              <w:t>高配房个数</w:t>
            </w:r>
          </w:p>
        </w:tc>
        <w:tc>
          <w:tcPr>
            <w:tcW w:w="1792" w:type="dxa"/>
            <w:tcBorders>
              <w:top w:val="single" w:color="000000" w:sz="4" w:space="0"/>
              <w:left w:val="single" w:color="000000" w:sz="4" w:space="0"/>
              <w:bottom w:val="single" w:color="000000" w:sz="4" w:space="0"/>
            </w:tcBorders>
            <w:shd w:val="clear" w:color="auto" w:fill="auto"/>
            <w:vAlign w:val="center"/>
          </w:tcPr>
          <w:p w14:paraId="6FF46B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2个</w:t>
            </w:r>
          </w:p>
        </w:tc>
      </w:tr>
      <w:tr w14:paraId="603B09D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jc w:val="center"/>
        </w:trPr>
        <w:tc>
          <w:tcPr>
            <w:tcW w:w="3945" w:type="dxa"/>
            <w:gridSpan w:val="2"/>
            <w:tcBorders>
              <w:top w:val="single" w:color="000000" w:sz="4" w:space="0"/>
              <w:bottom w:val="single" w:color="000000" w:sz="4" w:space="0"/>
              <w:right w:val="single" w:color="000000" w:sz="4" w:space="0"/>
            </w:tcBorders>
            <w:shd w:val="clear" w:color="auto" w:fill="auto"/>
            <w:vAlign w:val="center"/>
          </w:tcPr>
          <w:p w14:paraId="114167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地下室面积</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910E">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6150平方米</w:t>
            </w:r>
          </w:p>
        </w:tc>
        <w:tc>
          <w:tcPr>
            <w:tcW w:w="1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00F3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照明系统</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8C2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8套</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884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消控室个数</w:t>
            </w:r>
          </w:p>
        </w:tc>
        <w:tc>
          <w:tcPr>
            <w:tcW w:w="1792" w:type="dxa"/>
            <w:tcBorders>
              <w:top w:val="single" w:color="000000" w:sz="4" w:space="0"/>
              <w:left w:val="single" w:color="000000" w:sz="4" w:space="0"/>
              <w:bottom w:val="single" w:color="000000" w:sz="4" w:space="0"/>
            </w:tcBorders>
            <w:shd w:val="clear" w:color="auto" w:fill="auto"/>
            <w:vAlign w:val="center"/>
          </w:tcPr>
          <w:p w14:paraId="7120F53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2个</w:t>
            </w:r>
          </w:p>
        </w:tc>
      </w:tr>
      <w:tr w14:paraId="56A27FC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jc w:val="center"/>
        </w:trPr>
        <w:tc>
          <w:tcPr>
            <w:tcW w:w="3945" w:type="dxa"/>
            <w:gridSpan w:val="2"/>
            <w:tcBorders>
              <w:top w:val="single" w:color="000000" w:sz="4" w:space="0"/>
              <w:bottom w:val="single" w:color="000000" w:sz="4" w:space="0"/>
              <w:right w:val="single" w:color="000000" w:sz="4" w:space="0"/>
            </w:tcBorders>
            <w:shd w:val="clear" w:color="auto" w:fill="auto"/>
            <w:vAlign w:val="center"/>
          </w:tcPr>
          <w:p w14:paraId="7BFDDC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绿化面积</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FA9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4000平方米</w:t>
            </w:r>
          </w:p>
        </w:tc>
        <w:tc>
          <w:tcPr>
            <w:tcW w:w="1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8A5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道闸系统</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84EA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2"/>
                <w:sz w:val="24"/>
                <w:szCs w:val="24"/>
                <w:highlight w:val="none"/>
                <w:lang w:val="en-US" w:eastAsia="zh-CN" w:bidi="ar-SA"/>
              </w:rPr>
              <w:t>8套</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7E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公共洗手间数</w:t>
            </w:r>
          </w:p>
        </w:tc>
        <w:tc>
          <w:tcPr>
            <w:tcW w:w="1792" w:type="dxa"/>
            <w:tcBorders>
              <w:top w:val="single" w:color="000000" w:sz="4" w:space="0"/>
              <w:left w:val="single" w:color="000000" w:sz="4" w:space="0"/>
              <w:bottom w:val="single" w:color="000000" w:sz="4" w:space="0"/>
            </w:tcBorders>
            <w:shd w:val="clear" w:color="auto" w:fill="auto"/>
            <w:vAlign w:val="center"/>
          </w:tcPr>
          <w:p w14:paraId="042A83B9">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16间</w:t>
            </w:r>
          </w:p>
        </w:tc>
      </w:tr>
      <w:tr w14:paraId="72FC013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jc w:val="center"/>
        </w:trPr>
        <w:tc>
          <w:tcPr>
            <w:tcW w:w="3945" w:type="dxa"/>
            <w:gridSpan w:val="2"/>
            <w:tcBorders>
              <w:top w:val="single" w:color="000000" w:sz="4" w:space="0"/>
              <w:bottom w:val="single" w:color="000000" w:sz="4" w:space="0"/>
              <w:right w:val="single" w:color="000000" w:sz="4" w:space="0"/>
            </w:tcBorders>
            <w:shd w:val="clear" w:color="auto" w:fill="auto"/>
            <w:vAlign w:val="center"/>
          </w:tcPr>
          <w:p w14:paraId="4149517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环境卫生（保洁）面积</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A7D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6970平方米</w:t>
            </w:r>
          </w:p>
        </w:tc>
        <w:tc>
          <w:tcPr>
            <w:tcW w:w="1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A56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防雷系统</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51F7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2"/>
                <w:sz w:val="24"/>
                <w:szCs w:val="24"/>
                <w:highlight w:val="none"/>
                <w:lang w:val="en-US" w:eastAsia="zh-CN" w:bidi="ar-SA"/>
              </w:rPr>
              <w:t>8套</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99D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电梯个数</w:t>
            </w:r>
          </w:p>
        </w:tc>
        <w:tc>
          <w:tcPr>
            <w:tcW w:w="1792" w:type="dxa"/>
            <w:tcBorders>
              <w:top w:val="single" w:color="000000" w:sz="4" w:space="0"/>
              <w:left w:val="single" w:color="000000" w:sz="4" w:space="0"/>
              <w:bottom w:val="single" w:color="000000" w:sz="4" w:space="0"/>
            </w:tcBorders>
            <w:shd w:val="clear" w:color="auto" w:fill="auto"/>
            <w:vAlign w:val="center"/>
          </w:tcPr>
          <w:p w14:paraId="613B6A6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3部</w:t>
            </w:r>
          </w:p>
        </w:tc>
      </w:tr>
      <w:tr w14:paraId="164B66B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jc w:val="center"/>
        </w:trPr>
        <w:tc>
          <w:tcPr>
            <w:tcW w:w="3945" w:type="dxa"/>
            <w:gridSpan w:val="2"/>
            <w:tcBorders>
              <w:top w:val="single" w:color="000000" w:sz="4" w:space="0"/>
              <w:bottom w:val="single" w:color="000000" w:sz="4" w:space="0"/>
              <w:right w:val="single" w:color="000000" w:sz="4" w:space="0"/>
            </w:tcBorders>
            <w:shd w:val="clear" w:color="auto" w:fill="auto"/>
            <w:vAlign w:val="center"/>
          </w:tcPr>
          <w:p w14:paraId="3922B7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附属房楼宇环境卫生（保洁）面积</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80F1">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380平方米</w:t>
            </w:r>
          </w:p>
        </w:tc>
        <w:tc>
          <w:tcPr>
            <w:tcW w:w="1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D1C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化粪池</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7BAD3">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5个</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167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eastAsia="zh-CN"/>
              </w:rPr>
              <w:t>空调设备个数</w:t>
            </w:r>
          </w:p>
        </w:tc>
        <w:tc>
          <w:tcPr>
            <w:tcW w:w="1792" w:type="dxa"/>
            <w:tcBorders>
              <w:top w:val="single" w:color="000000" w:sz="4" w:space="0"/>
              <w:left w:val="single" w:color="000000" w:sz="4" w:space="0"/>
              <w:bottom w:val="single" w:color="000000" w:sz="4" w:space="0"/>
            </w:tcBorders>
            <w:shd w:val="clear" w:color="auto" w:fill="auto"/>
            <w:vAlign w:val="center"/>
          </w:tcPr>
          <w:p w14:paraId="54F5D5B5">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166套</w:t>
            </w:r>
          </w:p>
        </w:tc>
      </w:tr>
      <w:tr w14:paraId="45EB30E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jc w:val="center"/>
        </w:trPr>
        <w:tc>
          <w:tcPr>
            <w:tcW w:w="3945" w:type="dxa"/>
            <w:gridSpan w:val="2"/>
            <w:tcBorders>
              <w:top w:val="single" w:color="000000" w:sz="4" w:space="0"/>
              <w:bottom w:val="single" w:color="000000" w:sz="4" w:space="0"/>
              <w:right w:val="single" w:color="000000" w:sz="4" w:space="0"/>
            </w:tcBorders>
            <w:shd w:val="clear" w:color="auto" w:fill="auto"/>
            <w:vAlign w:val="center"/>
          </w:tcPr>
          <w:p w14:paraId="1C9ACD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地下停车场（保洁）面积</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60AA">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4100平方米</w:t>
            </w:r>
          </w:p>
        </w:tc>
        <w:tc>
          <w:tcPr>
            <w:tcW w:w="1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D1A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lang w:eastAsia="zh-CN"/>
              </w:rPr>
            </w:pP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2DA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8B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rPr>
            </w:pPr>
          </w:p>
        </w:tc>
        <w:tc>
          <w:tcPr>
            <w:tcW w:w="1792" w:type="dxa"/>
            <w:tcBorders>
              <w:top w:val="single" w:color="000000" w:sz="4" w:space="0"/>
              <w:left w:val="single" w:color="000000" w:sz="4" w:space="0"/>
              <w:bottom w:val="single" w:color="000000" w:sz="4" w:space="0"/>
            </w:tcBorders>
            <w:shd w:val="clear" w:color="auto" w:fill="auto"/>
            <w:vAlign w:val="center"/>
          </w:tcPr>
          <w:p w14:paraId="604947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rPr>
            </w:pPr>
          </w:p>
        </w:tc>
      </w:tr>
      <w:tr w14:paraId="7999EE7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jc w:val="center"/>
        </w:trPr>
        <w:tc>
          <w:tcPr>
            <w:tcW w:w="3945" w:type="dxa"/>
            <w:gridSpan w:val="2"/>
            <w:tcBorders>
              <w:top w:val="single" w:color="000000" w:sz="4" w:space="0"/>
              <w:bottom w:val="nil"/>
              <w:right w:val="nil"/>
            </w:tcBorders>
            <w:shd w:val="clear" w:color="auto" w:fill="auto"/>
            <w:vAlign w:val="center"/>
          </w:tcPr>
          <w:p w14:paraId="3D9189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rPr>
            </w:pPr>
          </w:p>
        </w:tc>
        <w:tc>
          <w:tcPr>
            <w:tcW w:w="3184" w:type="dxa"/>
            <w:tcBorders>
              <w:top w:val="single" w:color="000000" w:sz="4" w:space="0"/>
              <w:left w:val="nil"/>
              <w:bottom w:val="nil"/>
              <w:right w:val="nil"/>
            </w:tcBorders>
            <w:shd w:val="clear" w:color="auto" w:fill="auto"/>
            <w:vAlign w:val="center"/>
          </w:tcPr>
          <w:p w14:paraId="033ACC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b w:val="0"/>
                <w:bCs w:val="0"/>
                <w:color w:val="auto"/>
                <w:sz w:val="24"/>
                <w:szCs w:val="24"/>
                <w:highlight w:val="none"/>
                <w:lang w:val="en-US" w:eastAsia="zh-CN"/>
              </w:rPr>
            </w:pPr>
          </w:p>
        </w:tc>
        <w:tc>
          <w:tcPr>
            <w:tcW w:w="1712" w:type="dxa"/>
            <w:gridSpan w:val="2"/>
            <w:tcBorders>
              <w:top w:val="single" w:color="000000" w:sz="4" w:space="0"/>
              <w:left w:val="nil"/>
              <w:bottom w:val="nil"/>
              <w:right w:val="nil"/>
            </w:tcBorders>
            <w:shd w:val="clear" w:color="auto" w:fill="auto"/>
            <w:vAlign w:val="center"/>
          </w:tcPr>
          <w:p w14:paraId="6EE7CA7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lang w:eastAsia="zh-CN"/>
              </w:rPr>
            </w:pPr>
          </w:p>
        </w:tc>
        <w:tc>
          <w:tcPr>
            <w:tcW w:w="1792" w:type="dxa"/>
            <w:gridSpan w:val="2"/>
            <w:tcBorders>
              <w:top w:val="single" w:color="000000" w:sz="4" w:space="0"/>
              <w:left w:val="nil"/>
              <w:bottom w:val="nil"/>
              <w:right w:val="nil"/>
            </w:tcBorders>
            <w:shd w:val="clear" w:color="auto" w:fill="auto"/>
            <w:vAlign w:val="center"/>
          </w:tcPr>
          <w:p w14:paraId="3366F2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rPr>
            </w:pPr>
          </w:p>
        </w:tc>
        <w:tc>
          <w:tcPr>
            <w:tcW w:w="1748" w:type="dxa"/>
            <w:tcBorders>
              <w:top w:val="single" w:color="000000" w:sz="4" w:space="0"/>
              <w:left w:val="nil"/>
              <w:bottom w:val="nil"/>
              <w:right w:val="nil"/>
            </w:tcBorders>
            <w:shd w:val="clear" w:color="auto" w:fill="auto"/>
            <w:vAlign w:val="center"/>
          </w:tcPr>
          <w:p w14:paraId="213346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rPr>
            </w:pPr>
          </w:p>
        </w:tc>
        <w:tc>
          <w:tcPr>
            <w:tcW w:w="1792" w:type="dxa"/>
            <w:tcBorders>
              <w:top w:val="single" w:color="000000" w:sz="4" w:space="0"/>
              <w:left w:val="nil"/>
              <w:bottom w:val="nil"/>
            </w:tcBorders>
            <w:shd w:val="clear" w:color="auto" w:fill="auto"/>
            <w:vAlign w:val="center"/>
          </w:tcPr>
          <w:p w14:paraId="209C070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rPr>
            </w:pPr>
          </w:p>
        </w:tc>
      </w:tr>
      <w:tr w14:paraId="1F8D5E7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jc w:val="center"/>
        </w:trPr>
        <w:tc>
          <w:tcPr>
            <w:tcW w:w="14173" w:type="dxa"/>
            <w:gridSpan w:val="9"/>
            <w:tcBorders>
              <w:top w:val="nil"/>
              <w:bottom w:val="single" w:color="000000" w:sz="4" w:space="0"/>
            </w:tcBorders>
            <w:shd w:val="clear" w:color="auto" w:fill="auto"/>
            <w:vAlign w:val="center"/>
          </w:tcPr>
          <w:p w14:paraId="5FD6F49B">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规资萧山分局档案大楼</w:t>
            </w:r>
          </w:p>
        </w:tc>
      </w:tr>
      <w:tr w14:paraId="1F0DD4F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jc w:val="center"/>
        </w:trPr>
        <w:tc>
          <w:tcPr>
            <w:tcW w:w="3543" w:type="dxa"/>
            <w:tcBorders>
              <w:top w:val="single" w:color="000000" w:sz="4" w:space="0"/>
              <w:bottom w:val="single" w:color="000000" w:sz="4" w:space="0"/>
              <w:right w:val="single" w:color="000000" w:sz="4" w:space="0"/>
            </w:tcBorders>
            <w:shd w:val="clear" w:color="auto" w:fill="auto"/>
            <w:vAlign w:val="center"/>
          </w:tcPr>
          <w:p w14:paraId="6D20880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总用地面积</w:t>
            </w:r>
          </w:p>
        </w:tc>
        <w:tc>
          <w:tcPr>
            <w:tcW w:w="3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0976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7186.7平方米（10.78亩）</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79C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消控室</w:t>
            </w:r>
          </w:p>
        </w:tc>
        <w:tc>
          <w:tcPr>
            <w:tcW w:w="3544" w:type="dxa"/>
            <w:gridSpan w:val="3"/>
            <w:tcBorders>
              <w:top w:val="single" w:color="000000" w:sz="4" w:space="0"/>
              <w:left w:val="single" w:color="000000" w:sz="4" w:space="0"/>
              <w:bottom w:val="single" w:color="000000" w:sz="4" w:space="0"/>
            </w:tcBorders>
            <w:shd w:val="clear" w:color="auto" w:fill="auto"/>
            <w:vAlign w:val="center"/>
          </w:tcPr>
          <w:p w14:paraId="66F3EF7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1个（81.16平方米）</w:t>
            </w:r>
          </w:p>
        </w:tc>
      </w:tr>
      <w:tr w14:paraId="0A4261A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jc w:val="center"/>
        </w:trPr>
        <w:tc>
          <w:tcPr>
            <w:tcW w:w="3543" w:type="dxa"/>
            <w:tcBorders>
              <w:top w:val="single" w:color="000000" w:sz="4" w:space="0"/>
              <w:bottom w:val="single" w:color="000000" w:sz="4" w:space="0"/>
              <w:right w:val="single" w:color="000000" w:sz="4" w:space="0"/>
            </w:tcBorders>
            <w:shd w:val="clear" w:color="auto" w:fill="auto"/>
            <w:vAlign w:val="center"/>
          </w:tcPr>
          <w:p w14:paraId="29815C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总建筑面积</w:t>
            </w:r>
          </w:p>
        </w:tc>
        <w:tc>
          <w:tcPr>
            <w:tcW w:w="3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22D31D">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17568.55平方米</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179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再生资源回收及垃圾房</w:t>
            </w:r>
          </w:p>
        </w:tc>
        <w:tc>
          <w:tcPr>
            <w:tcW w:w="3544" w:type="dxa"/>
            <w:gridSpan w:val="3"/>
            <w:tcBorders>
              <w:top w:val="single" w:color="000000" w:sz="4" w:space="0"/>
              <w:left w:val="single" w:color="000000" w:sz="4" w:space="0"/>
              <w:bottom w:val="single" w:color="000000" w:sz="4" w:space="0"/>
            </w:tcBorders>
            <w:shd w:val="clear" w:color="auto" w:fill="auto"/>
            <w:vAlign w:val="center"/>
          </w:tcPr>
          <w:p w14:paraId="717AAA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1个（62.2平方米）</w:t>
            </w:r>
          </w:p>
        </w:tc>
      </w:tr>
      <w:tr w14:paraId="1C95CCC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exact"/>
          <w:jc w:val="center"/>
        </w:trPr>
        <w:tc>
          <w:tcPr>
            <w:tcW w:w="3543" w:type="dxa"/>
            <w:tcBorders>
              <w:top w:val="single" w:color="000000" w:sz="4" w:space="0"/>
              <w:bottom w:val="single" w:color="000000" w:sz="4" w:space="0"/>
              <w:right w:val="single" w:color="000000" w:sz="4" w:space="0"/>
            </w:tcBorders>
            <w:shd w:val="clear" w:color="auto" w:fill="auto"/>
            <w:vAlign w:val="center"/>
          </w:tcPr>
          <w:p w14:paraId="5FBD92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地上建筑面积</w:t>
            </w:r>
          </w:p>
        </w:tc>
        <w:tc>
          <w:tcPr>
            <w:tcW w:w="3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46EC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12948.16平方米</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133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地下消防水池</w:t>
            </w:r>
          </w:p>
        </w:tc>
        <w:tc>
          <w:tcPr>
            <w:tcW w:w="3544" w:type="dxa"/>
            <w:gridSpan w:val="3"/>
            <w:tcBorders>
              <w:top w:val="single" w:color="000000" w:sz="4" w:space="0"/>
              <w:left w:val="single" w:color="000000" w:sz="4" w:space="0"/>
              <w:bottom w:val="single" w:color="000000" w:sz="4" w:space="0"/>
            </w:tcBorders>
            <w:shd w:val="clear" w:color="auto" w:fill="auto"/>
            <w:vAlign w:val="center"/>
          </w:tcPr>
          <w:p w14:paraId="3566DEC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1个（222.51平方米）</w:t>
            </w:r>
          </w:p>
        </w:tc>
      </w:tr>
      <w:tr w14:paraId="0062ECB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27" w:hRule="exact"/>
          <w:jc w:val="center"/>
        </w:trPr>
        <w:tc>
          <w:tcPr>
            <w:tcW w:w="3543" w:type="dxa"/>
            <w:tcBorders>
              <w:top w:val="single" w:color="000000" w:sz="4" w:space="0"/>
              <w:right w:val="single" w:color="000000" w:sz="4" w:space="0"/>
            </w:tcBorders>
            <w:shd w:val="clear" w:color="auto" w:fill="auto"/>
            <w:vAlign w:val="center"/>
          </w:tcPr>
          <w:p w14:paraId="2D8F6CD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地下建筑面积</w:t>
            </w:r>
          </w:p>
        </w:tc>
        <w:tc>
          <w:tcPr>
            <w:tcW w:w="3852" w:type="dxa"/>
            <w:gridSpan w:val="3"/>
            <w:tcBorders>
              <w:top w:val="single" w:color="000000" w:sz="4" w:space="0"/>
              <w:left w:val="single" w:color="000000" w:sz="4" w:space="0"/>
              <w:right w:val="single" w:color="000000" w:sz="4" w:space="0"/>
            </w:tcBorders>
            <w:shd w:val="clear" w:color="auto" w:fill="auto"/>
            <w:vAlign w:val="center"/>
          </w:tcPr>
          <w:p w14:paraId="3F857D0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4620.39平方米</w:t>
            </w:r>
          </w:p>
          <w:p w14:paraId="21F769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（含夹层430.89平方米）</w:t>
            </w:r>
          </w:p>
        </w:tc>
        <w:tc>
          <w:tcPr>
            <w:tcW w:w="3234" w:type="dxa"/>
            <w:gridSpan w:val="2"/>
            <w:tcBorders>
              <w:top w:val="single" w:color="000000" w:sz="4" w:space="0"/>
              <w:left w:val="single" w:color="000000" w:sz="4" w:space="0"/>
              <w:right w:val="single" w:color="000000" w:sz="4" w:space="0"/>
            </w:tcBorders>
            <w:shd w:val="clear" w:color="auto" w:fill="auto"/>
            <w:vAlign w:val="center"/>
          </w:tcPr>
          <w:p w14:paraId="7BEF671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传达室</w:t>
            </w:r>
          </w:p>
        </w:tc>
        <w:tc>
          <w:tcPr>
            <w:tcW w:w="3544" w:type="dxa"/>
            <w:gridSpan w:val="3"/>
            <w:tcBorders>
              <w:top w:val="single" w:color="000000" w:sz="4" w:space="0"/>
              <w:left w:val="single" w:color="000000" w:sz="4" w:space="0"/>
            </w:tcBorders>
            <w:shd w:val="clear" w:color="auto" w:fill="auto"/>
            <w:vAlign w:val="center"/>
          </w:tcPr>
          <w:p w14:paraId="3034EB88">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1个（45.36平方米）</w:t>
            </w:r>
          </w:p>
        </w:tc>
      </w:tr>
    </w:tbl>
    <w:p w14:paraId="78599AFF">
      <w:pPr>
        <w:keepNext/>
        <w:keepLines/>
        <w:pageBreakBefore w:val="0"/>
        <w:widowControl w:val="0"/>
        <w:tabs>
          <w:tab w:val="left" w:pos="432"/>
        </w:tabs>
        <w:kinsoku/>
        <w:wordWrap/>
        <w:overflowPunct/>
        <w:topLinePunct w:val="0"/>
        <w:autoSpaceDE/>
        <w:autoSpaceDN/>
        <w:bidi w:val="0"/>
        <w:adjustRightInd/>
        <w:snapToGrid w:val="0"/>
        <w:spacing w:line="360" w:lineRule="auto"/>
        <w:ind w:left="0" w:leftChars="0" w:firstLine="0" w:firstLineChars="0"/>
        <w:jc w:val="left"/>
        <w:textAlignment w:val="auto"/>
        <w:outlineLvl w:val="1"/>
        <w:rPr>
          <w:rFonts w:hint="eastAsia" w:ascii="宋体" w:hAnsi="宋体" w:eastAsia="宋体" w:cs="宋体"/>
          <w:b w:val="0"/>
          <w:bCs w:val="0"/>
          <w:color w:val="auto"/>
          <w:kern w:val="2"/>
          <w:sz w:val="24"/>
          <w:szCs w:val="24"/>
          <w:highlight w:val="none"/>
          <w:lang w:val="en-US" w:eastAsia="zh-CN" w:bidi="ar-SA"/>
        </w:rPr>
      </w:pPr>
      <w:r>
        <w:rPr>
          <w:rFonts w:hint="eastAsia" w:ascii="楷体" w:hAnsi="楷体" w:eastAsia="楷体" w:cs="楷体"/>
          <w:b w:val="0"/>
          <w:bCs w:val="0"/>
          <w:color w:val="auto"/>
          <w:sz w:val="24"/>
          <w:szCs w:val="24"/>
          <w:highlight w:val="none"/>
          <w:lang w:val="en-US" w:eastAsia="zh-CN"/>
        </w:rPr>
        <w:t>本部分的概况和设备设施数据仅供参考，实际情况以现场为准。</w:t>
      </w:r>
    </w:p>
    <w:tbl>
      <w:tblPr>
        <w:tblStyle w:val="62"/>
        <w:tblW w:w="14173" w:type="dxa"/>
        <w:jc w:val="center"/>
        <w:tblLayout w:type="fixed"/>
        <w:tblCellMar>
          <w:top w:w="0" w:type="dxa"/>
          <w:left w:w="108" w:type="dxa"/>
          <w:bottom w:w="0" w:type="dxa"/>
          <w:right w:w="108" w:type="dxa"/>
        </w:tblCellMar>
      </w:tblPr>
      <w:tblGrid>
        <w:gridCol w:w="3949"/>
        <w:gridCol w:w="10224"/>
      </w:tblGrid>
      <w:tr w14:paraId="78985743">
        <w:tblPrEx>
          <w:tblCellMar>
            <w:top w:w="0" w:type="dxa"/>
            <w:left w:w="108" w:type="dxa"/>
            <w:bottom w:w="0" w:type="dxa"/>
            <w:right w:w="108" w:type="dxa"/>
          </w:tblCellMar>
        </w:tblPrEx>
        <w:trPr>
          <w:trHeight w:val="485" w:hRule="exact"/>
          <w:jc w:val="center"/>
        </w:trPr>
        <w:tc>
          <w:tcPr>
            <w:tcW w:w="14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3A7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1.2采购人提供供应商使用的场地、设施、设备、材料等</w:t>
            </w:r>
          </w:p>
        </w:tc>
      </w:tr>
      <w:tr w14:paraId="305E6A69">
        <w:tblPrEx>
          <w:tblCellMar>
            <w:top w:w="0" w:type="dxa"/>
            <w:left w:w="108" w:type="dxa"/>
            <w:bottom w:w="0" w:type="dxa"/>
            <w:right w:w="108" w:type="dxa"/>
          </w:tblCellMar>
        </w:tblPrEx>
        <w:trPr>
          <w:trHeight w:val="567" w:hRule="exact"/>
          <w:jc w:val="center"/>
        </w:trPr>
        <w:tc>
          <w:tcPr>
            <w:tcW w:w="3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FA4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kern w:val="0"/>
                <w:sz w:val="24"/>
                <w:szCs w:val="24"/>
                <w:highlight w:val="none"/>
                <w:lang w:eastAsia="zh-CN"/>
              </w:rPr>
              <w:t>办公室</w:t>
            </w:r>
          </w:p>
        </w:tc>
        <w:tc>
          <w:tcPr>
            <w:tcW w:w="10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B121">
            <w:pPr>
              <w:keepNext w:val="0"/>
              <w:keepLines w:val="0"/>
              <w:pageBreakBefore w:val="0"/>
              <w:widowControl/>
              <w:kinsoku/>
              <w:wordWrap/>
              <w:overflowPunct/>
              <w:topLinePunct w:val="0"/>
              <w:autoSpaceDE/>
              <w:autoSpaceDN/>
              <w:bidi w:val="0"/>
              <w:adjustRightInd w:val="0"/>
              <w:snapToGrid w:val="0"/>
              <w:jc w:val="both"/>
              <w:textAlignment w:val="center"/>
              <w:rPr>
                <w:rFonts w:hint="eastAsia" w:ascii="宋体" w:hAnsi="宋体" w:eastAsia="宋体" w:cs="宋体"/>
                <w:b w:val="0"/>
                <w:bCs w:val="0"/>
                <w:color w:val="auto"/>
                <w:sz w:val="24"/>
                <w:szCs w:val="24"/>
                <w:highlight w:val="none"/>
              </w:rPr>
            </w:pPr>
            <w:r>
              <w:rPr>
                <w:rFonts w:hint="eastAsia" w:ascii="宋体" w:hAnsi="宋体" w:cs="宋体"/>
                <w:color w:val="auto"/>
                <w:kern w:val="2"/>
                <w:sz w:val="24"/>
                <w:szCs w:val="24"/>
                <w:highlight w:val="none"/>
                <w:u w:val="none"/>
                <w:lang w:val="en-US" w:eastAsia="zh-CN" w:bidi="ar-SA"/>
              </w:rPr>
              <w:t>1间</w:t>
            </w:r>
          </w:p>
        </w:tc>
      </w:tr>
      <w:tr w14:paraId="6D64FD1F">
        <w:tblPrEx>
          <w:tblCellMar>
            <w:top w:w="0" w:type="dxa"/>
            <w:left w:w="108" w:type="dxa"/>
            <w:bottom w:w="0" w:type="dxa"/>
            <w:right w:w="108" w:type="dxa"/>
          </w:tblCellMar>
        </w:tblPrEx>
        <w:trPr>
          <w:trHeight w:val="567" w:hRule="exact"/>
          <w:jc w:val="center"/>
        </w:trPr>
        <w:tc>
          <w:tcPr>
            <w:tcW w:w="3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86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kern w:val="2"/>
                <w:sz w:val="24"/>
                <w:szCs w:val="24"/>
                <w:highlight w:val="none"/>
                <w:u w:val="none"/>
                <w:lang w:val="en-US" w:eastAsia="zh-CN" w:bidi="ar-SA"/>
              </w:rPr>
              <w:t>物业管理服务设备</w:t>
            </w:r>
          </w:p>
        </w:tc>
        <w:tc>
          <w:tcPr>
            <w:tcW w:w="10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BF07">
            <w:pPr>
              <w:keepNext w:val="0"/>
              <w:keepLines w:val="0"/>
              <w:pageBreakBefore w:val="0"/>
              <w:widowControl/>
              <w:kinsoku/>
              <w:wordWrap/>
              <w:overflowPunct/>
              <w:topLinePunct w:val="0"/>
              <w:autoSpaceDE/>
              <w:autoSpaceDN/>
              <w:bidi w:val="0"/>
              <w:adjustRightInd w:val="0"/>
              <w:snapToGrid w:val="0"/>
              <w:jc w:val="both"/>
              <w:textAlignment w:val="center"/>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所有物业管理服务设备均由采购人提供</w:t>
            </w:r>
          </w:p>
        </w:tc>
      </w:tr>
      <w:tr w14:paraId="5DB25771">
        <w:tblPrEx>
          <w:tblCellMar>
            <w:top w:w="0" w:type="dxa"/>
            <w:left w:w="108" w:type="dxa"/>
            <w:bottom w:w="0" w:type="dxa"/>
            <w:right w:w="108" w:type="dxa"/>
          </w:tblCellMar>
        </w:tblPrEx>
        <w:trPr>
          <w:trHeight w:val="567" w:hRule="exact"/>
          <w:jc w:val="center"/>
        </w:trPr>
        <w:tc>
          <w:tcPr>
            <w:tcW w:w="3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CF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kern w:val="2"/>
                <w:sz w:val="24"/>
                <w:szCs w:val="24"/>
                <w:highlight w:val="none"/>
                <w:u w:val="none"/>
                <w:lang w:val="en-US" w:eastAsia="zh-CN" w:bidi="ar-SA"/>
              </w:rPr>
              <w:t>食堂</w:t>
            </w:r>
          </w:p>
        </w:tc>
        <w:tc>
          <w:tcPr>
            <w:tcW w:w="10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5FB0">
            <w:pPr>
              <w:keepNext w:val="0"/>
              <w:keepLines w:val="0"/>
              <w:pageBreakBefore w:val="0"/>
              <w:widowControl/>
              <w:kinsoku/>
              <w:wordWrap/>
              <w:overflowPunct/>
              <w:topLinePunct w:val="0"/>
              <w:autoSpaceDE/>
              <w:autoSpaceDN/>
              <w:bidi w:val="0"/>
              <w:adjustRightInd w:val="0"/>
              <w:snapToGrid w:val="0"/>
              <w:jc w:val="both"/>
              <w:textAlignment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kern w:val="2"/>
                <w:sz w:val="24"/>
                <w:szCs w:val="24"/>
                <w:highlight w:val="none"/>
                <w:u w:val="none"/>
                <w:lang w:val="en-US" w:eastAsia="zh-CN" w:bidi="ar-SA"/>
              </w:rPr>
              <w:t>餐费由供应商自理</w:t>
            </w:r>
          </w:p>
        </w:tc>
      </w:tr>
      <w:tr w14:paraId="4960D0F2">
        <w:tblPrEx>
          <w:tblCellMar>
            <w:top w:w="0" w:type="dxa"/>
            <w:left w:w="108" w:type="dxa"/>
            <w:bottom w:w="0" w:type="dxa"/>
            <w:right w:w="108" w:type="dxa"/>
          </w:tblCellMar>
        </w:tblPrEx>
        <w:trPr>
          <w:trHeight w:val="567" w:hRule="exact"/>
          <w:jc w:val="center"/>
        </w:trPr>
        <w:tc>
          <w:tcPr>
            <w:tcW w:w="3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28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kern w:val="2"/>
                <w:sz w:val="24"/>
                <w:szCs w:val="24"/>
                <w:highlight w:val="none"/>
                <w:u w:val="none"/>
                <w:lang w:val="en-US" w:eastAsia="zh-CN" w:bidi="ar-SA"/>
              </w:rPr>
              <w:t>住宿</w:t>
            </w:r>
          </w:p>
        </w:tc>
        <w:tc>
          <w:tcPr>
            <w:tcW w:w="10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B6EB">
            <w:pPr>
              <w:keepNext w:val="0"/>
              <w:keepLines w:val="0"/>
              <w:pageBreakBefore w:val="0"/>
              <w:widowControl/>
              <w:kinsoku/>
              <w:wordWrap/>
              <w:overflowPunct/>
              <w:topLinePunct w:val="0"/>
              <w:autoSpaceDE/>
              <w:autoSpaceDN/>
              <w:bidi w:val="0"/>
              <w:adjustRightInd w:val="0"/>
              <w:snapToGrid w:val="0"/>
              <w:jc w:val="both"/>
              <w:textAlignment w:val="center"/>
              <w:rPr>
                <w:rFonts w:hint="eastAsia" w:ascii="宋体" w:hAnsi="宋体" w:eastAsia="宋体" w:cs="宋体"/>
                <w:b w:val="0"/>
                <w:bCs w:val="0"/>
                <w:color w:val="auto"/>
                <w:sz w:val="24"/>
                <w:szCs w:val="24"/>
                <w:highlight w:val="none"/>
              </w:rPr>
            </w:pPr>
            <w:r>
              <w:rPr>
                <w:rFonts w:hint="eastAsia" w:ascii="宋体" w:hAnsi="宋体" w:cs="宋体"/>
                <w:color w:val="auto"/>
                <w:kern w:val="2"/>
                <w:sz w:val="24"/>
                <w:szCs w:val="24"/>
                <w:highlight w:val="none"/>
                <w:u w:val="none"/>
                <w:lang w:val="en-US" w:eastAsia="zh-CN" w:bidi="ar-SA"/>
              </w:rPr>
              <w:t>不提供</w:t>
            </w:r>
          </w:p>
        </w:tc>
      </w:tr>
      <w:tr w14:paraId="1D7857F2">
        <w:tblPrEx>
          <w:tblCellMar>
            <w:top w:w="0" w:type="dxa"/>
            <w:left w:w="108" w:type="dxa"/>
            <w:bottom w:w="0" w:type="dxa"/>
            <w:right w:w="108" w:type="dxa"/>
          </w:tblCellMar>
        </w:tblPrEx>
        <w:trPr>
          <w:trHeight w:val="567" w:hRule="exact"/>
          <w:jc w:val="center"/>
        </w:trPr>
        <w:tc>
          <w:tcPr>
            <w:tcW w:w="3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30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零星维修材料</w:t>
            </w:r>
          </w:p>
        </w:tc>
        <w:tc>
          <w:tcPr>
            <w:tcW w:w="10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A8D1">
            <w:pPr>
              <w:keepNext w:val="0"/>
              <w:keepLines w:val="0"/>
              <w:pageBreakBefore w:val="0"/>
              <w:widowControl/>
              <w:kinsoku/>
              <w:wordWrap/>
              <w:overflowPunct/>
              <w:topLinePunct w:val="0"/>
              <w:autoSpaceDE/>
              <w:autoSpaceDN/>
              <w:bidi w:val="0"/>
              <w:adjustRightInd w:val="0"/>
              <w:snapToGrid w:val="0"/>
              <w:jc w:val="both"/>
              <w:textAlignment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所有零星维修材料均由采购人提供</w:t>
            </w:r>
          </w:p>
        </w:tc>
      </w:tr>
      <w:tr w14:paraId="6C176458">
        <w:tblPrEx>
          <w:tblCellMar>
            <w:top w:w="0" w:type="dxa"/>
            <w:left w:w="108" w:type="dxa"/>
            <w:bottom w:w="0" w:type="dxa"/>
            <w:right w:w="108" w:type="dxa"/>
          </w:tblCellMar>
        </w:tblPrEx>
        <w:trPr>
          <w:trHeight w:val="567" w:hRule="exact"/>
          <w:jc w:val="center"/>
        </w:trPr>
        <w:tc>
          <w:tcPr>
            <w:tcW w:w="3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29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kern w:val="2"/>
                <w:sz w:val="24"/>
                <w:szCs w:val="24"/>
                <w:highlight w:val="none"/>
                <w:u w:val="none"/>
                <w:lang w:val="en-US" w:eastAsia="zh-CN" w:bidi="ar-SA"/>
              </w:rPr>
              <w:t>低值</w:t>
            </w:r>
            <w:r>
              <w:rPr>
                <w:rFonts w:hint="eastAsia" w:ascii="宋体" w:hAnsi="宋体" w:eastAsia="宋体" w:cs="宋体"/>
                <w:color w:val="auto"/>
                <w:sz w:val="24"/>
                <w:szCs w:val="24"/>
                <w:highlight w:val="none"/>
                <w:lang w:val="en-US" w:eastAsia="zh-CN"/>
              </w:rPr>
              <w:t>易耗品</w:t>
            </w:r>
          </w:p>
        </w:tc>
        <w:tc>
          <w:tcPr>
            <w:tcW w:w="10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2968">
            <w:pPr>
              <w:keepNext w:val="0"/>
              <w:keepLines w:val="0"/>
              <w:pageBreakBefore w:val="0"/>
              <w:widowControl/>
              <w:kinsoku/>
              <w:wordWrap/>
              <w:overflowPunct/>
              <w:topLinePunct w:val="0"/>
              <w:autoSpaceDE/>
              <w:autoSpaceDN/>
              <w:bidi w:val="0"/>
              <w:adjustRightInd w:val="0"/>
              <w:snapToGrid w:val="0"/>
              <w:jc w:val="both"/>
              <w:textAlignment w:val="center"/>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所有低值易耗品均由采购人提供</w:t>
            </w:r>
          </w:p>
        </w:tc>
      </w:tr>
      <w:tr w14:paraId="49A12165">
        <w:tblPrEx>
          <w:tblCellMar>
            <w:top w:w="0" w:type="dxa"/>
            <w:left w:w="108" w:type="dxa"/>
            <w:bottom w:w="0" w:type="dxa"/>
            <w:right w:w="108" w:type="dxa"/>
          </w:tblCellMar>
        </w:tblPrEx>
        <w:trPr>
          <w:trHeight w:val="567" w:hRule="exact"/>
          <w:jc w:val="center"/>
        </w:trPr>
        <w:tc>
          <w:tcPr>
            <w:tcW w:w="3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6B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苗木</w:t>
            </w:r>
          </w:p>
        </w:tc>
        <w:tc>
          <w:tcPr>
            <w:tcW w:w="10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88AC">
            <w:pPr>
              <w:keepNext w:val="0"/>
              <w:keepLines w:val="0"/>
              <w:pageBreakBefore w:val="0"/>
              <w:widowControl/>
              <w:kinsoku/>
              <w:wordWrap/>
              <w:overflowPunct/>
              <w:topLinePunct w:val="0"/>
              <w:autoSpaceDE/>
              <w:autoSpaceDN/>
              <w:bidi w:val="0"/>
              <w:adjustRightInd w:val="0"/>
              <w:snapToGrid w:val="0"/>
              <w:jc w:val="both"/>
              <w:textAlignment w:val="center"/>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所有苗木均由采购人提供</w:t>
            </w:r>
          </w:p>
        </w:tc>
      </w:tr>
      <w:tr w14:paraId="563D709E">
        <w:tblPrEx>
          <w:tblCellMar>
            <w:top w:w="0" w:type="dxa"/>
            <w:left w:w="108" w:type="dxa"/>
            <w:bottom w:w="0" w:type="dxa"/>
            <w:right w:w="108" w:type="dxa"/>
          </w:tblCellMar>
        </w:tblPrEx>
        <w:trPr>
          <w:trHeight w:val="820" w:hRule="exact"/>
          <w:jc w:val="center"/>
        </w:trPr>
        <w:tc>
          <w:tcPr>
            <w:tcW w:w="3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6B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客耗品</w:t>
            </w:r>
          </w:p>
        </w:tc>
        <w:tc>
          <w:tcPr>
            <w:tcW w:w="10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6B2D">
            <w:pPr>
              <w:keepNext w:val="0"/>
              <w:keepLines w:val="0"/>
              <w:pageBreakBefore w:val="0"/>
              <w:widowControl/>
              <w:kinsoku/>
              <w:wordWrap/>
              <w:overflowPunct/>
              <w:topLinePunct w:val="0"/>
              <w:autoSpaceDE/>
              <w:autoSpaceDN/>
              <w:bidi w:val="0"/>
              <w:adjustRightInd w:val="0"/>
              <w:snapToGrid w:val="0"/>
              <w:jc w:val="both"/>
              <w:textAlignment w:val="center"/>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所有客耗品均由采购人提供</w:t>
            </w:r>
          </w:p>
        </w:tc>
      </w:tr>
    </w:tbl>
    <w:p w14:paraId="61629935">
      <w:pPr>
        <w:pageBreakBefore w:val="0"/>
        <w:widowControl w:val="0"/>
        <w:tabs>
          <w:tab w:val="left" w:pos="2340"/>
        </w:tabs>
        <w:kinsoku/>
        <w:wordWrap/>
        <w:overflowPunct/>
        <w:topLinePunct w:val="0"/>
        <w:autoSpaceDE/>
        <w:autoSpaceDN/>
        <w:bidi w:val="0"/>
        <w:snapToGrid w:val="0"/>
        <w:spacing w:line="360" w:lineRule="auto"/>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szCs w:val="24"/>
          <w:highlight w:val="none"/>
          <w:lang w:val="en-US" w:eastAsia="zh-CN"/>
        </w:rPr>
        <w:t>供应商应当承担除以上所列</w:t>
      </w:r>
      <w:r>
        <w:rPr>
          <w:rFonts w:hint="eastAsia" w:ascii="宋体" w:hAnsi="宋体" w:eastAsia="宋体" w:cs="宋体"/>
          <w:color w:val="auto"/>
          <w:kern w:val="2"/>
          <w:sz w:val="24"/>
          <w:szCs w:val="24"/>
          <w:highlight w:val="none"/>
          <w:u w:val="none"/>
          <w:lang w:val="en-US" w:eastAsia="zh-CN" w:bidi="ar-SA"/>
        </w:rPr>
        <w:t>场地、设施、设备、材料</w:t>
      </w:r>
      <w:r>
        <w:rPr>
          <w:rFonts w:hint="eastAsia" w:ascii="宋体" w:hAnsi="宋体" w:eastAsia="宋体" w:cs="宋体"/>
          <w:color w:val="auto"/>
          <w:sz w:val="24"/>
          <w:szCs w:val="24"/>
          <w:highlight w:val="none"/>
          <w:lang w:val="en-US" w:eastAsia="zh-CN"/>
        </w:rPr>
        <w:t>外，与物业管理服务有关的其他</w:t>
      </w:r>
      <w:r>
        <w:rPr>
          <w:rFonts w:hint="eastAsia" w:ascii="宋体" w:hAnsi="宋体" w:eastAsia="宋体" w:cs="宋体"/>
          <w:color w:val="auto"/>
          <w:kern w:val="2"/>
          <w:sz w:val="24"/>
          <w:szCs w:val="24"/>
          <w:highlight w:val="none"/>
          <w:u w:val="none"/>
          <w:lang w:val="en-US" w:eastAsia="zh-CN" w:bidi="ar-SA"/>
        </w:rPr>
        <w:t>设施、设备、材料等。</w:t>
      </w:r>
    </w:p>
    <w:p w14:paraId="423B8C1A">
      <w:pPr>
        <w:pageBreakBefore w:val="0"/>
        <w:widowControl w:val="0"/>
        <w:tabs>
          <w:tab w:val="left" w:pos="2340"/>
        </w:tabs>
        <w:kinsoku/>
        <w:wordWrap/>
        <w:overflowPunct/>
        <w:topLinePunct w:val="0"/>
        <w:autoSpaceDE/>
        <w:autoSpaceDN/>
        <w:bidi w:val="0"/>
        <w:adjustRightInd w:val="0"/>
        <w:snapToGrid w:val="0"/>
        <w:spacing w:line="360" w:lineRule="auto"/>
        <w:textAlignment w:val="auto"/>
        <w:rPr>
          <w:rFonts w:hint="default"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eastAsia="zh-CN"/>
        </w:rPr>
        <w:t>（</w:t>
      </w:r>
      <w:r>
        <w:rPr>
          <w:rFonts w:hint="eastAsia" w:ascii="宋体" w:hAnsi="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）供应商履行合同所需的设备</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val="0"/>
          <w:bCs w:val="0"/>
          <w:color w:val="auto"/>
          <w:sz w:val="24"/>
          <w:szCs w:val="32"/>
          <w:highlight w:val="none"/>
          <w:lang w:val="en-US" w:eastAsia="zh-CN"/>
        </w:rPr>
        <w:t>本项目所需的设备均由采购人无偿提供。</w:t>
      </w:r>
    </w:p>
    <w:p w14:paraId="1CCC2A5E">
      <w:pPr>
        <w:pageBreakBefore w:val="0"/>
        <w:widowControl w:val="0"/>
        <w:numPr>
          <w:ilvl w:val="0"/>
          <w:numId w:val="0"/>
        </w:numPr>
        <w:tabs>
          <w:tab w:val="left" w:pos="2340"/>
        </w:tabs>
        <w:kinsoku/>
        <w:wordWrap/>
        <w:overflowPunct/>
        <w:topLinePunct w:val="0"/>
        <w:autoSpaceDE/>
        <w:autoSpaceDN/>
        <w:bidi w:val="0"/>
        <w:snapToGrid w:val="0"/>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三</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lang w:eastAsia="zh-CN"/>
        </w:rPr>
        <w:t>人员团队最低要求</w:t>
      </w:r>
    </w:p>
    <w:p w14:paraId="74A709B5">
      <w:pPr>
        <w:keepNext/>
        <w:keepLines/>
        <w:pageBreakBefore w:val="0"/>
        <w:widowControl w:val="0"/>
        <w:tabs>
          <w:tab w:val="left" w:pos="432"/>
        </w:tabs>
        <w:kinsoku/>
        <w:wordWrap/>
        <w:overflowPunct/>
        <w:topLinePunct w:val="0"/>
        <w:autoSpaceDE/>
        <w:autoSpaceDN/>
        <w:bidi w:val="0"/>
        <w:adjustRightInd/>
        <w:snapToGrid w:val="0"/>
        <w:spacing w:line="360" w:lineRule="auto"/>
        <w:ind w:left="431" w:hanging="431"/>
        <w:jc w:val="center"/>
        <w:textAlignment w:val="auto"/>
        <w:outlineLvl w:val="1"/>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物业管理服务人员需求</w:t>
      </w:r>
    </w:p>
    <w:tbl>
      <w:tblPr>
        <w:tblStyle w:val="63"/>
        <w:tblW w:w="53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920"/>
        <w:gridCol w:w="1005"/>
        <w:gridCol w:w="1118"/>
        <w:gridCol w:w="5724"/>
        <w:gridCol w:w="3646"/>
      </w:tblGrid>
      <w:tr w14:paraId="71BD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6" w:type="dxa"/>
            <w:noWrap w:val="0"/>
            <w:vAlign w:val="center"/>
          </w:tcPr>
          <w:p w14:paraId="0F01D9B6">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rPr>
              <w:t>部门</w:t>
            </w:r>
            <w:r>
              <w:rPr>
                <w:rFonts w:hint="eastAsia" w:ascii="宋体" w:hAnsi="宋体" w:eastAsia="宋体" w:cs="宋体"/>
                <w:b/>
                <w:bCs w:val="0"/>
                <w:color w:val="auto"/>
                <w:sz w:val="24"/>
                <w:szCs w:val="24"/>
                <w:highlight w:val="none"/>
                <w:lang w:eastAsia="zh-CN"/>
              </w:rPr>
              <w:t>职能</w:t>
            </w:r>
          </w:p>
        </w:tc>
        <w:tc>
          <w:tcPr>
            <w:tcW w:w="1920" w:type="dxa"/>
            <w:noWrap w:val="0"/>
            <w:vAlign w:val="center"/>
          </w:tcPr>
          <w:p w14:paraId="3091BB40">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岗位</w:t>
            </w:r>
          </w:p>
        </w:tc>
        <w:tc>
          <w:tcPr>
            <w:tcW w:w="1005" w:type="dxa"/>
            <w:noWrap w:val="0"/>
            <w:vAlign w:val="center"/>
          </w:tcPr>
          <w:p w14:paraId="79EB53C9">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同时在岗人数</w:t>
            </w:r>
          </w:p>
        </w:tc>
        <w:tc>
          <w:tcPr>
            <w:tcW w:w="1118" w:type="dxa"/>
            <w:noWrap w:val="0"/>
            <w:vAlign w:val="center"/>
          </w:tcPr>
          <w:p w14:paraId="4D184375">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岗位所需总人数</w:t>
            </w:r>
          </w:p>
        </w:tc>
        <w:tc>
          <w:tcPr>
            <w:tcW w:w="5724" w:type="dxa"/>
            <w:noWrap w:val="0"/>
            <w:vAlign w:val="center"/>
          </w:tcPr>
          <w:p w14:paraId="267DDF9C">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岗位需求</w:t>
            </w:r>
          </w:p>
          <w:p w14:paraId="2D085E4C">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（岗位所需服务时长或时段、需具备的上岗资格证</w:t>
            </w:r>
            <w:r>
              <w:rPr>
                <w:rFonts w:hint="eastAsia" w:ascii="宋体" w:hAnsi="宋体" w:eastAsia="宋体" w:cs="宋体"/>
                <w:b/>
                <w:bCs w:val="0"/>
                <w:color w:val="auto"/>
                <w:sz w:val="24"/>
                <w:szCs w:val="24"/>
                <w:highlight w:val="none"/>
                <w:lang w:eastAsia="zh-CN"/>
              </w:rPr>
              <w:t>、人员学历、</w:t>
            </w:r>
            <w:r>
              <w:rPr>
                <w:rFonts w:hint="eastAsia" w:ascii="宋体" w:hAnsi="宋体" w:cs="宋体"/>
                <w:b/>
                <w:bCs w:val="0"/>
                <w:color w:val="auto"/>
                <w:sz w:val="24"/>
                <w:szCs w:val="24"/>
                <w:highlight w:val="none"/>
                <w:lang w:val="en-US" w:eastAsia="zh-CN"/>
              </w:rPr>
              <w:t>年龄、</w:t>
            </w:r>
            <w:r>
              <w:rPr>
                <w:rFonts w:hint="eastAsia" w:ascii="宋体" w:hAnsi="宋体" w:eastAsia="宋体" w:cs="宋体"/>
                <w:b/>
                <w:bCs w:val="0"/>
                <w:color w:val="auto"/>
                <w:sz w:val="24"/>
                <w:szCs w:val="24"/>
                <w:highlight w:val="none"/>
                <w:lang w:eastAsia="zh-CN"/>
              </w:rPr>
              <w:t>工作经验</w:t>
            </w:r>
            <w:r>
              <w:rPr>
                <w:rFonts w:hint="eastAsia" w:ascii="宋体" w:hAnsi="宋体" w:eastAsia="宋体" w:cs="宋体"/>
                <w:b/>
                <w:bCs w:val="0"/>
                <w:color w:val="auto"/>
                <w:sz w:val="24"/>
                <w:szCs w:val="24"/>
                <w:highlight w:val="none"/>
              </w:rPr>
              <w:t>等</w:t>
            </w:r>
            <w:r>
              <w:rPr>
                <w:rFonts w:hint="eastAsia" w:ascii="宋体" w:hAnsi="宋体" w:eastAsia="宋体" w:cs="宋体"/>
                <w:b/>
                <w:bCs w:val="0"/>
                <w:color w:val="auto"/>
                <w:sz w:val="24"/>
                <w:szCs w:val="24"/>
                <w:highlight w:val="none"/>
                <w:lang w:eastAsia="zh-CN"/>
              </w:rPr>
              <w:t>要求</w:t>
            </w:r>
            <w:r>
              <w:rPr>
                <w:rFonts w:hint="eastAsia" w:ascii="宋体" w:hAnsi="宋体" w:eastAsia="宋体" w:cs="宋体"/>
                <w:b/>
                <w:bCs w:val="0"/>
                <w:color w:val="auto"/>
                <w:sz w:val="24"/>
                <w:szCs w:val="24"/>
                <w:highlight w:val="none"/>
              </w:rPr>
              <w:t>）</w:t>
            </w:r>
          </w:p>
        </w:tc>
        <w:tc>
          <w:tcPr>
            <w:tcW w:w="3646" w:type="dxa"/>
            <w:noWrap w:val="0"/>
            <w:vAlign w:val="center"/>
          </w:tcPr>
          <w:p w14:paraId="09CD58B7">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重点需求</w:t>
            </w:r>
          </w:p>
        </w:tc>
      </w:tr>
      <w:tr w14:paraId="7A54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6" w:type="dxa"/>
            <w:noWrap w:val="0"/>
            <w:vAlign w:val="center"/>
          </w:tcPr>
          <w:p w14:paraId="7AA183C4">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项目负责人</w:t>
            </w:r>
          </w:p>
        </w:tc>
        <w:tc>
          <w:tcPr>
            <w:tcW w:w="1920" w:type="dxa"/>
            <w:noWrap w:val="0"/>
            <w:vAlign w:val="center"/>
          </w:tcPr>
          <w:p w14:paraId="1404C65A">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项目经理</w:t>
            </w:r>
          </w:p>
        </w:tc>
        <w:tc>
          <w:tcPr>
            <w:tcW w:w="1005" w:type="dxa"/>
            <w:noWrap w:val="0"/>
            <w:vAlign w:val="center"/>
          </w:tcPr>
          <w:p w14:paraId="3EE6EE90">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118" w:type="dxa"/>
            <w:noWrap w:val="0"/>
            <w:vAlign w:val="center"/>
          </w:tcPr>
          <w:p w14:paraId="788878CE">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5724" w:type="dxa"/>
            <w:noWrap w:val="0"/>
            <w:vAlign w:val="center"/>
          </w:tcPr>
          <w:p w14:paraId="6E80001F">
            <w:pPr>
              <w:keepNext w:val="0"/>
              <w:keepLines w:val="0"/>
              <w:pageBreakBefore w:val="0"/>
              <w:widowControl/>
              <w:kinsoku/>
              <w:wordWrap/>
              <w:overflowPunct/>
              <w:topLinePunct w:val="0"/>
              <w:autoSpaceDE/>
              <w:autoSpaceDN/>
              <w:bidi w:val="0"/>
              <w:adjustRightInd w:val="0"/>
              <w:snapToGrid w:val="0"/>
              <w:spacing w:line="240" w:lineRule="auto"/>
              <w:ind w:left="0"/>
              <w:jc w:val="both"/>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eastAsia="zh-CN"/>
              </w:rPr>
              <w:t>单休制，工作时间为</w:t>
            </w:r>
            <w:r>
              <w:rPr>
                <w:rFonts w:hint="eastAsia" w:ascii="宋体" w:hAnsi="宋体" w:eastAsia="宋体" w:cs="宋体"/>
                <w:bCs/>
                <w:color w:val="auto"/>
                <w:sz w:val="24"/>
                <w:szCs w:val="24"/>
                <w:highlight w:val="none"/>
              </w:rPr>
              <w:t>8小时</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专科及以上学历；</w:t>
            </w:r>
            <w:r>
              <w:rPr>
                <w:rFonts w:hint="eastAsia" w:ascii="宋体" w:hAnsi="宋体" w:cs="宋体"/>
                <w:bCs/>
                <w:color w:val="auto"/>
                <w:sz w:val="24"/>
                <w:szCs w:val="24"/>
                <w:highlight w:val="none"/>
                <w:lang w:val="en-US" w:eastAsia="zh-CN"/>
              </w:rPr>
              <w:t>年龄不超过45周岁优先；有3年及以上物业管理经历，</w:t>
            </w:r>
            <w:r>
              <w:rPr>
                <w:rFonts w:hint="eastAsia" w:ascii="宋体" w:hAnsi="宋体" w:cs="宋体"/>
                <w:bCs/>
                <w:color w:val="auto"/>
                <w:sz w:val="24"/>
                <w:szCs w:val="24"/>
                <w:highlight w:val="none"/>
                <w:lang w:eastAsia="zh-CN"/>
              </w:rPr>
              <w:t>知识面广，专业技能熟练，工作认真负责，责任心强，办事有条理；有一定写作能力，工作严谨认真；有一定组织协调能力，具有团队精神和协作意识。工作点以局</w:t>
            </w:r>
            <w:r>
              <w:rPr>
                <w:rFonts w:hint="eastAsia" w:ascii="宋体" w:hAnsi="宋体" w:cs="宋体"/>
                <w:bCs/>
                <w:color w:val="auto"/>
                <w:sz w:val="24"/>
                <w:szCs w:val="24"/>
                <w:highlight w:val="none"/>
                <w:lang w:val="en-US" w:eastAsia="zh-CN"/>
              </w:rPr>
              <w:t>大楼</w:t>
            </w:r>
            <w:r>
              <w:rPr>
                <w:rFonts w:hint="eastAsia" w:ascii="宋体" w:hAnsi="宋体" w:cs="宋体"/>
                <w:bCs/>
                <w:color w:val="auto"/>
                <w:sz w:val="24"/>
                <w:szCs w:val="24"/>
                <w:highlight w:val="none"/>
                <w:lang w:eastAsia="zh-CN"/>
              </w:rPr>
              <w:t>为主，定期到</w:t>
            </w:r>
            <w:r>
              <w:rPr>
                <w:rFonts w:hint="eastAsia" w:ascii="宋体" w:hAnsi="宋体" w:cs="宋体"/>
                <w:bCs/>
                <w:color w:val="auto"/>
                <w:sz w:val="24"/>
                <w:szCs w:val="24"/>
                <w:highlight w:val="none"/>
                <w:lang w:val="en-US" w:eastAsia="zh-CN"/>
              </w:rPr>
              <w:t>其他点位</w:t>
            </w:r>
            <w:r>
              <w:rPr>
                <w:rFonts w:hint="eastAsia" w:ascii="宋体" w:hAnsi="宋体" w:cs="宋体"/>
                <w:bCs/>
                <w:color w:val="auto"/>
                <w:sz w:val="24"/>
                <w:szCs w:val="24"/>
                <w:highlight w:val="none"/>
                <w:lang w:eastAsia="zh-CN"/>
              </w:rPr>
              <w:t>上门对接工作。</w:t>
            </w:r>
          </w:p>
        </w:tc>
        <w:tc>
          <w:tcPr>
            <w:tcW w:w="3646" w:type="dxa"/>
            <w:noWrap w:val="0"/>
            <w:vAlign w:val="center"/>
          </w:tcPr>
          <w:p w14:paraId="2FDF9BD9">
            <w:pPr>
              <w:keepNext w:val="0"/>
              <w:keepLines w:val="0"/>
              <w:pageBreakBefore w:val="0"/>
              <w:widowControl/>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Cs/>
                <w:color w:val="auto"/>
                <w:sz w:val="24"/>
                <w:szCs w:val="24"/>
                <w:highlight w:val="none"/>
              </w:rPr>
            </w:pPr>
          </w:p>
        </w:tc>
      </w:tr>
      <w:tr w14:paraId="56099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6" w:type="dxa"/>
            <w:vMerge w:val="restart"/>
            <w:shd w:val="clear" w:color="auto" w:fill="auto"/>
            <w:noWrap w:val="0"/>
            <w:vAlign w:val="center"/>
          </w:tcPr>
          <w:p w14:paraId="2E815D45">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综合部</w:t>
            </w:r>
          </w:p>
        </w:tc>
        <w:tc>
          <w:tcPr>
            <w:tcW w:w="1920" w:type="dxa"/>
            <w:shd w:val="clear" w:color="auto" w:fill="auto"/>
            <w:noWrap w:val="0"/>
            <w:vAlign w:val="center"/>
          </w:tcPr>
          <w:p w14:paraId="71BF2E43">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客服</w:t>
            </w:r>
            <w:r>
              <w:rPr>
                <w:rFonts w:hint="eastAsia" w:ascii="宋体" w:hAnsi="宋体" w:eastAsia="宋体" w:cs="宋体"/>
                <w:bCs/>
                <w:color w:val="auto"/>
                <w:sz w:val="24"/>
                <w:szCs w:val="24"/>
                <w:highlight w:val="none"/>
              </w:rPr>
              <w:t>主管</w:t>
            </w:r>
            <w:r>
              <w:rPr>
                <w:rFonts w:hint="eastAsia" w:ascii="宋体" w:hAnsi="宋体" w:cs="宋体"/>
                <w:bCs/>
                <w:color w:val="auto"/>
                <w:sz w:val="24"/>
                <w:szCs w:val="24"/>
                <w:highlight w:val="none"/>
                <w:lang w:eastAsia="zh-CN"/>
              </w:rPr>
              <w:t>（女性）</w:t>
            </w:r>
          </w:p>
        </w:tc>
        <w:tc>
          <w:tcPr>
            <w:tcW w:w="1005" w:type="dxa"/>
            <w:shd w:val="clear" w:color="auto" w:fill="auto"/>
            <w:noWrap w:val="0"/>
            <w:vAlign w:val="center"/>
          </w:tcPr>
          <w:p w14:paraId="12B79E62">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1</w:t>
            </w:r>
          </w:p>
        </w:tc>
        <w:tc>
          <w:tcPr>
            <w:tcW w:w="1118" w:type="dxa"/>
            <w:shd w:val="clear" w:color="auto" w:fill="auto"/>
            <w:noWrap w:val="0"/>
            <w:vAlign w:val="center"/>
          </w:tcPr>
          <w:p w14:paraId="0AF6A09B">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1</w:t>
            </w:r>
          </w:p>
        </w:tc>
        <w:tc>
          <w:tcPr>
            <w:tcW w:w="5724" w:type="dxa"/>
            <w:shd w:val="clear" w:color="auto" w:fill="auto"/>
            <w:noWrap w:val="0"/>
            <w:vAlign w:val="center"/>
          </w:tcPr>
          <w:p w14:paraId="1E3D7531">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eastAsia="zh-CN"/>
              </w:rPr>
              <w:t>单休制，工作时间为</w:t>
            </w:r>
            <w:r>
              <w:rPr>
                <w:rFonts w:hint="eastAsia" w:ascii="宋体" w:hAnsi="宋体" w:eastAsia="宋体" w:cs="宋体"/>
                <w:bCs/>
                <w:color w:val="auto"/>
                <w:sz w:val="24"/>
                <w:szCs w:val="24"/>
                <w:highlight w:val="none"/>
              </w:rPr>
              <w:t>8小时</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专科及以上学历；</w:t>
            </w:r>
            <w:r>
              <w:rPr>
                <w:rFonts w:hint="eastAsia" w:ascii="宋体" w:hAnsi="宋体" w:cs="宋体"/>
                <w:bCs/>
                <w:color w:val="auto"/>
                <w:sz w:val="24"/>
                <w:szCs w:val="24"/>
                <w:highlight w:val="none"/>
                <w:lang w:val="en-US" w:eastAsia="zh-CN"/>
              </w:rPr>
              <w:t>年龄不超过45周岁；身高163cm以上，</w:t>
            </w:r>
            <w:r>
              <w:rPr>
                <w:rFonts w:hint="eastAsia" w:ascii="宋体" w:hAnsi="宋体" w:cs="宋体"/>
                <w:bCs/>
                <w:color w:val="auto"/>
                <w:sz w:val="24"/>
                <w:szCs w:val="24"/>
                <w:highlight w:val="none"/>
                <w:lang w:eastAsia="zh-CN"/>
              </w:rPr>
              <w:t>有</w:t>
            </w:r>
            <w:r>
              <w:rPr>
                <w:rFonts w:hint="eastAsia" w:ascii="宋体" w:hAnsi="宋体" w:cs="宋体"/>
                <w:bCs/>
                <w:color w:val="auto"/>
                <w:sz w:val="24"/>
                <w:szCs w:val="24"/>
                <w:highlight w:val="none"/>
                <w:lang w:val="en-US" w:eastAsia="zh-CN"/>
              </w:rPr>
              <w:t>3年及以上相关</w:t>
            </w:r>
            <w:r>
              <w:rPr>
                <w:rFonts w:hint="eastAsia" w:ascii="宋体" w:hAnsi="宋体" w:cs="宋体"/>
                <w:bCs/>
                <w:color w:val="auto"/>
                <w:sz w:val="24"/>
                <w:szCs w:val="24"/>
                <w:highlight w:val="none"/>
                <w:lang w:eastAsia="zh-CN"/>
              </w:rPr>
              <w:t>工作</w:t>
            </w:r>
            <w:r>
              <w:rPr>
                <w:rFonts w:hint="eastAsia" w:ascii="宋体" w:hAnsi="宋体" w:cs="宋体"/>
                <w:bCs/>
                <w:color w:val="auto"/>
                <w:sz w:val="24"/>
                <w:szCs w:val="24"/>
                <w:highlight w:val="none"/>
                <w:lang w:val="en-US" w:eastAsia="zh-CN"/>
              </w:rPr>
              <w:t>经历</w:t>
            </w:r>
            <w:r>
              <w:rPr>
                <w:rFonts w:hint="eastAsia" w:ascii="宋体" w:hAnsi="宋体" w:cs="宋体"/>
                <w:bCs/>
                <w:color w:val="auto"/>
                <w:sz w:val="24"/>
                <w:szCs w:val="24"/>
                <w:highlight w:val="none"/>
                <w:lang w:eastAsia="zh-CN"/>
              </w:rPr>
              <w:t>，工作细致，</w:t>
            </w:r>
            <w:r>
              <w:rPr>
                <w:rFonts w:hint="eastAsia" w:ascii="宋体" w:hAnsi="宋体" w:cs="宋体"/>
                <w:bCs/>
                <w:color w:val="auto"/>
                <w:sz w:val="24"/>
                <w:szCs w:val="24"/>
                <w:highlight w:val="none"/>
                <w:lang w:val="en-US" w:eastAsia="zh-CN"/>
              </w:rPr>
              <w:t>能服从工作安排，形象气质佳。</w:t>
            </w:r>
          </w:p>
        </w:tc>
        <w:tc>
          <w:tcPr>
            <w:tcW w:w="3646" w:type="dxa"/>
            <w:shd w:val="clear" w:color="auto" w:fill="auto"/>
            <w:noWrap w:val="0"/>
            <w:vAlign w:val="center"/>
          </w:tcPr>
          <w:p w14:paraId="43DE33A7">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bCs/>
                <w:color w:val="auto"/>
                <w:kern w:val="2"/>
                <w:sz w:val="24"/>
                <w:szCs w:val="24"/>
                <w:highlight w:val="none"/>
                <w:lang w:val="en-US" w:eastAsia="zh-CN" w:bidi="ar-SA"/>
              </w:rPr>
            </w:pPr>
          </w:p>
        </w:tc>
      </w:tr>
      <w:tr w14:paraId="6C1C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6" w:type="dxa"/>
            <w:vMerge w:val="continue"/>
            <w:noWrap w:val="0"/>
            <w:vAlign w:val="center"/>
          </w:tcPr>
          <w:p w14:paraId="757BB084">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Cs/>
                <w:color w:val="auto"/>
                <w:sz w:val="24"/>
                <w:szCs w:val="24"/>
                <w:highlight w:val="none"/>
                <w:lang w:eastAsia="zh-CN"/>
              </w:rPr>
            </w:pPr>
          </w:p>
        </w:tc>
        <w:tc>
          <w:tcPr>
            <w:tcW w:w="1920" w:type="dxa"/>
            <w:shd w:val="clear" w:color="auto" w:fill="auto"/>
            <w:noWrap w:val="0"/>
            <w:vAlign w:val="center"/>
          </w:tcPr>
          <w:p w14:paraId="7660958C">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客服</w:t>
            </w:r>
            <w:r>
              <w:rPr>
                <w:rFonts w:hint="eastAsia" w:ascii="宋体" w:hAnsi="宋体" w:cs="宋体"/>
                <w:bCs/>
                <w:color w:val="auto"/>
                <w:sz w:val="24"/>
                <w:szCs w:val="24"/>
                <w:highlight w:val="none"/>
                <w:lang w:val="en-US" w:eastAsia="zh-CN"/>
              </w:rPr>
              <w:t>兼会议接待（女性）</w:t>
            </w:r>
          </w:p>
        </w:tc>
        <w:tc>
          <w:tcPr>
            <w:tcW w:w="1005" w:type="dxa"/>
            <w:shd w:val="clear" w:color="auto" w:fill="auto"/>
            <w:noWrap w:val="0"/>
            <w:vAlign w:val="center"/>
          </w:tcPr>
          <w:p w14:paraId="00AAEB0F">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1</w:t>
            </w:r>
          </w:p>
        </w:tc>
        <w:tc>
          <w:tcPr>
            <w:tcW w:w="1118" w:type="dxa"/>
            <w:shd w:val="clear" w:color="auto" w:fill="auto"/>
            <w:noWrap w:val="0"/>
            <w:vAlign w:val="center"/>
          </w:tcPr>
          <w:p w14:paraId="2A37C00B">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1</w:t>
            </w:r>
          </w:p>
        </w:tc>
        <w:tc>
          <w:tcPr>
            <w:tcW w:w="5724" w:type="dxa"/>
            <w:shd w:val="clear" w:color="auto" w:fill="auto"/>
            <w:noWrap w:val="0"/>
            <w:vAlign w:val="center"/>
          </w:tcPr>
          <w:p w14:paraId="72C84922">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eastAsia="zh-CN"/>
              </w:rPr>
              <w:t>单休制，工作时间为</w:t>
            </w:r>
            <w:r>
              <w:rPr>
                <w:rFonts w:hint="eastAsia" w:ascii="宋体" w:hAnsi="宋体" w:eastAsia="宋体" w:cs="宋体"/>
                <w:bCs/>
                <w:color w:val="auto"/>
                <w:sz w:val="24"/>
                <w:szCs w:val="24"/>
                <w:highlight w:val="none"/>
              </w:rPr>
              <w:t>8小时</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专科及以上学历；</w:t>
            </w:r>
            <w:r>
              <w:rPr>
                <w:rFonts w:hint="eastAsia" w:ascii="宋体" w:hAnsi="宋体" w:cs="宋体"/>
                <w:bCs/>
                <w:color w:val="auto"/>
                <w:sz w:val="24"/>
                <w:szCs w:val="24"/>
                <w:highlight w:val="none"/>
                <w:lang w:val="en-US" w:eastAsia="zh-CN"/>
              </w:rPr>
              <w:t>年龄不超过40周岁；身高163cm及以上，</w:t>
            </w:r>
            <w:r>
              <w:rPr>
                <w:rFonts w:hint="eastAsia" w:ascii="宋体" w:hAnsi="宋体" w:cs="宋体"/>
                <w:bCs/>
                <w:color w:val="auto"/>
                <w:sz w:val="24"/>
                <w:szCs w:val="24"/>
                <w:highlight w:val="none"/>
                <w:lang w:eastAsia="zh-CN"/>
              </w:rPr>
              <w:t>有</w:t>
            </w:r>
            <w:r>
              <w:rPr>
                <w:rFonts w:hint="eastAsia" w:ascii="宋体" w:hAnsi="宋体" w:cs="宋体"/>
                <w:bCs/>
                <w:color w:val="auto"/>
                <w:sz w:val="24"/>
                <w:szCs w:val="24"/>
                <w:highlight w:val="none"/>
                <w:lang w:val="en-US" w:eastAsia="zh-CN"/>
              </w:rPr>
              <w:t>3年及以上相关</w:t>
            </w:r>
            <w:r>
              <w:rPr>
                <w:rFonts w:hint="eastAsia" w:ascii="宋体" w:hAnsi="宋体" w:cs="宋体"/>
                <w:bCs/>
                <w:color w:val="auto"/>
                <w:sz w:val="24"/>
                <w:szCs w:val="24"/>
                <w:highlight w:val="none"/>
                <w:lang w:eastAsia="zh-CN"/>
              </w:rPr>
              <w:t>工作</w:t>
            </w:r>
            <w:r>
              <w:rPr>
                <w:rFonts w:hint="eastAsia" w:ascii="宋体" w:hAnsi="宋体" w:cs="宋体"/>
                <w:bCs/>
                <w:color w:val="auto"/>
                <w:sz w:val="24"/>
                <w:szCs w:val="24"/>
                <w:highlight w:val="none"/>
                <w:lang w:val="en-US" w:eastAsia="zh-CN"/>
              </w:rPr>
              <w:t>经历</w:t>
            </w:r>
            <w:r>
              <w:rPr>
                <w:rFonts w:hint="eastAsia" w:ascii="宋体" w:hAnsi="宋体" w:cs="宋体"/>
                <w:bCs/>
                <w:color w:val="auto"/>
                <w:sz w:val="24"/>
                <w:szCs w:val="24"/>
                <w:highlight w:val="none"/>
                <w:lang w:eastAsia="zh-CN"/>
              </w:rPr>
              <w:t>，工作细致，</w:t>
            </w:r>
            <w:r>
              <w:rPr>
                <w:rFonts w:hint="eastAsia" w:ascii="宋体" w:hAnsi="宋体" w:cs="宋体"/>
                <w:bCs/>
                <w:color w:val="auto"/>
                <w:sz w:val="24"/>
                <w:szCs w:val="24"/>
                <w:highlight w:val="none"/>
                <w:lang w:val="en-US" w:eastAsia="zh-CN"/>
              </w:rPr>
              <w:t>能服从工作安排，形象气质佳。</w:t>
            </w:r>
          </w:p>
        </w:tc>
        <w:tc>
          <w:tcPr>
            <w:tcW w:w="3646" w:type="dxa"/>
            <w:shd w:val="clear" w:color="auto" w:fill="auto"/>
            <w:noWrap w:val="0"/>
            <w:vAlign w:val="center"/>
          </w:tcPr>
          <w:p w14:paraId="2BBCACF7">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bCs/>
                <w:color w:val="auto"/>
                <w:kern w:val="2"/>
                <w:sz w:val="24"/>
                <w:szCs w:val="24"/>
                <w:highlight w:val="none"/>
                <w:lang w:val="en-US" w:eastAsia="zh-CN" w:bidi="ar-SA"/>
              </w:rPr>
            </w:pPr>
          </w:p>
        </w:tc>
      </w:tr>
      <w:tr w14:paraId="7AD7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6" w:type="dxa"/>
            <w:vMerge w:val="restart"/>
            <w:shd w:val="clear" w:color="auto" w:fill="auto"/>
            <w:noWrap w:val="0"/>
            <w:vAlign w:val="center"/>
          </w:tcPr>
          <w:p w14:paraId="51BF7A42">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安保部</w:t>
            </w:r>
          </w:p>
        </w:tc>
        <w:tc>
          <w:tcPr>
            <w:tcW w:w="1920" w:type="dxa"/>
            <w:shd w:val="clear" w:color="auto" w:fill="auto"/>
            <w:noWrap w:val="0"/>
            <w:vAlign w:val="center"/>
          </w:tcPr>
          <w:p w14:paraId="767A5C33">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保安</w:t>
            </w:r>
            <w:r>
              <w:rPr>
                <w:rFonts w:hint="eastAsia" w:ascii="宋体" w:hAnsi="宋体" w:eastAsia="宋体" w:cs="宋体"/>
                <w:bCs/>
                <w:color w:val="auto"/>
                <w:sz w:val="24"/>
                <w:szCs w:val="24"/>
                <w:highlight w:val="none"/>
              </w:rPr>
              <w:t>主管</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男</w:t>
            </w:r>
            <w:r>
              <w:rPr>
                <w:rFonts w:hint="eastAsia" w:ascii="宋体" w:hAnsi="宋体" w:cs="宋体"/>
                <w:bCs/>
                <w:color w:val="auto"/>
                <w:sz w:val="24"/>
                <w:szCs w:val="24"/>
                <w:highlight w:val="none"/>
                <w:lang w:eastAsia="zh-CN"/>
              </w:rPr>
              <w:t>）</w:t>
            </w:r>
          </w:p>
        </w:tc>
        <w:tc>
          <w:tcPr>
            <w:tcW w:w="1005" w:type="dxa"/>
            <w:shd w:val="clear" w:color="auto" w:fill="auto"/>
            <w:noWrap w:val="0"/>
            <w:vAlign w:val="center"/>
          </w:tcPr>
          <w:p w14:paraId="45F6B087">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1</w:t>
            </w:r>
          </w:p>
        </w:tc>
        <w:tc>
          <w:tcPr>
            <w:tcW w:w="1118" w:type="dxa"/>
            <w:shd w:val="clear" w:color="auto" w:fill="auto"/>
            <w:noWrap w:val="0"/>
            <w:vAlign w:val="center"/>
          </w:tcPr>
          <w:p w14:paraId="6B801F9C">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1</w:t>
            </w:r>
          </w:p>
        </w:tc>
        <w:tc>
          <w:tcPr>
            <w:tcW w:w="5724" w:type="dxa"/>
            <w:shd w:val="clear" w:color="auto" w:fill="auto"/>
            <w:noWrap w:val="0"/>
            <w:vAlign w:val="center"/>
          </w:tcPr>
          <w:p w14:paraId="1606B497">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单休制，工作时间为8小时；持</w:t>
            </w:r>
            <w:r>
              <w:rPr>
                <w:rFonts w:hint="eastAsia" w:ascii="宋体" w:hAnsi="宋体" w:eastAsia="宋体" w:cs="宋体"/>
                <w:bCs/>
                <w:color w:val="auto"/>
                <w:kern w:val="2"/>
                <w:sz w:val="24"/>
                <w:szCs w:val="24"/>
                <w:highlight w:val="none"/>
                <w:lang w:val="en-US" w:eastAsia="zh-CN" w:bidi="ar-SA"/>
              </w:rPr>
              <w:t>有保安员证</w:t>
            </w:r>
            <w:r>
              <w:rPr>
                <w:rFonts w:hint="eastAsia" w:ascii="宋体" w:hAnsi="宋体" w:cs="宋体"/>
                <w:bCs/>
                <w:color w:val="auto"/>
                <w:kern w:val="2"/>
                <w:sz w:val="24"/>
                <w:szCs w:val="24"/>
                <w:highlight w:val="none"/>
                <w:lang w:val="en-US" w:eastAsia="zh-CN" w:bidi="ar-SA"/>
              </w:rPr>
              <w:t>；</w:t>
            </w:r>
            <w:r>
              <w:rPr>
                <w:rFonts w:hint="eastAsia" w:ascii="宋体" w:hAnsi="宋体" w:eastAsia="宋体" w:cs="宋体"/>
                <w:bCs/>
                <w:color w:val="auto"/>
                <w:sz w:val="24"/>
                <w:szCs w:val="24"/>
                <w:highlight w:val="none"/>
                <w:lang w:val="en-US" w:eastAsia="zh-CN"/>
              </w:rPr>
              <w:t>专科及以上学历；</w:t>
            </w:r>
            <w:r>
              <w:rPr>
                <w:rFonts w:hint="eastAsia" w:ascii="宋体" w:hAnsi="宋体" w:cs="宋体"/>
                <w:bCs/>
                <w:color w:val="auto"/>
                <w:sz w:val="24"/>
                <w:szCs w:val="24"/>
                <w:highlight w:val="none"/>
                <w:lang w:val="en-US" w:eastAsia="zh-CN"/>
              </w:rPr>
              <w:t>年龄不超过50周岁；身高170cm以上，</w:t>
            </w:r>
            <w:r>
              <w:rPr>
                <w:rFonts w:hint="eastAsia" w:ascii="宋体" w:hAnsi="宋体" w:cs="宋体"/>
                <w:bCs/>
                <w:color w:val="auto"/>
                <w:sz w:val="24"/>
                <w:szCs w:val="24"/>
                <w:highlight w:val="none"/>
                <w:lang w:eastAsia="zh-CN"/>
              </w:rPr>
              <w:t>有</w:t>
            </w:r>
            <w:r>
              <w:rPr>
                <w:rFonts w:hint="eastAsia" w:ascii="宋体" w:hAnsi="宋体" w:cs="宋体"/>
                <w:bCs/>
                <w:color w:val="auto"/>
                <w:sz w:val="24"/>
                <w:szCs w:val="24"/>
                <w:highlight w:val="none"/>
                <w:lang w:val="en-US" w:eastAsia="zh-CN"/>
              </w:rPr>
              <w:t>3年及以上相关</w:t>
            </w:r>
            <w:r>
              <w:rPr>
                <w:rFonts w:hint="eastAsia" w:ascii="宋体" w:hAnsi="宋体" w:cs="宋体"/>
                <w:bCs/>
                <w:color w:val="auto"/>
                <w:sz w:val="24"/>
                <w:szCs w:val="24"/>
                <w:highlight w:val="none"/>
                <w:lang w:eastAsia="zh-CN"/>
              </w:rPr>
              <w:t>工作</w:t>
            </w:r>
            <w:r>
              <w:rPr>
                <w:rFonts w:hint="eastAsia" w:ascii="宋体" w:hAnsi="宋体" w:cs="宋体"/>
                <w:bCs/>
                <w:color w:val="auto"/>
                <w:sz w:val="24"/>
                <w:szCs w:val="24"/>
                <w:highlight w:val="none"/>
                <w:lang w:val="en-US" w:eastAsia="zh-CN"/>
              </w:rPr>
              <w:t>经历</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能熟练运用消防监控等智能信息化设备，对新事物有较强领悟能力，具有良好的服务意识和吃苦耐劳的精神。</w:t>
            </w:r>
          </w:p>
        </w:tc>
        <w:tc>
          <w:tcPr>
            <w:tcW w:w="3646" w:type="dxa"/>
            <w:shd w:val="clear" w:color="auto" w:fill="auto"/>
            <w:noWrap w:val="0"/>
            <w:vAlign w:val="center"/>
          </w:tcPr>
          <w:p w14:paraId="4395DF7F">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bCs/>
                <w:color w:val="auto"/>
                <w:kern w:val="2"/>
                <w:sz w:val="24"/>
                <w:szCs w:val="24"/>
                <w:highlight w:val="none"/>
                <w:lang w:val="en-US" w:eastAsia="zh-CN" w:bidi="ar-SA"/>
              </w:rPr>
            </w:pPr>
          </w:p>
        </w:tc>
      </w:tr>
      <w:tr w14:paraId="3484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6" w:type="dxa"/>
            <w:vMerge w:val="continue"/>
            <w:noWrap w:val="0"/>
            <w:vAlign w:val="center"/>
          </w:tcPr>
          <w:p w14:paraId="7858BD7C">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Cs/>
                <w:color w:val="auto"/>
                <w:sz w:val="24"/>
                <w:szCs w:val="24"/>
                <w:highlight w:val="none"/>
                <w:lang w:eastAsia="zh-CN"/>
              </w:rPr>
            </w:pPr>
          </w:p>
        </w:tc>
        <w:tc>
          <w:tcPr>
            <w:tcW w:w="1920" w:type="dxa"/>
            <w:shd w:val="clear" w:color="auto" w:fill="auto"/>
            <w:noWrap w:val="0"/>
            <w:vAlign w:val="center"/>
          </w:tcPr>
          <w:p w14:paraId="401CA5C2">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局大楼保安员</w:t>
            </w:r>
          </w:p>
        </w:tc>
        <w:tc>
          <w:tcPr>
            <w:tcW w:w="1005" w:type="dxa"/>
            <w:shd w:val="clear" w:color="auto" w:fill="auto"/>
            <w:noWrap w:val="0"/>
            <w:vAlign w:val="center"/>
          </w:tcPr>
          <w:p w14:paraId="7EE5B2E0">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4</w:t>
            </w:r>
          </w:p>
        </w:tc>
        <w:tc>
          <w:tcPr>
            <w:tcW w:w="1118" w:type="dxa"/>
            <w:shd w:val="clear" w:color="auto" w:fill="auto"/>
            <w:noWrap w:val="0"/>
            <w:vAlign w:val="center"/>
          </w:tcPr>
          <w:p w14:paraId="5EE22717">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9</w:t>
            </w:r>
          </w:p>
        </w:tc>
        <w:tc>
          <w:tcPr>
            <w:tcW w:w="5724" w:type="dxa"/>
            <w:shd w:val="clear" w:color="auto" w:fill="auto"/>
            <w:noWrap w:val="0"/>
            <w:vAlign w:val="center"/>
          </w:tcPr>
          <w:p w14:paraId="3DA06684">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单休轮休制，工作时间为12小时；持保安员证；男性，60周岁及以下，身体健康，身体素质好。有1年及以上相关工作经验，品行端正。自觉遵纪守法，遵守规章制度。严守职业道德，注重服务态度，言行规范，文明礼貌，对突发事件有强的应对能力。</w:t>
            </w:r>
          </w:p>
        </w:tc>
        <w:tc>
          <w:tcPr>
            <w:tcW w:w="3646" w:type="dxa"/>
            <w:shd w:val="clear" w:color="auto" w:fill="auto"/>
            <w:noWrap w:val="0"/>
            <w:vAlign w:val="center"/>
          </w:tcPr>
          <w:p w14:paraId="5836DE10">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default" w:ascii="宋体" w:hAnsi="宋体" w:eastAsia="宋体" w:cs="宋体"/>
                <w:bCs/>
                <w:color w:val="auto"/>
                <w:kern w:val="2"/>
                <w:sz w:val="24"/>
                <w:szCs w:val="24"/>
                <w:highlight w:val="none"/>
                <w:u w:val="none"/>
                <w:lang w:val="en-US" w:eastAsia="zh-CN" w:bidi="ar-SA"/>
              </w:rPr>
            </w:pPr>
            <w:r>
              <w:rPr>
                <w:rFonts w:hint="eastAsia" w:ascii="宋体" w:hAnsi="宋体" w:cs="宋体"/>
                <w:bCs/>
                <w:color w:val="auto"/>
                <w:kern w:val="2"/>
                <w:sz w:val="24"/>
                <w:szCs w:val="24"/>
                <w:highlight w:val="none"/>
                <w:u w:val="none"/>
                <w:lang w:val="en-US" w:eastAsia="zh-CN" w:bidi="ar-SA"/>
              </w:rPr>
              <w:t>上岗时持2本消控证。</w:t>
            </w:r>
          </w:p>
        </w:tc>
      </w:tr>
      <w:tr w14:paraId="2145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6" w:type="dxa"/>
            <w:vMerge w:val="continue"/>
            <w:noWrap w:val="0"/>
            <w:vAlign w:val="center"/>
          </w:tcPr>
          <w:p w14:paraId="5E2075DE">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Cs/>
                <w:color w:val="auto"/>
                <w:sz w:val="24"/>
                <w:szCs w:val="24"/>
                <w:highlight w:val="none"/>
                <w:lang w:eastAsia="zh-CN"/>
              </w:rPr>
            </w:pPr>
          </w:p>
        </w:tc>
        <w:tc>
          <w:tcPr>
            <w:tcW w:w="1920" w:type="dxa"/>
            <w:shd w:val="clear" w:color="auto" w:fill="auto"/>
            <w:noWrap w:val="0"/>
            <w:vAlign w:val="center"/>
          </w:tcPr>
          <w:p w14:paraId="7BA0FE2E">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档案大楼保安员</w:t>
            </w:r>
          </w:p>
        </w:tc>
        <w:tc>
          <w:tcPr>
            <w:tcW w:w="1005" w:type="dxa"/>
            <w:shd w:val="clear" w:color="auto" w:fill="auto"/>
            <w:noWrap w:val="0"/>
            <w:vAlign w:val="center"/>
          </w:tcPr>
          <w:p w14:paraId="454DB3C7">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2</w:t>
            </w:r>
          </w:p>
        </w:tc>
        <w:tc>
          <w:tcPr>
            <w:tcW w:w="1118" w:type="dxa"/>
            <w:shd w:val="clear" w:color="auto" w:fill="auto"/>
            <w:noWrap w:val="0"/>
            <w:vAlign w:val="center"/>
          </w:tcPr>
          <w:p w14:paraId="12D2C98F">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5</w:t>
            </w:r>
          </w:p>
        </w:tc>
        <w:tc>
          <w:tcPr>
            <w:tcW w:w="5724" w:type="dxa"/>
            <w:shd w:val="clear" w:color="auto" w:fill="auto"/>
            <w:noWrap w:val="0"/>
            <w:vAlign w:val="center"/>
          </w:tcPr>
          <w:p w14:paraId="708B3B59">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单休轮休制，工作时间为12小时；持保安员证；男性，60周岁及以下，身体健康，身体素质好。有1年及以上相关工作经验，品行端正。自觉遵纪守法，遵守规章制度。严守职业道德，注重服务态度，言行规范，文明礼貌，对突发事件有强的应对能力。</w:t>
            </w:r>
          </w:p>
        </w:tc>
        <w:tc>
          <w:tcPr>
            <w:tcW w:w="3646" w:type="dxa"/>
            <w:shd w:val="clear" w:color="auto" w:fill="auto"/>
            <w:noWrap w:val="0"/>
            <w:vAlign w:val="center"/>
          </w:tcPr>
          <w:p w14:paraId="580B0803">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u w:val="none"/>
                <w:lang w:val="en-US" w:eastAsia="zh-CN" w:bidi="ar-SA"/>
              </w:rPr>
              <w:t>上岗时持2本消控证。</w:t>
            </w:r>
          </w:p>
        </w:tc>
      </w:tr>
      <w:tr w14:paraId="367D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6" w:type="dxa"/>
            <w:vMerge w:val="continue"/>
            <w:noWrap w:val="0"/>
            <w:vAlign w:val="center"/>
          </w:tcPr>
          <w:p w14:paraId="49344614">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Cs/>
                <w:color w:val="auto"/>
                <w:sz w:val="24"/>
                <w:szCs w:val="24"/>
                <w:highlight w:val="none"/>
                <w:lang w:eastAsia="zh-CN"/>
              </w:rPr>
            </w:pPr>
          </w:p>
        </w:tc>
        <w:tc>
          <w:tcPr>
            <w:tcW w:w="1920" w:type="dxa"/>
            <w:shd w:val="clear" w:color="auto" w:fill="auto"/>
            <w:noWrap w:val="0"/>
            <w:vAlign w:val="center"/>
          </w:tcPr>
          <w:p w14:paraId="6ACB69BE">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分所保安员</w:t>
            </w:r>
          </w:p>
        </w:tc>
        <w:tc>
          <w:tcPr>
            <w:tcW w:w="1005" w:type="dxa"/>
            <w:shd w:val="clear" w:color="auto" w:fill="auto"/>
            <w:noWrap w:val="0"/>
            <w:vAlign w:val="center"/>
          </w:tcPr>
          <w:p w14:paraId="0EFB8CA7">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w:t>
            </w:r>
          </w:p>
        </w:tc>
        <w:tc>
          <w:tcPr>
            <w:tcW w:w="1118" w:type="dxa"/>
            <w:shd w:val="clear" w:color="auto" w:fill="auto"/>
            <w:noWrap w:val="0"/>
            <w:vAlign w:val="center"/>
          </w:tcPr>
          <w:p w14:paraId="01260DF1">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8</w:t>
            </w:r>
          </w:p>
        </w:tc>
        <w:tc>
          <w:tcPr>
            <w:tcW w:w="5724" w:type="dxa"/>
            <w:shd w:val="clear" w:color="auto" w:fill="auto"/>
            <w:noWrap w:val="0"/>
            <w:vAlign w:val="center"/>
          </w:tcPr>
          <w:p w14:paraId="204DDEF1">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单休轮休制，工作时间为12小时；持保安员证；男性，60周岁及以下，身体健康，身体素质好。有1年及以上相关工作经验，品行端正。自觉遵纪守法，遵守规章制度。严守职业道德，注重服务态度，言行规范，文明礼貌，对突发事件有强的应对能力。</w:t>
            </w:r>
          </w:p>
        </w:tc>
        <w:tc>
          <w:tcPr>
            <w:tcW w:w="3646" w:type="dxa"/>
            <w:shd w:val="clear" w:color="auto" w:fill="auto"/>
            <w:noWrap w:val="0"/>
            <w:vAlign w:val="center"/>
          </w:tcPr>
          <w:p w14:paraId="3903ECD8">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cs="宋体"/>
                <w:bCs/>
                <w:color w:val="auto"/>
                <w:kern w:val="2"/>
                <w:sz w:val="24"/>
                <w:szCs w:val="24"/>
                <w:highlight w:val="none"/>
                <w:u w:val="none"/>
                <w:lang w:val="en-US" w:eastAsia="zh-CN" w:bidi="ar-SA"/>
              </w:rPr>
            </w:pPr>
          </w:p>
        </w:tc>
      </w:tr>
      <w:tr w14:paraId="2229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6" w:type="dxa"/>
            <w:vMerge w:val="restart"/>
            <w:shd w:val="clear" w:color="auto" w:fill="auto"/>
            <w:noWrap w:val="0"/>
            <w:vAlign w:val="center"/>
          </w:tcPr>
          <w:p w14:paraId="12B0E1B0">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环境部</w:t>
            </w:r>
          </w:p>
        </w:tc>
        <w:tc>
          <w:tcPr>
            <w:tcW w:w="1920" w:type="dxa"/>
            <w:shd w:val="clear" w:color="auto" w:fill="auto"/>
            <w:noWrap w:val="0"/>
            <w:vAlign w:val="center"/>
          </w:tcPr>
          <w:p w14:paraId="3E71240F">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保洁</w:t>
            </w:r>
            <w:r>
              <w:rPr>
                <w:rFonts w:hint="eastAsia" w:ascii="宋体" w:hAnsi="宋体" w:eastAsia="宋体" w:cs="宋体"/>
                <w:bCs/>
                <w:color w:val="auto"/>
                <w:sz w:val="24"/>
                <w:szCs w:val="24"/>
                <w:highlight w:val="none"/>
              </w:rPr>
              <w:t>主管</w:t>
            </w:r>
          </w:p>
        </w:tc>
        <w:tc>
          <w:tcPr>
            <w:tcW w:w="1005" w:type="dxa"/>
            <w:shd w:val="clear" w:color="auto" w:fill="auto"/>
            <w:noWrap w:val="0"/>
            <w:vAlign w:val="center"/>
          </w:tcPr>
          <w:p w14:paraId="7133E27A">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p>
        </w:tc>
        <w:tc>
          <w:tcPr>
            <w:tcW w:w="1118" w:type="dxa"/>
            <w:shd w:val="clear" w:color="auto" w:fill="auto"/>
            <w:noWrap w:val="0"/>
            <w:vAlign w:val="center"/>
          </w:tcPr>
          <w:p w14:paraId="2101402A">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p>
        </w:tc>
        <w:tc>
          <w:tcPr>
            <w:tcW w:w="5724" w:type="dxa"/>
            <w:shd w:val="clear" w:color="auto" w:fill="auto"/>
            <w:noWrap w:val="0"/>
            <w:vAlign w:val="center"/>
          </w:tcPr>
          <w:p w14:paraId="76742C45">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单休制，工作时间为</w:t>
            </w:r>
            <w:r>
              <w:rPr>
                <w:rFonts w:hint="eastAsia" w:ascii="宋体" w:hAnsi="宋体" w:eastAsia="宋体" w:cs="宋体"/>
                <w:bCs/>
                <w:color w:val="auto"/>
                <w:sz w:val="24"/>
                <w:szCs w:val="24"/>
                <w:highlight w:val="none"/>
              </w:rPr>
              <w:t>8小时</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专科及以上学历；年龄不超过50周岁；3年及以上相关工作经验，身体健康，具有良好的服务意识和吃苦耐劳的精神。</w:t>
            </w:r>
          </w:p>
        </w:tc>
        <w:tc>
          <w:tcPr>
            <w:tcW w:w="3646" w:type="dxa"/>
            <w:shd w:val="clear" w:color="auto" w:fill="auto"/>
            <w:noWrap w:val="0"/>
            <w:vAlign w:val="center"/>
          </w:tcPr>
          <w:p w14:paraId="3871A034">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bCs/>
                <w:color w:val="auto"/>
                <w:kern w:val="2"/>
                <w:sz w:val="24"/>
                <w:szCs w:val="24"/>
                <w:highlight w:val="none"/>
                <w:lang w:val="en-US" w:eastAsia="zh-CN" w:bidi="ar-SA"/>
              </w:rPr>
            </w:pPr>
          </w:p>
        </w:tc>
      </w:tr>
      <w:tr w14:paraId="6B94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556" w:type="dxa"/>
            <w:vMerge w:val="continue"/>
            <w:noWrap w:val="0"/>
            <w:vAlign w:val="center"/>
          </w:tcPr>
          <w:p w14:paraId="0C3C1156">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Cs/>
                <w:color w:val="auto"/>
                <w:sz w:val="24"/>
                <w:szCs w:val="24"/>
                <w:highlight w:val="none"/>
                <w:lang w:eastAsia="zh-CN"/>
              </w:rPr>
            </w:pPr>
          </w:p>
        </w:tc>
        <w:tc>
          <w:tcPr>
            <w:tcW w:w="1920" w:type="dxa"/>
            <w:shd w:val="clear" w:color="auto" w:fill="auto"/>
            <w:noWrap w:val="0"/>
            <w:vAlign w:val="center"/>
          </w:tcPr>
          <w:p w14:paraId="0A58F1C0">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局大楼</w:t>
            </w:r>
            <w:r>
              <w:rPr>
                <w:rFonts w:hint="eastAsia" w:ascii="宋体" w:hAnsi="宋体" w:eastAsia="宋体" w:cs="宋体"/>
                <w:bCs/>
                <w:color w:val="auto"/>
                <w:sz w:val="24"/>
                <w:szCs w:val="24"/>
                <w:highlight w:val="none"/>
              </w:rPr>
              <w:t>保洁员</w:t>
            </w:r>
          </w:p>
        </w:tc>
        <w:tc>
          <w:tcPr>
            <w:tcW w:w="1005" w:type="dxa"/>
            <w:shd w:val="clear" w:color="auto" w:fill="auto"/>
            <w:noWrap w:val="0"/>
            <w:vAlign w:val="center"/>
          </w:tcPr>
          <w:p w14:paraId="3E2C92A7">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8</w:t>
            </w:r>
          </w:p>
        </w:tc>
        <w:tc>
          <w:tcPr>
            <w:tcW w:w="1118" w:type="dxa"/>
            <w:shd w:val="clear" w:color="auto" w:fill="auto"/>
            <w:noWrap w:val="0"/>
            <w:vAlign w:val="center"/>
          </w:tcPr>
          <w:p w14:paraId="76F1A7E6">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8</w:t>
            </w:r>
          </w:p>
        </w:tc>
        <w:tc>
          <w:tcPr>
            <w:tcW w:w="5724" w:type="dxa"/>
            <w:shd w:val="clear" w:color="auto" w:fill="auto"/>
            <w:noWrap w:val="0"/>
            <w:vAlign w:val="center"/>
          </w:tcPr>
          <w:p w14:paraId="34300ED4">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单休制，工作时间为</w:t>
            </w:r>
            <w:r>
              <w:rPr>
                <w:rFonts w:hint="eastAsia" w:ascii="宋体" w:hAnsi="宋体" w:eastAsia="宋体" w:cs="宋体"/>
                <w:bCs/>
                <w:color w:val="auto"/>
                <w:sz w:val="24"/>
                <w:szCs w:val="24"/>
                <w:highlight w:val="none"/>
              </w:rPr>
              <w:t>8小时</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年龄不超过55周岁。</w:t>
            </w:r>
          </w:p>
        </w:tc>
        <w:tc>
          <w:tcPr>
            <w:tcW w:w="3646" w:type="dxa"/>
            <w:shd w:val="clear" w:color="auto" w:fill="auto"/>
            <w:noWrap w:val="0"/>
            <w:vAlign w:val="center"/>
          </w:tcPr>
          <w:p w14:paraId="45DD4E5D">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bCs/>
                <w:color w:val="auto"/>
                <w:kern w:val="2"/>
                <w:sz w:val="24"/>
                <w:szCs w:val="24"/>
                <w:highlight w:val="none"/>
                <w:lang w:val="en-US" w:eastAsia="zh-CN" w:bidi="ar-SA"/>
              </w:rPr>
            </w:pPr>
          </w:p>
        </w:tc>
      </w:tr>
      <w:tr w14:paraId="537C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556" w:type="dxa"/>
            <w:vMerge w:val="continue"/>
            <w:noWrap w:val="0"/>
            <w:vAlign w:val="center"/>
          </w:tcPr>
          <w:p w14:paraId="41F5DAE0">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Cs/>
                <w:color w:val="auto"/>
                <w:sz w:val="24"/>
                <w:szCs w:val="24"/>
                <w:highlight w:val="none"/>
                <w:lang w:eastAsia="zh-CN"/>
              </w:rPr>
            </w:pPr>
          </w:p>
        </w:tc>
        <w:tc>
          <w:tcPr>
            <w:tcW w:w="1920" w:type="dxa"/>
            <w:shd w:val="clear" w:color="auto" w:fill="auto"/>
            <w:noWrap w:val="0"/>
            <w:vAlign w:val="center"/>
          </w:tcPr>
          <w:p w14:paraId="33C8C3F4">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档案大楼</w:t>
            </w:r>
            <w:r>
              <w:rPr>
                <w:rFonts w:hint="eastAsia" w:ascii="宋体" w:hAnsi="宋体" w:eastAsia="宋体" w:cs="宋体"/>
                <w:bCs/>
                <w:color w:val="auto"/>
                <w:sz w:val="24"/>
                <w:szCs w:val="24"/>
                <w:highlight w:val="none"/>
                <w:lang w:eastAsia="zh-CN"/>
              </w:rPr>
              <w:t>保洁员</w:t>
            </w:r>
          </w:p>
        </w:tc>
        <w:tc>
          <w:tcPr>
            <w:tcW w:w="1005" w:type="dxa"/>
            <w:shd w:val="clear" w:color="auto" w:fill="auto"/>
            <w:noWrap w:val="0"/>
            <w:vAlign w:val="center"/>
          </w:tcPr>
          <w:p w14:paraId="5A64A977">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w:t>
            </w:r>
          </w:p>
        </w:tc>
        <w:tc>
          <w:tcPr>
            <w:tcW w:w="1118" w:type="dxa"/>
            <w:shd w:val="clear" w:color="auto" w:fill="auto"/>
            <w:noWrap w:val="0"/>
            <w:vAlign w:val="center"/>
          </w:tcPr>
          <w:p w14:paraId="3ADF3D44">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w:t>
            </w:r>
          </w:p>
        </w:tc>
        <w:tc>
          <w:tcPr>
            <w:tcW w:w="5724" w:type="dxa"/>
            <w:shd w:val="clear" w:color="auto" w:fill="auto"/>
            <w:noWrap w:val="0"/>
            <w:vAlign w:val="center"/>
          </w:tcPr>
          <w:p w14:paraId="3F07FE5A">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单休制，工作时间为</w:t>
            </w:r>
            <w:r>
              <w:rPr>
                <w:rFonts w:hint="eastAsia" w:ascii="宋体" w:hAnsi="宋体" w:eastAsia="宋体" w:cs="宋体"/>
                <w:bCs/>
                <w:color w:val="auto"/>
                <w:sz w:val="24"/>
                <w:szCs w:val="24"/>
                <w:highlight w:val="none"/>
              </w:rPr>
              <w:t>8小时</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年龄不超过55周岁。</w:t>
            </w:r>
          </w:p>
        </w:tc>
        <w:tc>
          <w:tcPr>
            <w:tcW w:w="3646" w:type="dxa"/>
            <w:shd w:val="clear" w:color="auto" w:fill="auto"/>
            <w:noWrap w:val="0"/>
            <w:vAlign w:val="center"/>
          </w:tcPr>
          <w:p w14:paraId="2A74BF4E">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bCs/>
                <w:color w:val="auto"/>
                <w:kern w:val="2"/>
                <w:sz w:val="24"/>
                <w:szCs w:val="24"/>
                <w:highlight w:val="none"/>
                <w:lang w:val="en-US" w:eastAsia="zh-CN" w:bidi="ar-SA"/>
              </w:rPr>
            </w:pPr>
          </w:p>
        </w:tc>
      </w:tr>
      <w:tr w14:paraId="389F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56" w:type="dxa"/>
            <w:vMerge w:val="continue"/>
            <w:noWrap w:val="0"/>
            <w:vAlign w:val="center"/>
          </w:tcPr>
          <w:p w14:paraId="4318580E">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Cs/>
                <w:color w:val="auto"/>
                <w:sz w:val="24"/>
                <w:szCs w:val="24"/>
                <w:highlight w:val="none"/>
                <w:lang w:eastAsia="zh-CN"/>
              </w:rPr>
            </w:pPr>
          </w:p>
        </w:tc>
        <w:tc>
          <w:tcPr>
            <w:tcW w:w="1920" w:type="dxa"/>
            <w:shd w:val="clear" w:color="auto" w:fill="auto"/>
            <w:noWrap w:val="0"/>
            <w:vAlign w:val="center"/>
          </w:tcPr>
          <w:p w14:paraId="1ACC4039">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分所保洁员</w:t>
            </w:r>
          </w:p>
        </w:tc>
        <w:tc>
          <w:tcPr>
            <w:tcW w:w="1005" w:type="dxa"/>
            <w:shd w:val="clear" w:color="auto" w:fill="auto"/>
            <w:noWrap w:val="0"/>
            <w:vAlign w:val="center"/>
          </w:tcPr>
          <w:p w14:paraId="432EE499">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6</w:t>
            </w:r>
          </w:p>
        </w:tc>
        <w:tc>
          <w:tcPr>
            <w:tcW w:w="1118" w:type="dxa"/>
            <w:shd w:val="clear" w:color="auto" w:fill="auto"/>
            <w:noWrap w:val="0"/>
            <w:vAlign w:val="center"/>
          </w:tcPr>
          <w:p w14:paraId="086D18EA">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6</w:t>
            </w:r>
          </w:p>
        </w:tc>
        <w:tc>
          <w:tcPr>
            <w:tcW w:w="5724" w:type="dxa"/>
            <w:shd w:val="clear" w:color="auto" w:fill="auto"/>
            <w:noWrap w:val="0"/>
            <w:vAlign w:val="center"/>
          </w:tcPr>
          <w:p w14:paraId="08CA2D98">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单休制，工作时间为</w:t>
            </w:r>
            <w:r>
              <w:rPr>
                <w:rFonts w:hint="eastAsia" w:ascii="宋体" w:hAnsi="宋体" w:eastAsia="宋体" w:cs="宋体"/>
                <w:bCs/>
                <w:color w:val="auto"/>
                <w:sz w:val="24"/>
                <w:szCs w:val="24"/>
                <w:highlight w:val="none"/>
              </w:rPr>
              <w:t>8小时</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年龄不超过55周岁。</w:t>
            </w:r>
          </w:p>
        </w:tc>
        <w:tc>
          <w:tcPr>
            <w:tcW w:w="3646" w:type="dxa"/>
            <w:shd w:val="clear" w:color="auto" w:fill="auto"/>
            <w:noWrap w:val="0"/>
            <w:vAlign w:val="center"/>
          </w:tcPr>
          <w:p w14:paraId="2DFBA3F7">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bCs/>
                <w:color w:val="auto"/>
                <w:kern w:val="2"/>
                <w:sz w:val="24"/>
                <w:szCs w:val="24"/>
                <w:highlight w:val="none"/>
                <w:lang w:val="en-US" w:eastAsia="zh-CN" w:bidi="ar-SA"/>
              </w:rPr>
            </w:pPr>
          </w:p>
        </w:tc>
      </w:tr>
      <w:tr w14:paraId="48AF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556" w:type="dxa"/>
            <w:vMerge w:val="continue"/>
            <w:shd w:val="clear" w:color="auto" w:fill="auto"/>
            <w:noWrap w:val="0"/>
            <w:vAlign w:val="center"/>
          </w:tcPr>
          <w:p w14:paraId="6A3E977B">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Cs/>
                <w:color w:val="auto"/>
                <w:kern w:val="2"/>
                <w:sz w:val="24"/>
                <w:szCs w:val="24"/>
                <w:highlight w:val="none"/>
                <w:lang w:val="en-US" w:eastAsia="zh-CN" w:bidi="ar-SA"/>
              </w:rPr>
            </w:pPr>
          </w:p>
        </w:tc>
        <w:tc>
          <w:tcPr>
            <w:tcW w:w="1920" w:type="dxa"/>
            <w:shd w:val="clear" w:color="auto" w:fill="auto"/>
            <w:noWrap w:val="0"/>
            <w:vAlign w:val="center"/>
          </w:tcPr>
          <w:p w14:paraId="1207C70E">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绿化工</w:t>
            </w:r>
          </w:p>
        </w:tc>
        <w:tc>
          <w:tcPr>
            <w:tcW w:w="1005" w:type="dxa"/>
            <w:shd w:val="clear" w:color="auto" w:fill="auto"/>
            <w:noWrap w:val="0"/>
            <w:vAlign w:val="center"/>
          </w:tcPr>
          <w:p w14:paraId="36AC721F">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p>
        </w:tc>
        <w:tc>
          <w:tcPr>
            <w:tcW w:w="1118" w:type="dxa"/>
            <w:shd w:val="clear" w:color="auto" w:fill="auto"/>
            <w:noWrap w:val="0"/>
            <w:vAlign w:val="center"/>
          </w:tcPr>
          <w:p w14:paraId="2A00C20F">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p>
        </w:tc>
        <w:tc>
          <w:tcPr>
            <w:tcW w:w="5724" w:type="dxa"/>
            <w:shd w:val="clear" w:color="auto" w:fill="auto"/>
            <w:noWrap w:val="0"/>
            <w:vAlign w:val="center"/>
          </w:tcPr>
          <w:p w14:paraId="768C67B2">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单休制，工作时间为</w:t>
            </w:r>
            <w:r>
              <w:rPr>
                <w:rFonts w:hint="eastAsia" w:ascii="宋体" w:hAnsi="宋体" w:eastAsia="宋体" w:cs="宋体"/>
                <w:bCs/>
                <w:color w:val="auto"/>
                <w:sz w:val="24"/>
                <w:szCs w:val="24"/>
                <w:highlight w:val="none"/>
              </w:rPr>
              <w:t>8小时</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年龄不超过55周岁；3年及以上工作经验。</w:t>
            </w:r>
          </w:p>
        </w:tc>
        <w:tc>
          <w:tcPr>
            <w:tcW w:w="3646" w:type="dxa"/>
            <w:shd w:val="clear" w:color="auto" w:fill="auto"/>
            <w:noWrap w:val="0"/>
            <w:vAlign w:val="center"/>
          </w:tcPr>
          <w:p w14:paraId="3FE270B3">
            <w:pPr>
              <w:keepNext w:val="0"/>
              <w:keepLines w:val="0"/>
              <w:pageBreakBefore w:val="0"/>
              <w:widowControl/>
              <w:kinsoku/>
              <w:wordWrap/>
              <w:overflowPunct/>
              <w:topLinePunct w:val="0"/>
              <w:autoSpaceDE/>
              <w:autoSpaceDN/>
              <w:bidi w:val="0"/>
              <w:adjustRightInd w:val="0"/>
              <w:snapToGrid w:val="0"/>
              <w:spacing w:line="240" w:lineRule="auto"/>
              <w:ind w:left="0" w:leftChars="0"/>
              <w:jc w:val="both"/>
              <w:textAlignment w:val="auto"/>
              <w:rPr>
                <w:rFonts w:hint="eastAsia" w:ascii="宋体" w:hAnsi="宋体" w:eastAsia="宋体" w:cs="宋体"/>
                <w:bCs/>
                <w:color w:val="auto"/>
                <w:kern w:val="2"/>
                <w:sz w:val="24"/>
                <w:szCs w:val="24"/>
                <w:highlight w:val="none"/>
                <w:lang w:val="en-US" w:eastAsia="zh-CN" w:bidi="ar-SA"/>
              </w:rPr>
            </w:pPr>
          </w:p>
        </w:tc>
      </w:tr>
      <w:tr w14:paraId="1A51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6" w:type="dxa"/>
            <w:noWrap w:val="0"/>
            <w:vAlign w:val="center"/>
          </w:tcPr>
          <w:p w14:paraId="577BBF3D">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color w:val="auto"/>
                <w:sz w:val="24"/>
                <w:szCs w:val="24"/>
                <w:highlight w:val="none"/>
                <w:lang w:val="en-US" w:eastAsia="zh-CN"/>
              </w:rPr>
              <w:t>工程部</w:t>
            </w:r>
          </w:p>
        </w:tc>
        <w:tc>
          <w:tcPr>
            <w:tcW w:w="1920" w:type="dxa"/>
            <w:noWrap w:val="0"/>
            <w:vAlign w:val="center"/>
          </w:tcPr>
          <w:p w14:paraId="5472DBB2">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维修人员</w:t>
            </w:r>
          </w:p>
        </w:tc>
        <w:tc>
          <w:tcPr>
            <w:tcW w:w="1005" w:type="dxa"/>
            <w:noWrap w:val="0"/>
            <w:vAlign w:val="center"/>
          </w:tcPr>
          <w:p w14:paraId="691465FF">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1118" w:type="dxa"/>
            <w:noWrap w:val="0"/>
            <w:vAlign w:val="center"/>
          </w:tcPr>
          <w:p w14:paraId="75A8D501">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5724" w:type="dxa"/>
            <w:noWrap w:val="0"/>
            <w:vAlign w:val="center"/>
          </w:tcPr>
          <w:p w14:paraId="34BA423C">
            <w:pPr>
              <w:keepNext w:val="0"/>
              <w:keepLines w:val="0"/>
              <w:pageBreakBefore w:val="0"/>
              <w:widowControl/>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单休制，工作时间为</w:t>
            </w:r>
            <w:r>
              <w:rPr>
                <w:rFonts w:hint="eastAsia" w:ascii="宋体" w:hAnsi="宋体" w:eastAsia="宋体" w:cs="宋体"/>
                <w:bCs/>
                <w:color w:val="auto"/>
                <w:sz w:val="24"/>
                <w:szCs w:val="24"/>
                <w:highlight w:val="none"/>
              </w:rPr>
              <w:t>8小时</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持低压电工证书和高压电工证书；专科及以上学历；年龄不超过50周岁；3年及以上相关工作经验。</w:t>
            </w:r>
          </w:p>
        </w:tc>
        <w:tc>
          <w:tcPr>
            <w:tcW w:w="3646" w:type="dxa"/>
            <w:noWrap w:val="0"/>
            <w:vAlign w:val="center"/>
          </w:tcPr>
          <w:p w14:paraId="6E64A736">
            <w:pPr>
              <w:keepNext w:val="0"/>
              <w:keepLines w:val="0"/>
              <w:pageBreakBefore w:val="0"/>
              <w:widowControl/>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Cs/>
                <w:color w:val="auto"/>
                <w:sz w:val="24"/>
                <w:szCs w:val="24"/>
                <w:highlight w:val="none"/>
              </w:rPr>
            </w:pPr>
          </w:p>
        </w:tc>
      </w:tr>
    </w:tbl>
    <w:p w14:paraId="3518FDE1">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u w:val="none"/>
        </w:rPr>
      </w:pPr>
      <w:r>
        <w:rPr>
          <w:rFonts w:hint="eastAsia" w:ascii="宋体" w:hAnsi="宋体" w:eastAsia="宋体" w:cs="宋体"/>
          <w:color w:val="auto"/>
          <w:sz w:val="21"/>
          <w:szCs w:val="21"/>
          <w:highlight w:val="none"/>
          <w:u w:val="none"/>
          <w:lang w:val="en-US" w:eastAsia="zh-CN"/>
        </w:rPr>
        <w:t>注：</w:t>
      </w:r>
      <w:r>
        <w:rPr>
          <w:rFonts w:hint="eastAsia" w:ascii="宋体" w:hAnsi="宋体" w:eastAsia="宋体" w:cs="宋体"/>
          <w:b w:val="0"/>
          <w:bCs/>
          <w:color w:val="auto"/>
          <w:sz w:val="21"/>
          <w:szCs w:val="21"/>
          <w:highlight w:val="none"/>
          <w:u w:val="none"/>
          <w:lang w:val="en-US" w:eastAsia="zh-CN"/>
        </w:rPr>
        <w:t>供应商</w:t>
      </w:r>
      <w:r>
        <w:rPr>
          <w:rFonts w:hint="eastAsia" w:ascii="宋体" w:hAnsi="宋体" w:eastAsia="宋体" w:cs="宋体"/>
          <w:b w:val="0"/>
          <w:bCs/>
          <w:color w:val="auto"/>
          <w:sz w:val="21"/>
          <w:szCs w:val="21"/>
          <w:highlight w:val="none"/>
          <w:u w:val="none"/>
        </w:rPr>
        <w:t>应</w:t>
      </w:r>
      <w:r>
        <w:rPr>
          <w:rFonts w:hint="eastAsia" w:ascii="宋体" w:hAnsi="宋体" w:eastAsia="宋体" w:cs="宋体"/>
          <w:b w:val="0"/>
          <w:bCs/>
          <w:color w:val="auto"/>
          <w:sz w:val="21"/>
          <w:szCs w:val="21"/>
          <w:highlight w:val="none"/>
          <w:u w:val="none"/>
          <w:lang w:eastAsia="zh-CN"/>
        </w:rPr>
        <w:t>当按国家相关法律法规，合理确定服务人员工资标准、</w:t>
      </w:r>
      <w:r>
        <w:rPr>
          <w:rFonts w:hint="eastAsia" w:ascii="宋体" w:hAnsi="宋体" w:eastAsia="宋体" w:cs="宋体"/>
          <w:b w:val="0"/>
          <w:bCs/>
          <w:color w:val="auto"/>
          <w:sz w:val="21"/>
          <w:szCs w:val="21"/>
          <w:highlight w:val="none"/>
          <w:u w:val="none"/>
        </w:rPr>
        <w:t>工作时间</w:t>
      </w:r>
      <w:r>
        <w:rPr>
          <w:rFonts w:hint="eastAsia" w:ascii="宋体" w:hAnsi="宋体" w:eastAsia="宋体" w:cs="宋体"/>
          <w:b w:val="0"/>
          <w:bCs/>
          <w:color w:val="auto"/>
          <w:sz w:val="21"/>
          <w:szCs w:val="21"/>
          <w:highlight w:val="none"/>
          <w:u w:val="none"/>
          <w:lang w:eastAsia="zh-CN"/>
        </w:rPr>
        <w:t>等</w:t>
      </w:r>
      <w:r>
        <w:rPr>
          <w:rFonts w:hint="eastAsia" w:ascii="宋体" w:hAnsi="宋体" w:eastAsia="宋体" w:cs="宋体"/>
          <w:b w:val="0"/>
          <w:bCs/>
          <w:color w:val="auto"/>
          <w:sz w:val="21"/>
          <w:szCs w:val="21"/>
          <w:highlight w:val="none"/>
          <w:u w:val="none"/>
        </w:rPr>
        <w:t>。</w:t>
      </w:r>
    </w:p>
    <w:p w14:paraId="4352539C">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u w:val="none"/>
          <w:lang w:eastAsia="zh-CN"/>
        </w:rPr>
      </w:pPr>
      <w:r>
        <w:rPr>
          <w:rFonts w:hint="eastAsia" w:ascii="宋体" w:hAnsi="宋体" w:eastAsia="宋体" w:cs="宋体"/>
          <w:b w:val="0"/>
          <w:bCs/>
          <w:color w:val="auto"/>
          <w:sz w:val="21"/>
          <w:szCs w:val="21"/>
          <w:highlight w:val="none"/>
          <w:u w:val="none"/>
          <w:lang w:val="en-US" w:eastAsia="zh-CN"/>
        </w:rPr>
        <w:t>供应商应当自行为服务人员办理必需的保险</w:t>
      </w:r>
      <w:r>
        <w:rPr>
          <w:rFonts w:hint="eastAsia" w:ascii="宋体" w:hAnsi="宋体" w:eastAsia="宋体" w:cs="宋体"/>
          <w:b w:val="0"/>
          <w:bCs/>
          <w:color w:val="auto"/>
          <w:sz w:val="21"/>
          <w:szCs w:val="21"/>
          <w:highlight w:val="none"/>
          <w:u w:val="none"/>
          <w:lang w:eastAsia="zh-CN"/>
        </w:rPr>
        <w:t>，有关人员伤亡及第三者责任险均</w:t>
      </w:r>
      <w:r>
        <w:rPr>
          <w:rFonts w:hint="eastAsia" w:ascii="宋体" w:hAnsi="宋体" w:eastAsia="宋体" w:cs="宋体"/>
          <w:b w:val="0"/>
          <w:bCs/>
          <w:color w:val="auto"/>
          <w:sz w:val="21"/>
          <w:szCs w:val="21"/>
          <w:highlight w:val="none"/>
          <w:u w:val="none"/>
          <w:lang w:val="en-US" w:eastAsia="zh-CN"/>
        </w:rPr>
        <w:t>应当</w:t>
      </w:r>
      <w:r>
        <w:rPr>
          <w:rFonts w:hint="eastAsia" w:ascii="宋体" w:hAnsi="宋体" w:eastAsia="宋体" w:cs="宋体"/>
          <w:b w:val="0"/>
          <w:bCs/>
          <w:color w:val="auto"/>
          <w:sz w:val="21"/>
          <w:szCs w:val="21"/>
          <w:highlight w:val="none"/>
          <w:u w:val="none"/>
          <w:lang w:eastAsia="zh-CN"/>
        </w:rPr>
        <w:t>考虑在报价因素中。</w:t>
      </w:r>
    </w:p>
    <w:p w14:paraId="3DE7958B">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供应商应严格按照上表需求提供符合条件的服务人员，满足采购人所列的重点要求，确保人员能够完成工作内容。</w:t>
      </w:r>
    </w:p>
    <w:p w14:paraId="4B415EA7">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color w:val="auto"/>
          <w:sz w:val="21"/>
          <w:szCs w:val="21"/>
          <w:highlight w:val="none"/>
          <w:u w:val="none"/>
          <w:lang w:val="en-US" w:eastAsia="zh-CN"/>
        </w:rPr>
        <w:t>以上所有岗位的设置及费用，需满足采购人工作日、双休日、节假日的全部工作任务，供应商自行合理安排员工休息时间，如产生替班加班情况，均由供应商自行承担相应费用。</w:t>
      </w:r>
    </w:p>
    <w:p w14:paraId="53229F00">
      <w:pPr>
        <w:tabs>
          <w:tab w:val="left" w:pos="2340"/>
        </w:tabs>
        <w:rPr>
          <w:rFonts w:hint="eastAsia" w:ascii="黑体" w:hAnsi="宋体" w:eastAsia="黑体"/>
          <w:b/>
          <w:color w:val="auto"/>
          <w:sz w:val="24"/>
          <w:highlight w:val="none"/>
          <w:lang w:eastAsia="zh-CN"/>
        </w:rPr>
        <w:sectPr>
          <w:pgSz w:w="16840" w:h="11907" w:orient="landscape"/>
          <w:pgMar w:top="1814" w:right="1474" w:bottom="1814" w:left="1474" w:header="1191" w:footer="1332" w:gutter="0"/>
          <w:pgBorders>
            <w:top w:val="none" w:sz="0" w:space="0"/>
            <w:left w:val="none" w:sz="0" w:space="0"/>
            <w:bottom w:val="none" w:sz="0" w:space="0"/>
            <w:right w:val="none" w:sz="0" w:space="0"/>
          </w:pgBorders>
          <w:cols w:space="720" w:num="1"/>
        </w:sectPr>
      </w:pPr>
    </w:p>
    <w:p w14:paraId="2F096C6E">
      <w:pPr>
        <w:pageBreakBefore w:val="0"/>
        <w:widowControl w:val="0"/>
        <w:numPr>
          <w:ilvl w:val="0"/>
          <w:numId w:val="11"/>
        </w:numPr>
        <w:tabs>
          <w:tab w:val="left" w:pos="2340"/>
        </w:tabs>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服务最低要求</w:t>
      </w:r>
    </w:p>
    <w:p w14:paraId="651F86F3">
      <w:pPr>
        <w:keepNext/>
        <w:keepLines/>
        <w:pageBreakBefore w:val="0"/>
        <w:widowControl w:val="0"/>
        <w:tabs>
          <w:tab w:val="left" w:pos="900"/>
        </w:tabs>
        <w:kinsoku/>
        <w:wordWrap/>
        <w:overflowPunct/>
        <w:topLinePunct w:val="0"/>
        <w:autoSpaceDE/>
        <w:autoSpaceDN/>
        <w:bidi w:val="0"/>
        <w:adjustRightInd w:val="0"/>
        <w:snapToGrid w:val="0"/>
        <w:spacing w:before="0" w:after="0" w:line="360" w:lineRule="auto"/>
        <w:ind w:left="0" w:leftChars="0" w:firstLine="241" w:firstLineChars="100"/>
        <w:jc w:val="both"/>
        <w:textAlignment w:val="auto"/>
        <w:outlineLvl w:val="2"/>
        <w:rPr>
          <w:rFonts w:hint="eastAsia" w:ascii="Times New Roman" w:hAnsi="Times New Roman" w:eastAsia="宋体" w:cs="Times New Roman"/>
          <w:b/>
          <w:bCs/>
          <w:color w:val="auto"/>
          <w:kern w:val="2"/>
          <w:sz w:val="32"/>
          <w:szCs w:val="32"/>
          <w:highlight w:val="none"/>
          <w:lang w:val="en-US" w:eastAsia="zh-CN" w:bidi="ar-SA"/>
        </w:rPr>
      </w:pPr>
      <w:r>
        <w:rPr>
          <w:rFonts w:hint="eastAsia" w:ascii="宋体" w:hAnsi="宋体" w:eastAsia="宋体" w:cs="宋体"/>
          <w:b/>
          <w:bCs/>
          <w:color w:val="auto"/>
          <w:kern w:val="2"/>
          <w:sz w:val="24"/>
          <w:szCs w:val="24"/>
          <w:highlight w:val="none"/>
          <w:lang w:val="en-US" w:eastAsia="zh-CN" w:bidi="ar-SA"/>
        </w:rPr>
        <w:t>4.</w:t>
      </w:r>
      <w:r>
        <w:rPr>
          <w:rFonts w:hint="eastAsia" w:ascii="宋体" w:hAnsi="宋体" w:eastAsia="宋体" w:cs="宋体"/>
          <w:b/>
          <w:bCs/>
          <w:color w:val="auto"/>
          <w:kern w:val="2"/>
          <w:sz w:val="24"/>
          <w:szCs w:val="24"/>
          <w:highlight w:val="none"/>
          <w:lang w:val="en-US" w:eastAsia="zh-CN" w:bidi="ar"/>
        </w:rPr>
        <w:t>1基本服务</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681"/>
        <w:gridCol w:w="6864"/>
      </w:tblGrid>
      <w:tr w14:paraId="0FA1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noWrap w:val="0"/>
            <w:vAlign w:val="center"/>
          </w:tcPr>
          <w:p w14:paraId="30D72365">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bCs/>
                <w:color w:val="auto"/>
                <w:kern w:val="0"/>
                <w:sz w:val="21"/>
                <w:szCs w:val="21"/>
                <w:highlight w:val="none"/>
                <w:lang w:val="en-US" w:eastAsia="zh-CN"/>
              </w:rPr>
            </w:pPr>
            <w:bookmarkStart w:id="27" w:name="_Toc10498"/>
            <w:bookmarkStart w:id="28" w:name="_Toc26156"/>
            <w:bookmarkStart w:id="29" w:name="_Toc26485"/>
            <w:r>
              <w:rPr>
                <w:rFonts w:hint="eastAsia" w:ascii="宋体" w:hAnsi="宋体" w:eastAsia="宋体" w:cs="宋体"/>
                <w:b/>
                <w:bCs/>
                <w:color w:val="auto"/>
                <w:kern w:val="0"/>
                <w:sz w:val="21"/>
                <w:szCs w:val="21"/>
                <w:highlight w:val="none"/>
                <w:lang w:val="en-US" w:eastAsia="zh-CN"/>
              </w:rPr>
              <w:t>序号</w:t>
            </w:r>
          </w:p>
        </w:tc>
        <w:tc>
          <w:tcPr>
            <w:tcW w:w="1538" w:type="dxa"/>
            <w:noWrap w:val="0"/>
            <w:vAlign w:val="center"/>
          </w:tcPr>
          <w:p w14:paraId="0B4ADC3A">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服务内容</w:t>
            </w:r>
          </w:p>
        </w:tc>
        <w:tc>
          <w:tcPr>
            <w:tcW w:w="6278" w:type="dxa"/>
            <w:noWrap w:val="0"/>
            <w:vAlign w:val="center"/>
          </w:tcPr>
          <w:p w14:paraId="5A57AB01">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服务标准</w:t>
            </w:r>
          </w:p>
        </w:tc>
      </w:tr>
      <w:tr w14:paraId="6B9CC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restart"/>
            <w:noWrap w:val="0"/>
            <w:vAlign w:val="center"/>
          </w:tcPr>
          <w:p w14:paraId="03868B7A">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538" w:type="dxa"/>
            <w:vMerge w:val="restart"/>
            <w:noWrap w:val="0"/>
            <w:vAlign w:val="center"/>
          </w:tcPr>
          <w:p w14:paraId="2576A8C5">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服务人员要求</w:t>
            </w:r>
          </w:p>
        </w:tc>
        <w:tc>
          <w:tcPr>
            <w:tcW w:w="6278" w:type="dxa"/>
            <w:noWrap w:val="0"/>
            <w:vAlign w:val="center"/>
          </w:tcPr>
          <w:p w14:paraId="4E531D73">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（1）实行统一着装、统一管理。所有服务人员要求着装挂牌上岗，所有工作人员必须着统一成套制服（经采购人确认），服务热心、热情、用语规范、文明工作。</w:t>
            </w:r>
          </w:p>
        </w:tc>
      </w:tr>
      <w:tr w14:paraId="0FFE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noWrap w:val="0"/>
            <w:vAlign w:val="center"/>
          </w:tcPr>
          <w:p w14:paraId="4640C596">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1538" w:type="dxa"/>
            <w:vMerge w:val="continue"/>
            <w:noWrap w:val="0"/>
            <w:vAlign w:val="center"/>
          </w:tcPr>
          <w:p w14:paraId="1E57E2E6">
            <w:pPr>
              <w:keepNext w:val="0"/>
              <w:keepLines w:val="0"/>
              <w:pageBreakBefore w:val="0"/>
              <w:kinsoku/>
              <w:wordWrap/>
              <w:overflowPunct/>
              <w:topLinePunct w:val="0"/>
              <w:autoSpaceDE/>
              <w:autoSpaceDN/>
              <w:bidi w:val="0"/>
              <w:snapToGrid w:val="0"/>
              <w:spacing w:line="240" w:lineRule="auto"/>
              <w:jc w:val="both"/>
              <w:textAlignment w:val="auto"/>
              <w:rPr>
                <w:rFonts w:hint="eastAsia" w:ascii="宋体" w:hAnsi="宋体" w:eastAsia="宋体" w:cs="宋体"/>
                <w:color w:val="auto"/>
                <w:sz w:val="21"/>
                <w:szCs w:val="21"/>
                <w:highlight w:val="none"/>
                <w:lang w:val="en-US" w:eastAsia="zh-CN"/>
              </w:rPr>
            </w:pPr>
          </w:p>
        </w:tc>
        <w:tc>
          <w:tcPr>
            <w:tcW w:w="6278" w:type="dxa"/>
            <w:noWrap w:val="0"/>
            <w:vAlign w:val="center"/>
          </w:tcPr>
          <w:p w14:paraId="03DF310B">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（2）根据采购人工作要求，科学设置岗位分工，合理编制工作任务表，工作人员不得迟到早退。</w:t>
            </w:r>
          </w:p>
        </w:tc>
      </w:tr>
      <w:tr w14:paraId="17ABF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noWrap w:val="0"/>
            <w:vAlign w:val="center"/>
          </w:tcPr>
          <w:p w14:paraId="48364152">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1538" w:type="dxa"/>
            <w:vMerge w:val="continue"/>
            <w:noWrap w:val="0"/>
            <w:vAlign w:val="center"/>
          </w:tcPr>
          <w:p w14:paraId="2AC1D90F">
            <w:pPr>
              <w:keepNext w:val="0"/>
              <w:keepLines w:val="0"/>
              <w:pageBreakBefore w:val="0"/>
              <w:kinsoku/>
              <w:wordWrap/>
              <w:overflowPunct/>
              <w:topLinePunct w:val="0"/>
              <w:autoSpaceDE/>
              <w:autoSpaceDN/>
              <w:bidi w:val="0"/>
              <w:snapToGrid w:val="0"/>
              <w:spacing w:line="240" w:lineRule="auto"/>
              <w:jc w:val="both"/>
              <w:textAlignment w:val="auto"/>
              <w:rPr>
                <w:rFonts w:hint="eastAsia" w:ascii="宋体" w:hAnsi="宋体" w:eastAsia="宋体" w:cs="宋体"/>
                <w:color w:val="auto"/>
                <w:sz w:val="21"/>
                <w:szCs w:val="21"/>
                <w:highlight w:val="none"/>
                <w:lang w:val="en-US" w:eastAsia="zh-CN"/>
              </w:rPr>
            </w:pPr>
          </w:p>
        </w:tc>
        <w:tc>
          <w:tcPr>
            <w:tcW w:w="6278" w:type="dxa"/>
            <w:noWrap w:val="0"/>
            <w:vAlign w:val="center"/>
          </w:tcPr>
          <w:p w14:paraId="4A9E5C3F">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（3）如非在岗时间遇特殊情况的，需接到任务后30分钟内集结完毕。</w:t>
            </w:r>
          </w:p>
        </w:tc>
      </w:tr>
      <w:tr w14:paraId="18BF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noWrap w:val="0"/>
            <w:vAlign w:val="center"/>
          </w:tcPr>
          <w:p w14:paraId="3C141FEC">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1538" w:type="dxa"/>
            <w:vMerge w:val="continue"/>
            <w:noWrap w:val="0"/>
            <w:vAlign w:val="center"/>
          </w:tcPr>
          <w:p w14:paraId="7E3BFBC1">
            <w:pPr>
              <w:keepNext w:val="0"/>
              <w:keepLines w:val="0"/>
              <w:pageBreakBefore w:val="0"/>
              <w:kinsoku/>
              <w:wordWrap/>
              <w:overflowPunct/>
              <w:topLinePunct w:val="0"/>
              <w:autoSpaceDE/>
              <w:autoSpaceDN/>
              <w:bidi w:val="0"/>
              <w:snapToGrid w:val="0"/>
              <w:spacing w:line="240" w:lineRule="auto"/>
              <w:jc w:val="both"/>
              <w:textAlignment w:val="auto"/>
              <w:rPr>
                <w:rFonts w:hint="eastAsia" w:ascii="宋体" w:hAnsi="宋体" w:eastAsia="宋体" w:cs="宋体"/>
                <w:color w:val="auto"/>
                <w:sz w:val="21"/>
                <w:szCs w:val="21"/>
                <w:highlight w:val="none"/>
                <w:lang w:val="en-US" w:eastAsia="zh-CN"/>
              </w:rPr>
            </w:pPr>
          </w:p>
        </w:tc>
        <w:tc>
          <w:tcPr>
            <w:tcW w:w="6278" w:type="dxa"/>
            <w:noWrap w:val="0"/>
            <w:vAlign w:val="center"/>
          </w:tcPr>
          <w:p w14:paraId="4D6ECF95">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w:t>
            </w:r>
            <w:r>
              <w:rPr>
                <w:rFonts w:hint="eastAsia" w:ascii="宋体" w:hAnsi="宋体" w:eastAsia="宋体" w:cs="宋体"/>
                <w:bCs/>
                <w:color w:val="auto"/>
                <w:sz w:val="21"/>
                <w:szCs w:val="21"/>
                <w:highlight w:val="none"/>
                <w:lang w:val="en-US" w:eastAsia="zh-CN"/>
              </w:rPr>
              <w:t>如采购人认为服务人员不适应岗位要求或存在其他影响工作的，可要求供应商进行调换。如因供应商原因对服务人员进行调换，应当经采购人同意，更换比例不得超过本项目服务人员总数的20%，更换人员需在3个工作日内更换到位。</w:t>
            </w:r>
            <w:r>
              <w:rPr>
                <w:rFonts w:hint="eastAsia" w:ascii="宋体" w:hAnsi="宋体" w:eastAsia="宋体" w:cs="宋体"/>
                <w:b/>
                <w:bCs w:val="0"/>
                <w:color w:val="auto"/>
                <w:sz w:val="21"/>
                <w:szCs w:val="21"/>
                <w:highlight w:val="none"/>
                <w:lang w:val="en-US" w:eastAsia="zh-CN"/>
              </w:rPr>
              <w:t>本项目服务人员不得在其他项目兼职。</w:t>
            </w:r>
          </w:p>
        </w:tc>
      </w:tr>
      <w:tr w14:paraId="175E7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noWrap w:val="0"/>
            <w:vAlign w:val="center"/>
          </w:tcPr>
          <w:p w14:paraId="629F560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1538" w:type="dxa"/>
            <w:vMerge w:val="continue"/>
            <w:noWrap w:val="0"/>
            <w:vAlign w:val="center"/>
          </w:tcPr>
          <w:p w14:paraId="584524E2">
            <w:pPr>
              <w:keepNext w:val="0"/>
              <w:keepLines w:val="0"/>
              <w:pageBreakBefore w:val="0"/>
              <w:kinsoku/>
              <w:wordWrap/>
              <w:overflowPunct/>
              <w:topLinePunct w:val="0"/>
              <w:autoSpaceDE/>
              <w:autoSpaceDN/>
              <w:bidi w:val="0"/>
              <w:snapToGrid w:val="0"/>
              <w:spacing w:line="240" w:lineRule="auto"/>
              <w:jc w:val="both"/>
              <w:textAlignment w:val="auto"/>
              <w:rPr>
                <w:rFonts w:hint="eastAsia" w:ascii="宋体" w:hAnsi="宋体" w:eastAsia="宋体" w:cs="宋体"/>
                <w:color w:val="auto"/>
                <w:sz w:val="21"/>
                <w:szCs w:val="21"/>
                <w:highlight w:val="none"/>
                <w:lang w:val="en-US" w:eastAsia="zh-CN"/>
              </w:rPr>
            </w:pPr>
          </w:p>
        </w:tc>
        <w:tc>
          <w:tcPr>
            <w:tcW w:w="6278" w:type="dxa"/>
            <w:noWrap w:val="0"/>
            <w:vAlign w:val="center"/>
          </w:tcPr>
          <w:p w14:paraId="1E31E873">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（5）服务人员在派驻场所不得从事有损采购人利益的活动。</w:t>
            </w:r>
          </w:p>
        </w:tc>
      </w:tr>
      <w:tr w14:paraId="182C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restart"/>
            <w:noWrap w:val="0"/>
            <w:vAlign w:val="center"/>
          </w:tcPr>
          <w:p w14:paraId="149ACCF6">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538" w:type="dxa"/>
            <w:vMerge w:val="restart"/>
            <w:noWrap w:val="0"/>
            <w:vAlign w:val="center"/>
          </w:tcPr>
          <w:p w14:paraId="5E97D674">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保密和思想政治教育</w:t>
            </w:r>
          </w:p>
        </w:tc>
        <w:tc>
          <w:tcPr>
            <w:tcW w:w="6278" w:type="dxa"/>
            <w:noWrap w:val="0"/>
            <w:vAlign w:val="center"/>
          </w:tcPr>
          <w:p w14:paraId="4CBD429F">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（1）建立保密管理制度。制度内容应当包括但不限于：①明确重点要害岗位保密职责。②对涉密工作岗位的保密要求。</w:t>
            </w:r>
          </w:p>
        </w:tc>
      </w:tr>
      <w:tr w14:paraId="505C1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noWrap w:val="0"/>
            <w:vAlign w:val="center"/>
          </w:tcPr>
          <w:p w14:paraId="7657F89E">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1538" w:type="dxa"/>
            <w:vMerge w:val="continue"/>
            <w:noWrap w:val="0"/>
            <w:vAlign w:val="center"/>
          </w:tcPr>
          <w:p w14:paraId="108BFDF4">
            <w:pPr>
              <w:keepNext w:val="0"/>
              <w:keepLines w:val="0"/>
              <w:pageBreakBefore w:val="0"/>
              <w:kinsoku/>
              <w:wordWrap/>
              <w:overflowPunct/>
              <w:topLinePunct w:val="0"/>
              <w:autoSpaceDE/>
              <w:autoSpaceDN/>
              <w:bidi w:val="0"/>
              <w:snapToGrid w:val="0"/>
              <w:spacing w:line="240" w:lineRule="auto"/>
              <w:jc w:val="both"/>
              <w:textAlignment w:val="auto"/>
              <w:rPr>
                <w:rFonts w:hint="eastAsia" w:ascii="宋体" w:hAnsi="宋体" w:eastAsia="宋体" w:cs="宋体"/>
                <w:color w:val="auto"/>
                <w:sz w:val="21"/>
                <w:szCs w:val="21"/>
                <w:highlight w:val="none"/>
                <w:lang w:val="en-US" w:eastAsia="zh-CN"/>
              </w:rPr>
            </w:pPr>
          </w:p>
        </w:tc>
        <w:tc>
          <w:tcPr>
            <w:tcW w:w="6278" w:type="dxa"/>
            <w:noWrap w:val="0"/>
            <w:vAlign w:val="center"/>
          </w:tcPr>
          <w:p w14:paraId="6916B360">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（2）根据采购人要求与涉密工作岗位的服务人员签订保密协议。保密协议应当向采购人报备。</w:t>
            </w:r>
          </w:p>
        </w:tc>
      </w:tr>
      <w:tr w14:paraId="2803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noWrap w:val="0"/>
            <w:vAlign w:val="center"/>
          </w:tcPr>
          <w:p w14:paraId="2780A774">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1538" w:type="dxa"/>
            <w:vMerge w:val="continue"/>
            <w:noWrap w:val="0"/>
            <w:vAlign w:val="center"/>
          </w:tcPr>
          <w:p w14:paraId="38860617">
            <w:pPr>
              <w:keepNext w:val="0"/>
              <w:keepLines w:val="0"/>
              <w:pageBreakBefore w:val="0"/>
              <w:kinsoku/>
              <w:wordWrap/>
              <w:overflowPunct/>
              <w:topLinePunct w:val="0"/>
              <w:autoSpaceDE/>
              <w:autoSpaceDN/>
              <w:bidi w:val="0"/>
              <w:snapToGrid w:val="0"/>
              <w:spacing w:line="240" w:lineRule="auto"/>
              <w:jc w:val="both"/>
              <w:textAlignment w:val="auto"/>
              <w:rPr>
                <w:rFonts w:hint="eastAsia" w:ascii="宋体" w:hAnsi="宋体" w:eastAsia="宋体" w:cs="宋体"/>
                <w:color w:val="auto"/>
                <w:sz w:val="21"/>
                <w:szCs w:val="21"/>
                <w:highlight w:val="none"/>
                <w:lang w:val="en-US" w:eastAsia="zh-CN"/>
              </w:rPr>
            </w:pPr>
          </w:p>
        </w:tc>
        <w:tc>
          <w:tcPr>
            <w:tcW w:w="6278" w:type="dxa"/>
            <w:noWrap w:val="0"/>
            <w:vAlign w:val="center"/>
          </w:tcPr>
          <w:p w14:paraId="11BF096F">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每季度至少开展1次对服务人员进行保密、思想政治教育的培训，提高服务人员保密意识和思想政治意识。新入职员工应当接受保密、思想政治教育培训，进行必要的人员经历审查，合格后签订保密协议方可上岗。</w:t>
            </w:r>
          </w:p>
        </w:tc>
      </w:tr>
      <w:tr w14:paraId="21A6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noWrap w:val="0"/>
            <w:vAlign w:val="center"/>
          </w:tcPr>
          <w:p w14:paraId="56B52C01">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1538" w:type="dxa"/>
            <w:vMerge w:val="continue"/>
            <w:noWrap w:val="0"/>
            <w:vAlign w:val="center"/>
          </w:tcPr>
          <w:p w14:paraId="42B57ECB">
            <w:pPr>
              <w:keepNext w:val="0"/>
              <w:keepLines w:val="0"/>
              <w:pageBreakBefore w:val="0"/>
              <w:kinsoku/>
              <w:wordWrap/>
              <w:overflowPunct/>
              <w:topLinePunct w:val="0"/>
              <w:autoSpaceDE/>
              <w:autoSpaceDN/>
              <w:bidi w:val="0"/>
              <w:snapToGrid w:val="0"/>
              <w:spacing w:line="240" w:lineRule="auto"/>
              <w:jc w:val="both"/>
              <w:textAlignment w:val="auto"/>
              <w:rPr>
                <w:rFonts w:hint="eastAsia" w:ascii="宋体" w:hAnsi="宋体" w:eastAsia="宋体" w:cs="宋体"/>
                <w:color w:val="auto"/>
                <w:sz w:val="21"/>
                <w:szCs w:val="21"/>
                <w:highlight w:val="none"/>
                <w:lang w:val="en-US" w:eastAsia="zh-CN"/>
              </w:rPr>
            </w:pPr>
          </w:p>
        </w:tc>
        <w:tc>
          <w:tcPr>
            <w:tcW w:w="6278" w:type="dxa"/>
            <w:noWrap w:val="0"/>
            <w:vAlign w:val="center"/>
          </w:tcPr>
          <w:p w14:paraId="2B7FBE5B">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（4）发现服务人员违法违规或重大过失，及时报告采购人，并采取必要补救措施。</w:t>
            </w:r>
          </w:p>
        </w:tc>
      </w:tr>
      <w:tr w14:paraId="0D9D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restart"/>
            <w:noWrap w:val="0"/>
            <w:vAlign w:val="center"/>
          </w:tcPr>
          <w:p w14:paraId="1C76F7A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38" w:type="dxa"/>
            <w:vMerge w:val="restart"/>
            <w:noWrap w:val="0"/>
            <w:vAlign w:val="center"/>
          </w:tcPr>
          <w:p w14:paraId="098F93C7">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档案管理</w:t>
            </w:r>
          </w:p>
        </w:tc>
        <w:tc>
          <w:tcPr>
            <w:tcW w:w="6278" w:type="dxa"/>
            <w:noWrap w:val="0"/>
            <w:vAlign w:val="center"/>
          </w:tcPr>
          <w:p w14:paraId="330B82FC">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（1）建立物业信息，准确、及时地对文件资料和服务记录进行归档保存，并确保其物理安全。</w:t>
            </w:r>
          </w:p>
        </w:tc>
      </w:tr>
      <w:tr w14:paraId="486EE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noWrap w:val="0"/>
            <w:vAlign w:val="center"/>
          </w:tcPr>
          <w:p w14:paraId="27A5C4B7">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1538" w:type="dxa"/>
            <w:vMerge w:val="continue"/>
            <w:noWrap w:val="0"/>
            <w:vAlign w:val="center"/>
          </w:tcPr>
          <w:p w14:paraId="554848BF">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p>
        </w:tc>
        <w:tc>
          <w:tcPr>
            <w:tcW w:w="6278" w:type="dxa"/>
            <w:noWrap w:val="0"/>
            <w:vAlign w:val="center"/>
          </w:tcPr>
          <w:p w14:paraId="55265C3C">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档案和记录齐全，包括但不限于：①采购人建议与投诉等。教育培训和考核记录。保密、思想政治教育培训记录。②房屋维护服务：房屋台账、使用说明、房屋装修、维保记录等。③公用设施设备维护服务：设备台账、设备卡、使用说明、维保记录、巡查记录、</w:t>
            </w:r>
            <w:r>
              <w:rPr>
                <w:rFonts w:hint="eastAsia" w:ascii="宋体" w:hAnsi="宋体" w:eastAsia="宋体" w:cs="宋体"/>
                <w:color w:val="auto"/>
                <w:kern w:val="0"/>
                <w:sz w:val="21"/>
                <w:szCs w:val="21"/>
                <w:highlight w:val="none"/>
              </w:rPr>
              <w:t>设施设备安全运行、设施设备定期巡检、维护保养、维修档案</w:t>
            </w:r>
            <w:r>
              <w:rPr>
                <w:rFonts w:hint="eastAsia" w:ascii="宋体" w:hAnsi="宋体" w:eastAsia="宋体" w:cs="宋体"/>
                <w:b w:val="0"/>
                <w:bCs w:val="0"/>
                <w:color w:val="auto"/>
                <w:kern w:val="0"/>
                <w:sz w:val="21"/>
                <w:szCs w:val="21"/>
                <w:highlight w:val="none"/>
                <w:lang w:val="en-US" w:eastAsia="zh-CN"/>
              </w:rPr>
              <w:t>等。④保安服务：监控记录、突发事件演习与处置记录等。⑤保洁服务：工作日志、清洁检查表、用品清单、客户反馈表等。⑥绿化服务：绿化总平面图、清洁整改记录、消杀记录等。⑦其他：客户信息、财务明细、合同协议、信报信息登记、大件物品进出登记等。</w:t>
            </w:r>
          </w:p>
        </w:tc>
      </w:tr>
      <w:tr w14:paraId="1F29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noWrap w:val="0"/>
            <w:vAlign w:val="center"/>
          </w:tcPr>
          <w:p w14:paraId="72063EB5">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jc w:val="center"/>
              <w:textAlignment w:val="auto"/>
              <w:rPr>
                <w:rFonts w:hint="eastAsia" w:ascii="宋体" w:hAnsi="宋体" w:eastAsia="宋体" w:cs="宋体"/>
                <w:color w:val="auto"/>
                <w:sz w:val="21"/>
                <w:szCs w:val="21"/>
                <w:highlight w:val="none"/>
                <w:lang w:val="en-US" w:eastAsia="zh-CN"/>
              </w:rPr>
            </w:pPr>
          </w:p>
        </w:tc>
        <w:tc>
          <w:tcPr>
            <w:tcW w:w="1538" w:type="dxa"/>
            <w:vMerge w:val="continue"/>
            <w:noWrap w:val="0"/>
            <w:vAlign w:val="center"/>
          </w:tcPr>
          <w:p w14:paraId="2FFB792D">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jc w:val="both"/>
              <w:textAlignment w:val="auto"/>
              <w:rPr>
                <w:rFonts w:hint="eastAsia" w:ascii="宋体" w:hAnsi="宋体" w:eastAsia="宋体" w:cs="宋体"/>
                <w:color w:val="auto"/>
                <w:sz w:val="21"/>
                <w:szCs w:val="21"/>
                <w:highlight w:val="none"/>
                <w:lang w:val="en-US" w:eastAsia="zh-CN"/>
              </w:rPr>
            </w:pPr>
          </w:p>
        </w:tc>
        <w:tc>
          <w:tcPr>
            <w:tcW w:w="6278" w:type="dxa"/>
            <w:noWrap w:val="0"/>
            <w:vAlign w:val="center"/>
          </w:tcPr>
          <w:p w14:paraId="02518AC3">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（3）遵守采购人的信息、档案资料保密要求，未经许可，不得将建筑物平面图等资料转作其他用途或向其他单位、个人提供。</w:t>
            </w:r>
          </w:p>
        </w:tc>
      </w:tr>
      <w:tr w14:paraId="7478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noWrap w:val="0"/>
            <w:vAlign w:val="center"/>
          </w:tcPr>
          <w:p w14:paraId="0F489269">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jc w:val="center"/>
              <w:textAlignment w:val="auto"/>
              <w:rPr>
                <w:rFonts w:hint="eastAsia" w:ascii="宋体" w:hAnsi="宋体" w:eastAsia="宋体" w:cs="宋体"/>
                <w:color w:val="auto"/>
                <w:sz w:val="21"/>
                <w:szCs w:val="21"/>
                <w:highlight w:val="none"/>
                <w:lang w:val="en-US" w:eastAsia="zh-CN"/>
              </w:rPr>
            </w:pPr>
          </w:p>
        </w:tc>
        <w:tc>
          <w:tcPr>
            <w:tcW w:w="1538" w:type="dxa"/>
            <w:vMerge w:val="continue"/>
            <w:noWrap w:val="0"/>
            <w:vAlign w:val="center"/>
          </w:tcPr>
          <w:p w14:paraId="6EF9C628">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jc w:val="both"/>
              <w:textAlignment w:val="auto"/>
              <w:rPr>
                <w:rFonts w:hint="eastAsia" w:ascii="宋体" w:hAnsi="宋体" w:eastAsia="宋体" w:cs="宋体"/>
                <w:color w:val="auto"/>
                <w:sz w:val="21"/>
                <w:szCs w:val="21"/>
                <w:highlight w:val="none"/>
                <w:lang w:val="en-US" w:eastAsia="zh-CN"/>
              </w:rPr>
            </w:pPr>
          </w:p>
        </w:tc>
        <w:tc>
          <w:tcPr>
            <w:tcW w:w="6278" w:type="dxa"/>
            <w:noWrap w:val="0"/>
            <w:vAlign w:val="center"/>
          </w:tcPr>
          <w:p w14:paraId="4379A2B0">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（4）履约结束后，相关资料交还采购人，采购人按政府采购相关规定存档。</w:t>
            </w:r>
          </w:p>
        </w:tc>
      </w:tr>
      <w:tr w14:paraId="4720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restart"/>
            <w:noWrap w:val="0"/>
            <w:vAlign w:val="center"/>
          </w:tcPr>
          <w:p w14:paraId="53EEB3EF">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38" w:type="dxa"/>
            <w:vMerge w:val="restart"/>
            <w:noWrap w:val="0"/>
            <w:vAlign w:val="center"/>
          </w:tcPr>
          <w:p w14:paraId="6D119F11">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分包供应商或联合体成员管理</w:t>
            </w:r>
          </w:p>
          <w:p w14:paraId="313E1F12">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涉及分包</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lang w:val="en-US" w:eastAsia="zh-CN"/>
              </w:rPr>
              <w:t>以联合体投标的供应商需提供</w:t>
            </w:r>
          </w:p>
        </w:tc>
        <w:tc>
          <w:tcPr>
            <w:tcW w:w="6278" w:type="dxa"/>
            <w:noWrap w:val="0"/>
            <w:vAlign w:val="center"/>
          </w:tcPr>
          <w:p w14:paraId="309821ED">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（1）合理控制外包服务人员数量和流动率（合理开展联合体成员的履约管理）。</w:t>
            </w:r>
          </w:p>
        </w:tc>
      </w:tr>
      <w:tr w14:paraId="7084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noWrap w:val="0"/>
            <w:vAlign w:val="center"/>
          </w:tcPr>
          <w:p w14:paraId="31714C11">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jc w:val="center"/>
              <w:textAlignment w:val="auto"/>
              <w:rPr>
                <w:rFonts w:hint="eastAsia" w:ascii="宋体" w:hAnsi="宋体" w:eastAsia="宋体" w:cs="宋体"/>
                <w:color w:val="auto"/>
                <w:sz w:val="21"/>
                <w:szCs w:val="21"/>
                <w:highlight w:val="none"/>
                <w:lang w:val="en-US" w:eastAsia="zh-CN"/>
              </w:rPr>
            </w:pPr>
          </w:p>
        </w:tc>
        <w:tc>
          <w:tcPr>
            <w:tcW w:w="1538" w:type="dxa"/>
            <w:vMerge w:val="continue"/>
            <w:noWrap w:val="0"/>
            <w:vAlign w:val="center"/>
          </w:tcPr>
          <w:p w14:paraId="3369C7F4">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jc w:val="both"/>
              <w:textAlignment w:val="auto"/>
              <w:rPr>
                <w:rFonts w:hint="eastAsia" w:ascii="宋体" w:hAnsi="宋体" w:eastAsia="宋体" w:cs="宋体"/>
                <w:color w:val="auto"/>
                <w:sz w:val="21"/>
                <w:szCs w:val="21"/>
                <w:highlight w:val="none"/>
                <w:lang w:val="en-US" w:eastAsia="zh-CN"/>
              </w:rPr>
            </w:pPr>
          </w:p>
        </w:tc>
        <w:tc>
          <w:tcPr>
            <w:tcW w:w="6278" w:type="dxa"/>
            <w:noWrap w:val="0"/>
            <w:vAlign w:val="center"/>
          </w:tcPr>
          <w:p w14:paraId="65A1F21A">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（2）根据采购人要求明确对分包供应商的要求，确定工作流程。（联合体牵头单位应明确对联合体成员的要求，确定每个联合体成员的工作流程）</w:t>
            </w:r>
          </w:p>
        </w:tc>
      </w:tr>
      <w:tr w14:paraId="2433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noWrap w:val="0"/>
            <w:vAlign w:val="center"/>
          </w:tcPr>
          <w:p w14:paraId="03AD560C">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jc w:val="center"/>
              <w:textAlignment w:val="auto"/>
              <w:rPr>
                <w:rFonts w:hint="eastAsia" w:ascii="宋体" w:hAnsi="宋体" w:eastAsia="宋体" w:cs="宋体"/>
                <w:color w:val="auto"/>
                <w:sz w:val="21"/>
                <w:szCs w:val="21"/>
                <w:highlight w:val="none"/>
                <w:lang w:val="en-US" w:eastAsia="zh-CN"/>
              </w:rPr>
            </w:pPr>
          </w:p>
        </w:tc>
        <w:tc>
          <w:tcPr>
            <w:tcW w:w="1538" w:type="dxa"/>
            <w:vMerge w:val="continue"/>
            <w:noWrap w:val="0"/>
            <w:vAlign w:val="center"/>
          </w:tcPr>
          <w:p w14:paraId="25EED44C">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jc w:val="both"/>
              <w:textAlignment w:val="auto"/>
              <w:rPr>
                <w:rFonts w:hint="eastAsia" w:ascii="宋体" w:hAnsi="宋体" w:eastAsia="宋体" w:cs="宋体"/>
                <w:color w:val="auto"/>
                <w:sz w:val="21"/>
                <w:szCs w:val="21"/>
                <w:highlight w:val="none"/>
                <w:lang w:val="en-US" w:eastAsia="zh-CN"/>
              </w:rPr>
            </w:pPr>
          </w:p>
        </w:tc>
        <w:tc>
          <w:tcPr>
            <w:tcW w:w="6278" w:type="dxa"/>
            <w:noWrap w:val="0"/>
            <w:vAlign w:val="center"/>
          </w:tcPr>
          <w:p w14:paraId="0D4EFB68">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（3）开展服务检查和监管，评估服务效果，必要时进行服务流程调整。（联合体牵头单位应明确对联合体成员的服务监督工作流程）</w:t>
            </w:r>
          </w:p>
        </w:tc>
      </w:tr>
      <w:tr w14:paraId="7D18E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restart"/>
            <w:noWrap w:val="0"/>
            <w:vAlign w:val="center"/>
          </w:tcPr>
          <w:p w14:paraId="27EF77AB">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538" w:type="dxa"/>
            <w:vMerge w:val="restart"/>
            <w:noWrap w:val="0"/>
            <w:vAlign w:val="center"/>
          </w:tcPr>
          <w:p w14:paraId="51A593E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服务方案及工作制度</w:t>
            </w:r>
          </w:p>
        </w:tc>
        <w:tc>
          <w:tcPr>
            <w:tcW w:w="6278" w:type="dxa"/>
            <w:noWrap w:val="0"/>
            <w:vAlign w:val="center"/>
          </w:tcPr>
          <w:p w14:paraId="7FAB3777">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 w:val="0"/>
                <w:bCs w:val="0"/>
                <w:color w:val="auto"/>
                <w:kern w:val="0"/>
                <w:sz w:val="21"/>
                <w:szCs w:val="21"/>
                <w:highlight w:val="none"/>
                <w:lang w:val="en-US" w:eastAsia="zh-CN"/>
              </w:rPr>
              <w:t>（1）制定工作制度，</w:t>
            </w:r>
            <w:r>
              <w:rPr>
                <w:rFonts w:hint="eastAsia" w:ascii="宋体" w:hAnsi="宋体" w:eastAsia="宋体" w:cs="宋体"/>
                <w:bCs/>
                <w:color w:val="auto"/>
                <w:sz w:val="21"/>
                <w:szCs w:val="21"/>
                <w:highlight w:val="none"/>
                <w:lang w:eastAsia="zh-CN"/>
              </w:rPr>
              <w:t>主要</w:t>
            </w:r>
            <w:r>
              <w:rPr>
                <w:rFonts w:hint="eastAsia" w:ascii="宋体" w:hAnsi="宋体" w:eastAsia="宋体" w:cs="宋体"/>
                <w:bCs/>
                <w:color w:val="auto"/>
                <w:sz w:val="21"/>
                <w:szCs w:val="21"/>
                <w:highlight w:val="none"/>
              </w:rPr>
              <w:t>包括：</w:t>
            </w:r>
            <w:r>
              <w:rPr>
                <w:rFonts w:hint="eastAsia" w:ascii="宋体" w:hAnsi="宋体" w:eastAsia="宋体" w:cs="宋体"/>
                <w:bCs/>
                <w:color w:val="auto"/>
                <w:sz w:val="21"/>
                <w:szCs w:val="21"/>
                <w:highlight w:val="none"/>
                <w:lang w:val="en-US" w:eastAsia="zh-CN"/>
              </w:rPr>
              <w:t>人员录用制度、</w:t>
            </w:r>
            <w:r>
              <w:rPr>
                <w:rFonts w:hint="eastAsia" w:ascii="宋体" w:hAnsi="宋体" w:eastAsia="宋体" w:cs="宋体"/>
                <w:b w:val="0"/>
                <w:bCs w:val="0"/>
                <w:color w:val="auto"/>
                <w:kern w:val="0"/>
                <w:sz w:val="21"/>
                <w:szCs w:val="21"/>
                <w:highlight w:val="none"/>
                <w:lang w:val="en-US" w:eastAsia="zh-CN"/>
              </w:rPr>
              <w:t>档案管理制度、</w:t>
            </w:r>
            <w:r>
              <w:rPr>
                <w:rFonts w:hint="eastAsia" w:ascii="宋体" w:hAnsi="宋体" w:eastAsia="宋体" w:cs="宋体"/>
                <w:bCs/>
                <w:color w:val="auto"/>
                <w:sz w:val="21"/>
                <w:szCs w:val="21"/>
                <w:highlight w:val="none"/>
              </w:rPr>
              <w:t>物业服务管理制度</w:t>
            </w:r>
            <w:r>
              <w:rPr>
                <w:rFonts w:hint="eastAsia" w:ascii="宋体" w:hAnsi="宋体" w:eastAsia="宋体" w:cs="宋体"/>
                <w:bCs/>
                <w:color w:val="auto"/>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公用设施设备相关管理制度等</w:t>
            </w:r>
            <w:r>
              <w:rPr>
                <w:rFonts w:hint="eastAsia" w:ascii="宋体" w:hAnsi="宋体" w:eastAsia="宋体" w:cs="宋体"/>
                <w:bCs/>
                <w:color w:val="auto"/>
                <w:sz w:val="21"/>
                <w:szCs w:val="21"/>
                <w:highlight w:val="none"/>
                <w:lang w:eastAsia="zh-CN"/>
              </w:rPr>
              <w:t>。</w:t>
            </w:r>
          </w:p>
        </w:tc>
      </w:tr>
      <w:tr w14:paraId="6275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noWrap w:val="0"/>
            <w:vAlign w:val="center"/>
          </w:tcPr>
          <w:p w14:paraId="0E547A13">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1538" w:type="dxa"/>
            <w:vMerge w:val="continue"/>
            <w:noWrap w:val="0"/>
            <w:vAlign w:val="center"/>
          </w:tcPr>
          <w:p w14:paraId="4CE627C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p>
        </w:tc>
        <w:tc>
          <w:tcPr>
            <w:tcW w:w="6278" w:type="dxa"/>
            <w:noWrap w:val="0"/>
            <w:vAlign w:val="center"/>
          </w:tcPr>
          <w:p w14:paraId="734A21D5">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（2）制定</w:t>
            </w:r>
            <w:r>
              <w:rPr>
                <w:rFonts w:hint="eastAsia" w:ascii="宋体" w:hAnsi="宋体" w:eastAsia="宋体" w:cs="宋体"/>
                <w:bCs/>
                <w:color w:val="auto"/>
                <w:sz w:val="21"/>
                <w:szCs w:val="21"/>
                <w:highlight w:val="none"/>
              </w:rPr>
              <w:t>项目实施方案</w:t>
            </w:r>
            <w:r>
              <w:rPr>
                <w:rFonts w:hint="eastAsia" w:ascii="宋体" w:hAnsi="宋体" w:eastAsia="宋体" w:cs="宋体"/>
                <w:bCs/>
                <w:color w:val="auto"/>
                <w:sz w:val="21"/>
                <w:szCs w:val="21"/>
                <w:highlight w:val="none"/>
                <w:lang w:eastAsia="zh-CN"/>
              </w:rPr>
              <w:t>，主要</w:t>
            </w:r>
            <w:r>
              <w:rPr>
                <w:rFonts w:hint="eastAsia" w:ascii="宋体" w:hAnsi="宋体" w:eastAsia="宋体" w:cs="宋体"/>
                <w:bCs/>
                <w:color w:val="auto"/>
                <w:sz w:val="21"/>
                <w:szCs w:val="21"/>
                <w:highlight w:val="none"/>
              </w:rPr>
              <w:t>包括：</w:t>
            </w:r>
            <w:r>
              <w:rPr>
                <w:rFonts w:hint="eastAsia" w:ascii="宋体" w:hAnsi="宋体" w:eastAsia="宋体" w:cs="宋体"/>
                <w:bCs/>
                <w:color w:val="auto"/>
                <w:sz w:val="21"/>
                <w:szCs w:val="21"/>
                <w:highlight w:val="none"/>
                <w:lang w:val="en-US" w:eastAsia="zh-CN"/>
              </w:rPr>
              <w:t>交接</w:t>
            </w:r>
            <w:r>
              <w:rPr>
                <w:rFonts w:hint="eastAsia" w:ascii="宋体" w:hAnsi="宋体" w:eastAsia="宋体" w:cs="宋体"/>
                <w:bCs/>
                <w:color w:val="auto"/>
                <w:sz w:val="21"/>
                <w:szCs w:val="21"/>
                <w:highlight w:val="none"/>
              </w:rPr>
              <w:t>方案、人员培训方案、人员稳定性方案、保密方案</w:t>
            </w:r>
            <w:r>
              <w:rPr>
                <w:rFonts w:hint="eastAsia" w:ascii="宋体" w:hAnsi="宋体" w:eastAsia="宋体" w:cs="宋体"/>
                <w:bCs/>
                <w:color w:val="auto"/>
                <w:sz w:val="21"/>
                <w:szCs w:val="21"/>
                <w:highlight w:val="none"/>
                <w:lang w:eastAsia="zh-CN"/>
              </w:rPr>
              <w:t>等</w:t>
            </w:r>
            <w:r>
              <w:rPr>
                <w:rFonts w:hint="eastAsia" w:ascii="宋体" w:hAnsi="宋体" w:eastAsia="宋体" w:cs="宋体"/>
                <w:bCs/>
                <w:color w:val="auto"/>
                <w:sz w:val="21"/>
                <w:szCs w:val="21"/>
                <w:highlight w:val="none"/>
              </w:rPr>
              <w:t>。</w:t>
            </w:r>
          </w:p>
        </w:tc>
      </w:tr>
      <w:tr w14:paraId="5AF6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noWrap w:val="0"/>
            <w:vAlign w:val="center"/>
          </w:tcPr>
          <w:p w14:paraId="697A69CD">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1538" w:type="dxa"/>
            <w:vMerge w:val="continue"/>
            <w:noWrap w:val="0"/>
            <w:vAlign w:val="center"/>
          </w:tcPr>
          <w:p w14:paraId="2486FADB">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p>
        </w:tc>
        <w:tc>
          <w:tcPr>
            <w:tcW w:w="6278" w:type="dxa"/>
            <w:noWrap w:val="0"/>
            <w:vAlign w:val="center"/>
          </w:tcPr>
          <w:p w14:paraId="64DB0557">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（3）制定</w:t>
            </w:r>
            <w:r>
              <w:rPr>
                <w:rFonts w:hint="eastAsia" w:ascii="宋体" w:hAnsi="宋体" w:eastAsia="宋体" w:cs="宋体"/>
                <w:bCs/>
                <w:color w:val="auto"/>
                <w:sz w:val="21"/>
                <w:szCs w:val="21"/>
                <w:highlight w:val="none"/>
              </w:rPr>
              <w:t>物业服务方案</w:t>
            </w:r>
            <w:r>
              <w:rPr>
                <w:rFonts w:hint="eastAsia" w:ascii="宋体" w:hAnsi="宋体" w:eastAsia="宋体" w:cs="宋体"/>
                <w:bCs/>
                <w:color w:val="auto"/>
                <w:sz w:val="21"/>
                <w:szCs w:val="21"/>
                <w:highlight w:val="none"/>
                <w:lang w:eastAsia="zh-CN"/>
              </w:rPr>
              <w:t>，主要</w:t>
            </w:r>
            <w:r>
              <w:rPr>
                <w:rFonts w:hint="eastAsia" w:ascii="宋体" w:hAnsi="宋体" w:eastAsia="宋体" w:cs="宋体"/>
                <w:bCs/>
                <w:color w:val="auto"/>
                <w:sz w:val="21"/>
                <w:szCs w:val="21"/>
                <w:highlight w:val="none"/>
              </w:rPr>
              <w:t>包括：</w:t>
            </w:r>
            <w:r>
              <w:rPr>
                <w:rFonts w:hint="eastAsia" w:ascii="宋体" w:hAnsi="宋体" w:eastAsia="宋体" w:cs="宋体"/>
                <w:bCs/>
                <w:color w:val="auto"/>
                <w:sz w:val="21"/>
                <w:szCs w:val="21"/>
                <w:highlight w:val="none"/>
                <w:lang w:val="en-US" w:eastAsia="zh-CN"/>
              </w:rPr>
              <w:t>房屋维护服务方案、公用设施设备维护服务方案、</w:t>
            </w:r>
            <w:r>
              <w:rPr>
                <w:rFonts w:hint="eastAsia" w:ascii="宋体" w:hAnsi="宋体" w:eastAsia="宋体" w:cs="宋体"/>
                <w:bCs/>
                <w:color w:val="auto"/>
                <w:sz w:val="21"/>
                <w:szCs w:val="21"/>
                <w:highlight w:val="none"/>
              </w:rPr>
              <w:t>绿化</w:t>
            </w:r>
            <w:r>
              <w:rPr>
                <w:rFonts w:hint="eastAsia" w:ascii="宋体" w:hAnsi="宋体" w:eastAsia="宋体" w:cs="宋体"/>
                <w:bCs/>
                <w:color w:val="auto"/>
                <w:sz w:val="21"/>
                <w:szCs w:val="21"/>
                <w:highlight w:val="none"/>
                <w:lang w:val="en-US" w:eastAsia="zh-CN"/>
              </w:rPr>
              <w:t>服务</w:t>
            </w: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保洁服务方案、</w:t>
            </w:r>
            <w:r>
              <w:rPr>
                <w:rFonts w:hint="eastAsia" w:ascii="宋体" w:hAnsi="宋体" w:eastAsia="宋体" w:cs="宋体"/>
                <w:bCs/>
                <w:color w:val="auto"/>
                <w:sz w:val="21"/>
                <w:szCs w:val="21"/>
                <w:highlight w:val="none"/>
                <w:lang w:val="en-US" w:eastAsia="zh-CN"/>
              </w:rPr>
              <w:t>保安</w:t>
            </w:r>
            <w:r>
              <w:rPr>
                <w:rFonts w:hint="eastAsia" w:ascii="宋体" w:hAnsi="宋体" w:eastAsia="宋体" w:cs="宋体"/>
                <w:bCs/>
                <w:color w:val="auto"/>
                <w:sz w:val="21"/>
                <w:szCs w:val="21"/>
                <w:highlight w:val="none"/>
              </w:rPr>
              <w:t>服务方案、会议服务方案</w:t>
            </w:r>
            <w:r>
              <w:rPr>
                <w:rFonts w:hint="eastAsia" w:ascii="宋体" w:hAnsi="宋体" w:eastAsia="宋体" w:cs="宋体"/>
                <w:bCs/>
                <w:color w:val="auto"/>
                <w:sz w:val="21"/>
                <w:szCs w:val="21"/>
                <w:highlight w:val="none"/>
                <w:lang w:val="en-US" w:eastAsia="zh-CN"/>
              </w:rPr>
              <w:t>等</w:t>
            </w:r>
            <w:r>
              <w:rPr>
                <w:rFonts w:hint="eastAsia" w:ascii="宋体" w:hAnsi="宋体" w:eastAsia="宋体" w:cs="宋体"/>
                <w:bCs/>
                <w:color w:val="auto"/>
                <w:sz w:val="21"/>
                <w:szCs w:val="21"/>
                <w:highlight w:val="none"/>
              </w:rPr>
              <w:t>。</w:t>
            </w:r>
          </w:p>
        </w:tc>
      </w:tr>
      <w:bookmarkEnd w:id="27"/>
      <w:bookmarkEnd w:id="28"/>
      <w:bookmarkEnd w:id="29"/>
    </w:tbl>
    <w:p w14:paraId="0772B6AB">
      <w:pPr>
        <w:keepNext/>
        <w:keepLines/>
        <w:pageBreakBefore w:val="0"/>
        <w:widowControl w:val="0"/>
        <w:tabs>
          <w:tab w:val="left" w:pos="900"/>
        </w:tabs>
        <w:kinsoku/>
        <w:wordWrap/>
        <w:overflowPunct/>
        <w:topLinePunct w:val="0"/>
        <w:autoSpaceDE/>
        <w:autoSpaceDN/>
        <w:bidi w:val="0"/>
        <w:adjustRightInd w:val="0"/>
        <w:snapToGrid w:val="0"/>
        <w:spacing w:before="0" w:after="0" w:line="360" w:lineRule="auto"/>
        <w:ind w:left="0" w:firstLine="0"/>
        <w:jc w:val="both"/>
        <w:textAlignment w:val="auto"/>
        <w:outlineLvl w:val="2"/>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4.2保安服务</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163"/>
        <w:gridCol w:w="7380"/>
      </w:tblGrid>
      <w:tr w14:paraId="54A3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noWrap w:val="0"/>
            <w:vAlign w:val="center"/>
          </w:tcPr>
          <w:p w14:paraId="560987E4">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Calibri" w:hAnsi="Calibri" w:eastAsia="宋体" w:cs="Calibri"/>
                <w:b/>
                <w:bCs/>
                <w:color w:val="auto"/>
                <w:kern w:val="0"/>
                <w:szCs w:val="21"/>
                <w:highlight w:val="none"/>
                <w:lang w:val="en-US" w:eastAsia="zh-CN"/>
              </w:rPr>
            </w:pPr>
            <w:r>
              <w:rPr>
                <w:rFonts w:hint="eastAsia" w:ascii="Times New Roman" w:hAnsi="Times New Roman" w:cs="Calibri"/>
                <w:b/>
                <w:bCs/>
                <w:color w:val="auto"/>
                <w:kern w:val="0"/>
                <w:szCs w:val="21"/>
                <w:highlight w:val="none"/>
                <w:lang w:val="en-US" w:eastAsia="zh-CN"/>
              </w:rPr>
              <w:t>序号</w:t>
            </w:r>
          </w:p>
        </w:tc>
        <w:tc>
          <w:tcPr>
            <w:tcW w:w="626" w:type="pct"/>
            <w:noWrap w:val="0"/>
            <w:vAlign w:val="center"/>
          </w:tcPr>
          <w:p w14:paraId="0181F401">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3972" w:type="pct"/>
            <w:noWrap w:val="0"/>
            <w:vAlign w:val="center"/>
          </w:tcPr>
          <w:p w14:paraId="578A869B">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default" w:ascii="Calibri" w:hAnsi="Calibri" w:eastAsia="宋体" w:cs="Calibri"/>
                <w:b/>
                <w:bCs/>
                <w:color w:val="auto"/>
                <w:kern w:val="0"/>
                <w:szCs w:val="21"/>
                <w:highlight w:val="none"/>
                <w:lang w:val="en-US" w:eastAsia="zh-CN"/>
              </w:rPr>
            </w:pPr>
            <w:r>
              <w:rPr>
                <w:rFonts w:hint="eastAsia" w:ascii="Times New Roman" w:hAnsi="Times New Roman" w:cs="Calibri"/>
                <w:b/>
                <w:bCs/>
                <w:color w:val="auto"/>
                <w:kern w:val="0"/>
                <w:szCs w:val="21"/>
                <w:highlight w:val="none"/>
                <w:lang w:val="en-US" w:eastAsia="zh-CN"/>
              </w:rPr>
              <w:t>服务标准</w:t>
            </w:r>
          </w:p>
        </w:tc>
      </w:tr>
      <w:tr w14:paraId="7668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vMerge w:val="restart"/>
            <w:noWrap w:val="0"/>
            <w:vAlign w:val="center"/>
          </w:tcPr>
          <w:p w14:paraId="74792B5F">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1</w:t>
            </w:r>
          </w:p>
        </w:tc>
        <w:tc>
          <w:tcPr>
            <w:tcW w:w="626" w:type="pct"/>
            <w:vMerge w:val="restart"/>
            <w:noWrap w:val="0"/>
            <w:vAlign w:val="center"/>
          </w:tcPr>
          <w:p w14:paraId="73FFCB1B">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基本要求</w:t>
            </w:r>
          </w:p>
        </w:tc>
        <w:tc>
          <w:tcPr>
            <w:tcW w:w="3972" w:type="pct"/>
            <w:noWrap w:val="0"/>
            <w:vAlign w:val="center"/>
          </w:tcPr>
          <w:p w14:paraId="4A6AF537">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Calibri" w:hAnsi="Calibri" w:eastAsia="宋体" w:cs="Calibri"/>
                <w:b w:val="0"/>
                <w:bCs w:val="0"/>
                <w:color w:val="auto"/>
                <w:kern w:val="0"/>
                <w:szCs w:val="21"/>
                <w:highlight w:val="none"/>
                <w:lang w:val="en-US" w:eastAsia="zh-CN"/>
              </w:rPr>
            </w:pPr>
            <w:r>
              <w:rPr>
                <w:rFonts w:hint="eastAsia" w:ascii="Times New Roman" w:hAnsi="Times New Roman" w:cs="Calibri"/>
                <w:b w:val="0"/>
                <w:bCs w:val="0"/>
                <w:color w:val="auto"/>
                <w:kern w:val="0"/>
                <w:szCs w:val="21"/>
                <w:highlight w:val="none"/>
                <w:lang w:val="en-US" w:eastAsia="zh-CN"/>
              </w:rPr>
              <w:t>（1）建立保安服务相关制度，并按照执行。</w:t>
            </w:r>
          </w:p>
        </w:tc>
      </w:tr>
      <w:tr w14:paraId="2645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vMerge w:val="continue"/>
            <w:noWrap w:val="0"/>
            <w:vAlign w:val="center"/>
          </w:tcPr>
          <w:p w14:paraId="3BC69EE2">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626" w:type="pct"/>
            <w:vMerge w:val="continue"/>
            <w:noWrap w:val="0"/>
            <w:vAlign w:val="center"/>
          </w:tcPr>
          <w:p w14:paraId="589BBE7F">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cs="Times New Roman"/>
                <w:color w:val="auto"/>
                <w:highlight w:val="none"/>
              </w:rPr>
            </w:pPr>
          </w:p>
        </w:tc>
        <w:tc>
          <w:tcPr>
            <w:tcW w:w="3972" w:type="pct"/>
            <w:noWrap w:val="0"/>
            <w:vAlign w:val="center"/>
          </w:tcPr>
          <w:p w14:paraId="4B24B3AA">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Calibri" w:hAnsi="Calibri" w:eastAsia="宋体" w:cs="Calibri"/>
                <w:b w:val="0"/>
                <w:bCs w:val="0"/>
                <w:color w:val="auto"/>
                <w:kern w:val="0"/>
                <w:szCs w:val="21"/>
                <w:highlight w:val="none"/>
                <w:lang w:val="en-US" w:eastAsia="zh-CN"/>
              </w:rPr>
            </w:pPr>
            <w:r>
              <w:rPr>
                <w:rFonts w:hint="eastAsia" w:ascii="Times New Roman" w:hAnsi="Times New Roman" w:cs="Calibri"/>
                <w:b w:val="0"/>
                <w:bCs w:val="0"/>
                <w:color w:val="auto"/>
                <w:kern w:val="0"/>
                <w:szCs w:val="21"/>
                <w:highlight w:val="none"/>
                <w:lang w:val="en-US" w:eastAsia="zh-CN"/>
              </w:rPr>
              <w:t>（2）对巡查、值守及异常情况等做好相关记录，填写规范，保存完好。</w:t>
            </w:r>
          </w:p>
        </w:tc>
      </w:tr>
      <w:tr w14:paraId="65FA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vMerge w:val="continue"/>
            <w:noWrap w:val="0"/>
            <w:vAlign w:val="center"/>
          </w:tcPr>
          <w:p w14:paraId="79EE069C">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highlight w:val="none"/>
                <w:lang w:val="en-US" w:eastAsia="zh-CN"/>
              </w:rPr>
            </w:pPr>
          </w:p>
        </w:tc>
        <w:tc>
          <w:tcPr>
            <w:tcW w:w="626" w:type="pct"/>
            <w:vMerge w:val="continue"/>
            <w:noWrap w:val="0"/>
            <w:vAlign w:val="center"/>
          </w:tcPr>
          <w:p w14:paraId="79342EC7">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cs="Times New Roman"/>
                <w:color w:val="auto"/>
                <w:highlight w:val="none"/>
              </w:rPr>
            </w:pPr>
          </w:p>
        </w:tc>
        <w:tc>
          <w:tcPr>
            <w:tcW w:w="3972" w:type="pct"/>
            <w:noWrap w:val="0"/>
            <w:vAlign w:val="center"/>
          </w:tcPr>
          <w:p w14:paraId="27F00F10">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Calibri" w:hAnsi="Calibri" w:eastAsia="宋体" w:cs="Calibri"/>
                <w:b w:val="0"/>
                <w:bCs w:val="0"/>
                <w:color w:val="auto"/>
                <w:kern w:val="0"/>
                <w:szCs w:val="21"/>
                <w:highlight w:val="none"/>
                <w:lang w:val="en-US" w:eastAsia="zh-CN"/>
              </w:rPr>
            </w:pPr>
            <w:r>
              <w:rPr>
                <w:rFonts w:hint="eastAsia" w:ascii="Times New Roman" w:hAnsi="Times New Roman" w:cs="Calibri"/>
                <w:b w:val="0"/>
                <w:bCs w:val="0"/>
                <w:color w:val="auto"/>
                <w:kern w:val="0"/>
                <w:szCs w:val="21"/>
                <w:highlight w:val="none"/>
                <w:lang w:val="en-US" w:eastAsia="zh-CN"/>
              </w:rPr>
              <w:t>（3）配备保安服务必要的器材。</w:t>
            </w:r>
          </w:p>
        </w:tc>
      </w:tr>
      <w:tr w14:paraId="1D7A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vMerge w:val="restart"/>
            <w:noWrap w:val="0"/>
            <w:vAlign w:val="center"/>
          </w:tcPr>
          <w:p w14:paraId="58EAC97F">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w:t>
            </w:r>
          </w:p>
        </w:tc>
        <w:tc>
          <w:tcPr>
            <w:tcW w:w="626" w:type="pct"/>
            <w:vMerge w:val="restart"/>
            <w:shd w:val="clear" w:color="auto" w:fill="auto"/>
            <w:noWrap w:val="0"/>
            <w:vAlign w:val="center"/>
          </w:tcPr>
          <w:p w14:paraId="6CC447DA">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门岗</w:t>
            </w:r>
            <w:r>
              <w:rPr>
                <w:rFonts w:hint="eastAsia" w:ascii="Times New Roman" w:hAnsi="Times New Roman" w:eastAsia="宋体" w:cs="Times New Roman"/>
                <w:color w:val="auto"/>
                <w:highlight w:val="none"/>
                <w:lang w:val="en-US" w:eastAsia="zh-CN"/>
              </w:rPr>
              <w:t>-</w:t>
            </w:r>
            <w:r>
              <w:rPr>
                <w:rFonts w:hint="default" w:ascii="Times New Roman" w:hAnsi="Times New Roman" w:cs="Times New Roman"/>
                <w:color w:val="auto"/>
                <w:highlight w:val="none"/>
              </w:rPr>
              <w:t>出入管理</w:t>
            </w:r>
          </w:p>
        </w:tc>
        <w:tc>
          <w:tcPr>
            <w:tcW w:w="3972" w:type="pct"/>
            <w:shd w:val="clear" w:color="auto" w:fill="auto"/>
            <w:noWrap w:val="0"/>
            <w:vAlign w:val="center"/>
          </w:tcPr>
          <w:p w14:paraId="62B62A23">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（1）办公楼（区）主出入口应当实行24小时值班制。</w:t>
            </w:r>
          </w:p>
        </w:tc>
      </w:tr>
      <w:tr w14:paraId="011BD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400" w:type="pct"/>
            <w:vMerge w:val="continue"/>
            <w:noWrap w:val="0"/>
            <w:vAlign w:val="center"/>
          </w:tcPr>
          <w:p w14:paraId="7AC0EEAB">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highlight w:val="none"/>
                <w:lang w:val="en-US" w:eastAsia="zh-CN"/>
              </w:rPr>
            </w:pPr>
          </w:p>
        </w:tc>
        <w:tc>
          <w:tcPr>
            <w:tcW w:w="626" w:type="pct"/>
            <w:vMerge w:val="continue"/>
            <w:shd w:val="clear" w:color="auto" w:fill="auto"/>
            <w:noWrap w:val="0"/>
            <w:vAlign w:val="center"/>
          </w:tcPr>
          <w:p w14:paraId="2899E7A9">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rPr>
            </w:pPr>
          </w:p>
        </w:tc>
        <w:tc>
          <w:tcPr>
            <w:tcW w:w="3972" w:type="pct"/>
            <w:shd w:val="clear" w:color="auto" w:fill="auto"/>
            <w:noWrap w:val="0"/>
            <w:vAlign w:val="center"/>
          </w:tcPr>
          <w:p w14:paraId="5CD8E642">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（2）设置门岗。主要出入口设置门卫值班室。门卫值班室应当配备基本防卫器械</w:t>
            </w:r>
            <w:r>
              <w:rPr>
                <w:rFonts w:hint="eastAsia" w:ascii="Times New Roman" w:hAnsi="Times New Roman" w:cs="Calibri"/>
                <w:b w:val="0"/>
                <w:bCs w:val="0"/>
                <w:color w:val="auto"/>
                <w:kern w:val="0"/>
                <w:szCs w:val="21"/>
                <w:highlight w:val="none"/>
                <w:lang w:val="en-US" w:eastAsia="zh-CN"/>
              </w:rPr>
              <w:t>，</w:t>
            </w:r>
            <w:r>
              <w:rPr>
                <w:rFonts w:hint="eastAsia" w:ascii="Times New Roman" w:hAnsi="Times New Roman" w:eastAsia="宋体" w:cs="Calibri"/>
                <w:b w:val="0"/>
                <w:bCs w:val="0"/>
                <w:color w:val="auto"/>
                <w:kern w:val="0"/>
                <w:szCs w:val="21"/>
                <w:highlight w:val="none"/>
                <w:lang w:val="en-US" w:eastAsia="zh-CN"/>
              </w:rPr>
              <w:t>防卫器械应摆放整齐、便于取放。已设立警务室的，其门卫（值班室）的防卫器械可根据工作任务需要配备。</w:t>
            </w:r>
          </w:p>
        </w:tc>
      </w:tr>
      <w:tr w14:paraId="6FB8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vMerge w:val="continue"/>
            <w:noWrap w:val="0"/>
            <w:vAlign w:val="center"/>
          </w:tcPr>
          <w:p w14:paraId="0AFEC05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highlight w:val="none"/>
                <w:lang w:val="en-US" w:eastAsia="zh-CN"/>
              </w:rPr>
            </w:pPr>
          </w:p>
        </w:tc>
        <w:tc>
          <w:tcPr>
            <w:tcW w:w="626" w:type="pct"/>
            <w:vMerge w:val="continue"/>
            <w:shd w:val="clear" w:color="auto" w:fill="auto"/>
            <w:noWrap w:val="0"/>
            <w:vAlign w:val="center"/>
          </w:tcPr>
          <w:p w14:paraId="2D0AE107">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rPr>
            </w:pPr>
          </w:p>
        </w:tc>
        <w:tc>
          <w:tcPr>
            <w:tcW w:w="3972" w:type="pct"/>
            <w:shd w:val="clear" w:color="auto" w:fill="auto"/>
            <w:noWrap w:val="0"/>
            <w:vAlign w:val="center"/>
          </w:tcPr>
          <w:p w14:paraId="63432E66">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（3）在出入口对外来人员及其携带大件物品、外来车辆进行询问和记录，并与相关部门取得联系，同意后方可进入。</w:t>
            </w:r>
          </w:p>
        </w:tc>
      </w:tr>
      <w:tr w14:paraId="05D63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vMerge w:val="continue"/>
            <w:noWrap w:val="0"/>
            <w:vAlign w:val="center"/>
          </w:tcPr>
          <w:p w14:paraId="2DE8599B">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highlight w:val="none"/>
                <w:lang w:val="en-US" w:eastAsia="zh-CN"/>
              </w:rPr>
            </w:pPr>
          </w:p>
        </w:tc>
        <w:tc>
          <w:tcPr>
            <w:tcW w:w="626" w:type="pct"/>
            <w:vMerge w:val="continue"/>
            <w:shd w:val="clear" w:color="auto" w:fill="auto"/>
            <w:noWrap w:val="0"/>
            <w:vAlign w:val="center"/>
          </w:tcPr>
          <w:p w14:paraId="091D9437">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rPr>
            </w:pPr>
          </w:p>
        </w:tc>
        <w:tc>
          <w:tcPr>
            <w:tcW w:w="3972" w:type="pct"/>
            <w:shd w:val="clear" w:color="auto" w:fill="auto"/>
            <w:noWrap w:val="0"/>
            <w:vAlign w:val="center"/>
          </w:tcPr>
          <w:p w14:paraId="1A0F58D0">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（4）大件物品搬出有相关部门开具的证明和清单，经核实后放行。</w:t>
            </w:r>
          </w:p>
        </w:tc>
      </w:tr>
      <w:tr w14:paraId="2C68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pct"/>
            <w:vMerge w:val="continue"/>
            <w:noWrap w:val="0"/>
            <w:vAlign w:val="center"/>
          </w:tcPr>
          <w:p w14:paraId="33F9CE49">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highlight w:val="none"/>
                <w:lang w:val="en-US" w:eastAsia="zh-CN"/>
              </w:rPr>
            </w:pPr>
          </w:p>
        </w:tc>
        <w:tc>
          <w:tcPr>
            <w:tcW w:w="626" w:type="pct"/>
            <w:vMerge w:val="continue"/>
            <w:shd w:val="clear" w:color="auto" w:fill="auto"/>
            <w:noWrap w:val="0"/>
            <w:vAlign w:val="center"/>
          </w:tcPr>
          <w:p w14:paraId="343A7746">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rPr>
            </w:pPr>
          </w:p>
        </w:tc>
        <w:tc>
          <w:tcPr>
            <w:tcW w:w="3972" w:type="pct"/>
            <w:shd w:val="clear" w:color="auto" w:fill="auto"/>
            <w:noWrap w:val="0"/>
            <w:vAlign w:val="center"/>
          </w:tcPr>
          <w:p w14:paraId="2F595B0F">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（5）排查可疑人员，对于不出示证件、不按规定登记、不听劝阻而强行闯入者，及时劝离，必要时通知公安机关进行处理。</w:t>
            </w:r>
          </w:p>
        </w:tc>
      </w:tr>
      <w:tr w14:paraId="3B03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vMerge w:val="continue"/>
            <w:noWrap w:val="0"/>
            <w:vAlign w:val="center"/>
          </w:tcPr>
          <w:p w14:paraId="5CEEBCD2">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highlight w:val="none"/>
                <w:lang w:val="en-US" w:eastAsia="zh-CN"/>
              </w:rPr>
            </w:pPr>
          </w:p>
        </w:tc>
        <w:tc>
          <w:tcPr>
            <w:tcW w:w="626" w:type="pct"/>
            <w:vMerge w:val="continue"/>
            <w:shd w:val="clear" w:color="auto" w:fill="auto"/>
            <w:noWrap w:val="0"/>
            <w:vAlign w:val="center"/>
          </w:tcPr>
          <w:p w14:paraId="313A7698">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rPr>
            </w:pPr>
          </w:p>
        </w:tc>
        <w:tc>
          <w:tcPr>
            <w:tcW w:w="3972" w:type="pct"/>
            <w:shd w:val="clear" w:color="auto" w:fill="auto"/>
            <w:noWrap w:val="0"/>
            <w:vAlign w:val="center"/>
          </w:tcPr>
          <w:p w14:paraId="706ABE2D">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（6）配合相关部门积极疏导上访人员，有效疏导如出入口人群集聚、车辆拥堵、货物堵塞道路等情况。</w:t>
            </w:r>
          </w:p>
        </w:tc>
      </w:tr>
      <w:tr w14:paraId="49AB0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vMerge w:val="continue"/>
            <w:noWrap w:val="0"/>
            <w:vAlign w:val="center"/>
          </w:tcPr>
          <w:p w14:paraId="055F5E12">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highlight w:val="none"/>
                <w:lang w:val="en-US" w:eastAsia="zh-CN"/>
              </w:rPr>
            </w:pPr>
          </w:p>
        </w:tc>
        <w:tc>
          <w:tcPr>
            <w:tcW w:w="626" w:type="pct"/>
            <w:vMerge w:val="continue"/>
            <w:shd w:val="clear" w:color="auto" w:fill="auto"/>
            <w:noWrap w:val="0"/>
            <w:vAlign w:val="center"/>
          </w:tcPr>
          <w:p w14:paraId="2647B941">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rPr>
            </w:pPr>
          </w:p>
        </w:tc>
        <w:tc>
          <w:tcPr>
            <w:tcW w:w="3972" w:type="pct"/>
            <w:shd w:val="clear" w:color="auto" w:fill="auto"/>
            <w:noWrap w:val="0"/>
            <w:vAlign w:val="center"/>
          </w:tcPr>
          <w:p w14:paraId="5C2F10FB">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7）根据物业服务合同约定，对物品进出实行安检、登记、电话确认等分类管理措施。大宗物品进出会同接收单位收件人审检，严防违禁品（包括毒品、军火弹药、管制刀具、易燃易爆品等）、限带品（包括动物、任何未经授权的专业摄影设备、无人机等）进入。</w:t>
            </w:r>
          </w:p>
        </w:tc>
      </w:tr>
      <w:tr w14:paraId="0A85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vMerge w:val="continue"/>
            <w:noWrap w:val="0"/>
            <w:vAlign w:val="center"/>
          </w:tcPr>
          <w:p w14:paraId="564C9C03">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highlight w:val="none"/>
                <w:lang w:val="en-US" w:eastAsia="zh-CN"/>
              </w:rPr>
            </w:pPr>
          </w:p>
        </w:tc>
        <w:tc>
          <w:tcPr>
            <w:tcW w:w="626" w:type="pct"/>
            <w:vMerge w:val="continue"/>
            <w:shd w:val="clear" w:color="auto" w:fill="auto"/>
            <w:noWrap w:val="0"/>
            <w:vAlign w:val="center"/>
          </w:tcPr>
          <w:p w14:paraId="4B06FCC3">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rPr>
            </w:pPr>
          </w:p>
        </w:tc>
        <w:tc>
          <w:tcPr>
            <w:tcW w:w="3972" w:type="pct"/>
            <w:shd w:val="clear" w:color="auto" w:fill="auto"/>
            <w:noWrap w:val="0"/>
            <w:vAlign w:val="center"/>
          </w:tcPr>
          <w:p w14:paraId="23C76CE1">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（8）</w:t>
            </w:r>
            <w:r>
              <w:rPr>
                <w:rFonts w:hint="default" w:ascii="Times New Roman" w:hAnsi="Times New Roman" w:eastAsia="宋体" w:cs="Calibri"/>
                <w:b w:val="0"/>
                <w:bCs w:val="0"/>
                <w:color w:val="auto"/>
                <w:kern w:val="0"/>
                <w:szCs w:val="21"/>
                <w:highlight w:val="none"/>
                <w:lang w:val="en-US" w:eastAsia="zh-CN"/>
              </w:rPr>
              <w:t>提供现场接待服务。</w:t>
            </w:r>
          </w:p>
          <w:p w14:paraId="5FE1E927">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eastAsia="宋体" w:cs="Calibri"/>
                <w:b w:val="0"/>
                <w:bCs w:val="0"/>
                <w:color w:val="auto"/>
                <w:kern w:val="0"/>
                <w:szCs w:val="21"/>
                <w:highlight w:val="none"/>
                <w:lang w:val="en-US" w:eastAsia="zh-CN"/>
              </w:rPr>
            </w:pPr>
            <w:r>
              <w:rPr>
                <w:rFonts w:hint="default" w:ascii="Times New Roman" w:hAnsi="Times New Roman" w:eastAsia="宋体" w:cs="Calibri"/>
                <w:b w:val="0"/>
                <w:bCs w:val="0"/>
                <w:color w:val="auto"/>
                <w:kern w:val="0"/>
                <w:szCs w:val="21"/>
                <w:highlight w:val="none"/>
                <w:lang w:val="en-US" w:eastAsia="zh-CN"/>
              </w:rPr>
              <w:t>①做好来访人员、车辆进出证件登记，及时通报</w:t>
            </w:r>
            <w:r>
              <w:rPr>
                <w:rFonts w:hint="eastAsia" w:ascii="Times New Roman" w:hAnsi="Times New Roman" w:eastAsia="宋体" w:cs="Calibri"/>
                <w:b w:val="0"/>
                <w:bCs w:val="0"/>
                <w:color w:val="auto"/>
                <w:kern w:val="0"/>
                <w:szCs w:val="21"/>
                <w:highlight w:val="none"/>
                <w:lang w:val="en-US" w:eastAsia="zh-CN"/>
              </w:rPr>
              <w:t>。</w:t>
            </w:r>
          </w:p>
          <w:p w14:paraId="79411DFB">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eastAsia="宋体" w:cs="Calibri"/>
                <w:b w:val="0"/>
                <w:bCs w:val="0"/>
                <w:color w:val="auto"/>
                <w:kern w:val="0"/>
                <w:szCs w:val="21"/>
                <w:highlight w:val="none"/>
                <w:lang w:val="en-US" w:eastAsia="zh-CN"/>
              </w:rPr>
            </w:pPr>
            <w:r>
              <w:rPr>
                <w:rFonts w:hint="default" w:ascii="Times New Roman" w:hAnsi="Times New Roman" w:eastAsia="宋体" w:cs="Calibri"/>
                <w:b w:val="0"/>
                <w:bCs w:val="0"/>
                <w:color w:val="auto"/>
                <w:kern w:val="0"/>
                <w:szCs w:val="21"/>
                <w:highlight w:val="none"/>
                <w:lang w:val="en-US" w:eastAsia="zh-CN"/>
              </w:rPr>
              <w:t>②严禁无关人员、可疑人员和危险物品进入办公楼（区）内。</w:t>
            </w:r>
          </w:p>
          <w:p w14:paraId="16E173BD">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eastAsia="宋体" w:cs="Calibri"/>
                <w:b w:val="0"/>
                <w:bCs w:val="0"/>
                <w:color w:val="auto"/>
                <w:kern w:val="0"/>
                <w:szCs w:val="21"/>
                <w:highlight w:val="none"/>
                <w:lang w:val="en-US" w:eastAsia="zh-CN"/>
              </w:rPr>
            </w:pPr>
            <w:r>
              <w:rPr>
                <w:rFonts w:hint="default" w:ascii="Times New Roman" w:hAnsi="Times New Roman" w:eastAsia="宋体" w:cs="Calibri"/>
                <w:b w:val="0"/>
                <w:bCs w:val="0"/>
                <w:color w:val="auto"/>
                <w:kern w:val="0"/>
                <w:szCs w:val="21"/>
                <w:highlight w:val="none"/>
                <w:lang w:val="en-US" w:eastAsia="zh-CN"/>
              </w:rPr>
              <w:t>③物品摆放整齐有序、分类放置。</w:t>
            </w:r>
          </w:p>
          <w:p w14:paraId="512D778D">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eastAsia="宋体" w:cs="Calibri"/>
                <w:b w:val="0"/>
                <w:bCs w:val="0"/>
                <w:color w:val="auto"/>
                <w:kern w:val="0"/>
                <w:szCs w:val="21"/>
                <w:highlight w:val="none"/>
                <w:lang w:val="en-US" w:eastAsia="zh-CN"/>
              </w:rPr>
            </w:pPr>
            <w:r>
              <w:rPr>
                <w:rFonts w:hint="default" w:ascii="Times New Roman" w:hAnsi="Times New Roman" w:eastAsia="宋体" w:cs="Calibri"/>
                <w:b w:val="0"/>
                <w:bCs w:val="0"/>
                <w:color w:val="auto"/>
                <w:kern w:val="0"/>
                <w:szCs w:val="21"/>
                <w:highlight w:val="none"/>
                <w:lang w:val="en-US" w:eastAsia="zh-CN"/>
              </w:rPr>
              <w:t>④现场办理等待时间不超过5分钟，等待较长时间应</w:t>
            </w:r>
            <w:r>
              <w:rPr>
                <w:rFonts w:hint="eastAsia" w:ascii="Times New Roman" w:hAnsi="Times New Roman" w:eastAsia="宋体" w:cs="Calibri"/>
                <w:b w:val="0"/>
                <w:bCs w:val="0"/>
                <w:color w:val="auto"/>
                <w:kern w:val="0"/>
                <w:szCs w:val="21"/>
                <w:highlight w:val="none"/>
                <w:lang w:val="en-US" w:eastAsia="zh-CN"/>
              </w:rPr>
              <w:t>当</w:t>
            </w:r>
            <w:r>
              <w:rPr>
                <w:rFonts w:hint="default" w:ascii="Times New Roman" w:hAnsi="Times New Roman" w:eastAsia="宋体" w:cs="Calibri"/>
                <w:b w:val="0"/>
                <w:bCs w:val="0"/>
                <w:color w:val="auto"/>
                <w:kern w:val="0"/>
                <w:szCs w:val="21"/>
                <w:highlight w:val="none"/>
                <w:lang w:val="en-US" w:eastAsia="zh-CN"/>
              </w:rPr>
              <w:t>及时沟通。</w:t>
            </w:r>
          </w:p>
          <w:p w14:paraId="42840A3B">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default" w:ascii="Times New Roman" w:hAnsi="Times New Roman" w:eastAsia="宋体" w:cs="Calibri"/>
                <w:b w:val="0"/>
                <w:bCs w:val="0"/>
                <w:color w:val="auto"/>
                <w:kern w:val="0"/>
                <w:szCs w:val="21"/>
                <w:highlight w:val="none"/>
                <w:lang w:val="en-US" w:eastAsia="zh-CN"/>
              </w:rPr>
              <w:t>⑤对来访人员咨询、建议、求助等事项，及时处理或答复，处理和答复率100%。</w:t>
            </w:r>
          </w:p>
        </w:tc>
      </w:tr>
      <w:tr w14:paraId="5810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vMerge w:val="restart"/>
            <w:noWrap w:val="0"/>
            <w:vAlign w:val="center"/>
          </w:tcPr>
          <w:p w14:paraId="72F55C29">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w:t>
            </w:r>
          </w:p>
        </w:tc>
        <w:tc>
          <w:tcPr>
            <w:tcW w:w="626" w:type="pct"/>
            <w:vMerge w:val="restart"/>
            <w:shd w:val="clear" w:color="auto" w:fill="auto"/>
            <w:noWrap w:val="0"/>
            <w:vAlign w:val="center"/>
          </w:tcPr>
          <w:p w14:paraId="23BF2718">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巡逻岗</w:t>
            </w:r>
            <w:r>
              <w:rPr>
                <w:rFonts w:hint="eastAsia" w:ascii="Times New Roman" w:hAnsi="Times New Roman" w:eastAsia="宋体" w:cs="Times New Roman"/>
                <w:color w:val="auto"/>
                <w:highlight w:val="none"/>
                <w:lang w:val="en-US" w:eastAsia="zh-CN"/>
              </w:rPr>
              <w:t>-值班巡查</w:t>
            </w:r>
          </w:p>
        </w:tc>
        <w:tc>
          <w:tcPr>
            <w:tcW w:w="3972" w:type="pct"/>
            <w:shd w:val="clear" w:color="auto" w:fill="auto"/>
            <w:noWrap w:val="0"/>
            <w:vAlign w:val="center"/>
          </w:tcPr>
          <w:p w14:paraId="583B6DEF">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（1）建立24小时值班巡查制度。</w:t>
            </w:r>
          </w:p>
        </w:tc>
      </w:tr>
      <w:tr w14:paraId="59DE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vMerge w:val="continue"/>
            <w:noWrap w:val="0"/>
            <w:vAlign w:val="center"/>
          </w:tcPr>
          <w:p w14:paraId="0861AB9F">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highlight w:val="none"/>
                <w:lang w:val="en-US" w:eastAsia="zh-CN"/>
              </w:rPr>
            </w:pPr>
          </w:p>
        </w:tc>
        <w:tc>
          <w:tcPr>
            <w:tcW w:w="626" w:type="pct"/>
            <w:vMerge w:val="continue"/>
            <w:shd w:val="clear" w:color="auto" w:fill="auto"/>
            <w:noWrap w:val="0"/>
            <w:vAlign w:val="center"/>
          </w:tcPr>
          <w:p w14:paraId="1548E48A">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rPr>
            </w:pPr>
          </w:p>
        </w:tc>
        <w:tc>
          <w:tcPr>
            <w:tcW w:w="3972" w:type="pct"/>
            <w:shd w:val="clear" w:color="auto" w:fill="auto"/>
            <w:noWrap w:val="0"/>
            <w:vAlign w:val="center"/>
          </w:tcPr>
          <w:p w14:paraId="6D369FF6">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（2）制定巡查路线，按照指定时间和路线执行，加强重点区域、重点部位及装修区域的巡查。</w:t>
            </w:r>
          </w:p>
        </w:tc>
      </w:tr>
      <w:tr w14:paraId="7084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vMerge w:val="continue"/>
            <w:noWrap w:val="0"/>
            <w:vAlign w:val="center"/>
          </w:tcPr>
          <w:p w14:paraId="655565A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highlight w:val="none"/>
                <w:lang w:val="en-US" w:eastAsia="zh-CN"/>
              </w:rPr>
            </w:pPr>
          </w:p>
        </w:tc>
        <w:tc>
          <w:tcPr>
            <w:tcW w:w="626" w:type="pct"/>
            <w:vMerge w:val="continue"/>
            <w:shd w:val="clear" w:color="auto" w:fill="auto"/>
            <w:noWrap w:val="0"/>
            <w:vAlign w:val="center"/>
          </w:tcPr>
          <w:p w14:paraId="716A815F">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rPr>
            </w:pPr>
          </w:p>
        </w:tc>
        <w:tc>
          <w:tcPr>
            <w:tcW w:w="3972" w:type="pct"/>
            <w:shd w:val="clear" w:color="auto" w:fill="auto"/>
            <w:noWrap w:val="0"/>
            <w:vAlign w:val="center"/>
          </w:tcPr>
          <w:p w14:paraId="4D536A6C">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（3）巡查期间保持通信设施设备畅通，遇到异常情况立即上报并在现场采取相应措施。</w:t>
            </w:r>
          </w:p>
        </w:tc>
      </w:tr>
      <w:tr w14:paraId="7209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vMerge w:val="continue"/>
            <w:noWrap w:val="0"/>
            <w:vAlign w:val="center"/>
          </w:tcPr>
          <w:p w14:paraId="3211B4B5">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highlight w:val="none"/>
                <w:lang w:val="en-US" w:eastAsia="zh-CN"/>
              </w:rPr>
            </w:pPr>
          </w:p>
        </w:tc>
        <w:tc>
          <w:tcPr>
            <w:tcW w:w="626" w:type="pct"/>
            <w:vMerge w:val="continue"/>
            <w:shd w:val="clear" w:color="auto" w:fill="auto"/>
            <w:noWrap w:val="0"/>
            <w:vAlign w:val="center"/>
          </w:tcPr>
          <w:p w14:paraId="6F35C3F8">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rPr>
            </w:pPr>
          </w:p>
        </w:tc>
        <w:tc>
          <w:tcPr>
            <w:tcW w:w="3972" w:type="pct"/>
            <w:shd w:val="clear" w:color="auto" w:fill="auto"/>
            <w:noWrap w:val="0"/>
            <w:vAlign w:val="center"/>
          </w:tcPr>
          <w:p w14:paraId="478C8D93">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（4）收到监控室指令后，巡查人员及时到达指定地点并迅速采取相应措施。</w:t>
            </w:r>
          </w:p>
        </w:tc>
      </w:tr>
      <w:tr w14:paraId="6AAB1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vMerge w:val="restart"/>
            <w:noWrap w:val="0"/>
            <w:vAlign w:val="center"/>
          </w:tcPr>
          <w:p w14:paraId="5630703F">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w:t>
            </w:r>
          </w:p>
        </w:tc>
        <w:tc>
          <w:tcPr>
            <w:tcW w:w="626" w:type="pct"/>
            <w:vMerge w:val="restart"/>
            <w:shd w:val="clear" w:color="auto" w:fill="auto"/>
            <w:noWrap w:val="0"/>
            <w:vAlign w:val="center"/>
          </w:tcPr>
          <w:p w14:paraId="6235F29D">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巡逻岗</w:t>
            </w:r>
            <w:r>
              <w:rPr>
                <w:rFonts w:hint="eastAsia" w:ascii="Times New Roman" w:hAnsi="Times New Roman" w:eastAsia="宋体" w:cs="Times New Roman"/>
                <w:color w:val="auto"/>
                <w:highlight w:val="none"/>
                <w:lang w:val="en-US" w:eastAsia="zh-CN"/>
              </w:rPr>
              <w:t>-</w:t>
            </w:r>
            <w:r>
              <w:rPr>
                <w:rFonts w:hint="default" w:ascii="Times New Roman" w:hAnsi="Times New Roman" w:cs="Times New Roman"/>
                <w:color w:val="auto"/>
                <w:highlight w:val="none"/>
              </w:rPr>
              <w:t>车辆停放</w:t>
            </w:r>
          </w:p>
        </w:tc>
        <w:tc>
          <w:tcPr>
            <w:tcW w:w="3972" w:type="pct"/>
            <w:shd w:val="clear" w:color="auto" w:fill="auto"/>
            <w:noWrap w:val="0"/>
            <w:vAlign w:val="center"/>
          </w:tcPr>
          <w:p w14:paraId="0E5FCBFD">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（1）车辆行驶路线设置合理、规范，导向标志完整、清晰。</w:t>
            </w:r>
          </w:p>
        </w:tc>
      </w:tr>
      <w:tr w14:paraId="0800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vMerge w:val="continue"/>
            <w:noWrap w:val="0"/>
            <w:vAlign w:val="center"/>
          </w:tcPr>
          <w:p w14:paraId="12DBD416">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highlight w:val="none"/>
                <w:lang w:val="en-US" w:eastAsia="zh-CN"/>
              </w:rPr>
            </w:pPr>
          </w:p>
        </w:tc>
        <w:tc>
          <w:tcPr>
            <w:tcW w:w="626" w:type="pct"/>
            <w:vMerge w:val="continue"/>
            <w:shd w:val="clear" w:color="auto" w:fill="auto"/>
            <w:noWrap w:val="0"/>
            <w:vAlign w:val="center"/>
          </w:tcPr>
          <w:p w14:paraId="30926384">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rPr>
            </w:pPr>
          </w:p>
        </w:tc>
        <w:tc>
          <w:tcPr>
            <w:tcW w:w="3972" w:type="pct"/>
            <w:shd w:val="clear" w:color="auto" w:fill="auto"/>
            <w:noWrap w:val="0"/>
            <w:vAlign w:val="center"/>
          </w:tcPr>
          <w:p w14:paraId="4C60134E">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（2）合理规划车辆停放区域，张贴车辆引导标识，对车辆及停放区域实行规范管理。</w:t>
            </w:r>
          </w:p>
        </w:tc>
      </w:tr>
      <w:tr w14:paraId="580B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vMerge w:val="continue"/>
            <w:noWrap w:val="0"/>
            <w:vAlign w:val="center"/>
          </w:tcPr>
          <w:p w14:paraId="6BB43FD2">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highlight w:val="none"/>
                <w:lang w:val="en-US" w:eastAsia="zh-CN"/>
              </w:rPr>
            </w:pPr>
          </w:p>
        </w:tc>
        <w:tc>
          <w:tcPr>
            <w:tcW w:w="626" w:type="pct"/>
            <w:vMerge w:val="continue"/>
            <w:shd w:val="clear" w:color="auto" w:fill="auto"/>
            <w:noWrap w:val="0"/>
            <w:vAlign w:val="center"/>
          </w:tcPr>
          <w:p w14:paraId="022579E4">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rPr>
            </w:pPr>
          </w:p>
        </w:tc>
        <w:tc>
          <w:tcPr>
            <w:tcW w:w="3972" w:type="pct"/>
            <w:shd w:val="clear" w:color="auto" w:fill="auto"/>
            <w:noWrap w:val="0"/>
            <w:vAlign w:val="center"/>
          </w:tcPr>
          <w:p w14:paraId="7C274221">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（3）严禁在办公楼的公用走道、楼梯间、安全出口处等公共区域停放车辆或充电。</w:t>
            </w:r>
          </w:p>
        </w:tc>
      </w:tr>
      <w:tr w14:paraId="7758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vMerge w:val="continue"/>
            <w:noWrap w:val="0"/>
            <w:vAlign w:val="center"/>
          </w:tcPr>
          <w:p w14:paraId="217FE455">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highlight w:val="none"/>
                <w:lang w:val="en-US" w:eastAsia="zh-CN"/>
              </w:rPr>
            </w:pPr>
          </w:p>
        </w:tc>
        <w:tc>
          <w:tcPr>
            <w:tcW w:w="626" w:type="pct"/>
            <w:vMerge w:val="continue"/>
            <w:shd w:val="clear" w:color="auto" w:fill="auto"/>
            <w:noWrap w:val="0"/>
            <w:vAlign w:val="center"/>
          </w:tcPr>
          <w:p w14:paraId="66E05872">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rPr>
            </w:pPr>
          </w:p>
        </w:tc>
        <w:tc>
          <w:tcPr>
            <w:tcW w:w="3972" w:type="pct"/>
            <w:shd w:val="clear" w:color="auto" w:fill="auto"/>
            <w:noWrap w:val="0"/>
            <w:vAlign w:val="center"/>
          </w:tcPr>
          <w:p w14:paraId="14CD5B6A">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（4）非机动车定点有序停放。</w:t>
            </w:r>
          </w:p>
        </w:tc>
      </w:tr>
      <w:tr w14:paraId="7C97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vMerge w:val="continue"/>
            <w:noWrap w:val="0"/>
            <w:vAlign w:val="center"/>
          </w:tcPr>
          <w:p w14:paraId="069EEA3D">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highlight w:val="none"/>
                <w:lang w:val="en-US" w:eastAsia="zh-CN"/>
              </w:rPr>
            </w:pPr>
          </w:p>
        </w:tc>
        <w:tc>
          <w:tcPr>
            <w:tcW w:w="626" w:type="pct"/>
            <w:vMerge w:val="continue"/>
            <w:shd w:val="clear" w:color="auto" w:fill="auto"/>
            <w:noWrap w:val="0"/>
            <w:vAlign w:val="center"/>
          </w:tcPr>
          <w:p w14:paraId="2AA34668">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rPr>
            </w:pPr>
          </w:p>
        </w:tc>
        <w:tc>
          <w:tcPr>
            <w:tcW w:w="3972" w:type="pct"/>
            <w:shd w:val="clear" w:color="auto" w:fill="auto"/>
            <w:noWrap w:val="0"/>
            <w:vAlign w:val="center"/>
          </w:tcPr>
          <w:p w14:paraId="35EB36E5">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（5）发现车辆异常情况及时通知车主，并做好登记；发生交通事故、自然灾害等意外事故时及时赶赴现场疏导和协助处理，响应时间不超过3分钟。</w:t>
            </w:r>
          </w:p>
        </w:tc>
      </w:tr>
      <w:tr w14:paraId="4638F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vMerge w:val="restart"/>
            <w:noWrap w:val="0"/>
            <w:vAlign w:val="center"/>
          </w:tcPr>
          <w:p w14:paraId="0D849BC4">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5</w:t>
            </w:r>
          </w:p>
        </w:tc>
        <w:tc>
          <w:tcPr>
            <w:tcW w:w="626" w:type="pct"/>
            <w:vMerge w:val="restart"/>
            <w:shd w:val="clear" w:color="auto" w:fill="auto"/>
            <w:noWrap w:val="0"/>
            <w:vAlign w:val="center"/>
          </w:tcPr>
          <w:p w14:paraId="1963B294">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消控岗</w:t>
            </w:r>
            <w:r>
              <w:rPr>
                <w:rFonts w:hint="eastAsia" w:ascii="Times New Roman" w:hAnsi="Times New Roman" w:eastAsia="宋体" w:cs="Times New Roman"/>
                <w:color w:val="auto"/>
                <w:highlight w:val="none"/>
                <w:lang w:val="en-US" w:eastAsia="zh-CN"/>
              </w:rPr>
              <w:t>-</w:t>
            </w:r>
            <w:r>
              <w:rPr>
                <w:rFonts w:hint="default" w:ascii="Times New Roman" w:hAnsi="Times New Roman" w:cs="Times New Roman"/>
                <w:color w:val="auto"/>
                <w:highlight w:val="none"/>
              </w:rPr>
              <w:t>监控</w:t>
            </w:r>
            <w:r>
              <w:rPr>
                <w:rFonts w:hint="default" w:ascii="Times New Roman" w:hAnsi="Times New Roman" w:eastAsia="宋体" w:cs="Times New Roman"/>
                <w:color w:val="auto"/>
                <w:highlight w:val="none"/>
                <w:lang w:val="en-US" w:eastAsia="zh-CN"/>
              </w:rPr>
              <w:t>值守</w:t>
            </w:r>
          </w:p>
        </w:tc>
        <w:tc>
          <w:tcPr>
            <w:tcW w:w="3972" w:type="pct"/>
            <w:shd w:val="clear" w:color="auto" w:fill="auto"/>
            <w:noWrap w:val="0"/>
            <w:vAlign w:val="center"/>
          </w:tcPr>
          <w:p w14:paraId="185FA9A8">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（1）监控室环境符合系统设备运行要求，定期进行检查和检测，确保系统功能正常。</w:t>
            </w:r>
          </w:p>
        </w:tc>
      </w:tr>
      <w:tr w14:paraId="4A9A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vMerge w:val="continue"/>
            <w:noWrap w:val="0"/>
            <w:vAlign w:val="center"/>
          </w:tcPr>
          <w:p w14:paraId="0C563A7C">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highlight w:val="none"/>
                <w:lang w:val="en-US" w:eastAsia="zh-CN"/>
              </w:rPr>
            </w:pPr>
          </w:p>
        </w:tc>
        <w:tc>
          <w:tcPr>
            <w:tcW w:w="626" w:type="pct"/>
            <w:vMerge w:val="continue"/>
            <w:shd w:val="clear" w:color="auto" w:fill="auto"/>
            <w:noWrap w:val="0"/>
            <w:vAlign w:val="center"/>
          </w:tcPr>
          <w:p w14:paraId="5ACC3C41">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lang w:val="en-US" w:eastAsia="zh-CN"/>
              </w:rPr>
            </w:pPr>
          </w:p>
        </w:tc>
        <w:tc>
          <w:tcPr>
            <w:tcW w:w="3972" w:type="pct"/>
            <w:shd w:val="clear" w:color="auto" w:fill="auto"/>
            <w:noWrap w:val="0"/>
            <w:vAlign w:val="center"/>
          </w:tcPr>
          <w:p w14:paraId="5FF1CE5C">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（2）监控设备24小时正常运行，监控室实行专人24小时值班制度。</w:t>
            </w:r>
          </w:p>
        </w:tc>
      </w:tr>
      <w:tr w14:paraId="4DE7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vMerge w:val="continue"/>
            <w:noWrap w:val="0"/>
            <w:vAlign w:val="center"/>
          </w:tcPr>
          <w:p w14:paraId="1AC39EB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highlight w:val="none"/>
                <w:lang w:val="en-US" w:eastAsia="zh-CN"/>
              </w:rPr>
            </w:pPr>
          </w:p>
        </w:tc>
        <w:tc>
          <w:tcPr>
            <w:tcW w:w="626" w:type="pct"/>
            <w:vMerge w:val="continue"/>
            <w:shd w:val="clear" w:color="auto" w:fill="auto"/>
            <w:noWrap w:val="0"/>
            <w:vAlign w:val="center"/>
          </w:tcPr>
          <w:p w14:paraId="2B4510B5">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lang w:val="en-US" w:eastAsia="zh-CN"/>
              </w:rPr>
            </w:pPr>
          </w:p>
        </w:tc>
        <w:tc>
          <w:tcPr>
            <w:tcW w:w="3972" w:type="pct"/>
            <w:shd w:val="clear" w:color="auto" w:fill="auto"/>
            <w:noWrap w:val="0"/>
            <w:vAlign w:val="center"/>
          </w:tcPr>
          <w:p w14:paraId="6FB836FF">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（3）监控记录画面清晰，视频监控无死角、无盲区。</w:t>
            </w:r>
          </w:p>
        </w:tc>
      </w:tr>
      <w:tr w14:paraId="62C65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vMerge w:val="continue"/>
            <w:noWrap w:val="0"/>
            <w:vAlign w:val="center"/>
          </w:tcPr>
          <w:p w14:paraId="0EC66AC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highlight w:val="none"/>
                <w:lang w:val="en-US" w:eastAsia="zh-CN"/>
              </w:rPr>
            </w:pPr>
          </w:p>
        </w:tc>
        <w:tc>
          <w:tcPr>
            <w:tcW w:w="626" w:type="pct"/>
            <w:vMerge w:val="continue"/>
            <w:shd w:val="clear" w:color="auto" w:fill="auto"/>
            <w:noWrap w:val="0"/>
            <w:vAlign w:val="center"/>
          </w:tcPr>
          <w:p w14:paraId="1D98C01C">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lang w:val="en-US" w:eastAsia="zh-CN"/>
              </w:rPr>
            </w:pPr>
          </w:p>
        </w:tc>
        <w:tc>
          <w:tcPr>
            <w:tcW w:w="3972" w:type="pct"/>
            <w:shd w:val="clear" w:color="auto" w:fill="auto"/>
            <w:noWrap w:val="0"/>
            <w:vAlign w:val="center"/>
          </w:tcPr>
          <w:p w14:paraId="09D0DA1A">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（4）值班期间遵守操作规程和保密制度，做好监控记录的保存工作。</w:t>
            </w:r>
          </w:p>
        </w:tc>
      </w:tr>
      <w:tr w14:paraId="5C3E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vMerge w:val="continue"/>
            <w:noWrap w:val="0"/>
            <w:vAlign w:val="center"/>
          </w:tcPr>
          <w:p w14:paraId="1BAB55EA">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highlight w:val="none"/>
                <w:lang w:val="en-US" w:eastAsia="zh-CN"/>
              </w:rPr>
            </w:pPr>
          </w:p>
        </w:tc>
        <w:tc>
          <w:tcPr>
            <w:tcW w:w="626" w:type="pct"/>
            <w:vMerge w:val="continue"/>
            <w:shd w:val="clear" w:color="auto" w:fill="auto"/>
            <w:noWrap w:val="0"/>
            <w:vAlign w:val="center"/>
          </w:tcPr>
          <w:p w14:paraId="6C77881D">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lang w:val="en-US" w:eastAsia="zh-CN"/>
              </w:rPr>
            </w:pPr>
          </w:p>
        </w:tc>
        <w:tc>
          <w:tcPr>
            <w:tcW w:w="3972" w:type="pct"/>
            <w:shd w:val="clear" w:color="auto" w:fill="auto"/>
            <w:noWrap w:val="0"/>
            <w:vAlign w:val="center"/>
          </w:tcPr>
          <w:p w14:paraId="4879037C">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（5）监控记录保持完整，保存时间不应少于90天。</w:t>
            </w:r>
          </w:p>
        </w:tc>
      </w:tr>
      <w:tr w14:paraId="5F8B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vMerge w:val="continue"/>
            <w:noWrap w:val="0"/>
            <w:vAlign w:val="center"/>
          </w:tcPr>
          <w:p w14:paraId="1EB19807">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highlight w:val="none"/>
                <w:lang w:val="en-US" w:eastAsia="zh-CN"/>
              </w:rPr>
            </w:pPr>
          </w:p>
        </w:tc>
        <w:tc>
          <w:tcPr>
            <w:tcW w:w="626" w:type="pct"/>
            <w:vMerge w:val="continue"/>
            <w:shd w:val="clear" w:color="auto" w:fill="auto"/>
            <w:noWrap w:val="0"/>
            <w:vAlign w:val="center"/>
          </w:tcPr>
          <w:p w14:paraId="7358390D">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lang w:val="en-US" w:eastAsia="zh-CN"/>
              </w:rPr>
            </w:pPr>
          </w:p>
        </w:tc>
        <w:tc>
          <w:tcPr>
            <w:tcW w:w="3972" w:type="pct"/>
            <w:shd w:val="clear" w:color="auto" w:fill="auto"/>
            <w:noWrap w:val="0"/>
            <w:vAlign w:val="center"/>
          </w:tcPr>
          <w:p w14:paraId="23C5B9CA">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（6）无关人员进入监控室或查阅监控记录，经授权人批准并做好相关记录。</w:t>
            </w:r>
          </w:p>
        </w:tc>
      </w:tr>
      <w:tr w14:paraId="11C6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vMerge w:val="continue"/>
            <w:noWrap w:val="0"/>
            <w:vAlign w:val="center"/>
          </w:tcPr>
          <w:p w14:paraId="70017FA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highlight w:val="none"/>
                <w:lang w:val="en-US" w:eastAsia="zh-CN"/>
              </w:rPr>
            </w:pPr>
          </w:p>
        </w:tc>
        <w:tc>
          <w:tcPr>
            <w:tcW w:w="626" w:type="pct"/>
            <w:vMerge w:val="continue"/>
            <w:shd w:val="clear" w:color="auto" w:fill="auto"/>
            <w:noWrap w:val="0"/>
            <w:vAlign w:val="center"/>
          </w:tcPr>
          <w:p w14:paraId="302DC505">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lang w:val="en-US" w:eastAsia="zh-CN"/>
              </w:rPr>
            </w:pPr>
          </w:p>
        </w:tc>
        <w:tc>
          <w:tcPr>
            <w:tcW w:w="3972" w:type="pct"/>
            <w:shd w:val="clear" w:color="auto" w:fill="auto"/>
            <w:noWrap w:val="0"/>
            <w:vAlign w:val="center"/>
          </w:tcPr>
          <w:p w14:paraId="15246489">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（7）监控室收到火情等报警信号、其他异常情况信号后，及时报警并安排其他安保人员前往现场进行处理。</w:t>
            </w:r>
          </w:p>
        </w:tc>
      </w:tr>
      <w:tr w14:paraId="1798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vMerge w:val="restart"/>
            <w:noWrap w:val="0"/>
            <w:vAlign w:val="center"/>
          </w:tcPr>
          <w:p w14:paraId="253594D5">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6</w:t>
            </w:r>
          </w:p>
        </w:tc>
        <w:tc>
          <w:tcPr>
            <w:tcW w:w="626" w:type="pct"/>
            <w:vMerge w:val="restart"/>
            <w:shd w:val="clear" w:color="auto" w:fill="auto"/>
            <w:noWrap w:val="0"/>
            <w:vAlign w:val="center"/>
          </w:tcPr>
          <w:p w14:paraId="696214C1">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消控岗</w:t>
            </w:r>
            <w:r>
              <w:rPr>
                <w:rFonts w:hint="eastAsia" w:ascii="Times New Roman" w:hAnsi="Times New Roman" w:eastAsia="宋体" w:cs="Times New Roman"/>
                <w:color w:val="auto"/>
                <w:highlight w:val="none"/>
                <w:lang w:val="en-US" w:eastAsia="zh-CN"/>
              </w:rPr>
              <w:t>-</w:t>
            </w:r>
            <w:r>
              <w:rPr>
                <w:rFonts w:hint="default" w:ascii="Times New Roman" w:hAnsi="Times New Roman" w:cs="Times New Roman"/>
                <w:color w:val="auto"/>
                <w:highlight w:val="none"/>
              </w:rPr>
              <w:t>消防安全管理</w:t>
            </w:r>
          </w:p>
        </w:tc>
        <w:tc>
          <w:tcPr>
            <w:tcW w:w="3972" w:type="pct"/>
            <w:shd w:val="clear" w:color="auto" w:fill="auto"/>
            <w:noWrap w:val="0"/>
            <w:vAlign w:val="center"/>
          </w:tcPr>
          <w:p w14:paraId="48519088">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（1）建立消防安全责任制，确定各级消防安全责任人及其职责。</w:t>
            </w:r>
          </w:p>
        </w:tc>
      </w:tr>
      <w:tr w14:paraId="7393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vMerge w:val="continue"/>
            <w:noWrap w:val="0"/>
            <w:vAlign w:val="center"/>
          </w:tcPr>
          <w:p w14:paraId="0724D525">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highlight w:val="none"/>
                <w:lang w:val="en-US" w:eastAsia="zh-CN"/>
              </w:rPr>
            </w:pPr>
          </w:p>
        </w:tc>
        <w:tc>
          <w:tcPr>
            <w:tcW w:w="626" w:type="pct"/>
            <w:vMerge w:val="continue"/>
            <w:shd w:val="clear" w:color="auto" w:fill="auto"/>
            <w:noWrap w:val="0"/>
            <w:vAlign w:val="center"/>
          </w:tcPr>
          <w:p w14:paraId="554AD19A">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lang w:val="en-US" w:eastAsia="zh-CN"/>
              </w:rPr>
            </w:pPr>
          </w:p>
        </w:tc>
        <w:tc>
          <w:tcPr>
            <w:tcW w:w="3972" w:type="pct"/>
            <w:shd w:val="clear" w:color="auto" w:fill="auto"/>
            <w:noWrap w:val="0"/>
            <w:vAlign w:val="center"/>
          </w:tcPr>
          <w:p w14:paraId="1D439BD3">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（2）消防控制室实行24小时值班制度，每班不少于</w:t>
            </w:r>
            <w:r>
              <w:rPr>
                <w:rFonts w:hint="eastAsia" w:ascii="Times New Roman" w:hAnsi="Times New Roman" w:cs="Calibri"/>
                <w:b w:val="0"/>
                <w:bCs w:val="0"/>
                <w:color w:val="auto"/>
                <w:kern w:val="0"/>
                <w:szCs w:val="21"/>
                <w:highlight w:val="none"/>
                <w:lang w:val="en-US" w:eastAsia="zh-CN"/>
              </w:rPr>
              <w:t>1</w:t>
            </w:r>
            <w:r>
              <w:rPr>
                <w:rFonts w:hint="eastAsia" w:ascii="Times New Roman" w:hAnsi="Times New Roman" w:eastAsia="宋体" w:cs="Calibri"/>
                <w:b w:val="0"/>
                <w:bCs w:val="0"/>
                <w:color w:val="auto"/>
                <w:kern w:val="0"/>
                <w:szCs w:val="21"/>
                <w:highlight w:val="none"/>
                <w:lang w:val="en-US" w:eastAsia="zh-CN"/>
              </w:rPr>
              <w:t>人。</w:t>
            </w:r>
          </w:p>
        </w:tc>
      </w:tr>
      <w:tr w14:paraId="510B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vMerge w:val="continue"/>
            <w:noWrap w:val="0"/>
            <w:vAlign w:val="center"/>
          </w:tcPr>
          <w:p w14:paraId="6F07EB8D">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highlight w:val="none"/>
                <w:lang w:val="en-US" w:eastAsia="zh-CN"/>
              </w:rPr>
            </w:pPr>
          </w:p>
        </w:tc>
        <w:tc>
          <w:tcPr>
            <w:tcW w:w="626" w:type="pct"/>
            <w:vMerge w:val="continue"/>
            <w:shd w:val="clear" w:color="auto" w:fill="auto"/>
            <w:noWrap w:val="0"/>
            <w:vAlign w:val="center"/>
          </w:tcPr>
          <w:p w14:paraId="630A1141">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lang w:val="en-US" w:eastAsia="zh-CN"/>
              </w:rPr>
            </w:pPr>
          </w:p>
        </w:tc>
        <w:tc>
          <w:tcPr>
            <w:tcW w:w="3972" w:type="pct"/>
            <w:shd w:val="clear" w:color="auto" w:fill="auto"/>
            <w:noWrap w:val="0"/>
            <w:vAlign w:val="center"/>
          </w:tcPr>
          <w:p w14:paraId="7F2E0DBC">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（3）消火栓、应急照明、应急物资、消防及人员逃生通道、消防车通道可随时正常使用。</w:t>
            </w:r>
          </w:p>
        </w:tc>
      </w:tr>
      <w:tr w14:paraId="718C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vMerge w:val="continue"/>
            <w:noWrap w:val="0"/>
            <w:vAlign w:val="center"/>
          </w:tcPr>
          <w:p w14:paraId="5D147093">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highlight w:val="none"/>
                <w:lang w:val="en-US" w:eastAsia="zh-CN"/>
              </w:rPr>
            </w:pPr>
          </w:p>
        </w:tc>
        <w:tc>
          <w:tcPr>
            <w:tcW w:w="626" w:type="pct"/>
            <w:vMerge w:val="continue"/>
            <w:shd w:val="clear" w:color="auto" w:fill="auto"/>
            <w:noWrap w:val="0"/>
            <w:vAlign w:val="center"/>
          </w:tcPr>
          <w:p w14:paraId="44E73F9F">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Times New Roman"/>
                <w:color w:val="auto"/>
                <w:highlight w:val="none"/>
                <w:lang w:val="en-US" w:eastAsia="zh-CN"/>
              </w:rPr>
            </w:pPr>
          </w:p>
        </w:tc>
        <w:tc>
          <w:tcPr>
            <w:tcW w:w="3972" w:type="pct"/>
            <w:shd w:val="clear" w:color="auto" w:fill="auto"/>
            <w:noWrap w:val="0"/>
            <w:vAlign w:val="center"/>
          </w:tcPr>
          <w:p w14:paraId="0F319155">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w:t>
            </w:r>
            <w:r>
              <w:rPr>
                <w:rFonts w:hint="eastAsia" w:ascii="Times New Roman" w:hAnsi="Times New Roman" w:cs="Calibri"/>
                <w:b w:val="0"/>
                <w:bCs w:val="0"/>
                <w:color w:val="auto"/>
                <w:kern w:val="0"/>
                <w:szCs w:val="21"/>
                <w:highlight w:val="none"/>
                <w:lang w:val="en-US" w:eastAsia="zh-CN"/>
              </w:rPr>
              <w:t>4</w:t>
            </w:r>
            <w:r>
              <w:rPr>
                <w:rFonts w:hint="eastAsia" w:ascii="Times New Roman" w:hAnsi="Times New Roman" w:eastAsia="宋体" w:cs="Calibri"/>
                <w:b w:val="0"/>
                <w:bCs w:val="0"/>
                <w:color w:val="auto"/>
                <w:kern w:val="0"/>
                <w:szCs w:val="21"/>
                <w:highlight w:val="none"/>
                <w:lang w:val="en-US" w:eastAsia="zh-CN"/>
              </w:rPr>
              <w:t>）定期组织消防安全宣传，每半年至少开展1次消防演练。</w:t>
            </w:r>
          </w:p>
        </w:tc>
      </w:tr>
      <w:tr w14:paraId="00F3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vMerge w:val="restart"/>
            <w:noWrap w:val="0"/>
            <w:vAlign w:val="center"/>
          </w:tcPr>
          <w:p w14:paraId="7117678B">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7</w:t>
            </w:r>
          </w:p>
        </w:tc>
        <w:tc>
          <w:tcPr>
            <w:tcW w:w="626" w:type="pct"/>
            <w:vMerge w:val="restart"/>
            <w:noWrap w:val="0"/>
            <w:vAlign w:val="center"/>
          </w:tcPr>
          <w:p w14:paraId="12F8A9CE">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突发事件处理</w:t>
            </w:r>
          </w:p>
        </w:tc>
        <w:tc>
          <w:tcPr>
            <w:tcW w:w="3972" w:type="pct"/>
            <w:shd w:val="clear" w:color="auto" w:fill="auto"/>
            <w:noWrap w:val="0"/>
            <w:vAlign w:val="center"/>
          </w:tcPr>
          <w:p w14:paraId="323A73E0">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（1）制定突发事件安全责任书，明确突发事件责任人及应承担的安全责任。</w:t>
            </w:r>
          </w:p>
        </w:tc>
      </w:tr>
      <w:tr w14:paraId="18BA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vMerge w:val="continue"/>
            <w:noWrap w:val="0"/>
            <w:vAlign w:val="center"/>
          </w:tcPr>
          <w:p w14:paraId="4DC5D51F">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626" w:type="pct"/>
            <w:vMerge w:val="continue"/>
            <w:noWrap w:val="0"/>
            <w:vAlign w:val="center"/>
          </w:tcPr>
          <w:p w14:paraId="2F56C4BE">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cs="Times New Roman"/>
                <w:color w:val="auto"/>
                <w:highlight w:val="none"/>
              </w:rPr>
            </w:pPr>
          </w:p>
        </w:tc>
        <w:tc>
          <w:tcPr>
            <w:tcW w:w="3972" w:type="pct"/>
            <w:shd w:val="clear" w:color="auto" w:fill="auto"/>
            <w:noWrap w:val="0"/>
            <w:vAlign w:val="center"/>
          </w:tcPr>
          <w:p w14:paraId="7351E52A">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（2）建立应急突发事件处置队伍，明确各自的职责。</w:t>
            </w:r>
          </w:p>
        </w:tc>
      </w:tr>
      <w:tr w14:paraId="38A3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vMerge w:val="continue"/>
            <w:noWrap w:val="0"/>
            <w:vAlign w:val="center"/>
          </w:tcPr>
          <w:p w14:paraId="5886113B">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626" w:type="pct"/>
            <w:vMerge w:val="continue"/>
            <w:noWrap w:val="0"/>
            <w:vAlign w:val="center"/>
          </w:tcPr>
          <w:p w14:paraId="69E749EC">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cs="Times New Roman"/>
                <w:color w:val="auto"/>
                <w:highlight w:val="none"/>
              </w:rPr>
            </w:pPr>
          </w:p>
        </w:tc>
        <w:tc>
          <w:tcPr>
            <w:tcW w:w="3972" w:type="pct"/>
            <w:shd w:val="clear" w:color="auto" w:fill="auto"/>
            <w:noWrap w:val="0"/>
            <w:vAlign w:val="center"/>
          </w:tcPr>
          <w:p w14:paraId="731EC88D">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（3）识别、分析各种潜在风险，针对不同风险类型制定相应解决方案，并配备应急物资。</w:t>
            </w:r>
          </w:p>
        </w:tc>
      </w:tr>
      <w:tr w14:paraId="26AB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vMerge w:val="continue"/>
            <w:noWrap w:val="0"/>
            <w:vAlign w:val="center"/>
          </w:tcPr>
          <w:p w14:paraId="79D5E7D4">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626" w:type="pct"/>
            <w:vMerge w:val="continue"/>
            <w:noWrap w:val="0"/>
            <w:vAlign w:val="center"/>
          </w:tcPr>
          <w:p w14:paraId="6F5B4842">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cs="Times New Roman"/>
                <w:color w:val="auto"/>
                <w:highlight w:val="none"/>
              </w:rPr>
            </w:pPr>
          </w:p>
        </w:tc>
        <w:tc>
          <w:tcPr>
            <w:tcW w:w="3972" w:type="pct"/>
            <w:shd w:val="clear" w:color="auto" w:fill="auto"/>
            <w:noWrap w:val="0"/>
            <w:vAlign w:val="center"/>
          </w:tcPr>
          <w:p w14:paraId="0DE9CA0A">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（4）每半年至少开展1次突发事件应急演练，并有相应记录。</w:t>
            </w:r>
          </w:p>
        </w:tc>
      </w:tr>
      <w:tr w14:paraId="3CBBC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vMerge w:val="continue"/>
            <w:noWrap w:val="0"/>
            <w:vAlign w:val="center"/>
          </w:tcPr>
          <w:p w14:paraId="75E2982B">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626" w:type="pct"/>
            <w:vMerge w:val="continue"/>
            <w:noWrap w:val="0"/>
            <w:vAlign w:val="center"/>
          </w:tcPr>
          <w:p w14:paraId="0B648B3E">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cs="Times New Roman"/>
                <w:color w:val="auto"/>
                <w:highlight w:val="none"/>
              </w:rPr>
            </w:pPr>
          </w:p>
        </w:tc>
        <w:tc>
          <w:tcPr>
            <w:tcW w:w="3972" w:type="pct"/>
            <w:shd w:val="clear" w:color="auto" w:fill="auto"/>
            <w:noWrap w:val="0"/>
            <w:vAlign w:val="center"/>
          </w:tcPr>
          <w:p w14:paraId="33CC4369">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（5）发生意外事件时，及时采取应急措施，维护办公区域物业服务正常进行，保护人身财产安全。</w:t>
            </w:r>
          </w:p>
        </w:tc>
      </w:tr>
      <w:tr w14:paraId="5BA8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vMerge w:val="continue"/>
            <w:noWrap w:val="0"/>
            <w:vAlign w:val="center"/>
          </w:tcPr>
          <w:p w14:paraId="49FD4121">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626" w:type="pct"/>
            <w:vMerge w:val="continue"/>
            <w:noWrap w:val="0"/>
            <w:vAlign w:val="center"/>
          </w:tcPr>
          <w:p w14:paraId="325EAC22">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cs="Times New Roman"/>
                <w:color w:val="auto"/>
                <w:highlight w:val="none"/>
              </w:rPr>
            </w:pPr>
          </w:p>
        </w:tc>
        <w:tc>
          <w:tcPr>
            <w:tcW w:w="3972" w:type="pct"/>
            <w:shd w:val="clear" w:color="auto" w:fill="auto"/>
            <w:noWrap w:val="0"/>
            <w:vAlign w:val="center"/>
          </w:tcPr>
          <w:p w14:paraId="4857E7E5">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（6）办公区域物业服务应急预案终止实施后，积极采取措施，在尽可能短的时间内，消除事故带来的不良影响，妥善安置和慰问受害及受影响的人员和部门。</w:t>
            </w:r>
          </w:p>
        </w:tc>
      </w:tr>
      <w:tr w14:paraId="0214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vMerge w:val="continue"/>
            <w:noWrap w:val="0"/>
            <w:vAlign w:val="center"/>
          </w:tcPr>
          <w:p w14:paraId="0E9D4C1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highlight w:val="none"/>
                <w:lang w:val="en-US" w:eastAsia="zh-CN"/>
              </w:rPr>
            </w:pPr>
          </w:p>
        </w:tc>
        <w:tc>
          <w:tcPr>
            <w:tcW w:w="626" w:type="pct"/>
            <w:vMerge w:val="continue"/>
            <w:noWrap w:val="0"/>
            <w:vAlign w:val="center"/>
          </w:tcPr>
          <w:p w14:paraId="24C6AAB2">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cs="Times New Roman"/>
                <w:color w:val="auto"/>
                <w:highlight w:val="none"/>
              </w:rPr>
            </w:pPr>
          </w:p>
        </w:tc>
        <w:tc>
          <w:tcPr>
            <w:tcW w:w="3972" w:type="pct"/>
            <w:shd w:val="clear" w:color="auto" w:fill="auto"/>
            <w:noWrap w:val="0"/>
            <w:vAlign w:val="center"/>
          </w:tcPr>
          <w:p w14:paraId="1775995B">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（7）事故处理后，及时形成事故应急总结报告，完善应急救援工作方案。</w:t>
            </w:r>
          </w:p>
        </w:tc>
      </w:tr>
      <w:tr w14:paraId="6B39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vMerge w:val="restart"/>
            <w:noWrap w:val="0"/>
            <w:vAlign w:val="center"/>
          </w:tcPr>
          <w:p w14:paraId="5293B253">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8</w:t>
            </w:r>
          </w:p>
        </w:tc>
        <w:tc>
          <w:tcPr>
            <w:tcW w:w="626" w:type="pct"/>
            <w:vMerge w:val="restart"/>
            <w:noWrap w:val="0"/>
            <w:vAlign w:val="center"/>
          </w:tcPr>
          <w:p w14:paraId="0BE54E9B">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大型活动秩序</w:t>
            </w:r>
          </w:p>
        </w:tc>
        <w:tc>
          <w:tcPr>
            <w:tcW w:w="3972" w:type="pct"/>
            <w:shd w:val="clear" w:color="auto" w:fill="auto"/>
            <w:noWrap w:val="0"/>
            <w:vAlign w:val="center"/>
          </w:tcPr>
          <w:p w14:paraId="3F9382F0">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（1）制定相应的活动秩序维护方案，合理安排人员，并对场所的安全隐患进行排查。</w:t>
            </w:r>
          </w:p>
        </w:tc>
      </w:tr>
      <w:tr w14:paraId="58B0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vMerge w:val="continue"/>
            <w:noWrap w:val="0"/>
            <w:vAlign w:val="center"/>
          </w:tcPr>
          <w:p w14:paraId="166B788D">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highlight w:val="none"/>
                <w:lang w:val="en-US" w:eastAsia="zh-CN"/>
              </w:rPr>
            </w:pPr>
          </w:p>
        </w:tc>
        <w:tc>
          <w:tcPr>
            <w:tcW w:w="626" w:type="pct"/>
            <w:vMerge w:val="continue"/>
            <w:noWrap w:val="0"/>
            <w:vAlign w:val="center"/>
          </w:tcPr>
          <w:p w14:paraId="35C8A3DE">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cs="Times New Roman"/>
                <w:color w:val="auto"/>
                <w:highlight w:val="none"/>
              </w:rPr>
            </w:pPr>
          </w:p>
        </w:tc>
        <w:tc>
          <w:tcPr>
            <w:tcW w:w="3972" w:type="pct"/>
            <w:shd w:val="clear" w:color="auto" w:fill="auto"/>
            <w:noWrap w:val="0"/>
            <w:vAlign w:val="center"/>
          </w:tcPr>
          <w:p w14:paraId="45F27778">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（2）应当保障通道、出入口、停车场等区域畅通。</w:t>
            </w:r>
          </w:p>
        </w:tc>
      </w:tr>
      <w:tr w14:paraId="5425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0" w:type="pct"/>
            <w:vMerge w:val="continue"/>
            <w:noWrap w:val="0"/>
            <w:vAlign w:val="center"/>
          </w:tcPr>
          <w:p w14:paraId="0108F2E7">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highlight w:val="none"/>
                <w:lang w:val="en-US" w:eastAsia="zh-CN"/>
              </w:rPr>
            </w:pPr>
          </w:p>
        </w:tc>
        <w:tc>
          <w:tcPr>
            <w:tcW w:w="626" w:type="pct"/>
            <w:vMerge w:val="continue"/>
            <w:noWrap w:val="0"/>
            <w:vAlign w:val="center"/>
          </w:tcPr>
          <w:p w14:paraId="42FF224E">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cs="Times New Roman"/>
                <w:color w:val="auto"/>
                <w:highlight w:val="none"/>
              </w:rPr>
            </w:pPr>
          </w:p>
        </w:tc>
        <w:tc>
          <w:tcPr>
            <w:tcW w:w="3972" w:type="pct"/>
            <w:shd w:val="clear" w:color="auto" w:fill="auto"/>
            <w:noWrap w:val="0"/>
            <w:vAlign w:val="center"/>
          </w:tcPr>
          <w:p w14:paraId="78DA6A54">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（3）活动举办过程中，做好现场秩序的维护和突发事故的处置工作，确保活动正常进行。</w:t>
            </w:r>
          </w:p>
        </w:tc>
      </w:tr>
    </w:tbl>
    <w:p w14:paraId="4574343B">
      <w:pPr>
        <w:keepNext/>
        <w:keepLines/>
        <w:pageBreakBefore w:val="0"/>
        <w:widowControl w:val="0"/>
        <w:tabs>
          <w:tab w:val="left" w:pos="900"/>
        </w:tabs>
        <w:kinsoku/>
        <w:wordWrap/>
        <w:overflowPunct/>
        <w:topLinePunct w:val="0"/>
        <w:autoSpaceDE/>
        <w:autoSpaceDN/>
        <w:bidi w:val="0"/>
        <w:adjustRightInd w:val="0"/>
        <w:snapToGrid w:val="0"/>
        <w:spacing w:before="0" w:after="0" w:line="360" w:lineRule="auto"/>
        <w:ind w:left="0" w:firstLine="0"/>
        <w:jc w:val="both"/>
        <w:textAlignment w:val="auto"/>
        <w:outlineLvl w:val="2"/>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4.3保洁服务</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220"/>
        <w:gridCol w:w="7288"/>
      </w:tblGrid>
      <w:tr w14:paraId="44E1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417" w:type="pct"/>
            <w:noWrap w:val="0"/>
            <w:vAlign w:val="center"/>
          </w:tcPr>
          <w:p w14:paraId="347DD8A4">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Calibri" w:hAnsi="Calibri" w:eastAsia="宋体" w:cs="Calibri"/>
                <w:b/>
                <w:bCs/>
                <w:color w:val="auto"/>
                <w:kern w:val="0"/>
                <w:szCs w:val="21"/>
                <w:highlight w:val="none"/>
                <w:lang w:val="en-US" w:eastAsia="zh-CN"/>
              </w:rPr>
            </w:pPr>
            <w:r>
              <w:rPr>
                <w:rFonts w:hint="eastAsia" w:ascii="Times New Roman" w:hAnsi="Times New Roman" w:cs="Calibri"/>
                <w:b/>
                <w:bCs/>
                <w:color w:val="auto"/>
                <w:kern w:val="0"/>
                <w:szCs w:val="21"/>
                <w:highlight w:val="none"/>
                <w:lang w:val="en-US" w:eastAsia="zh-CN"/>
              </w:rPr>
              <w:t>序号</w:t>
            </w:r>
          </w:p>
        </w:tc>
        <w:tc>
          <w:tcPr>
            <w:tcW w:w="657" w:type="pct"/>
            <w:noWrap w:val="0"/>
            <w:vAlign w:val="center"/>
          </w:tcPr>
          <w:p w14:paraId="1DDB0FCF">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3925" w:type="pct"/>
            <w:noWrap w:val="0"/>
            <w:vAlign w:val="center"/>
          </w:tcPr>
          <w:p w14:paraId="199D2260">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default" w:ascii="Calibri" w:hAnsi="Calibri" w:eastAsia="宋体" w:cs="Calibri"/>
                <w:b/>
                <w:bCs/>
                <w:color w:val="auto"/>
                <w:kern w:val="0"/>
                <w:szCs w:val="21"/>
                <w:highlight w:val="none"/>
                <w:lang w:val="en-US" w:eastAsia="zh-CN"/>
              </w:rPr>
            </w:pPr>
            <w:r>
              <w:rPr>
                <w:rFonts w:hint="eastAsia" w:ascii="Times New Roman" w:hAnsi="Times New Roman" w:cs="Calibri"/>
                <w:b/>
                <w:bCs/>
                <w:color w:val="auto"/>
                <w:kern w:val="0"/>
                <w:szCs w:val="21"/>
                <w:highlight w:val="none"/>
                <w:lang w:val="en-US" w:eastAsia="zh-CN"/>
              </w:rPr>
              <w:t>服务标准</w:t>
            </w:r>
          </w:p>
        </w:tc>
      </w:tr>
      <w:tr w14:paraId="2C619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pct"/>
            <w:vMerge w:val="restart"/>
            <w:noWrap w:val="0"/>
            <w:vAlign w:val="center"/>
          </w:tcPr>
          <w:p w14:paraId="7E5DC06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w:t>
            </w:r>
          </w:p>
        </w:tc>
        <w:tc>
          <w:tcPr>
            <w:tcW w:w="657" w:type="pct"/>
            <w:vMerge w:val="restart"/>
            <w:noWrap w:val="0"/>
            <w:vAlign w:val="center"/>
          </w:tcPr>
          <w:p w14:paraId="44BF1EF4">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基本要求</w:t>
            </w:r>
          </w:p>
        </w:tc>
        <w:tc>
          <w:tcPr>
            <w:tcW w:w="3925" w:type="pct"/>
            <w:noWrap w:val="0"/>
            <w:vAlign w:val="center"/>
          </w:tcPr>
          <w:p w14:paraId="3309AE57">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（1）建立保洁服务的工作制度及工作计划，并按照执行。</w:t>
            </w:r>
          </w:p>
        </w:tc>
      </w:tr>
      <w:tr w14:paraId="076B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1A4A2B75">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657" w:type="pct"/>
            <w:vMerge w:val="continue"/>
            <w:noWrap w:val="0"/>
            <w:vAlign w:val="center"/>
          </w:tcPr>
          <w:p w14:paraId="7086A1F3">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cs="Times New Roman"/>
                <w:color w:val="auto"/>
                <w:highlight w:val="none"/>
                <w:lang w:val="en-US" w:eastAsia="zh-CN"/>
              </w:rPr>
            </w:pPr>
          </w:p>
        </w:tc>
        <w:tc>
          <w:tcPr>
            <w:tcW w:w="3925" w:type="pct"/>
            <w:noWrap w:val="0"/>
            <w:vAlign w:val="center"/>
          </w:tcPr>
          <w:p w14:paraId="3AFEA7EE">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（2）做好保洁服务工作记录，记录填写规范、保存完好。</w:t>
            </w:r>
          </w:p>
        </w:tc>
      </w:tr>
      <w:tr w14:paraId="29D3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3BF47BE6">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657" w:type="pct"/>
            <w:vMerge w:val="continue"/>
            <w:noWrap w:val="0"/>
            <w:vAlign w:val="center"/>
          </w:tcPr>
          <w:p w14:paraId="3F138A9B">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cs="Times New Roman"/>
                <w:color w:val="auto"/>
                <w:highlight w:val="none"/>
                <w:lang w:val="en-US" w:eastAsia="zh-CN"/>
              </w:rPr>
            </w:pPr>
          </w:p>
        </w:tc>
        <w:tc>
          <w:tcPr>
            <w:tcW w:w="3925" w:type="pct"/>
            <w:noWrap w:val="0"/>
            <w:vAlign w:val="center"/>
          </w:tcPr>
          <w:p w14:paraId="4260BEC0">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（3）作业时采取安全防护措施，防止对作业人员或他人造成伤害。相关耗材的环保、安全性等应当符合国家相关规定要求。</w:t>
            </w:r>
          </w:p>
        </w:tc>
      </w:tr>
      <w:tr w14:paraId="3C45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17F2281E">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auto"/>
                <w:highlight w:val="none"/>
                <w:lang w:val="en-US" w:eastAsia="zh-CN"/>
              </w:rPr>
            </w:pPr>
          </w:p>
        </w:tc>
        <w:tc>
          <w:tcPr>
            <w:tcW w:w="657" w:type="pct"/>
            <w:vMerge w:val="continue"/>
            <w:noWrap w:val="0"/>
            <w:vAlign w:val="center"/>
          </w:tcPr>
          <w:p w14:paraId="0291ED0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cs="Times New Roman"/>
                <w:color w:val="auto"/>
                <w:highlight w:val="none"/>
              </w:rPr>
            </w:pPr>
          </w:p>
        </w:tc>
        <w:tc>
          <w:tcPr>
            <w:tcW w:w="3925" w:type="pct"/>
            <w:noWrap w:val="0"/>
            <w:vAlign w:val="center"/>
          </w:tcPr>
          <w:p w14:paraId="591D3442">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（4）进入保密区域时，有采购人相关人员全程在场。</w:t>
            </w:r>
          </w:p>
        </w:tc>
      </w:tr>
      <w:tr w14:paraId="11EF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restart"/>
            <w:noWrap w:val="0"/>
            <w:vAlign w:val="center"/>
          </w:tcPr>
          <w:p w14:paraId="4B87018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w:t>
            </w:r>
          </w:p>
        </w:tc>
        <w:tc>
          <w:tcPr>
            <w:tcW w:w="657" w:type="pct"/>
            <w:vMerge w:val="restart"/>
            <w:noWrap w:val="0"/>
            <w:vAlign w:val="center"/>
          </w:tcPr>
          <w:p w14:paraId="0A4EE1F4">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t>办公用房区域保洁</w:t>
            </w:r>
          </w:p>
        </w:tc>
        <w:tc>
          <w:tcPr>
            <w:tcW w:w="3925" w:type="pct"/>
            <w:shd w:val="clear" w:color="auto" w:fill="auto"/>
            <w:noWrap w:val="0"/>
            <w:vAlign w:val="center"/>
          </w:tcPr>
          <w:p w14:paraId="70221B65">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（1）大厅、楼内公共通道：</w:t>
            </w:r>
          </w:p>
          <w:p w14:paraId="79040CF1">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 xml:space="preserve"> ①公共通道保持干净，无异味、无杂物、无积水，每日至少开展1次清洁作业。</w:t>
            </w:r>
          </w:p>
          <w:p w14:paraId="1E55CF3A">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 xml:space="preserve"> ②门窗玻璃干净无尘，透光性好，每周至少开展1次清洁作业。</w:t>
            </w:r>
          </w:p>
          <w:p w14:paraId="6D856604">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 xml:space="preserve"> ③指示牌干净，无污渍，每日至少开展1次清洁作业。</w:t>
            </w:r>
          </w:p>
        </w:tc>
      </w:tr>
      <w:tr w14:paraId="16C2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pct"/>
            <w:vMerge w:val="continue"/>
            <w:noWrap w:val="0"/>
            <w:vAlign w:val="center"/>
          </w:tcPr>
          <w:p w14:paraId="4D2292C4">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657" w:type="pct"/>
            <w:vMerge w:val="continue"/>
            <w:noWrap w:val="0"/>
            <w:vAlign w:val="center"/>
          </w:tcPr>
          <w:p w14:paraId="7F692AE1">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Calibri" w:hAnsi="Calibri" w:eastAsia="宋体" w:cs="Calibri"/>
                <w:b w:val="0"/>
                <w:bCs w:val="0"/>
                <w:color w:val="auto"/>
                <w:kern w:val="0"/>
                <w:szCs w:val="21"/>
                <w:highlight w:val="none"/>
                <w:lang w:val="en-US" w:eastAsia="zh-CN"/>
              </w:rPr>
            </w:pPr>
          </w:p>
        </w:tc>
        <w:tc>
          <w:tcPr>
            <w:tcW w:w="3925" w:type="pct"/>
            <w:shd w:val="clear" w:color="auto" w:fill="auto"/>
            <w:noWrap w:val="0"/>
            <w:vAlign w:val="center"/>
          </w:tcPr>
          <w:p w14:paraId="0CD0C80E">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（2）电器、消防等设施设备：</w:t>
            </w:r>
          </w:p>
          <w:p w14:paraId="254A60F6">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 xml:space="preserve"> ①配电箱、设备机房、会议室音视频设备、消防栓及开关插座等保持表面干净，无尘无污迹，每月至少开展1次清洁作业。</w:t>
            </w:r>
          </w:p>
          <w:p w14:paraId="3F20D703">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 xml:space="preserve"> ②监控摄像头、门禁系统等表面光亮，无尘、无斑点，每月至少开展1次清洁作业。</w:t>
            </w:r>
          </w:p>
        </w:tc>
      </w:tr>
      <w:tr w14:paraId="238F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63704D28">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657" w:type="pct"/>
            <w:vMerge w:val="continue"/>
            <w:noWrap w:val="0"/>
            <w:vAlign w:val="center"/>
          </w:tcPr>
          <w:p w14:paraId="5D8ECAD3">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Calibri" w:hAnsi="Calibri" w:eastAsia="宋体" w:cs="Calibri"/>
                <w:b w:val="0"/>
                <w:bCs w:val="0"/>
                <w:color w:val="auto"/>
                <w:kern w:val="0"/>
                <w:szCs w:val="21"/>
                <w:highlight w:val="none"/>
                <w:lang w:val="en-US" w:eastAsia="zh-CN"/>
              </w:rPr>
            </w:pPr>
          </w:p>
        </w:tc>
        <w:tc>
          <w:tcPr>
            <w:tcW w:w="3925" w:type="pct"/>
            <w:shd w:val="clear" w:color="auto" w:fill="auto"/>
            <w:noWrap w:val="0"/>
            <w:vAlign w:val="center"/>
          </w:tcPr>
          <w:p w14:paraId="2747648C">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（3）楼梯及楼梯间保持干净、无异味、无杂物、无积水，每日至少开展1次清洁作业。</w:t>
            </w:r>
          </w:p>
        </w:tc>
      </w:tr>
      <w:tr w14:paraId="5FB06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0EF8EB89">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657" w:type="pct"/>
            <w:vMerge w:val="continue"/>
            <w:noWrap w:val="0"/>
            <w:vAlign w:val="center"/>
          </w:tcPr>
          <w:p w14:paraId="528AD46E">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Calibri" w:hAnsi="Calibri" w:eastAsia="宋体" w:cs="Calibri"/>
                <w:b w:val="0"/>
                <w:bCs w:val="0"/>
                <w:color w:val="auto"/>
                <w:kern w:val="0"/>
                <w:szCs w:val="21"/>
                <w:highlight w:val="none"/>
                <w:lang w:val="en-US" w:eastAsia="zh-CN"/>
              </w:rPr>
            </w:pPr>
          </w:p>
        </w:tc>
        <w:tc>
          <w:tcPr>
            <w:tcW w:w="3925" w:type="pct"/>
            <w:shd w:val="clear" w:color="auto" w:fill="auto"/>
            <w:noWrap w:val="0"/>
            <w:vAlign w:val="center"/>
          </w:tcPr>
          <w:p w14:paraId="7D18424C">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（4）开水间保持干净、无异味、无杂物、无积水，每日至少开展1次清洁作业。</w:t>
            </w:r>
          </w:p>
        </w:tc>
      </w:tr>
      <w:tr w14:paraId="3644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46C37831">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657" w:type="pct"/>
            <w:vMerge w:val="continue"/>
            <w:noWrap w:val="0"/>
            <w:vAlign w:val="center"/>
          </w:tcPr>
          <w:p w14:paraId="78879168">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Calibri" w:hAnsi="Calibri" w:eastAsia="宋体" w:cs="Calibri"/>
                <w:b w:val="0"/>
                <w:bCs w:val="0"/>
                <w:color w:val="auto"/>
                <w:kern w:val="0"/>
                <w:szCs w:val="21"/>
                <w:highlight w:val="none"/>
                <w:lang w:val="en-US" w:eastAsia="zh-CN"/>
              </w:rPr>
            </w:pPr>
          </w:p>
        </w:tc>
        <w:tc>
          <w:tcPr>
            <w:tcW w:w="3925" w:type="pct"/>
            <w:shd w:val="clear" w:color="auto" w:fill="auto"/>
            <w:noWrap w:val="0"/>
            <w:vAlign w:val="center"/>
          </w:tcPr>
          <w:p w14:paraId="48DADB5A">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（5）作业工具间：</w:t>
            </w:r>
          </w:p>
          <w:p w14:paraId="6F722BDB">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 xml:space="preserve"> ①保持干净，无异味、无杂物、无积水，每日至少开展1次清洁作业。</w:t>
            </w:r>
          </w:p>
          <w:p w14:paraId="76B0D987">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 xml:space="preserve"> ②作业工具摆放整齐有序，表面干净无渍，每日消毒。</w:t>
            </w:r>
          </w:p>
        </w:tc>
      </w:tr>
      <w:tr w14:paraId="5D25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1CDFBDAB">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657" w:type="pct"/>
            <w:vMerge w:val="continue"/>
            <w:noWrap w:val="0"/>
            <w:vAlign w:val="center"/>
          </w:tcPr>
          <w:p w14:paraId="37B0C7FA">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Calibri" w:hAnsi="Calibri" w:eastAsia="宋体" w:cs="Calibri"/>
                <w:b w:val="0"/>
                <w:bCs w:val="0"/>
                <w:color w:val="auto"/>
                <w:kern w:val="0"/>
                <w:szCs w:val="21"/>
                <w:highlight w:val="none"/>
                <w:lang w:val="en-US" w:eastAsia="zh-CN"/>
              </w:rPr>
            </w:pPr>
          </w:p>
        </w:tc>
        <w:tc>
          <w:tcPr>
            <w:tcW w:w="3925" w:type="pct"/>
            <w:shd w:val="clear" w:color="auto" w:fill="auto"/>
            <w:noWrap w:val="0"/>
            <w:vAlign w:val="center"/>
          </w:tcPr>
          <w:p w14:paraId="3C8D6DA0">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（6）公共卫生间：</w:t>
            </w:r>
          </w:p>
          <w:p w14:paraId="6FAACF6E">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 xml:space="preserve"> ①保持干净，无异味，垃圾无溢出，每日至少开展1次清洁作业。</w:t>
            </w:r>
          </w:p>
          <w:p w14:paraId="6B49099A">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 xml:space="preserve"> ②及时补充厕纸等必要用品。</w:t>
            </w:r>
          </w:p>
        </w:tc>
      </w:tr>
      <w:tr w14:paraId="2B4D2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08079B71">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657" w:type="pct"/>
            <w:vMerge w:val="continue"/>
            <w:noWrap w:val="0"/>
            <w:vAlign w:val="center"/>
          </w:tcPr>
          <w:p w14:paraId="19DA24F8">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Calibri" w:hAnsi="Calibri" w:eastAsia="宋体" w:cs="Calibri"/>
                <w:b w:val="0"/>
                <w:bCs w:val="0"/>
                <w:color w:val="auto"/>
                <w:kern w:val="0"/>
                <w:szCs w:val="21"/>
                <w:highlight w:val="none"/>
                <w:lang w:val="en-US" w:eastAsia="zh-CN"/>
              </w:rPr>
            </w:pPr>
          </w:p>
        </w:tc>
        <w:tc>
          <w:tcPr>
            <w:tcW w:w="3925" w:type="pct"/>
            <w:shd w:val="clear" w:color="auto" w:fill="auto"/>
            <w:noWrap w:val="0"/>
            <w:vAlign w:val="center"/>
          </w:tcPr>
          <w:p w14:paraId="7AF75759">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（7）电梯轿厢：</w:t>
            </w:r>
          </w:p>
          <w:p w14:paraId="3E2811EA">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①保持干净，无污渍、无粘贴物、无异味，每日至少开展1次清洁作业。</w:t>
            </w:r>
          </w:p>
          <w:p w14:paraId="09A9C223">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②灯具、操作指示板明亮。</w:t>
            </w:r>
          </w:p>
        </w:tc>
      </w:tr>
      <w:tr w14:paraId="4EBA1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3A06CB43">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657" w:type="pct"/>
            <w:vMerge w:val="continue"/>
            <w:noWrap w:val="0"/>
            <w:vAlign w:val="center"/>
          </w:tcPr>
          <w:p w14:paraId="396E0E01">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Calibri" w:hAnsi="Calibri" w:eastAsia="宋体" w:cs="Calibri"/>
                <w:b w:val="0"/>
                <w:bCs w:val="0"/>
                <w:color w:val="auto"/>
                <w:kern w:val="0"/>
                <w:szCs w:val="21"/>
                <w:highlight w:val="none"/>
                <w:lang w:val="en-US" w:eastAsia="zh-CN"/>
              </w:rPr>
            </w:pPr>
          </w:p>
        </w:tc>
        <w:tc>
          <w:tcPr>
            <w:tcW w:w="3925" w:type="pct"/>
            <w:shd w:val="clear" w:color="auto" w:fill="auto"/>
            <w:noWrap w:val="0"/>
            <w:vAlign w:val="center"/>
          </w:tcPr>
          <w:p w14:paraId="609BCF94">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（8）平台、屋顶、天沟保持干净，有杂物及时清扫，每月至少开展1次清洁作业。</w:t>
            </w:r>
          </w:p>
        </w:tc>
      </w:tr>
      <w:tr w14:paraId="6B5E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2A590CB7">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657" w:type="pct"/>
            <w:vMerge w:val="continue"/>
            <w:noWrap w:val="0"/>
            <w:vAlign w:val="center"/>
          </w:tcPr>
          <w:p w14:paraId="4B44628F">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Calibri" w:hAnsi="Calibri" w:eastAsia="宋体" w:cs="Calibri"/>
                <w:b w:val="0"/>
                <w:bCs w:val="0"/>
                <w:color w:val="auto"/>
                <w:kern w:val="0"/>
                <w:szCs w:val="21"/>
                <w:highlight w:val="none"/>
                <w:lang w:val="en-US" w:eastAsia="zh-CN"/>
              </w:rPr>
            </w:pPr>
          </w:p>
        </w:tc>
        <w:tc>
          <w:tcPr>
            <w:tcW w:w="3925" w:type="pct"/>
            <w:shd w:val="clear" w:color="auto" w:fill="auto"/>
            <w:noWrap w:val="0"/>
            <w:vAlign w:val="center"/>
          </w:tcPr>
          <w:p w14:paraId="2BC278B7">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（9）石材地面、内墙做好养护工作，每季度开展1次清洁作业。</w:t>
            </w:r>
          </w:p>
        </w:tc>
      </w:tr>
      <w:tr w14:paraId="06FC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6A26E422">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657" w:type="pct"/>
            <w:vMerge w:val="continue"/>
            <w:noWrap w:val="0"/>
            <w:vAlign w:val="center"/>
          </w:tcPr>
          <w:p w14:paraId="7EE11CD9">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Calibri" w:hAnsi="Calibri" w:eastAsia="宋体" w:cs="Calibri"/>
                <w:b w:val="0"/>
                <w:bCs w:val="0"/>
                <w:color w:val="auto"/>
                <w:kern w:val="0"/>
                <w:szCs w:val="21"/>
                <w:highlight w:val="none"/>
                <w:lang w:val="en-US" w:eastAsia="zh-CN"/>
              </w:rPr>
            </w:pPr>
          </w:p>
        </w:tc>
        <w:tc>
          <w:tcPr>
            <w:tcW w:w="3925" w:type="pct"/>
            <w:shd w:val="clear" w:color="auto" w:fill="auto"/>
            <w:noWrap w:val="0"/>
            <w:vAlign w:val="center"/>
          </w:tcPr>
          <w:p w14:paraId="4BEB6A5F">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（10）地毯干净、无油渍、无污渍、无褪色，每月至少开展1次清洁作业。</w:t>
            </w:r>
          </w:p>
        </w:tc>
      </w:tr>
      <w:tr w14:paraId="5930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restart"/>
            <w:noWrap w:val="0"/>
            <w:vAlign w:val="center"/>
          </w:tcPr>
          <w:p w14:paraId="4BA6DF15">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w:t>
            </w:r>
          </w:p>
        </w:tc>
        <w:tc>
          <w:tcPr>
            <w:tcW w:w="657" w:type="pct"/>
            <w:vMerge w:val="restart"/>
            <w:noWrap w:val="0"/>
            <w:vAlign w:val="center"/>
          </w:tcPr>
          <w:p w14:paraId="51A0BA51">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t>公共场地区域保洁</w:t>
            </w:r>
          </w:p>
        </w:tc>
        <w:tc>
          <w:tcPr>
            <w:tcW w:w="3925" w:type="pct"/>
            <w:shd w:val="clear" w:color="auto" w:fill="auto"/>
            <w:noWrap w:val="0"/>
            <w:vAlign w:val="center"/>
          </w:tcPr>
          <w:p w14:paraId="7C141BCF">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（1）每日清扫道路地面、停车场等公共区域2次，保持干净、无杂物、无积水。</w:t>
            </w:r>
          </w:p>
        </w:tc>
      </w:tr>
      <w:tr w14:paraId="4E49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541A841C">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657" w:type="pct"/>
            <w:vMerge w:val="continue"/>
            <w:noWrap w:val="0"/>
            <w:vAlign w:val="center"/>
          </w:tcPr>
          <w:p w14:paraId="485279B0">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Calibri" w:hAnsi="Calibri" w:eastAsia="宋体" w:cs="Calibri"/>
                <w:b w:val="0"/>
                <w:bCs w:val="0"/>
                <w:color w:val="auto"/>
                <w:kern w:val="0"/>
                <w:szCs w:val="21"/>
                <w:highlight w:val="none"/>
                <w:lang w:val="en-US" w:eastAsia="zh-CN"/>
              </w:rPr>
            </w:pPr>
          </w:p>
        </w:tc>
        <w:tc>
          <w:tcPr>
            <w:tcW w:w="3925" w:type="pct"/>
            <w:shd w:val="clear" w:color="auto" w:fill="auto"/>
            <w:noWrap w:val="0"/>
            <w:vAlign w:val="center"/>
          </w:tcPr>
          <w:p w14:paraId="321F4A6B">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（2）雪、冰冻等恶劣天气时及时清扫积水、积雪，并采取安全防护措施。</w:t>
            </w:r>
          </w:p>
        </w:tc>
      </w:tr>
      <w:tr w14:paraId="331FC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230211F1">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657" w:type="pct"/>
            <w:vMerge w:val="continue"/>
            <w:noWrap w:val="0"/>
            <w:vAlign w:val="center"/>
          </w:tcPr>
          <w:p w14:paraId="40702C5D">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Calibri" w:hAnsi="Calibri" w:eastAsia="宋体" w:cs="Calibri"/>
                <w:b w:val="0"/>
                <w:bCs w:val="0"/>
                <w:color w:val="auto"/>
                <w:kern w:val="0"/>
                <w:szCs w:val="21"/>
                <w:highlight w:val="none"/>
                <w:lang w:val="en-US" w:eastAsia="zh-CN"/>
              </w:rPr>
            </w:pPr>
          </w:p>
        </w:tc>
        <w:tc>
          <w:tcPr>
            <w:tcW w:w="3925" w:type="pct"/>
            <w:shd w:val="clear" w:color="auto" w:fill="auto"/>
            <w:noWrap w:val="0"/>
            <w:vAlign w:val="center"/>
          </w:tcPr>
          <w:p w14:paraId="4E60B3C8">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（3）各种路标、宣传栏等保持干净，每月至少开展1次清洁作业。</w:t>
            </w:r>
          </w:p>
        </w:tc>
      </w:tr>
      <w:tr w14:paraId="7CCC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364DCDA3">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657" w:type="pct"/>
            <w:vMerge w:val="continue"/>
            <w:noWrap w:val="0"/>
            <w:vAlign w:val="center"/>
          </w:tcPr>
          <w:p w14:paraId="66F15110">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Calibri" w:hAnsi="Calibri" w:eastAsia="宋体" w:cs="Calibri"/>
                <w:b w:val="0"/>
                <w:bCs w:val="0"/>
                <w:color w:val="auto"/>
                <w:kern w:val="0"/>
                <w:szCs w:val="21"/>
                <w:highlight w:val="none"/>
                <w:lang w:val="en-US" w:eastAsia="zh-CN"/>
              </w:rPr>
            </w:pPr>
          </w:p>
        </w:tc>
        <w:tc>
          <w:tcPr>
            <w:tcW w:w="3925" w:type="pct"/>
            <w:shd w:val="clear" w:color="auto" w:fill="auto"/>
            <w:noWrap w:val="0"/>
            <w:vAlign w:val="center"/>
          </w:tcPr>
          <w:p w14:paraId="7E6D8A54">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（4）清洁室外照明设备，每月至少开展1次清洁作业。</w:t>
            </w:r>
          </w:p>
        </w:tc>
      </w:tr>
      <w:tr w14:paraId="259B7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78BB70EC">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657" w:type="pct"/>
            <w:vMerge w:val="continue"/>
            <w:noWrap w:val="0"/>
            <w:vAlign w:val="center"/>
          </w:tcPr>
          <w:p w14:paraId="0DF94F03">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Calibri" w:hAnsi="Calibri" w:eastAsia="宋体" w:cs="Calibri"/>
                <w:b w:val="0"/>
                <w:bCs w:val="0"/>
                <w:color w:val="auto"/>
                <w:kern w:val="0"/>
                <w:szCs w:val="21"/>
                <w:highlight w:val="none"/>
                <w:lang w:val="en-US" w:eastAsia="zh-CN"/>
              </w:rPr>
            </w:pPr>
          </w:p>
        </w:tc>
        <w:tc>
          <w:tcPr>
            <w:tcW w:w="3925" w:type="pct"/>
            <w:shd w:val="clear" w:color="auto" w:fill="auto"/>
            <w:noWrap w:val="0"/>
            <w:vAlign w:val="center"/>
          </w:tcPr>
          <w:p w14:paraId="77206664">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（5）绿地内无杂物、无改变用途和破坏、践踏、占用现象，每天至少开展1次巡查。</w:t>
            </w:r>
          </w:p>
        </w:tc>
      </w:tr>
      <w:tr w14:paraId="6C2E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5675884F">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657" w:type="pct"/>
            <w:vMerge w:val="continue"/>
            <w:noWrap w:val="0"/>
            <w:vAlign w:val="center"/>
          </w:tcPr>
          <w:p w14:paraId="5503DFD3">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Calibri" w:hAnsi="Calibri" w:eastAsia="宋体" w:cs="Calibri"/>
                <w:b w:val="0"/>
                <w:bCs w:val="0"/>
                <w:color w:val="auto"/>
                <w:kern w:val="0"/>
                <w:szCs w:val="21"/>
                <w:highlight w:val="none"/>
                <w:lang w:val="en-US" w:eastAsia="zh-CN"/>
              </w:rPr>
            </w:pPr>
          </w:p>
        </w:tc>
        <w:tc>
          <w:tcPr>
            <w:tcW w:w="3925" w:type="pct"/>
            <w:shd w:val="clear" w:color="auto" w:fill="auto"/>
            <w:noWrap w:val="0"/>
            <w:vAlign w:val="center"/>
          </w:tcPr>
          <w:p w14:paraId="36909886">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（6）办公区外立面定期清洗、2米以上外窗玻璃擦拭，每年至少开展1次清洗。</w:t>
            </w:r>
          </w:p>
        </w:tc>
      </w:tr>
      <w:tr w14:paraId="0F928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restart"/>
            <w:noWrap w:val="0"/>
            <w:vAlign w:val="center"/>
          </w:tcPr>
          <w:p w14:paraId="263B4F3D">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w:t>
            </w:r>
          </w:p>
        </w:tc>
        <w:tc>
          <w:tcPr>
            <w:tcW w:w="657" w:type="pct"/>
            <w:vMerge w:val="restart"/>
            <w:noWrap w:val="0"/>
            <w:vAlign w:val="center"/>
          </w:tcPr>
          <w:p w14:paraId="2797C855">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Calibri" w:hAnsi="Calibri" w:eastAsia="宋体" w:cs="Calibri"/>
                <w:b w:val="0"/>
                <w:bCs w:val="0"/>
                <w:color w:val="auto"/>
                <w:kern w:val="0"/>
                <w:szCs w:val="21"/>
                <w:highlight w:val="none"/>
                <w:lang w:val="en-US" w:eastAsia="zh-CN"/>
              </w:rPr>
            </w:pPr>
            <w:r>
              <w:rPr>
                <w:rFonts w:hint="eastAsia" w:ascii="Calibri" w:hAnsi="Calibri" w:cs="Calibri"/>
                <w:b w:val="0"/>
                <w:bCs w:val="0"/>
                <w:color w:val="auto"/>
                <w:kern w:val="0"/>
                <w:szCs w:val="21"/>
                <w:highlight w:val="none"/>
                <w:lang w:val="en-US" w:eastAsia="zh-CN"/>
              </w:rPr>
              <w:t>垃圾处理</w:t>
            </w:r>
          </w:p>
        </w:tc>
        <w:tc>
          <w:tcPr>
            <w:tcW w:w="3925" w:type="pct"/>
            <w:shd w:val="clear" w:color="auto" w:fill="auto"/>
            <w:noWrap w:val="0"/>
            <w:vAlign w:val="center"/>
          </w:tcPr>
          <w:p w14:paraId="55A9D3BD">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（1）在指定位置摆放分类垃圾桶，并在显著处张贴垃圾分类标识。分类垃圾桶和垃圾分类标识根据所在城市的要求设置。</w:t>
            </w:r>
          </w:p>
        </w:tc>
      </w:tr>
      <w:tr w14:paraId="72BF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3637FCFE">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657" w:type="pct"/>
            <w:vMerge w:val="continue"/>
            <w:noWrap w:val="0"/>
            <w:vAlign w:val="center"/>
          </w:tcPr>
          <w:p w14:paraId="641DF908">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Calibri" w:hAnsi="Calibri" w:cs="Calibri"/>
                <w:b w:val="0"/>
                <w:bCs w:val="0"/>
                <w:color w:val="auto"/>
                <w:kern w:val="0"/>
                <w:szCs w:val="21"/>
                <w:highlight w:val="none"/>
                <w:lang w:val="en-US" w:eastAsia="zh-CN"/>
              </w:rPr>
            </w:pPr>
          </w:p>
        </w:tc>
        <w:tc>
          <w:tcPr>
            <w:tcW w:w="3925" w:type="pct"/>
            <w:shd w:val="clear" w:color="auto" w:fill="auto"/>
            <w:noWrap w:val="0"/>
            <w:vAlign w:val="center"/>
          </w:tcPr>
          <w:p w14:paraId="43D91CF6">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（2）桶身表面干净无污渍，每日开展至少1次清洁作业。</w:t>
            </w:r>
          </w:p>
        </w:tc>
      </w:tr>
      <w:tr w14:paraId="370A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53228A0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657" w:type="pct"/>
            <w:vMerge w:val="continue"/>
            <w:noWrap w:val="0"/>
            <w:vAlign w:val="center"/>
          </w:tcPr>
          <w:p w14:paraId="522190C2">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Calibri" w:hAnsi="Calibri" w:cs="Calibri"/>
                <w:b w:val="0"/>
                <w:bCs w:val="0"/>
                <w:color w:val="auto"/>
                <w:kern w:val="0"/>
                <w:szCs w:val="21"/>
                <w:highlight w:val="none"/>
                <w:lang w:val="en-US" w:eastAsia="zh-CN"/>
              </w:rPr>
            </w:pPr>
          </w:p>
        </w:tc>
        <w:tc>
          <w:tcPr>
            <w:tcW w:w="3925" w:type="pct"/>
            <w:shd w:val="clear" w:color="auto" w:fill="auto"/>
            <w:noWrap w:val="0"/>
            <w:vAlign w:val="center"/>
          </w:tcPr>
          <w:p w14:paraId="49AFC082">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（3）垃圾中转房保持整洁，无明显异味，每日至少开展1次清洁作业。</w:t>
            </w:r>
          </w:p>
        </w:tc>
      </w:tr>
      <w:tr w14:paraId="7DE7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71DE2835">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657" w:type="pct"/>
            <w:vMerge w:val="continue"/>
            <w:noWrap w:val="0"/>
            <w:vAlign w:val="center"/>
          </w:tcPr>
          <w:p w14:paraId="7572BB09">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Calibri" w:hAnsi="Calibri" w:cs="Calibri"/>
                <w:b w:val="0"/>
                <w:bCs w:val="0"/>
                <w:color w:val="auto"/>
                <w:kern w:val="0"/>
                <w:szCs w:val="21"/>
                <w:highlight w:val="none"/>
                <w:lang w:val="en-US" w:eastAsia="zh-CN"/>
              </w:rPr>
            </w:pPr>
          </w:p>
        </w:tc>
        <w:tc>
          <w:tcPr>
            <w:tcW w:w="3925" w:type="pct"/>
            <w:shd w:val="clear" w:color="auto" w:fill="auto"/>
            <w:noWrap w:val="0"/>
            <w:vAlign w:val="center"/>
          </w:tcPr>
          <w:p w14:paraId="0D20FD4C">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（4）化粪池清掏，无明显异味，每半年至少开展1次清洁作业。</w:t>
            </w:r>
          </w:p>
        </w:tc>
      </w:tr>
      <w:tr w14:paraId="1F70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3B0993B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657" w:type="pct"/>
            <w:vMerge w:val="continue"/>
            <w:noWrap w:val="0"/>
            <w:vAlign w:val="center"/>
          </w:tcPr>
          <w:p w14:paraId="73620403">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Calibri" w:hAnsi="Calibri" w:cs="Calibri"/>
                <w:b w:val="0"/>
                <w:bCs w:val="0"/>
                <w:color w:val="auto"/>
                <w:kern w:val="0"/>
                <w:szCs w:val="21"/>
                <w:highlight w:val="none"/>
                <w:lang w:val="en-US" w:eastAsia="zh-CN"/>
              </w:rPr>
            </w:pPr>
          </w:p>
        </w:tc>
        <w:tc>
          <w:tcPr>
            <w:tcW w:w="3925" w:type="pct"/>
            <w:shd w:val="clear" w:color="auto" w:fill="auto"/>
            <w:noWrap w:val="0"/>
            <w:vAlign w:val="center"/>
          </w:tcPr>
          <w:p w14:paraId="10AE3707">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（5）每个工作日内要对楼层产生的垃圾，进行清理分类，并运至垃圾集中堆放点。</w:t>
            </w:r>
          </w:p>
        </w:tc>
      </w:tr>
      <w:tr w14:paraId="0F66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1ED6A341">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657" w:type="pct"/>
            <w:vMerge w:val="continue"/>
            <w:noWrap w:val="0"/>
            <w:vAlign w:val="center"/>
          </w:tcPr>
          <w:p w14:paraId="69C19684">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Calibri" w:hAnsi="Calibri" w:cs="Calibri"/>
                <w:b w:val="0"/>
                <w:bCs w:val="0"/>
                <w:color w:val="auto"/>
                <w:kern w:val="0"/>
                <w:szCs w:val="21"/>
                <w:highlight w:val="none"/>
                <w:lang w:val="en-US" w:eastAsia="zh-CN"/>
              </w:rPr>
            </w:pPr>
          </w:p>
        </w:tc>
        <w:tc>
          <w:tcPr>
            <w:tcW w:w="3925" w:type="pct"/>
            <w:shd w:val="clear" w:color="auto" w:fill="auto"/>
            <w:noWrap w:val="0"/>
            <w:vAlign w:val="center"/>
          </w:tcPr>
          <w:p w14:paraId="4BC568E3">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（6）垃圾装袋，日产日清。</w:t>
            </w:r>
          </w:p>
        </w:tc>
      </w:tr>
      <w:tr w14:paraId="5D55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6774BC5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657" w:type="pct"/>
            <w:vMerge w:val="continue"/>
            <w:noWrap w:val="0"/>
            <w:vAlign w:val="center"/>
          </w:tcPr>
          <w:p w14:paraId="50F2706B">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Calibri" w:hAnsi="Calibri" w:cs="Calibri"/>
                <w:b w:val="0"/>
                <w:bCs w:val="0"/>
                <w:color w:val="auto"/>
                <w:kern w:val="0"/>
                <w:szCs w:val="21"/>
                <w:highlight w:val="none"/>
                <w:lang w:val="en-US" w:eastAsia="zh-CN"/>
              </w:rPr>
            </w:pPr>
          </w:p>
        </w:tc>
        <w:tc>
          <w:tcPr>
            <w:tcW w:w="3925" w:type="pct"/>
            <w:shd w:val="clear" w:color="auto" w:fill="auto"/>
            <w:noWrap w:val="0"/>
            <w:vAlign w:val="center"/>
          </w:tcPr>
          <w:p w14:paraId="7600C680">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（7）建立垃圾清运台账，交由规范的渠道回收处理。</w:t>
            </w:r>
          </w:p>
        </w:tc>
      </w:tr>
      <w:tr w14:paraId="0BB5F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5C3A5E04">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657" w:type="pct"/>
            <w:vMerge w:val="continue"/>
            <w:noWrap w:val="0"/>
            <w:vAlign w:val="center"/>
          </w:tcPr>
          <w:p w14:paraId="2675C518">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Calibri" w:hAnsi="Calibri" w:cs="Calibri"/>
                <w:b w:val="0"/>
                <w:bCs w:val="0"/>
                <w:color w:val="auto"/>
                <w:kern w:val="0"/>
                <w:szCs w:val="21"/>
                <w:highlight w:val="none"/>
                <w:lang w:val="en-US" w:eastAsia="zh-CN"/>
              </w:rPr>
            </w:pPr>
          </w:p>
        </w:tc>
        <w:tc>
          <w:tcPr>
            <w:tcW w:w="3925" w:type="pct"/>
            <w:shd w:val="clear" w:color="auto" w:fill="auto"/>
            <w:noWrap w:val="0"/>
            <w:vAlign w:val="center"/>
          </w:tcPr>
          <w:p w14:paraId="55EE9A5E">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（8）</w:t>
            </w:r>
            <w:r>
              <w:rPr>
                <w:rFonts w:hint="default" w:ascii="Times New Roman" w:hAnsi="Times New Roman" w:eastAsia="宋体" w:cs="Calibri"/>
                <w:b w:val="0"/>
                <w:bCs w:val="0"/>
                <w:color w:val="auto"/>
                <w:kern w:val="0"/>
                <w:szCs w:val="21"/>
                <w:highlight w:val="none"/>
                <w:lang w:val="en-US" w:eastAsia="zh-CN"/>
              </w:rPr>
              <w:t>做好垃圾分类管理的宣传工作，督促并引导全员参与垃圾分类投放</w:t>
            </w:r>
            <w:r>
              <w:rPr>
                <w:rFonts w:hint="eastAsia" w:ascii="Times New Roman" w:hAnsi="Times New Roman" w:eastAsia="宋体" w:cs="Calibri"/>
                <w:b w:val="0"/>
                <w:bCs w:val="0"/>
                <w:color w:val="auto"/>
                <w:kern w:val="0"/>
                <w:szCs w:val="21"/>
                <w:highlight w:val="none"/>
                <w:lang w:val="en-US" w:eastAsia="zh-CN"/>
              </w:rPr>
              <w:t>。</w:t>
            </w:r>
          </w:p>
        </w:tc>
      </w:tr>
      <w:tr w14:paraId="294E9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6AF4902E">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657" w:type="pct"/>
            <w:vMerge w:val="continue"/>
            <w:noWrap w:val="0"/>
            <w:vAlign w:val="center"/>
          </w:tcPr>
          <w:p w14:paraId="58A27AF0">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Calibri" w:hAnsi="Calibri" w:cs="Calibri"/>
                <w:b w:val="0"/>
                <w:bCs w:val="0"/>
                <w:color w:val="auto"/>
                <w:kern w:val="0"/>
                <w:szCs w:val="21"/>
                <w:highlight w:val="none"/>
                <w:lang w:val="en-US" w:eastAsia="zh-CN"/>
              </w:rPr>
            </w:pPr>
          </w:p>
        </w:tc>
        <w:tc>
          <w:tcPr>
            <w:tcW w:w="3925" w:type="pct"/>
            <w:shd w:val="clear" w:color="auto" w:fill="auto"/>
            <w:noWrap w:val="0"/>
            <w:vAlign w:val="center"/>
          </w:tcPr>
          <w:p w14:paraId="2F716F94">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（9）垃圾分类投放管理工作的执行标准，按所在城市的要求执行。</w:t>
            </w:r>
          </w:p>
        </w:tc>
      </w:tr>
      <w:tr w14:paraId="03E1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restart"/>
            <w:noWrap w:val="0"/>
            <w:vAlign w:val="center"/>
          </w:tcPr>
          <w:p w14:paraId="38716B8D">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5</w:t>
            </w:r>
          </w:p>
        </w:tc>
        <w:tc>
          <w:tcPr>
            <w:tcW w:w="657" w:type="pct"/>
            <w:vMerge w:val="restart"/>
            <w:noWrap w:val="0"/>
            <w:vAlign w:val="center"/>
          </w:tcPr>
          <w:p w14:paraId="6184A137">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卫生消毒</w:t>
            </w:r>
          </w:p>
        </w:tc>
        <w:tc>
          <w:tcPr>
            <w:tcW w:w="3925" w:type="pct"/>
            <w:noWrap w:val="0"/>
            <w:vAlign w:val="center"/>
          </w:tcPr>
          <w:p w14:paraId="0E5DC5C1">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（1）办公用房区域、公共场所区域和周围环境预防性卫生消毒，消毒后及时通风，每周至少开展1次作业。</w:t>
            </w:r>
          </w:p>
        </w:tc>
      </w:tr>
      <w:tr w14:paraId="5497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0660662F">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657" w:type="pct"/>
            <w:vMerge w:val="continue"/>
            <w:noWrap w:val="0"/>
            <w:vAlign w:val="center"/>
          </w:tcPr>
          <w:p w14:paraId="4BCC2FCC">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cs="Times New Roman"/>
                <w:color w:val="auto"/>
                <w:highlight w:val="none"/>
              </w:rPr>
            </w:pPr>
          </w:p>
        </w:tc>
        <w:tc>
          <w:tcPr>
            <w:tcW w:w="3925" w:type="pct"/>
            <w:noWrap w:val="0"/>
            <w:vAlign w:val="center"/>
          </w:tcPr>
          <w:p w14:paraId="7A6E073A">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（2）采取综合措施消灭老鼠、蟑螂，控制室内外蚊虫孳生，达到基本无蝇，每季度至少开展1次作业。</w:t>
            </w:r>
          </w:p>
        </w:tc>
      </w:tr>
      <w:tr w14:paraId="2C0B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7" w:type="pct"/>
            <w:vMerge w:val="continue"/>
            <w:noWrap w:val="0"/>
            <w:vAlign w:val="center"/>
          </w:tcPr>
          <w:p w14:paraId="5DDC73EA">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highlight w:val="none"/>
                <w:lang w:val="en-US" w:eastAsia="zh-CN"/>
              </w:rPr>
            </w:pPr>
          </w:p>
        </w:tc>
        <w:tc>
          <w:tcPr>
            <w:tcW w:w="657" w:type="pct"/>
            <w:vMerge w:val="continue"/>
            <w:noWrap w:val="0"/>
            <w:vAlign w:val="center"/>
          </w:tcPr>
          <w:p w14:paraId="4C3D6662">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cs="Times New Roman"/>
                <w:color w:val="auto"/>
                <w:highlight w:val="none"/>
              </w:rPr>
            </w:pPr>
          </w:p>
        </w:tc>
        <w:tc>
          <w:tcPr>
            <w:tcW w:w="3925" w:type="pct"/>
            <w:noWrap w:val="0"/>
            <w:vAlign w:val="center"/>
          </w:tcPr>
          <w:p w14:paraId="586A176A">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（3）发生公共卫生事件时，邀请专业单位开展消毒、检测等工作。</w:t>
            </w:r>
          </w:p>
        </w:tc>
      </w:tr>
    </w:tbl>
    <w:p w14:paraId="7F792D45">
      <w:pPr>
        <w:keepNext/>
        <w:keepLines/>
        <w:pageBreakBefore w:val="0"/>
        <w:widowControl w:val="0"/>
        <w:tabs>
          <w:tab w:val="left" w:pos="900"/>
        </w:tabs>
        <w:kinsoku/>
        <w:wordWrap/>
        <w:overflowPunct/>
        <w:topLinePunct w:val="0"/>
        <w:autoSpaceDE/>
        <w:autoSpaceDN/>
        <w:bidi w:val="0"/>
        <w:adjustRightInd w:val="0"/>
        <w:snapToGrid w:val="0"/>
        <w:spacing w:before="0" w:after="0" w:line="360" w:lineRule="auto"/>
        <w:ind w:left="0" w:firstLine="0"/>
        <w:jc w:val="both"/>
        <w:textAlignment w:val="auto"/>
        <w:outlineLvl w:val="2"/>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4.4绿化服务</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66"/>
        <w:gridCol w:w="7379"/>
      </w:tblGrid>
      <w:tr w14:paraId="5BA8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noWrap w:val="0"/>
            <w:vAlign w:val="center"/>
          </w:tcPr>
          <w:p w14:paraId="3A90B191">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Calibri" w:hAnsi="Calibri" w:eastAsia="宋体" w:cs="Calibri"/>
                <w:b/>
                <w:bCs/>
                <w:color w:val="auto"/>
                <w:kern w:val="0"/>
                <w:szCs w:val="21"/>
                <w:highlight w:val="none"/>
                <w:lang w:val="en-US" w:eastAsia="zh-CN"/>
              </w:rPr>
            </w:pPr>
            <w:r>
              <w:rPr>
                <w:rFonts w:hint="eastAsia" w:ascii="Times New Roman" w:hAnsi="Times New Roman" w:cs="Calibri"/>
                <w:b/>
                <w:bCs/>
                <w:color w:val="auto"/>
                <w:kern w:val="0"/>
                <w:szCs w:val="21"/>
                <w:highlight w:val="none"/>
                <w:lang w:val="en-US" w:eastAsia="zh-CN"/>
              </w:rPr>
              <w:t>序号</w:t>
            </w:r>
          </w:p>
        </w:tc>
        <w:tc>
          <w:tcPr>
            <w:tcW w:w="1068" w:type="dxa"/>
            <w:noWrap w:val="0"/>
            <w:vAlign w:val="center"/>
          </w:tcPr>
          <w:p w14:paraId="604573C5">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6749" w:type="dxa"/>
            <w:noWrap w:val="0"/>
            <w:vAlign w:val="center"/>
          </w:tcPr>
          <w:p w14:paraId="031893C8">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default" w:ascii="Calibri" w:hAnsi="Calibri" w:eastAsia="宋体" w:cs="Calibri"/>
                <w:b/>
                <w:bCs/>
                <w:color w:val="auto"/>
                <w:kern w:val="0"/>
                <w:szCs w:val="21"/>
                <w:highlight w:val="none"/>
                <w:lang w:val="en-US" w:eastAsia="zh-CN"/>
              </w:rPr>
            </w:pPr>
            <w:r>
              <w:rPr>
                <w:rFonts w:hint="eastAsia" w:ascii="Times New Roman" w:hAnsi="Times New Roman" w:cs="Calibri"/>
                <w:b/>
                <w:bCs/>
                <w:color w:val="auto"/>
                <w:kern w:val="0"/>
                <w:szCs w:val="21"/>
                <w:highlight w:val="none"/>
                <w:lang w:val="en-US" w:eastAsia="zh-CN"/>
              </w:rPr>
              <w:t>服务标准</w:t>
            </w:r>
          </w:p>
        </w:tc>
      </w:tr>
      <w:tr w14:paraId="4F08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restart"/>
            <w:noWrap w:val="0"/>
            <w:vAlign w:val="center"/>
          </w:tcPr>
          <w:p w14:paraId="0FE962EA">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w:t>
            </w:r>
          </w:p>
        </w:tc>
        <w:tc>
          <w:tcPr>
            <w:tcW w:w="1068" w:type="dxa"/>
            <w:vMerge w:val="restart"/>
            <w:noWrap w:val="0"/>
            <w:vAlign w:val="center"/>
          </w:tcPr>
          <w:p w14:paraId="2D7E014A">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Calibri" w:hAnsi="Calibri" w:eastAsia="宋体" w:cs="Calibri"/>
                <w:color w:val="auto"/>
                <w:kern w:val="2"/>
                <w:sz w:val="21"/>
                <w:szCs w:val="21"/>
                <w:highlight w:val="none"/>
                <w:lang w:val="en-US" w:eastAsia="zh-CN" w:bidi="ar-SA"/>
              </w:rPr>
            </w:pPr>
            <w:r>
              <w:rPr>
                <w:rFonts w:hint="eastAsia" w:ascii="Times New Roman" w:hAnsi="Times New Roman" w:cs="Times New Roman"/>
                <w:color w:val="auto"/>
                <w:highlight w:val="none"/>
                <w:lang w:val="en-US" w:eastAsia="zh-CN"/>
              </w:rPr>
              <w:t>基本要求</w:t>
            </w:r>
          </w:p>
        </w:tc>
        <w:tc>
          <w:tcPr>
            <w:tcW w:w="6749" w:type="dxa"/>
            <w:shd w:val="clear" w:color="auto" w:fill="auto"/>
            <w:noWrap w:val="0"/>
            <w:vAlign w:val="center"/>
          </w:tcPr>
          <w:p w14:paraId="00DF95A4">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（1）制定绿化服务的工作制度及工作计划，并按照执行。</w:t>
            </w:r>
          </w:p>
        </w:tc>
      </w:tr>
      <w:tr w14:paraId="1DB9A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noWrap w:val="0"/>
            <w:vAlign w:val="center"/>
          </w:tcPr>
          <w:p w14:paraId="73562804">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1068" w:type="dxa"/>
            <w:vMerge w:val="continue"/>
            <w:noWrap w:val="0"/>
            <w:vAlign w:val="center"/>
          </w:tcPr>
          <w:p w14:paraId="5FFB72D8">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cs="Times New Roman"/>
                <w:color w:val="auto"/>
                <w:highlight w:val="none"/>
                <w:lang w:val="en-US" w:eastAsia="zh-CN"/>
              </w:rPr>
            </w:pPr>
          </w:p>
        </w:tc>
        <w:tc>
          <w:tcPr>
            <w:tcW w:w="6749" w:type="dxa"/>
            <w:shd w:val="clear" w:color="auto" w:fill="auto"/>
            <w:noWrap w:val="0"/>
            <w:vAlign w:val="center"/>
          </w:tcPr>
          <w:p w14:paraId="2FE28957">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（2）做好绿化服务工作记录，填写规范。</w:t>
            </w:r>
          </w:p>
        </w:tc>
      </w:tr>
      <w:tr w14:paraId="65FA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noWrap w:val="0"/>
            <w:vAlign w:val="center"/>
          </w:tcPr>
          <w:p w14:paraId="53C2892F">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1068" w:type="dxa"/>
            <w:vMerge w:val="continue"/>
            <w:noWrap w:val="0"/>
            <w:vAlign w:val="center"/>
          </w:tcPr>
          <w:p w14:paraId="05BA2F6D">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cs="Times New Roman"/>
                <w:color w:val="auto"/>
                <w:highlight w:val="none"/>
                <w:lang w:val="en-US" w:eastAsia="zh-CN"/>
              </w:rPr>
            </w:pPr>
          </w:p>
        </w:tc>
        <w:tc>
          <w:tcPr>
            <w:tcW w:w="6749" w:type="dxa"/>
            <w:shd w:val="clear" w:color="auto" w:fill="auto"/>
            <w:noWrap w:val="0"/>
            <w:vAlign w:val="center"/>
          </w:tcPr>
          <w:p w14:paraId="4686C7B7">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（3）作业时采取安全防护措施，防止对作业人员或他人造成伤害。</w:t>
            </w:r>
          </w:p>
        </w:tc>
      </w:tr>
      <w:tr w14:paraId="282F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noWrap w:val="0"/>
            <w:vAlign w:val="center"/>
          </w:tcPr>
          <w:p w14:paraId="3950C6D3">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cs="Times New Roman"/>
                <w:color w:val="auto"/>
                <w:highlight w:val="none"/>
                <w:lang w:val="en-US" w:eastAsia="zh-CN"/>
              </w:rPr>
            </w:pPr>
          </w:p>
        </w:tc>
        <w:tc>
          <w:tcPr>
            <w:tcW w:w="1068" w:type="dxa"/>
            <w:vMerge w:val="continue"/>
            <w:noWrap w:val="0"/>
            <w:vAlign w:val="center"/>
          </w:tcPr>
          <w:p w14:paraId="13A8BB66">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Calibri" w:hAnsi="Calibri" w:eastAsia="宋体" w:cs="Calibri"/>
                <w:color w:val="auto"/>
                <w:kern w:val="2"/>
                <w:sz w:val="21"/>
                <w:szCs w:val="21"/>
                <w:highlight w:val="none"/>
                <w:lang w:val="en-US" w:eastAsia="zh-CN" w:bidi="ar-SA"/>
              </w:rPr>
            </w:pPr>
          </w:p>
        </w:tc>
        <w:tc>
          <w:tcPr>
            <w:tcW w:w="6749" w:type="dxa"/>
            <w:shd w:val="clear" w:color="auto" w:fill="auto"/>
            <w:noWrap w:val="0"/>
            <w:vAlign w:val="center"/>
          </w:tcPr>
          <w:p w14:paraId="313FE7EC">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（4）相关耗材的环保、安全性应当符合规定要求。</w:t>
            </w:r>
          </w:p>
        </w:tc>
      </w:tr>
      <w:tr w14:paraId="7236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restart"/>
            <w:shd w:val="clear" w:color="auto" w:fill="auto"/>
            <w:noWrap w:val="0"/>
            <w:vAlign w:val="center"/>
          </w:tcPr>
          <w:p w14:paraId="6DFF31F9">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2</w:t>
            </w:r>
          </w:p>
        </w:tc>
        <w:tc>
          <w:tcPr>
            <w:tcW w:w="1068" w:type="dxa"/>
            <w:vMerge w:val="restart"/>
            <w:shd w:val="clear" w:color="auto" w:fill="auto"/>
            <w:noWrap w:val="0"/>
            <w:vAlign w:val="center"/>
          </w:tcPr>
          <w:p w14:paraId="48EA2173">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Calibri" w:hAnsi="Calibri" w:eastAsia="宋体" w:cs="Calibri"/>
                <w:color w:val="auto"/>
                <w:kern w:val="2"/>
                <w:sz w:val="21"/>
                <w:szCs w:val="21"/>
                <w:highlight w:val="none"/>
                <w:lang w:val="en-US" w:eastAsia="zh-CN" w:bidi="ar-SA"/>
              </w:rPr>
            </w:pPr>
            <w:r>
              <w:rPr>
                <w:rFonts w:hint="eastAsia" w:ascii="Times New Roman" w:hAnsi="Times New Roman" w:cs="Times New Roman"/>
                <w:color w:val="auto"/>
                <w:highlight w:val="none"/>
                <w:lang w:val="en-US" w:eastAsia="zh-CN"/>
              </w:rPr>
              <w:t>室外绿化养护</w:t>
            </w:r>
          </w:p>
        </w:tc>
        <w:tc>
          <w:tcPr>
            <w:tcW w:w="6749" w:type="dxa"/>
            <w:shd w:val="clear" w:color="auto" w:fill="auto"/>
            <w:noWrap w:val="0"/>
            <w:vAlign w:val="center"/>
          </w:tcPr>
          <w:p w14:paraId="40E085CF">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（1）根据生长环境、植物特性进行除草、灌溉、施肥、整形修剪、防治病虫害等。</w:t>
            </w:r>
          </w:p>
        </w:tc>
      </w:tr>
      <w:tr w14:paraId="7452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noWrap w:val="0"/>
            <w:vAlign w:val="center"/>
          </w:tcPr>
          <w:p w14:paraId="7C21FFB5">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1068" w:type="dxa"/>
            <w:vMerge w:val="continue"/>
            <w:noWrap w:val="0"/>
            <w:vAlign w:val="center"/>
          </w:tcPr>
          <w:p w14:paraId="73DB6E07">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cs="Times New Roman"/>
                <w:color w:val="auto"/>
                <w:highlight w:val="none"/>
                <w:lang w:val="en-US" w:eastAsia="zh-CN"/>
              </w:rPr>
            </w:pPr>
          </w:p>
        </w:tc>
        <w:tc>
          <w:tcPr>
            <w:tcW w:w="6749" w:type="dxa"/>
            <w:shd w:val="clear" w:color="auto" w:fill="auto"/>
            <w:noWrap w:val="0"/>
            <w:vAlign w:val="center"/>
          </w:tcPr>
          <w:p w14:paraId="5FF6EEF3">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（2）根据生长情况修剪绿地，绿地内无枯草、无杂物，无干枯坏死和病虫侵害，基本无裸露土地。</w:t>
            </w:r>
          </w:p>
        </w:tc>
      </w:tr>
      <w:tr w14:paraId="51BD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noWrap w:val="0"/>
            <w:vAlign w:val="center"/>
          </w:tcPr>
          <w:p w14:paraId="2DF31E87">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1068" w:type="dxa"/>
            <w:vMerge w:val="continue"/>
            <w:noWrap w:val="0"/>
            <w:vAlign w:val="center"/>
          </w:tcPr>
          <w:p w14:paraId="5384FEE3">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cs="Times New Roman"/>
                <w:color w:val="auto"/>
                <w:highlight w:val="none"/>
                <w:lang w:val="en-US" w:eastAsia="zh-CN"/>
              </w:rPr>
            </w:pPr>
          </w:p>
        </w:tc>
        <w:tc>
          <w:tcPr>
            <w:tcW w:w="6749" w:type="dxa"/>
            <w:shd w:val="clear" w:color="auto" w:fill="auto"/>
            <w:noWrap w:val="0"/>
            <w:vAlign w:val="center"/>
          </w:tcPr>
          <w:p w14:paraId="4B284EA6">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（3）定期修剪树木、花卉等，</w:t>
            </w:r>
            <w:r>
              <w:rPr>
                <w:rFonts w:hint="default" w:ascii="Times New Roman" w:hAnsi="Times New Roman" w:eastAsia="宋体" w:cs="Calibri"/>
                <w:b w:val="0"/>
                <w:bCs w:val="0"/>
                <w:color w:val="auto"/>
                <w:kern w:val="0"/>
                <w:szCs w:val="21"/>
                <w:highlight w:val="none"/>
                <w:lang w:val="en-US" w:eastAsia="zh-CN"/>
              </w:rPr>
              <w:t>灌乔木生长正常、造型美观自然、花枝新鲜，无枯叶、无病虫、无死树缺株</w:t>
            </w:r>
            <w:r>
              <w:rPr>
                <w:rFonts w:hint="eastAsia" w:ascii="Times New Roman" w:hAnsi="Times New Roman" w:eastAsia="宋体" w:cs="Calibri"/>
                <w:b w:val="0"/>
                <w:bCs w:val="0"/>
                <w:color w:val="auto"/>
                <w:kern w:val="0"/>
                <w:szCs w:val="21"/>
                <w:highlight w:val="none"/>
                <w:lang w:val="en-US" w:eastAsia="zh-CN"/>
              </w:rPr>
              <w:t>。</w:t>
            </w:r>
          </w:p>
        </w:tc>
      </w:tr>
      <w:tr w14:paraId="59C2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noWrap w:val="0"/>
            <w:vAlign w:val="center"/>
          </w:tcPr>
          <w:p w14:paraId="6888EA9D">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1068" w:type="dxa"/>
            <w:vMerge w:val="continue"/>
            <w:noWrap w:val="0"/>
            <w:vAlign w:val="center"/>
          </w:tcPr>
          <w:p w14:paraId="14D3D591">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cs="Times New Roman"/>
                <w:color w:val="auto"/>
                <w:highlight w:val="none"/>
                <w:lang w:val="en-US" w:eastAsia="zh-CN"/>
              </w:rPr>
            </w:pPr>
          </w:p>
        </w:tc>
        <w:tc>
          <w:tcPr>
            <w:tcW w:w="6749" w:type="dxa"/>
            <w:shd w:val="clear" w:color="auto" w:fill="auto"/>
            <w:noWrap w:val="0"/>
            <w:vAlign w:val="center"/>
          </w:tcPr>
          <w:p w14:paraId="60488747">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（4）绿篱生长造型正常，颜色正常，修剪及时，基本无死株和干死株，有虫株率在10%以下。</w:t>
            </w:r>
          </w:p>
        </w:tc>
      </w:tr>
      <w:tr w14:paraId="0C01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noWrap w:val="0"/>
            <w:vAlign w:val="center"/>
          </w:tcPr>
          <w:p w14:paraId="719D39E5">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1068" w:type="dxa"/>
            <w:vMerge w:val="continue"/>
            <w:noWrap w:val="0"/>
            <w:vAlign w:val="center"/>
          </w:tcPr>
          <w:p w14:paraId="3127A52C">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cs="Times New Roman"/>
                <w:color w:val="auto"/>
                <w:highlight w:val="none"/>
                <w:lang w:val="en-US" w:eastAsia="zh-CN"/>
              </w:rPr>
            </w:pPr>
          </w:p>
        </w:tc>
        <w:tc>
          <w:tcPr>
            <w:tcW w:w="6749" w:type="dxa"/>
            <w:shd w:val="clear" w:color="auto" w:fill="auto"/>
            <w:noWrap w:val="0"/>
            <w:vAlign w:val="center"/>
          </w:tcPr>
          <w:p w14:paraId="1B1580D3">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（5）清除花坛和花景的花蒂、黄叶、杂草、垃圾，做好病虫害防治。</w:t>
            </w:r>
          </w:p>
        </w:tc>
      </w:tr>
      <w:tr w14:paraId="3F98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noWrap w:val="0"/>
            <w:vAlign w:val="center"/>
          </w:tcPr>
          <w:p w14:paraId="49AB5484">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1068" w:type="dxa"/>
            <w:vMerge w:val="continue"/>
            <w:noWrap w:val="0"/>
            <w:vAlign w:val="center"/>
          </w:tcPr>
          <w:p w14:paraId="774DDC62">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cs="Times New Roman"/>
                <w:color w:val="auto"/>
                <w:highlight w:val="none"/>
                <w:lang w:val="en-US" w:eastAsia="zh-CN"/>
              </w:rPr>
            </w:pPr>
          </w:p>
        </w:tc>
        <w:tc>
          <w:tcPr>
            <w:tcW w:w="6749" w:type="dxa"/>
            <w:shd w:val="clear" w:color="auto" w:fill="auto"/>
            <w:noWrap w:val="0"/>
            <w:vAlign w:val="center"/>
          </w:tcPr>
          <w:p w14:paraId="442EDC39">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（6）水池水面定期清理，无枯枝落叶、水质清洁。</w:t>
            </w:r>
          </w:p>
        </w:tc>
      </w:tr>
      <w:tr w14:paraId="2835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noWrap w:val="0"/>
            <w:vAlign w:val="center"/>
          </w:tcPr>
          <w:p w14:paraId="14D4D84E">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1068" w:type="dxa"/>
            <w:vMerge w:val="continue"/>
            <w:noWrap w:val="0"/>
            <w:vAlign w:val="center"/>
          </w:tcPr>
          <w:p w14:paraId="6BF2215E">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cs="Times New Roman"/>
                <w:color w:val="auto"/>
                <w:highlight w:val="none"/>
                <w:lang w:val="en-US" w:eastAsia="zh-CN"/>
              </w:rPr>
            </w:pPr>
          </w:p>
        </w:tc>
        <w:tc>
          <w:tcPr>
            <w:tcW w:w="6749" w:type="dxa"/>
            <w:shd w:val="clear" w:color="auto" w:fill="auto"/>
            <w:noWrap w:val="0"/>
            <w:vAlign w:val="center"/>
          </w:tcPr>
          <w:p w14:paraId="1D715F1E">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（7）根据病虫害发生规律实施综合治理，通常在病虫率高时，以药剂杀死病虫，以确保植物良好生长。产生垃圾的主要区域和路段做到日产日清。</w:t>
            </w:r>
          </w:p>
        </w:tc>
      </w:tr>
      <w:tr w14:paraId="6E46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noWrap w:val="0"/>
            <w:vAlign w:val="center"/>
          </w:tcPr>
          <w:p w14:paraId="3ED2C5FD">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1068" w:type="dxa"/>
            <w:vMerge w:val="continue"/>
            <w:noWrap w:val="0"/>
            <w:vAlign w:val="center"/>
          </w:tcPr>
          <w:p w14:paraId="3F73EBC1">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cs="Times New Roman"/>
                <w:color w:val="auto"/>
                <w:highlight w:val="none"/>
                <w:lang w:val="en-US" w:eastAsia="zh-CN"/>
              </w:rPr>
            </w:pPr>
          </w:p>
        </w:tc>
        <w:tc>
          <w:tcPr>
            <w:tcW w:w="6749" w:type="dxa"/>
            <w:shd w:val="clear" w:color="auto" w:fill="auto"/>
            <w:noWrap w:val="0"/>
            <w:vAlign w:val="center"/>
          </w:tcPr>
          <w:p w14:paraId="58260AA2">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（8）雨雪、冰冻等恶劣天气来临前，专人巡查，对绿植做好预防措施，排除安全隐患。</w:t>
            </w:r>
          </w:p>
        </w:tc>
      </w:tr>
      <w:tr w14:paraId="4990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vMerge w:val="continue"/>
            <w:noWrap w:val="0"/>
            <w:vAlign w:val="center"/>
          </w:tcPr>
          <w:p w14:paraId="1D3BC4AF">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cs="Times New Roman"/>
                <w:color w:val="auto"/>
                <w:highlight w:val="none"/>
                <w:lang w:val="en-US" w:eastAsia="zh-CN"/>
              </w:rPr>
            </w:pPr>
          </w:p>
        </w:tc>
        <w:tc>
          <w:tcPr>
            <w:tcW w:w="1068" w:type="dxa"/>
            <w:vMerge w:val="continue"/>
            <w:noWrap w:val="0"/>
            <w:vAlign w:val="center"/>
          </w:tcPr>
          <w:p w14:paraId="0DA4A589">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cs="Times New Roman"/>
                <w:color w:val="auto"/>
                <w:highlight w:val="none"/>
                <w:lang w:val="en-US" w:eastAsia="zh-CN"/>
              </w:rPr>
            </w:pPr>
          </w:p>
        </w:tc>
        <w:tc>
          <w:tcPr>
            <w:tcW w:w="6749" w:type="dxa"/>
            <w:shd w:val="clear" w:color="auto" w:fill="auto"/>
            <w:noWrap w:val="0"/>
            <w:vAlign w:val="center"/>
          </w:tcPr>
          <w:p w14:paraId="699CAE8B">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宋体" w:cs="Calibri"/>
                <w:b w:val="0"/>
                <w:bCs w:val="0"/>
                <w:color w:val="auto"/>
                <w:kern w:val="0"/>
                <w:szCs w:val="21"/>
                <w:highlight w:val="none"/>
                <w:lang w:val="en-US" w:eastAsia="zh-CN"/>
              </w:rPr>
            </w:pPr>
            <w:r>
              <w:rPr>
                <w:rFonts w:hint="eastAsia" w:ascii="Times New Roman" w:hAnsi="Times New Roman" w:eastAsia="宋体" w:cs="Calibri"/>
                <w:b w:val="0"/>
                <w:bCs w:val="0"/>
                <w:color w:val="auto"/>
                <w:kern w:val="0"/>
                <w:szCs w:val="21"/>
                <w:highlight w:val="none"/>
                <w:lang w:val="en-US" w:eastAsia="zh-CN"/>
              </w:rPr>
              <w:t>（9）恶劣天气后，及时清除倒树断枝，疏通道路，尽快恢复原状。</w:t>
            </w:r>
          </w:p>
        </w:tc>
      </w:tr>
    </w:tbl>
    <w:p w14:paraId="5A3E6C51">
      <w:pPr>
        <w:keepNext/>
        <w:keepLines/>
        <w:pageBreakBefore w:val="0"/>
        <w:widowControl w:val="0"/>
        <w:tabs>
          <w:tab w:val="left" w:pos="900"/>
        </w:tabs>
        <w:kinsoku/>
        <w:wordWrap/>
        <w:overflowPunct/>
        <w:topLinePunct w:val="0"/>
        <w:autoSpaceDE/>
        <w:autoSpaceDN/>
        <w:bidi w:val="0"/>
        <w:adjustRightInd w:val="0"/>
        <w:snapToGrid w:val="0"/>
        <w:spacing w:before="0" w:after="0" w:line="360" w:lineRule="auto"/>
        <w:ind w:left="0" w:firstLine="0"/>
        <w:jc w:val="both"/>
        <w:textAlignment w:val="auto"/>
        <w:outlineLvl w:val="2"/>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4.5工程</w:t>
      </w:r>
      <w:r>
        <w:rPr>
          <w:rFonts w:hint="default" w:ascii="宋体" w:hAnsi="宋体" w:eastAsia="宋体" w:cs="宋体"/>
          <w:b/>
          <w:bCs/>
          <w:color w:val="auto"/>
          <w:kern w:val="2"/>
          <w:sz w:val="24"/>
          <w:szCs w:val="24"/>
          <w:highlight w:val="none"/>
          <w:lang w:val="en-US" w:eastAsia="zh-CN" w:bidi="ar-SA"/>
        </w:rPr>
        <w:t>服务</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66"/>
        <w:gridCol w:w="7379"/>
      </w:tblGrid>
      <w:tr w14:paraId="4809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noWrap w:val="0"/>
            <w:vAlign w:val="center"/>
          </w:tcPr>
          <w:p w14:paraId="1FC69347">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序号</w:t>
            </w:r>
          </w:p>
        </w:tc>
        <w:tc>
          <w:tcPr>
            <w:tcW w:w="1166" w:type="dxa"/>
            <w:noWrap w:val="0"/>
            <w:vAlign w:val="center"/>
          </w:tcPr>
          <w:p w14:paraId="4B194B87">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服务内容</w:t>
            </w:r>
          </w:p>
        </w:tc>
        <w:tc>
          <w:tcPr>
            <w:tcW w:w="7379" w:type="dxa"/>
            <w:noWrap w:val="0"/>
            <w:vAlign w:val="center"/>
          </w:tcPr>
          <w:p w14:paraId="39FE2E77">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服务标准</w:t>
            </w:r>
          </w:p>
        </w:tc>
      </w:tr>
      <w:tr w14:paraId="290E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vMerge w:val="restart"/>
            <w:noWrap w:val="0"/>
            <w:vAlign w:val="center"/>
          </w:tcPr>
          <w:p w14:paraId="5CB7599E">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1166" w:type="dxa"/>
            <w:vMerge w:val="restart"/>
            <w:noWrap w:val="0"/>
            <w:vAlign w:val="center"/>
          </w:tcPr>
          <w:p w14:paraId="24EE2E12">
            <w:pPr>
              <w:keepNext w:val="0"/>
              <w:keepLines w:val="0"/>
              <w:pageBreakBefore w:val="0"/>
              <w:widowControl/>
              <w:kinsoku/>
              <w:wordWrap/>
              <w:overflowPunct/>
              <w:topLinePunct w:val="0"/>
              <w:autoSpaceDE/>
              <w:autoSpaceDN/>
              <w:bidi w:val="0"/>
              <w:snapToGrid w:val="0"/>
              <w:spacing w:line="240" w:lineRule="auto"/>
              <w:ind w:left="0"/>
              <w:jc w:val="both"/>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基本要求</w:t>
            </w:r>
          </w:p>
        </w:tc>
        <w:tc>
          <w:tcPr>
            <w:tcW w:w="7379" w:type="dxa"/>
            <w:shd w:val="clear" w:color="auto" w:fill="auto"/>
            <w:noWrap w:val="0"/>
            <w:vAlign w:val="center"/>
          </w:tcPr>
          <w:p w14:paraId="1B4B3AF0">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（1）重大节假日及恶劣天气前后，组织系统巡检1次。</w:t>
            </w:r>
          </w:p>
        </w:tc>
      </w:tr>
      <w:tr w14:paraId="6D0D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vMerge w:val="continue"/>
            <w:noWrap w:val="0"/>
            <w:vAlign w:val="center"/>
          </w:tcPr>
          <w:p w14:paraId="223C8A94">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val="0"/>
                <w:bCs w:val="0"/>
                <w:color w:val="auto"/>
                <w:kern w:val="0"/>
                <w:sz w:val="21"/>
                <w:szCs w:val="21"/>
                <w:highlight w:val="none"/>
                <w:lang w:val="en-US" w:eastAsia="zh-CN"/>
              </w:rPr>
            </w:pPr>
          </w:p>
        </w:tc>
        <w:tc>
          <w:tcPr>
            <w:tcW w:w="1166" w:type="dxa"/>
            <w:vMerge w:val="continue"/>
            <w:noWrap w:val="0"/>
            <w:vAlign w:val="center"/>
          </w:tcPr>
          <w:p w14:paraId="684B1176">
            <w:pPr>
              <w:keepNext w:val="0"/>
              <w:keepLines w:val="0"/>
              <w:pageBreakBefore w:val="0"/>
              <w:widowControl/>
              <w:kinsoku/>
              <w:wordWrap/>
              <w:overflowPunct/>
              <w:topLinePunct w:val="0"/>
              <w:autoSpaceDE/>
              <w:autoSpaceDN/>
              <w:bidi w:val="0"/>
              <w:snapToGrid w:val="0"/>
              <w:spacing w:line="240" w:lineRule="auto"/>
              <w:ind w:left="0"/>
              <w:jc w:val="both"/>
              <w:textAlignment w:val="auto"/>
              <w:rPr>
                <w:rFonts w:hint="eastAsia" w:ascii="宋体" w:hAnsi="宋体" w:eastAsia="宋体" w:cs="宋体"/>
                <w:b w:val="0"/>
                <w:bCs w:val="0"/>
                <w:color w:val="auto"/>
                <w:kern w:val="0"/>
                <w:sz w:val="21"/>
                <w:szCs w:val="21"/>
                <w:highlight w:val="none"/>
              </w:rPr>
            </w:pPr>
          </w:p>
        </w:tc>
        <w:tc>
          <w:tcPr>
            <w:tcW w:w="7379" w:type="dxa"/>
            <w:shd w:val="clear" w:color="auto" w:fill="auto"/>
            <w:noWrap w:val="0"/>
            <w:vAlign w:val="center"/>
          </w:tcPr>
          <w:p w14:paraId="49218AC5">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（2）具备设施设备安全、稳定运行的环境和场所（含有限空间），温湿度、照度、粉尘和烟雾浓度等符合相关安全规范。</w:t>
            </w:r>
          </w:p>
        </w:tc>
      </w:tr>
      <w:tr w14:paraId="51D05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vMerge w:val="restart"/>
            <w:noWrap w:val="0"/>
            <w:vAlign w:val="center"/>
          </w:tcPr>
          <w:p w14:paraId="6281A1CA">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1166" w:type="dxa"/>
            <w:vMerge w:val="restart"/>
            <w:noWrap w:val="0"/>
            <w:vAlign w:val="center"/>
          </w:tcPr>
          <w:p w14:paraId="6FFC4DCA">
            <w:pPr>
              <w:keepNext w:val="0"/>
              <w:keepLines w:val="0"/>
              <w:pageBreakBefore w:val="0"/>
              <w:widowControl/>
              <w:kinsoku/>
              <w:wordWrap/>
              <w:overflowPunct/>
              <w:topLinePunct w:val="0"/>
              <w:autoSpaceDE/>
              <w:autoSpaceDN/>
              <w:bidi w:val="0"/>
              <w:snapToGrid w:val="0"/>
              <w:spacing w:line="240" w:lineRule="auto"/>
              <w:ind w:left="0"/>
              <w:jc w:val="both"/>
              <w:textAlignment w:val="auto"/>
              <w:rPr>
                <w:rFonts w:hint="eastAsia" w:ascii="宋体" w:hAnsi="宋体" w:eastAsia="宋体" w:cs="宋体"/>
                <w:b w:val="0"/>
                <w:bCs w:val="0"/>
                <w:color w:val="auto"/>
                <w:kern w:val="0"/>
                <w:sz w:val="21"/>
                <w:szCs w:val="21"/>
                <w:highlight w:val="none"/>
              </w:rPr>
            </w:pPr>
            <w:r>
              <w:rPr>
                <w:rFonts w:hint="eastAsia" w:ascii="Times New Roman" w:hAnsi="Times New Roman" w:eastAsia="宋体" w:cs="Calibri"/>
                <w:b w:val="0"/>
                <w:bCs w:val="0"/>
                <w:color w:val="auto"/>
                <w:kern w:val="0"/>
                <w:szCs w:val="21"/>
                <w:highlight w:val="none"/>
                <w:lang w:val="en-US" w:eastAsia="zh-CN"/>
              </w:rPr>
              <w:t>设备机房</w:t>
            </w:r>
          </w:p>
        </w:tc>
        <w:tc>
          <w:tcPr>
            <w:tcW w:w="7379" w:type="dxa"/>
            <w:shd w:val="clear" w:color="auto" w:fill="auto"/>
            <w:noWrap w:val="0"/>
            <w:vAlign w:val="center"/>
          </w:tcPr>
          <w:p w14:paraId="68B7670C">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1）设备机房门口有机房类别及安全标志。落实各类机房责任人、督查人，且设备系统图、应急预案流程图、管理制度、特种作业人员资格证书等上墙文件或证书符合各设备机房国家标准规范要求，机房巡视及外来人员记录清晰完整，标识统一。</w:t>
            </w:r>
          </w:p>
        </w:tc>
      </w:tr>
      <w:tr w14:paraId="7558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vMerge w:val="continue"/>
            <w:noWrap w:val="0"/>
            <w:vAlign w:val="center"/>
          </w:tcPr>
          <w:p w14:paraId="5C197AFB">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val="0"/>
                <w:bCs w:val="0"/>
                <w:color w:val="auto"/>
                <w:kern w:val="0"/>
                <w:sz w:val="21"/>
                <w:szCs w:val="21"/>
                <w:highlight w:val="none"/>
                <w:lang w:val="en-US" w:eastAsia="zh-CN"/>
              </w:rPr>
            </w:pPr>
          </w:p>
        </w:tc>
        <w:tc>
          <w:tcPr>
            <w:tcW w:w="1166" w:type="dxa"/>
            <w:vMerge w:val="continue"/>
            <w:noWrap w:val="0"/>
            <w:vAlign w:val="center"/>
          </w:tcPr>
          <w:p w14:paraId="0071F73C">
            <w:pPr>
              <w:keepNext w:val="0"/>
              <w:keepLines w:val="0"/>
              <w:pageBreakBefore w:val="0"/>
              <w:widowControl/>
              <w:kinsoku/>
              <w:wordWrap/>
              <w:overflowPunct/>
              <w:topLinePunct w:val="0"/>
              <w:autoSpaceDE/>
              <w:autoSpaceDN/>
              <w:bidi w:val="0"/>
              <w:snapToGrid w:val="0"/>
              <w:spacing w:line="240" w:lineRule="auto"/>
              <w:ind w:left="0"/>
              <w:jc w:val="both"/>
              <w:textAlignment w:val="auto"/>
              <w:rPr>
                <w:rFonts w:hint="eastAsia" w:ascii="宋体" w:hAnsi="宋体" w:eastAsia="宋体" w:cs="宋体"/>
                <w:b w:val="0"/>
                <w:bCs w:val="0"/>
                <w:color w:val="auto"/>
                <w:kern w:val="0"/>
                <w:sz w:val="21"/>
                <w:szCs w:val="21"/>
                <w:highlight w:val="none"/>
              </w:rPr>
            </w:pPr>
          </w:p>
        </w:tc>
        <w:tc>
          <w:tcPr>
            <w:tcW w:w="7379" w:type="dxa"/>
            <w:shd w:val="clear" w:color="auto" w:fill="auto"/>
            <w:noWrap w:val="0"/>
            <w:vAlign w:val="center"/>
          </w:tcPr>
          <w:p w14:paraId="6AC38286">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（2）设备机房门窗、锁具应当完好、有效。</w:t>
            </w:r>
          </w:p>
        </w:tc>
      </w:tr>
      <w:tr w14:paraId="28C2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vMerge w:val="continue"/>
            <w:noWrap w:val="0"/>
            <w:vAlign w:val="center"/>
          </w:tcPr>
          <w:p w14:paraId="6F49C4D6">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val="0"/>
                <w:bCs w:val="0"/>
                <w:color w:val="auto"/>
                <w:kern w:val="0"/>
                <w:sz w:val="21"/>
                <w:szCs w:val="21"/>
                <w:highlight w:val="none"/>
                <w:lang w:val="en-US" w:eastAsia="zh-CN"/>
              </w:rPr>
            </w:pPr>
          </w:p>
        </w:tc>
        <w:tc>
          <w:tcPr>
            <w:tcW w:w="1166" w:type="dxa"/>
            <w:vMerge w:val="continue"/>
            <w:noWrap w:val="0"/>
            <w:vAlign w:val="center"/>
          </w:tcPr>
          <w:p w14:paraId="126F7D9D">
            <w:pPr>
              <w:keepNext w:val="0"/>
              <w:keepLines w:val="0"/>
              <w:pageBreakBefore w:val="0"/>
              <w:widowControl/>
              <w:kinsoku/>
              <w:wordWrap/>
              <w:overflowPunct/>
              <w:topLinePunct w:val="0"/>
              <w:autoSpaceDE/>
              <w:autoSpaceDN/>
              <w:bidi w:val="0"/>
              <w:snapToGrid w:val="0"/>
              <w:spacing w:line="240" w:lineRule="auto"/>
              <w:ind w:left="0"/>
              <w:jc w:val="both"/>
              <w:textAlignment w:val="auto"/>
              <w:rPr>
                <w:rFonts w:hint="eastAsia" w:ascii="宋体" w:hAnsi="宋体" w:eastAsia="宋体" w:cs="宋体"/>
                <w:b w:val="0"/>
                <w:bCs w:val="0"/>
                <w:color w:val="auto"/>
                <w:kern w:val="0"/>
                <w:sz w:val="21"/>
                <w:szCs w:val="21"/>
                <w:highlight w:val="none"/>
              </w:rPr>
            </w:pPr>
          </w:p>
        </w:tc>
        <w:tc>
          <w:tcPr>
            <w:tcW w:w="7379" w:type="dxa"/>
            <w:shd w:val="clear" w:color="auto" w:fill="auto"/>
            <w:noWrap w:val="0"/>
            <w:vAlign w:val="center"/>
          </w:tcPr>
          <w:p w14:paraId="431EA4A8">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（3）每半月至少开展1次清洁，整洁有序、无杂物、无积尘、无鼠、无虫害，温湿度符合设备运行要求。</w:t>
            </w:r>
          </w:p>
        </w:tc>
      </w:tr>
      <w:tr w14:paraId="297C8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vMerge w:val="continue"/>
            <w:noWrap w:val="0"/>
            <w:vAlign w:val="center"/>
          </w:tcPr>
          <w:p w14:paraId="4C02AEF2">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val="0"/>
                <w:bCs w:val="0"/>
                <w:color w:val="auto"/>
                <w:kern w:val="0"/>
                <w:sz w:val="21"/>
                <w:szCs w:val="21"/>
                <w:highlight w:val="none"/>
                <w:lang w:val="en-US" w:eastAsia="zh-CN"/>
              </w:rPr>
            </w:pPr>
          </w:p>
        </w:tc>
        <w:tc>
          <w:tcPr>
            <w:tcW w:w="1166" w:type="dxa"/>
            <w:vMerge w:val="continue"/>
            <w:noWrap w:val="0"/>
            <w:vAlign w:val="center"/>
          </w:tcPr>
          <w:p w14:paraId="215891CD">
            <w:pPr>
              <w:keepNext w:val="0"/>
              <w:keepLines w:val="0"/>
              <w:pageBreakBefore w:val="0"/>
              <w:widowControl/>
              <w:kinsoku/>
              <w:wordWrap/>
              <w:overflowPunct/>
              <w:topLinePunct w:val="0"/>
              <w:autoSpaceDE/>
              <w:autoSpaceDN/>
              <w:bidi w:val="0"/>
              <w:snapToGrid w:val="0"/>
              <w:spacing w:line="240" w:lineRule="auto"/>
              <w:ind w:left="0"/>
              <w:jc w:val="both"/>
              <w:textAlignment w:val="auto"/>
              <w:rPr>
                <w:rFonts w:hint="eastAsia" w:ascii="宋体" w:hAnsi="宋体" w:eastAsia="宋体" w:cs="宋体"/>
                <w:b w:val="0"/>
                <w:bCs w:val="0"/>
                <w:color w:val="auto"/>
                <w:kern w:val="0"/>
                <w:sz w:val="21"/>
                <w:szCs w:val="21"/>
                <w:highlight w:val="none"/>
              </w:rPr>
            </w:pPr>
          </w:p>
        </w:tc>
        <w:tc>
          <w:tcPr>
            <w:tcW w:w="7379" w:type="dxa"/>
            <w:shd w:val="clear" w:color="auto" w:fill="auto"/>
            <w:noWrap w:val="0"/>
            <w:vAlign w:val="center"/>
          </w:tcPr>
          <w:p w14:paraId="49A43F7B">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（4）按各设备机房国家标准规范规定维护/保管消防、通风、应急照明，防止小动物进入。</w:t>
            </w:r>
          </w:p>
        </w:tc>
      </w:tr>
      <w:tr w14:paraId="002B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vMerge w:val="continue"/>
            <w:noWrap w:val="0"/>
            <w:vAlign w:val="center"/>
          </w:tcPr>
          <w:p w14:paraId="34656913">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val="0"/>
                <w:bCs w:val="0"/>
                <w:color w:val="auto"/>
                <w:kern w:val="0"/>
                <w:sz w:val="21"/>
                <w:szCs w:val="21"/>
                <w:highlight w:val="none"/>
                <w:lang w:val="en-US" w:eastAsia="zh-CN"/>
              </w:rPr>
            </w:pPr>
          </w:p>
        </w:tc>
        <w:tc>
          <w:tcPr>
            <w:tcW w:w="1166" w:type="dxa"/>
            <w:vMerge w:val="continue"/>
            <w:noWrap w:val="0"/>
            <w:vAlign w:val="center"/>
          </w:tcPr>
          <w:p w14:paraId="144A139C">
            <w:pPr>
              <w:keepNext w:val="0"/>
              <w:keepLines w:val="0"/>
              <w:pageBreakBefore w:val="0"/>
              <w:widowControl/>
              <w:kinsoku/>
              <w:wordWrap/>
              <w:overflowPunct/>
              <w:topLinePunct w:val="0"/>
              <w:autoSpaceDE/>
              <w:autoSpaceDN/>
              <w:bidi w:val="0"/>
              <w:snapToGrid w:val="0"/>
              <w:spacing w:line="240" w:lineRule="auto"/>
              <w:ind w:left="0"/>
              <w:jc w:val="both"/>
              <w:textAlignment w:val="auto"/>
              <w:rPr>
                <w:rFonts w:hint="eastAsia" w:ascii="宋体" w:hAnsi="宋体" w:eastAsia="宋体" w:cs="宋体"/>
                <w:b w:val="0"/>
                <w:bCs w:val="0"/>
                <w:color w:val="auto"/>
                <w:kern w:val="0"/>
                <w:sz w:val="21"/>
                <w:szCs w:val="21"/>
                <w:highlight w:val="none"/>
              </w:rPr>
            </w:pPr>
          </w:p>
        </w:tc>
        <w:tc>
          <w:tcPr>
            <w:tcW w:w="7379" w:type="dxa"/>
            <w:shd w:val="clear" w:color="auto" w:fill="auto"/>
            <w:noWrap w:val="0"/>
            <w:vAlign w:val="center"/>
          </w:tcPr>
          <w:p w14:paraId="37D4F56E">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（5）安全防护用具配置齐全，检验合格。</w:t>
            </w:r>
          </w:p>
        </w:tc>
      </w:tr>
      <w:tr w14:paraId="6162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vMerge w:val="continue"/>
            <w:noWrap w:val="0"/>
            <w:vAlign w:val="center"/>
          </w:tcPr>
          <w:p w14:paraId="4FA38B1A">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val="0"/>
                <w:bCs w:val="0"/>
                <w:color w:val="auto"/>
                <w:kern w:val="0"/>
                <w:sz w:val="21"/>
                <w:szCs w:val="21"/>
                <w:highlight w:val="none"/>
                <w:lang w:val="en-US" w:eastAsia="zh-CN"/>
              </w:rPr>
            </w:pPr>
          </w:p>
        </w:tc>
        <w:tc>
          <w:tcPr>
            <w:tcW w:w="1166" w:type="dxa"/>
            <w:vMerge w:val="continue"/>
            <w:noWrap w:val="0"/>
            <w:vAlign w:val="center"/>
          </w:tcPr>
          <w:p w14:paraId="4EF42A71">
            <w:pPr>
              <w:keepNext w:val="0"/>
              <w:keepLines w:val="0"/>
              <w:pageBreakBefore w:val="0"/>
              <w:widowControl/>
              <w:kinsoku/>
              <w:wordWrap/>
              <w:overflowPunct/>
              <w:topLinePunct w:val="0"/>
              <w:autoSpaceDE/>
              <w:autoSpaceDN/>
              <w:bidi w:val="0"/>
              <w:snapToGrid w:val="0"/>
              <w:spacing w:line="240" w:lineRule="auto"/>
              <w:ind w:left="0"/>
              <w:jc w:val="both"/>
              <w:textAlignment w:val="auto"/>
              <w:rPr>
                <w:rFonts w:hint="eastAsia" w:ascii="宋体" w:hAnsi="宋体" w:eastAsia="宋体" w:cs="宋体"/>
                <w:b w:val="0"/>
                <w:bCs w:val="0"/>
                <w:color w:val="auto"/>
                <w:kern w:val="0"/>
                <w:sz w:val="21"/>
                <w:szCs w:val="21"/>
                <w:highlight w:val="none"/>
              </w:rPr>
            </w:pPr>
          </w:p>
        </w:tc>
        <w:tc>
          <w:tcPr>
            <w:tcW w:w="7379" w:type="dxa"/>
            <w:shd w:val="clear" w:color="auto" w:fill="auto"/>
            <w:noWrap w:val="0"/>
            <w:vAlign w:val="center"/>
          </w:tcPr>
          <w:p w14:paraId="6300461A">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（6）应急设施设备用品应当齐全、完备，可随时启用。</w:t>
            </w:r>
          </w:p>
        </w:tc>
      </w:tr>
      <w:tr w14:paraId="733B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vMerge w:val="restart"/>
            <w:noWrap w:val="0"/>
            <w:vAlign w:val="center"/>
          </w:tcPr>
          <w:p w14:paraId="4F9EE4B0">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p>
        </w:tc>
        <w:tc>
          <w:tcPr>
            <w:tcW w:w="1166" w:type="dxa"/>
            <w:vMerge w:val="restart"/>
            <w:noWrap w:val="0"/>
            <w:vAlign w:val="center"/>
          </w:tcPr>
          <w:p w14:paraId="5DA586C7">
            <w:pPr>
              <w:keepNext w:val="0"/>
              <w:keepLines w:val="0"/>
              <w:pageBreakBefore w:val="0"/>
              <w:widowControl/>
              <w:kinsoku/>
              <w:wordWrap/>
              <w:overflowPunct/>
              <w:topLinePunct w:val="0"/>
              <w:autoSpaceDE/>
              <w:autoSpaceDN/>
              <w:bidi w:val="0"/>
              <w:snapToGrid w:val="0"/>
              <w:spacing w:line="240" w:lineRule="auto"/>
              <w:ind w:left="0"/>
              <w:jc w:val="both"/>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color w:val="auto"/>
                <w:sz w:val="21"/>
                <w:szCs w:val="21"/>
                <w:highlight w:val="none"/>
              </w:rPr>
              <w:t>给排水系统</w:t>
            </w:r>
          </w:p>
        </w:tc>
        <w:tc>
          <w:tcPr>
            <w:tcW w:w="7379" w:type="dxa"/>
            <w:shd w:val="clear" w:color="auto" w:fill="auto"/>
            <w:noWrap w:val="0"/>
            <w:vAlign w:val="center"/>
          </w:tcPr>
          <w:p w14:paraId="6B0F56E8">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（1）生活饮用水卫生符合《</w:t>
            </w:r>
            <w:r>
              <w:rPr>
                <w:rFonts w:hint="eastAsia" w:ascii="宋体" w:hAnsi="宋体" w:eastAsia="宋体" w:cs="宋体"/>
                <w:color w:val="auto"/>
                <w:kern w:val="0"/>
                <w:sz w:val="21"/>
                <w:szCs w:val="21"/>
                <w:highlight w:val="none"/>
              </w:rPr>
              <w:t>生活饮用水卫生标准</w:t>
            </w:r>
            <w:r>
              <w:rPr>
                <w:rFonts w:hint="eastAsia" w:ascii="宋体" w:hAnsi="宋体" w:eastAsia="宋体" w:cs="宋体"/>
                <w:b w:val="0"/>
                <w:bCs w:val="0"/>
                <w:color w:val="auto"/>
                <w:kern w:val="0"/>
                <w:sz w:val="21"/>
                <w:szCs w:val="21"/>
                <w:highlight w:val="none"/>
                <w:lang w:val="en-US" w:eastAsia="zh-CN"/>
              </w:rPr>
              <w:t>》（GB5749）的相关要求。</w:t>
            </w:r>
          </w:p>
        </w:tc>
      </w:tr>
      <w:tr w14:paraId="132E2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vMerge w:val="continue"/>
            <w:noWrap w:val="0"/>
            <w:vAlign w:val="center"/>
          </w:tcPr>
          <w:p w14:paraId="0B07C748">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val="0"/>
                <w:bCs w:val="0"/>
                <w:color w:val="auto"/>
                <w:kern w:val="0"/>
                <w:sz w:val="21"/>
                <w:szCs w:val="21"/>
                <w:highlight w:val="none"/>
                <w:lang w:val="en-US" w:eastAsia="zh-CN"/>
              </w:rPr>
            </w:pPr>
          </w:p>
        </w:tc>
        <w:tc>
          <w:tcPr>
            <w:tcW w:w="1166" w:type="dxa"/>
            <w:vMerge w:val="continue"/>
            <w:noWrap w:val="0"/>
            <w:vAlign w:val="center"/>
          </w:tcPr>
          <w:p w14:paraId="5D6BB2DD">
            <w:pPr>
              <w:keepNext w:val="0"/>
              <w:keepLines w:val="0"/>
              <w:pageBreakBefore w:val="0"/>
              <w:widowControl/>
              <w:kinsoku/>
              <w:wordWrap/>
              <w:overflowPunct/>
              <w:topLinePunct w:val="0"/>
              <w:autoSpaceDE/>
              <w:autoSpaceDN/>
              <w:bidi w:val="0"/>
              <w:snapToGrid w:val="0"/>
              <w:spacing w:line="240" w:lineRule="auto"/>
              <w:ind w:left="0"/>
              <w:jc w:val="both"/>
              <w:textAlignment w:val="auto"/>
              <w:rPr>
                <w:rFonts w:hint="eastAsia" w:ascii="宋体" w:hAnsi="宋体" w:eastAsia="宋体" w:cs="宋体"/>
                <w:b w:val="0"/>
                <w:bCs w:val="0"/>
                <w:color w:val="auto"/>
                <w:kern w:val="0"/>
                <w:sz w:val="21"/>
                <w:szCs w:val="21"/>
                <w:highlight w:val="none"/>
              </w:rPr>
            </w:pPr>
          </w:p>
        </w:tc>
        <w:tc>
          <w:tcPr>
            <w:tcW w:w="7379" w:type="dxa"/>
            <w:shd w:val="clear" w:color="auto" w:fill="auto"/>
            <w:noWrap w:val="0"/>
            <w:vAlign w:val="center"/>
          </w:tcPr>
          <w:p w14:paraId="1071C0E3">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（2）二次供水卫生符合《二次供水设施卫生规范》（GB17051）的相关要求。</w:t>
            </w:r>
          </w:p>
        </w:tc>
      </w:tr>
      <w:tr w14:paraId="0168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vMerge w:val="continue"/>
            <w:noWrap w:val="0"/>
            <w:vAlign w:val="center"/>
          </w:tcPr>
          <w:p w14:paraId="704BE217">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val="0"/>
                <w:bCs w:val="0"/>
                <w:color w:val="auto"/>
                <w:kern w:val="0"/>
                <w:sz w:val="21"/>
                <w:szCs w:val="21"/>
                <w:highlight w:val="none"/>
                <w:lang w:val="en-US" w:eastAsia="zh-CN"/>
              </w:rPr>
            </w:pPr>
          </w:p>
        </w:tc>
        <w:tc>
          <w:tcPr>
            <w:tcW w:w="1166" w:type="dxa"/>
            <w:vMerge w:val="continue"/>
            <w:noWrap w:val="0"/>
            <w:vAlign w:val="center"/>
          </w:tcPr>
          <w:p w14:paraId="4BA7B148">
            <w:pPr>
              <w:keepNext w:val="0"/>
              <w:keepLines w:val="0"/>
              <w:pageBreakBefore w:val="0"/>
              <w:widowControl/>
              <w:kinsoku/>
              <w:wordWrap/>
              <w:overflowPunct/>
              <w:topLinePunct w:val="0"/>
              <w:autoSpaceDE/>
              <w:autoSpaceDN/>
              <w:bidi w:val="0"/>
              <w:snapToGrid w:val="0"/>
              <w:spacing w:line="240" w:lineRule="auto"/>
              <w:ind w:left="0"/>
              <w:jc w:val="both"/>
              <w:textAlignment w:val="auto"/>
              <w:rPr>
                <w:rFonts w:hint="eastAsia" w:ascii="宋体" w:hAnsi="宋体" w:eastAsia="宋体" w:cs="宋体"/>
                <w:b w:val="0"/>
                <w:bCs w:val="0"/>
                <w:color w:val="auto"/>
                <w:kern w:val="0"/>
                <w:sz w:val="21"/>
                <w:szCs w:val="21"/>
                <w:highlight w:val="none"/>
              </w:rPr>
            </w:pPr>
          </w:p>
        </w:tc>
        <w:tc>
          <w:tcPr>
            <w:tcW w:w="7379" w:type="dxa"/>
            <w:shd w:val="clear" w:color="auto" w:fill="auto"/>
            <w:noWrap w:val="0"/>
            <w:vAlign w:val="center"/>
          </w:tcPr>
          <w:p w14:paraId="654BB9D2">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（3）设施设备、阀门、管道等运行正常，无跑、冒、滴、漏现象。</w:t>
            </w:r>
          </w:p>
        </w:tc>
      </w:tr>
      <w:tr w14:paraId="7321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vMerge w:val="continue"/>
            <w:noWrap w:val="0"/>
            <w:vAlign w:val="center"/>
          </w:tcPr>
          <w:p w14:paraId="099A96CD">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val="0"/>
                <w:bCs w:val="0"/>
                <w:color w:val="auto"/>
                <w:kern w:val="0"/>
                <w:sz w:val="21"/>
                <w:szCs w:val="21"/>
                <w:highlight w:val="none"/>
                <w:lang w:val="en-US" w:eastAsia="zh-CN"/>
              </w:rPr>
            </w:pPr>
          </w:p>
        </w:tc>
        <w:tc>
          <w:tcPr>
            <w:tcW w:w="1166" w:type="dxa"/>
            <w:vMerge w:val="continue"/>
            <w:noWrap w:val="0"/>
            <w:vAlign w:val="center"/>
          </w:tcPr>
          <w:p w14:paraId="02E40BB7">
            <w:pPr>
              <w:keepNext w:val="0"/>
              <w:keepLines w:val="0"/>
              <w:pageBreakBefore w:val="0"/>
              <w:widowControl/>
              <w:kinsoku/>
              <w:wordWrap/>
              <w:overflowPunct/>
              <w:topLinePunct w:val="0"/>
              <w:autoSpaceDE/>
              <w:autoSpaceDN/>
              <w:bidi w:val="0"/>
              <w:snapToGrid w:val="0"/>
              <w:spacing w:line="240" w:lineRule="auto"/>
              <w:ind w:left="0"/>
              <w:jc w:val="both"/>
              <w:textAlignment w:val="auto"/>
              <w:rPr>
                <w:rFonts w:hint="eastAsia" w:ascii="宋体" w:hAnsi="宋体" w:eastAsia="宋体" w:cs="宋体"/>
                <w:b w:val="0"/>
                <w:bCs w:val="0"/>
                <w:color w:val="auto"/>
                <w:kern w:val="0"/>
                <w:sz w:val="21"/>
                <w:szCs w:val="21"/>
                <w:highlight w:val="none"/>
              </w:rPr>
            </w:pPr>
          </w:p>
        </w:tc>
        <w:tc>
          <w:tcPr>
            <w:tcW w:w="7379" w:type="dxa"/>
            <w:shd w:val="clear" w:color="auto" w:fill="auto"/>
            <w:noWrap w:val="0"/>
            <w:vAlign w:val="center"/>
          </w:tcPr>
          <w:p w14:paraId="52A1AB33">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（4）有水泵房、水箱间的，每日至少巡视1次。每年至少养护1次水泵。</w:t>
            </w:r>
          </w:p>
        </w:tc>
      </w:tr>
      <w:tr w14:paraId="22DED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vMerge w:val="continue"/>
            <w:noWrap w:val="0"/>
            <w:vAlign w:val="center"/>
          </w:tcPr>
          <w:p w14:paraId="2D011339">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val="0"/>
                <w:bCs w:val="0"/>
                <w:color w:val="auto"/>
                <w:kern w:val="0"/>
                <w:sz w:val="21"/>
                <w:szCs w:val="21"/>
                <w:highlight w:val="none"/>
                <w:lang w:val="en-US" w:eastAsia="zh-CN"/>
              </w:rPr>
            </w:pPr>
          </w:p>
        </w:tc>
        <w:tc>
          <w:tcPr>
            <w:tcW w:w="1166" w:type="dxa"/>
            <w:vMerge w:val="continue"/>
            <w:noWrap w:val="0"/>
            <w:vAlign w:val="center"/>
          </w:tcPr>
          <w:p w14:paraId="576E13DD">
            <w:pPr>
              <w:keepNext w:val="0"/>
              <w:keepLines w:val="0"/>
              <w:pageBreakBefore w:val="0"/>
              <w:widowControl/>
              <w:kinsoku/>
              <w:wordWrap/>
              <w:overflowPunct/>
              <w:topLinePunct w:val="0"/>
              <w:autoSpaceDE/>
              <w:autoSpaceDN/>
              <w:bidi w:val="0"/>
              <w:snapToGrid w:val="0"/>
              <w:spacing w:line="240" w:lineRule="auto"/>
              <w:ind w:left="0"/>
              <w:jc w:val="both"/>
              <w:textAlignment w:val="auto"/>
              <w:rPr>
                <w:rFonts w:hint="eastAsia" w:ascii="宋体" w:hAnsi="宋体" w:eastAsia="宋体" w:cs="宋体"/>
                <w:b w:val="0"/>
                <w:bCs w:val="0"/>
                <w:color w:val="auto"/>
                <w:kern w:val="0"/>
                <w:sz w:val="21"/>
                <w:szCs w:val="21"/>
                <w:highlight w:val="none"/>
              </w:rPr>
            </w:pPr>
          </w:p>
        </w:tc>
        <w:tc>
          <w:tcPr>
            <w:tcW w:w="7379" w:type="dxa"/>
            <w:shd w:val="clear" w:color="auto" w:fill="auto"/>
            <w:noWrap w:val="0"/>
            <w:vAlign w:val="center"/>
          </w:tcPr>
          <w:p w14:paraId="7B418639">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（5）遇供水单位限水、停水，按规定时间通知采购人。</w:t>
            </w:r>
          </w:p>
        </w:tc>
      </w:tr>
      <w:tr w14:paraId="49801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vMerge w:val="continue"/>
            <w:noWrap w:val="0"/>
            <w:vAlign w:val="center"/>
          </w:tcPr>
          <w:p w14:paraId="36374DD6">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val="0"/>
                <w:bCs w:val="0"/>
                <w:color w:val="auto"/>
                <w:kern w:val="0"/>
                <w:sz w:val="21"/>
                <w:szCs w:val="21"/>
                <w:highlight w:val="none"/>
                <w:lang w:val="en-US" w:eastAsia="zh-CN"/>
              </w:rPr>
            </w:pPr>
          </w:p>
        </w:tc>
        <w:tc>
          <w:tcPr>
            <w:tcW w:w="1166" w:type="dxa"/>
            <w:vMerge w:val="continue"/>
            <w:noWrap w:val="0"/>
            <w:vAlign w:val="center"/>
          </w:tcPr>
          <w:p w14:paraId="7398FC32">
            <w:pPr>
              <w:keepNext w:val="0"/>
              <w:keepLines w:val="0"/>
              <w:pageBreakBefore w:val="0"/>
              <w:widowControl/>
              <w:kinsoku/>
              <w:wordWrap/>
              <w:overflowPunct/>
              <w:topLinePunct w:val="0"/>
              <w:autoSpaceDE/>
              <w:autoSpaceDN/>
              <w:bidi w:val="0"/>
              <w:snapToGrid w:val="0"/>
              <w:spacing w:line="240" w:lineRule="auto"/>
              <w:ind w:left="0"/>
              <w:jc w:val="both"/>
              <w:textAlignment w:val="auto"/>
              <w:rPr>
                <w:rFonts w:hint="eastAsia" w:ascii="宋体" w:hAnsi="宋体" w:eastAsia="宋体" w:cs="宋体"/>
                <w:b w:val="0"/>
                <w:bCs w:val="0"/>
                <w:color w:val="auto"/>
                <w:kern w:val="0"/>
                <w:sz w:val="21"/>
                <w:szCs w:val="21"/>
                <w:highlight w:val="none"/>
              </w:rPr>
            </w:pPr>
          </w:p>
        </w:tc>
        <w:tc>
          <w:tcPr>
            <w:tcW w:w="7379" w:type="dxa"/>
            <w:shd w:val="clear" w:color="auto" w:fill="auto"/>
            <w:noWrap w:val="0"/>
            <w:vAlign w:val="center"/>
          </w:tcPr>
          <w:p w14:paraId="18019178">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（6）每季度至少开展1次对排水管进行疏通、清污，保证室内外排水系统通畅。</w:t>
            </w:r>
          </w:p>
        </w:tc>
      </w:tr>
      <w:tr w14:paraId="3275F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vMerge w:val="restart"/>
            <w:noWrap w:val="0"/>
            <w:vAlign w:val="center"/>
          </w:tcPr>
          <w:p w14:paraId="582F2EA4">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4</w:t>
            </w:r>
          </w:p>
        </w:tc>
        <w:tc>
          <w:tcPr>
            <w:tcW w:w="1166" w:type="dxa"/>
            <w:vMerge w:val="restart"/>
            <w:noWrap w:val="0"/>
            <w:vAlign w:val="center"/>
          </w:tcPr>
          <w:p w14:paraId="74AF6BD5">
            <w:pPr>
              <w:keepNext w:val="0"/>
              <w:keepLines w:val="0"/>
              <w:pageBreakBefore w:val="0"/>
              <w:widowControl/>
              <w:kinsoku/>
              <w:wordWrap/>
              <w:overflowPunct/>
              <w:topLinePunct w:val="0"/>
              <w:autoSpaceDE/>
              <w:autoSpaceDN/>
              <w:bidi w:val="0"/>
              <w:snapToGrid w:val="0"/>
              <w:spacing w:line="240" w:lineRule="auto"/>
              <w:ind w:left="0"/>
              <w:jc w:val="both"/>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color w:val="auto"/>
                <w:sz w:val="21"/>
                <w:szCs w:val="21"/>
                <w:highlight w:val="none"/>
              </w:rPr>
              <w:t>供</w:t>
            </w:r>
            <w:r>
              <w:rPr>
                <w:rFonts w:hint="eastAsia" w:ascii="宋体" w:hAnsi="宋体" w:eastAsia="宋体" w:cs="宋体"/>
                <w:color w:val="auto"/>
                <w:sz w:val="21"/>
                <w:szCs w:val="21"/>
                <w:highlight w:val="none"/>
                <w:lang w:val="en-US" w:eastAsia="zh-CN"/>
              </w:rPr>
              <w:t>配电</w:t>
            </w:r>
            <w:r>
              <w:rPr>
                <w:rFonts w:hint="eastAsia" w:ascii="宋体" w:hAnsi="宋体" w:eastAsia="宋体" w:cs="宋体"/>
                <w:color w:val="auto"/>
                <w:sz w:val="21"/>
                <w:szCs w:val="21"/>
                <w:highlight w:val="none"/>
              </w:rPr>
              <w:t>系统</w:t>
            </w:r>
          </w:p>
        </w:tc>
        <w:tc>
          <w:tcPr>
            <w:tcW w:w="7379" w:type="dxa"/>
            <w:shd w:val="clear" w:color="auto" w:fill="auto"/>
            <w:noWrap w:val="0"/>
            <w:vAlign w:val="center"/>
          </w:tcPr>
          <w:p w14:paraId="5EC2D838">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（1）建立24小时运行值班监控制度。</w:t>
            </w:r>
          </w:p>
        </w:tc>
      </w:tr>
      <w:tr w14:paraId="78D4F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vMerge w:val="continue"/>
            <w:noWrap w:val="0"/>
            <w:vAlign w:val="center"/>
          </w:tcPr>
          <w:p w14:paraId="46823B87">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val="0"/>
                <w:bCs w:val="0"/>
                <w:color w:val="auto"/>
                <w:kern w:val="0"/>
                <w:sz w:val="21"/>
                <w:szCs w:val="21"/>
                <w:highlight w:val="none"/>
                <w:lang w:val="en-US" w:eastAsia="zh-CN"/>
              </w:rPr>
            </w:pPr>
          </w:p>
        </w:tc>
        <w:tc>
          <w:tcPr>
            <w:tcW w:w="1166" w:type="dxa"/>
            <w:vMerge w:val="continue"/>
            <w:noWrap w:val="0"/>
            <w:vAlign w:val="center"/>
          </w:tcPr>
          <w:p w14:paraId="604A432E">
            <w:pPr>
              <w:keepNext w:val="0"/>
              <w:keepLines w:val="0"/>
              <w:pageBreakBefore w:val="0"/>
              <w:widowControl/>
              <w:kinsoku/>
              <w:wordWrap/>
              <w:overflowPunct/>
              <w:topLinePunct w:val="0"/>
              <w:autoSpaceDE/>
              <w:autoSpaceDN/>
              <w:bidi w:val="0"/>
              <w:snapToGrid w:val="0"/>
              <w:spacing w:line="240" w:lineRule="auto"/>
              <w:ind w:left="0"/>
              <w:jc w:val="both"/>
              <w:textAlignment w:val="auto"/>
              <w:rPr>
                <w:rFonts w:hint="eastAsia" w:ascii="宋体" w:hAnsi="宋体" w:eastAsia="宋体" w:cs="宋体"/>
                <w:b w:val="0"/>
                <w:bCs w:val="0"/>
                <w:color w:val="auto"/>
                <w:kern w:val="0"/>
                <w:sz w:val="21"/>
                <w:szCs w:val="21"/>
                <w:highlight w:val="none"/>
              </w:rPr>
            </w:pPr>
          </w:p>
        </w:tc>
        <w:tc>
          <w:tcPr>
            <w:tcW w:w="7379" w:type="dxa"/>
            <w:shd w:val="clear" w:color="auto" w:fill="auto"/>
            <w:noWrap w:val="0"/>
            <w:vAlign w:val="center"/>
          </w:tcPr>
          <w:p w14:paraId="7764717F">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（2）对供电范围内的电气设备定期巡视维护，加强高低压配电柜、配电箱、控制柜及线路等重点部位监测。</w:t>
            </w:r>
          </w:p>
        </w:tc>
      </w:tr>
      <w:tr w14:paraId="003F8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vMerge w:val="continue"/>
            <w:noWrap w:val="0"/>
            <w:vAlign w:val="center"/>
          </w:tcPr>
          <w:p w14:paraId="47E83DF5">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val="0"/>
                <w:bCs w:val="0"/>
                <w:color w:val="auto"/>
                <w:kern w:val="0"/>
                <w:sz w:val="21"/>
                <w:szCs w:val="21"/>
                <w:highlight w:val="none"/>
                <w:lang w:val="en-US" w:eastAsia="zh-CN"/>
              </w:rPr>
            </w:pPr>
          </w:p>
        </w:tc>
        <w:tc>
          <w:tcPr>
            <w:tcW w:w="1166" w:type="dxa"/>
            <w:vMerge w:val="continue"/>
            <w:noWrap w:val="0"/>
            <w:vAlign w:val="center"/>
          </w:tcPr>
          <w:p w14:paraId="58840C0F">
            <w:pPr>
              <w:keepNext w:val="0"/>
              <w:keepLines w:val="0"/>
              <w:pageBreakBefore w:val="0"/>
              <w:widowControl/>
              <w:kinsoku/>
              <w:wordWrap/>
              <w:overflowPunct/>
              <w:topLinePunct w:val="0"/>
              <w:autoSpaceDE/>
              <w:autoSpaceDN/>
              <w:bidi w:val="0"/>
              <w:snapToGrid w:val="0"/>
              <w:spacing w:line="240" w:lineRule="auto"/>
              <w:ind w:left="0"/>
              <w:jc w:val="both"/>
              <w:textAlignment w:val="auto"/>
              <w:rPr>
                <w:rFonts w:hint="eastAsia" w:ascii="宋体" w:hAnsi="宋体" w:eastAsia="宋体" w:cs="宋体"/>
                <w:b w:val="0"/>
                <w:bCs w:val="0"/>
                <w:color w:val="auto"/>
                <w:kern w:val="0"/>
                <w:sz w:val="21"/>
                <w:szCs w:val="21"/>
                <w:highlight w:val="none"/>
              </w:rPr>
            </w:pPr>
          </w:p>
        </w:tc>
        <w:tc>
          <w:tcPr>
            <w:tcW w:w="7379" w:type="dxa"/>
            <w:shd w:val="clear" w:color="auto" w:fill="auto"/>
            <w:noWrap w:val="0"/>
            <w:vAlign w:val="center"/>
          </w:tcPr>
          <w:p w14:paraId="2BF4758C">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（3）公共使用的照明、指示灯具线路、开关、接地等保持完好，确保用电安全。</w:t>
            </w:r>
          </w:p>
        </w:tc>
      </w:tr>
      <w:tr w14:paraId="01D7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vMerge w:val="continue"/>
            <w:noWrap w:val="0"/>
            <w:vAlign w:val="center"/>
          </w:tcPr>
          <w:p w14:paraId="03E77F7D">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val="0"/>
                <w:bCs w:val="0"/>
                <w:color w:val="auto"/>
                <w:kern w:val="0"/>
                <w:sz w:val="21"/>
                <w:szCs w:val="21"/>
                <w:highlight w:val="none"/>
                <w:lang w:val="en-US" w:eastAsia="zh-CN"/>
              </w:rPr>
            </w:pPr>
          </w:p>
        </w:tc>
        <w:tc>
          <w:tcPr>
            <w:tcW w:w="1166" w:type="dxa"/>
            <w:vMerge w:val="continue"/>
            <w:noWrap w:val="0"/>
            <w:vAlign w:val="center"/>
          </w:tcPr>
          <w:p w14:paraId="4E0894F1">
            <w:pPr>
              <w:keepNext w:val="0"/>
              <w:keepLines w:val="0"/>
              <w:pageBreakBefore w:val="0"/>
              <w:widowControl/>
              <w:kinsoku/>
              <w:wordWrap/>
              <w:overflowPunct/>
              <w:topLinePunct w:val="0"/>
              <w:autoSpaceDE/>
              <w:autoSpaceDN/>
              <w:bidi w:val="0"/>
              <w:snapToGrid w:val="0"/>
              <w:spacing w:line="240" w:lineRule="auto"/>
              <w:ind w:left="0"/>
              <w:jc w:val="both"/>
              <w:textAlignment w:val="auto"/>
              <w:rPr>
                <w:rFonts w:hint="eastAsia" w:ascii="宋体" w:hAnsi="宋体" w:eastAsia="宋体" w:cs="宋体"/>
                <w:b w:val="0"/>
                <w:bCs w:val="0"/>
                <w:color w:val="auto"/>
                <w:kern w:val="0"/>
                <w:sz w:val="21"/>
                <w:szCs w:val="21"/>
                <w:highlight w:val="none"/>
              </w:rPr>
            </w:pPr>
          </w:p>
        </w:tc>
        <w:tc>
          <w:tcPr>
            <w:tcW w:w="7379" w:type="dxa"/>
            <w:shd w:val="clear" w:color="auto" w:fill="auto"/>
            <w:noWrap w:val="0"/>
            <w:vAlign w:val="center"/>
          </w:tcPr>
          <w:p w14:paraId="5A8824A7">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（4）核心部位用电建立高可控用电保障和配备应急发电设备，定期维护应急发电设备。</w:t>
            </w:r>
          </w:p>
        </w:tc>
      </w:tr>
      <w:tr w14:paraId="20FB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vMerge w:val="continue"/>
            <w:noWrap w:val="0"/>
            <w:vAlign w:val="center"/>
          </w:tcPr>
          <w:p w14:paraId="31DC25A0">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val="0"/>
                <w:bCs w:val="0"/>
                <w:color w:val="auto"/>
                <w:kern w:val="0"/>
                <w:sz w:val="21"/>
                <w:szCs w:val="21"/>
                <w:highlight w:val="none"/>
                <w:lang w:val="en-US" w:eastAsia="zh-CN"/>
              </w:rPr>
            </w:pPr>
          </w:p>
        </w:tc>
        <w:tc>
          <w:tcPr>
            <w:tcW w:w="1166" w:type="dxa"/>
            <w:vMerge w:val="continue"/>
            <w:noWrap w:val="0"/>
            <w:vAlign w:val="center"/>
          </w:tcPr>
          <w:p w14:paraId="6A043E24">
            <w:pPr>
              <w:keepNext w:val="0"/>
              <w:keepLines w:val="0"/>
              <w:pageBreakBefore w:val="0"/>
              <w:widowControl/>
              <w:kinsoku/>
              <w:wordWrap/>
              <w:overflowPunct/>
              <w:topLinePunct w:val="0"/>
              <w:autoSpaceDE/>
              <w:autoSpaceDN/>
              <w:bidi w:val="0"/>
              <w:snapToGrid w:val="0"/>
              <w:spacing w:line="240" w:lineRule="auto"/>
              <w:ind w:left="0"/>
              <w:jc w:val="both"/>
              <w:textAlignment w:val="auto"/>
              <w:rPr>
                <w:rFonts w:hint="eastAsia" w:ascii="宋体" w:hAnsi="宋体" w:eastAsia="宋体" w:cs="宋体"/>
                <w:b w:val="0"/>
                <w:bCs w:val="0"/>
                <w:color w:val="auto"/>
                <w:kern w:val="0"/>
                <w:sz w:val="21"/>
                <w:szCs w:val="21"/>
                <w:highlight w:val="none"/>
              </w:rPr>
            </w:pPr>
          </w:p>
        </w:tc>
        <w:tc>
          <w:tcPr>
            <w:tcW w:w="7379" w:type="dxa"/>
            <w:shd w:val="clear" w:color="auto" w:fill="auto"/>
            <w:noWrap w:val="0"/>
            <w:vAlign w:val="center"/>
          </w:tcPr>
          <w:p w14:paraId="3248EE97">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（5）发生非计划性停电的，应当在事件发生后及时通知采购人，快速恢复或启用应急电源，并做好应急事件上报及处理工作。</w:t>
            </w:r>
          </w:p>
        </w:tc>
      </w:tr>
      <w:tr w14:paraId="52F9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vMerge w:val="continue"/>
            <w:noWrap w:val="0"/>
            <w:vAlign w:val="center"/>
          </w:tcPr>
          <w:p w14:paraId="4F6DEB44">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val="0"/>
                <w:bCs w:val="0"/>
                <w:color w:val="auto"/>
                <w:kern w:val="0"/>
                <w:sz w:val="21"/>
                <w:szCs w:val="21"/>
                <w:highlight w:val="none"/>
                <w:lang w:val="en-US" w:eastAsia="zh-CN"/>
              </w:rPr>
            </w:pPr>
          </w:p>
        </w:tc>
        <w:tc>
          <w:tcPr>
            <w:tcW w:w="1166" w:type="dxa"/>
            <w:vMerge w:val="continue"/>
            <w:noWrap w:val="0"/>
            <w:vAlign w:val="center"/>
          </w:tcPr>
          <w:p w14:paraId="526F614C">
            <w:pPr>
              <w:keepNext w:val="0"/>
              <w:keepLines w:val="0"/>
              <w:pageBreakBefore w:val="0"/>
              <w:widowControl/>
              <w:kinsoku/>
              <w:wordWrap/>
              <w:overflowPunct/>
              <w:topLinePunct w:val="0"/>
              <w:autoSpaceDE/>
              <w:autoSpaceDN/>
              <w:bidi w:val="0"/>
              <w:snapToGrid w:val="0"/>
              <w:spacing w:line="240" w:lineRule="auto"/>
              <w:ind w:left="0"/>
              <w:jc w:val="both"/>
              <w:textAlignment w:val="auto"/>
              <w:rPr>
                <w:rFonts w:hint="eastAsia" w:ascii="宋体" w:hAnsi="宋体" w:eastAsia="宋体" w:cs="宋体"/>
                <w:b w:val="0"/>
                <w:bCs w:val="0"/>
                <w:color w:val="auto"/>
                <w:kern w:val="0"/>
                <w:sz w:val="21"/>
                <w:szCs w:val="21"/>
                <w:highlight w:val="none"/>
              </w:rPr>
            </w:pPr>
          </w:p>
        </w:tc>
        <w:tc>
          <w:tcPr>
            <w:tcW w:w="7379" w:type="dxa"/>
            <w:shd w:val="clear" w:color="auto" w:fill="auto"/>
            <w:noWrap w:val="0"/>
            <w:vAlign w:val="center"/>
          </w:tcPr>
          <w:p w14:paraId="642CC58B">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（6）复杂故障涉及供电部门维修处置的及时与供电部门联系，并向采购人报告。</w:t>
            </w:r>
          </w:p>
        </w:tc>
      </w:tr>
      <w:tr w14:paraId="1134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vMerge w:val="restart"/>
            <w:noWrap w:val="0"/>
            <w:vAlign w:val="center"/>
          </w:tcPr>
          <w:p w14:paraId="4F14EAC2">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5</w:t>
            </w:r>
          </w:p>
        </w:tc>
        <w:tc>
          <w:tcPr>
            <w:tcW w:w="1166" w:type="dxa"/>
            <w:vMerge w:val="restart"/>
            <w:noWrap w:val="0"/>
            <w:vAlign w:val="center"/>
          </w:tcPr>
          <w:p w14:paraId="155CC879">
            <w:pPr>
              <w:keepNext w:val="0"/>
              <w:keepLines w:val="0"/>
              <w:pageBreakBefore w:val="0"/>
              <w:widowControl/>
              <w:kinsoku/>
              <w:wordWrap/>
              <w:overflowPunct/>
              <w:topLinePunct w:val="0"/>
              <w:autoSpaceDE/>
              <w:autoSpaceDN/>
              <w:bidi w:val="0"/>
              <w:snapToGrid w:val="0"/>
              <w:spacing w:line="240" w:lineRule="auto"/>
              <w:ind w:left="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弱电系统</w:t>
            </w:r>
          </w:p>
        </w:tc>
        <w:tc>
          <w:tcPr>
            <w:tcW w:w="7379" w:type="dxa"/>
            <w:shd w:val="clear" w:color="auto" w:fill="auto"/>
            <w:noWrap w:val="0"/>
            <w:vAlign w:val="center"/>
          </w:tcPr>
          <w:p w14:paraId="0E928326">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（1）安全防范系统维护保养符合《安全防范系统维护保养规范》（</w:t>
            </w:r>
            <w:r>
              <w:rPr>
                <w:rFonts w:hint="eastAsia" w:ascii="宋体" w:hAnsi="宋体" w:eastAsia="宋体" w:cs="宋体"/>
                <w:color w:val="auto"/>
                <w:kern w:val="0"/>
                <w:sz w:val="21"/>
                <w:szCs w:val="21"/>
                <w:highlight w:val="none"/>
              </w:rPr>
              <w:t>GA/T 1081</w:t>
            </w:r>
            <w:r>
              <w:rPr>
                <w:rFonts w:hint="eastAsia" w:ascii="宋体" w:hAnsi="宋体" w:eastAsia="宋体" w:cs="宋体"/>
                <w:b w:val="0"/>
                <w:bCs w:val="0"/>
                <w:color w:val="auto"/>
                <w:kern w:val="0"/>
                <w:sz w:val="21"/>
                <w:szCs w:val="21"/>
                <w:highlight w:val="none"/>
                <w:lang w:val="en-US" w:eastAsia="zh-CN"/>
              </w:rPr>
              <w:t>）的相关要求。</w:t>
            </w:r>
          </w:p>
        </w:tc>
      </w:tr>
      <w:tr w14:paraId="7C01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vMerge w:val="continue"/>
            <w:noWrap w:val="0"/>
            <w:vAlign w:val="center"/>
          </w:tcPr>
          <w:p w14:paraId="0D6A7121">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val="0"/>
                <w:bCs w:val="0"/>
                <w:color w:val="auto"/>
                <w:kern w:val="0"/>
                <w:sz w:val="21"/>
                <w:szCs w:val="21"/>
                <w:highlight w:val="none"/>
                <w:lang w:val="en-US" w:eastAsia="zh-CN"/>
              </w:rPr>
            </w:pPr>
          </w:p>
        </w:tc>
        <w:tc>
          <w:tcPr>
            <w:tcW w:w="1166" w:type="dxa"/>
            <w:vMerge w:val="continue"/>
            <w:noWrap w:val="0"/>
            <w:vAlign w:val="center"/>
          </w:tcPr>
          <w:p w14:paraId="6ABA8C87">
            <w:pPr>
              <w:keepNext w:val="0"/>
              <w:keepLines w:val="0"/>
              <w:pageBreakBefore w:val="0"/>
              <w:widowControl/>
              <w:kinsoku/>
              <w:wordWrap/>
              <w:overflowPunct/>
              <w:topLinePunct w:val="0"/>
              <w:autoSpaceDE/>
              <w:autoSpaceDN/>
              <w:bidi w:val="0"/>
              <w:snapToGrid w:val="0"/>
              <w:spacing w:line="240" w:lineRule="auto"/>
              <w:ind w:left="0"/>
              <w:jc w:val="both"/>
              <w:textAlignment w:val="auto"/>
              <w:rPr>
                <w:rFonts w:hint="eastAsia" w:ascii="宋体" w:hAnsi="宋体" w:eastAsia="宋体" w:cs="宋体"/>
                <w:b w:val="0"/>
                <w:bCs w:val="0"/>
                <w:color w:val="auto"/>
                <w:kern w:val="0"/>
                <w:sz w:val="21"/>
                <w:szCs w:val="21"/>
                <w:highlight w:val="none"/>
              </w:rPr>
            </w:pPr>
          </w:p>
        </w:tc>
        <w:tc>
          <w:tcPr>
            <w:tcW w:w="7379" w:type="dxa"/>
            <w:shd w:val="clear" w:color="auto" w:fill="auto"/>
            <w:noWrap w:val="0"/>
            <w:vAlign w:val="center"/>
          </w:tcPr>
          <w:p w14:paraId="64FEEBC1">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（2）保持监控系统、门禁系统、安全防范系统等运行正常，有故障及时排除。</w:t>
            </w:r>
          </w:p>
        </w:tc>
      </w:tr>
      <w:tr w14:paraId="1381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vMerge w:val="restart"/>
            <w:noWrap w:val="0"/>
            <w:vAlign w:val="center"/>
          </w:tcPr>
          <w:p w14:paraId="5B87F2E0">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6</w:t>
            </w:r>
          </w:p>
        </w:tc>
        <w:tc>
          <w:tcPr>
            <w:tcW w:w="1166" w:type="dxa"/>
            <w:vMerge w:val="restart"/>
            <w:noWrap w:val="0"/>
            <w:vAlign w:val="center"/>
          </w:tcPr>
          <w:p w14:paraId="1B4ABF08">
            <w:pPr>
              <w:keepNext w:val="0"/>
              <w:keepLines w:val="0"/>
              <w:pageBreakBefore w:val="0"/>
              <w:widowControl/>
              <w:kinsoku/>
              <w:wordWrap/>
              <w:overflowPunct/>
              <w:topLinePunct w:val="0"/>
              <w:autoSpaceDE/>
              <w:autoSpaceDN/>
              <w:bidi w:val="0"/>
              <w:snapToGrid w:val="0"/>
              <w:spacing w:line="240" w:lineRule="auto"/>
              <w:ind w:left="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照明系统</w:t>
            </w:r>
          </w:p>
        </w:tc>
        <w:tc>
          <w:tcPr>
            <w:tcW w:w="7379" w:type="dxa"/>
            <w:shd w:val="clear" w:color="auto" w:fill="auto"/>
            <w:noWrap w:val="0"/>
            <w:vAlign w:val="center"/>
          </w:tcPr>
          <w:p w14:paraId="5358DEBA">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（1）外观整洁无缺损、无松落。</w:t>
            </w:r>
          </w:p>
        </w:tc>
      </w:tr>
      <w:tr w14:paraId="6A38F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vMerge w:val="continue"/>
            <w:noWrap w:val="0"/>
            <w:vAlign w:val="center"/>
          </w:tcPr>
          <w:p w14:paraId="63C9472C">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val="0"/>
                <w:bCs w:val="0"/>
                <w:color w:val="auto"/>
                <w:kern w:val="0"/>
                <w:sz w:val="21"/>
                <w:szCs w:val="21"/>
                <w:highlight w:val="none"/>
                <w:lang w:val="en-US" w:eastAsia="zh-CN"/>
              </w:rPr>
            </w:pPr>
          </w:p>
        </w:tc>
        <w:tc>
          <w:tcPr>
            <w:tcW w:w="1166" w:type="dxa"/>
            <w:vMerge w:val="continue"/>
            <w:noWrap w:val="0"/>
            <w:vAlign w:val="center"/>
          </w:tcPr>
          <w:p w14:paraId="072AB402">
            <w:pPr>
              <w:keepNext w:val="0"/>
              <w:keepLines w:val="0"/>
              <w:pageBreakBefore w:val="0"/>
              <w:widowControl/>
              <w:kinsoku/>
              <w:wordWrap/>
              <w:overflowPunct/>
              <w:topLinePunct w:val="0"/>
              <w:autoSpaceDE/>
              <w:autoSpaceDN/>
              <w:bidi w:val="0"/>
              <w:snapToGrid w:val="0"/>
              <w:spacing w:line="240" w:lineRule="auto"/>
              <w:ind w:left="0"/>
              <w:jc w:val="both"/>
              <w:textAlignment w:val="auto"/>
              <w:rPr>
                <w:rFonts w:hint="eastAsia" w:ascii="宋体" w:hAnsi="宋体" w:eastAsia="宋体" w:cs="宋体"/>
                <w:b w:val="0"/>
                <w:bCs w:val="0"/>
                <w:color w:val="auto"/>
                <w:kern w:val="0"/>
                <w:sz w:val="21"/>
                <w:szCs w:val="21"/>
                <w:highlight w:val="none"/>
              </w:rPr>
            </w:pPr>
          </w:p>
        </w:tc>
        <w:tc>
          <w:tcPr>
            <w:tcW w:w="7379" w:type="dxa"/>
            <w:shd w:val="clear" w:color="auto" w:fill="auto"/>
            <w:noWrap w:val="0"/>
            <w:vAlign w:val="center"/>
          </w:tcPr>
          <w:p w14:paraId="18E6823A">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（2）更换的照明灯具应当选用节能环保产品，亮度与更换前保持一致。</w:t>
            </w:r>
          </w:p>
        </w:tc>
      </w:tr>
      <w:tr w14:paraId="7AB5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vMerge w:val="continue"/>
            <w:noWrap w:val="0"/>
            <w:vAlign w:val="center"/>
          </w:tcPr>
          <w:p w14:paraId="156AE9B4">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val="0"/>
                <w:bCs w:val="0"/>
                <w:color w:val="auto"/>
                <w:kern w:val="0"/>
                <w:sz w:val="21"/>
                <w:szCs w:val="21"/>
                <w:highlight w:val="none"/>
                <w:lang w:val="en-US" w:eastAsia="zh-CN"/>
              </w:rPr>
            </w:pPr>
          </w:p>
        </w:tc>
        <w:tc>
          <w:tcPr>
            <w:tcW w:w="1166" w:type="dxa"/>
            <w:vMerge w:val="continue"/>
            <w:noWrap w:val="0"/>
            <w:vAlign w:val="center"/>
          </w:tcPr>
          <w:p w14:paraId="3CCAB50C">
            <w:pPr>
              <w:keepNext w:val="0"/>
              <w:keepLines w:val="0"/>
              <w:pageBreakBefore w:val="0"/>
              <w:widowControl/>
              <w:kinsoku/>
              <w:wordWrap/>
              <w:overflowPunct/>
              <w:topLinePunct w:val="0"/>
              <w:autoSpaceDE/>
              <w:autoSpaceDN/>
              <w:bidi w:val="0"/>
              <w:snapToGrid w:val="0"/>
              <w:spacing w:line="240" w:lineRule="auto"/>
              <w:ind w:left="0"/>
              <w:jc w:val="both"/>
              <w:textAlignment w:val="auto"/>
              <w:rPr>
                <w:rFonts w:hint="eastAsia" w:ascii="宋体" w:hAnsi="宋体" w:eastAsia="宋体" w:cs="宋体"/>
                <w:b w:val="0"/>
                <w:bCs w:val="0"/>
                <w:color w:val="auto"/>
                <w:kern w:val="0"/>
                <w:sz w:val="21"/>
                <w:szCs w:val="21"/>
                <w:highlight w:val="none"/>
              </w:rPr>
            </w:pPr>
          </w:p>
        </w:tc>
        <w:tc>
          <w:tcPr>
            <w:tcW w:w="7379" w:type="dxa"/>
            <w:shd w:val="clear" w:color="auto" w:fill="auto"/>
            <w:noWrap w:val="0"/>
            <w:vAlign w:val="center"/>
          </w:tcPr>
          <w:p w14:paraId="2BF46BCC">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（3）每周至少开展1次公共区域照明设备巡视。</w:t>
            </w:r>
          </w:p>
        </w:tc>
      </w:tr>
      <w:tr w14:paraId="27FB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vMerge w:val="restart"/>
            <w:noWrap w:val="0"/>
            <w:vAlign w:val="center"/>
          </w:tcPr>
          <w:p w14:paraId="41B816A5">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7</w:t>
            </w:r>
          </w:p>
        </w:tc>
        <w:tc>
          <w:tcPr>
            <w:tcW w:w="1166" w:type="dxa"/>
            <w:vMerge w:val="restart"/>
            <w:noWrap w:val="0"/>
            <w:vAlign w:val="center"/>
          </w:tcPr>
          <w:p w14:paraId="58307B63">
            <w:pPr>
              <w:keepNext w:val="0"/>
              <w:keepLines w:val="0"/>
              <w:pageBreakBefore w:val="0"/>
              <w:widowControl/>
              <w:kinsoku/>
              <w:wordWrap/>
              <w:overflowPunct/>
              <w:topLinePunct w:val="0"/>
              <w:autoSpaceDE/>
              <w:autoSpaceDN/>
              <w:bidi w:val="0"/>
              <w:snapToGrid w:val="0"/>
              <w:spacing w:line="240" w:lineRule="auto"/>
              <w:ind w:left="0"/>
              <w:jc w:val="both"/>
              <w:textAlignment w:val="auto"/>
              <w:rPr>
                <w:rFonts w:hint="eastAsia" w:ascii="宋体" w:hAnsi="宋体" w:eastAsia="宋体" w:cs="宋体"/>
                <w:b w:val="0"/>
                <w:bCs w:val="0"/>
                <w:color w:val="auto"/>
                <w:kern w:val="0"/>
                <w:sz w:val="21"/>
                <w:szCs w:val="21"/>
                <w:highlight w:val="none"/>
              </w:rPr>
            </w:pPr>
            <w:r>
              <w:rPr>
                <w:rFonts w:hint="eastAsia" w:ascii="Times New Roman" w:hAnsi="Times New Roman" w:eastAsia="宋体" w:cs="Calibri"/>
                <w:b w:val="0"/>
                <w:bCs w:val="0"/>
                <w:color w:val="auto"/>
                <w:kern w:val="0"/>
                <w:szCs w:val="21"/>
                <w:highlight w:val="none"/>
                <w:lang w:val="en-US" w:eastAsia="zh-CN"/>
              </w:rPr>
              <w:t>主体结构、围护结构、部品部件</w:t>
            </w:r>
          </w:p>
        </w:tc>
        <w:tc>
          <w:tcPr>
            <w:tcW w:w="7379" w:type="dxa"/>
            <w:shd w:val="clear" w:color="auto" w:fill="auto"/>
            <w:noWrap w:val="0"/>
            <w:vAlign w:val="center"/>
          </w:tcPr>
          <w:p w14:paraId="684DBF16">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（1）每季度至少开展1次房屋结构安全巡视，发现外观有变形、开裂等现象，及时建议采购人申请房屋安全鉴定，并采取必要的避险和防护措施。</w:t>
            </w:r>
          </w:p>
        </w:tc>
      </w:tr>
      <w:tr w14:paraId="3848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vMerge w:val="continue"/>
            <w:noWrap w:val="0"/>
            <w:vAlign w:val="center"/>
          </w:tcPr>
          <w:p w14:paraId="75FFD598">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val="0"/>
                <w:bCs w:val="0"/>
                <w:color w:val="auto"/>
                <w:kern w:val="0"/>
                <w:sz w:val="21"/>
                <w:szCs w:val="21"/>
                <w:highlight w:val="none"/>
                <w:lang w:val="en-US" w:eastAsia="zh-CN"/>
              </w:rPr>
            </w:pPr>
          </w:p>
        </w:tc>
        <w:tc>
          <w:tcPr>
            <w:tcW w:w="1166" w:type="dxa"/>
            <w:vMerge w:val="continue"/>
            <w:noWrap w:val="0"/>
            <w:vAlign w:val="center"/>
          </w:tcPr>
          <w:p w14:paraId="690A17CF">
            <w:pPr>
              <w:keepNext w:val="0"/>
              <w:keepLines w:val="0"/>
              <w:pageBreakBefore w:val="0"/>
              <w:widowControl/>
              <w:kinsoku/>
              <w:wordWrap/>
              <w:overflowPunct/>
              <w:topLinePunct w:val="0"/>
              <w:autoSpaceDE/>
              <w:autoSpaceDN/>
              <w:bidi w:val="0"/>
              <w:snapToGrid w:val="0"/>
              <w:spacing w:line="240" w:lineRule="auto"/>
              <w:ind w:left="0"/>
              <w:jc w:val="both"/>
              <w:textAlignment w:val="auto"/>
              <w:rPr>
                <w:rFonts w:hint="eastAsia" w:ascii="宋体" w:hAnsi="宋体" w:eastAsia="宋体" w:cs="宋体"/>
                <w:b w:val="0"/>
                <w:bCs w:val="0"/>
                <w:color w:val="auto"/>
                <w:kern w:val="0"/>
                <w:sz w:val="21"/>
                <w:szCs w:val="21"/>
                <w:highlight w:val="none"/>
              </w:rPr>
            </w:pPr>
          </w:p>
        </w:tc>
        <w:tc>
          <w:tcPr>
            <w:tcW w:w="7379" w:type="dxa"/>
            <w:shd w:val="clear" w:color="auto" w:fill="auto"/>
            <w:noWrap w:val="0"/>
            <w:vAlign w:val="center"/>
          </w:tcPr>
          <w:p w14:paraId="59FA8466">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（2）每季度至少开展1次外墙贴饰面、幕墙玻璃、雨篷、散水、空调室外机支撑构件等检查，发现破损，及时向采购人报告，按采购人要求出具维修方案，待采购人同意后按维修方案实施维修。</w:t>
            </w:r>
          </w:p>
        </w:tc>
      </w:tr>
      <w:tr w14:paraId="77AA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vMerge w:val="continue"/>
            <w:noWrap w:val="0"/>
            <w:vAlign w:val="center"/>
          </w:tcPr>
          <w:p w14:paraId="1155FC66">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val="0"/>
                <w:bCs w:val="0"/>
                <w:color w:val="auto"/>
                <w:kern w:val="0"/>
                <w:sz w:val="21"/>
                <w:szCs w:val="21"/>
                <w:highlight w:val="none"/>
                <w:lang w:val="en-US" w:eastAsia="zh-CN"/>
              </w:rPr>
            </w:pPr>
          </w:p>
        </w:tc>
        <w:tc>
          <w:tcPr>
            <w:tcW w:w="1166" w:type="dxa"/>
            <w:vMerge w:val="continue"/>
            <w:noWrap w:val="0"/>
            <w:vAlign w:val="center"/>
          </w:tcPr>
          <w:p w14:paraId="014BD776">
            <w:pPr>
              <w:keepNext w:val="0"/>
              <w:keepLines w:val="0"/>
              <w:pageBreakBefore w:val="0"/>
              <w:widowControl/>
              <w:kinsoku/>
              <w:wordWrap/>
              <w:overflowPunct/>
              <w:topLinePunct w:val="0"/>
              <w:autoSpaceDE/>
              <w:autoSpaceDN/>
              <w:bidi w:val="0"/>
              <w:snapToGrid w:val="0"/>
              <w:spacing w:line="240" w:lineRule="auto"/>
              <w:ind w:left="0"/>
              <w:jc w:val="both"/>
              <w:textAlignment w:val="auto"/>
              <w:rPr>
                <w:rFonts w:hint="eastAsia" w:ascii="宋体" w:hAnsi="宋体" w:eastAsia="宋体" w:cs="宋体"/>
                <w:b w:val="0"/>
                <w:bCs w:val="0"/>
                <w:color w:val="auto"/>
                <w:kern w:val="0"/>
                <w:sz w:val="21"/>
                <w:szCs w:val="21"/>
                <w:highlight w:val="none"/>
              </w:rPr>
            </w:pPr>
          </w:p>
        </w:tc>
        <w:tc>
          <w:tcPr>
            <w:tcW w:w="7379" w:type="dxa"/>
            <w:shd w:val="clear" w:color="auto" w:fill="auto"/>
            <w:noWrap w:val="0"/>
            <w:vAlign w:val="center"/>
          </w:tcPr>
          <w:p w14:paraId="60EF5B57">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（3）每半月至少开展1次公用部位的门、窗、楼梯、通风道、室内地面、墙面、吊顶和室外屋面等巡查，发现破损，及时向采购人报告，按采购人要求出具维修方案，待采购人同意后按维修方案实施维修。</w:t>
            </w:r>
          </w:p>
        </w:tc>
      </w:tr>
      <w:tr w14:paraId="7DA6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vMerge w:val="continue"/>
            <w:noWrap w:val="0"/>
            <w:vAlign w:val="center"/>
          </w:tcPr>
          <w:p w14:paraId="509D4E4C">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val="0"/>
                <w:bCs w:val="0"/>
                <w:color w:val="auto"/>
                <w:kern w:val="0"/>
                <w:sz w:val="21"/>
                <w:szCs w:val="21"/>
                <w:highlight w:val="none"/>
                <w:lang w:val="en-US" w:eastAsia="zh-CN"/>
              </w:rPr>
            </w:pPr>
          </w:p>
        </w:tc>
        <w:tc>
          <w:tcPr>
            <w:tcW w:w="1166" w:type="dxa"/>
            <w:vMerge w:val="continue"/>
            <w:noWrap w:val="0"/>
            <w:vAlign w:val="center"/>
          </w:tcPr>
          <w:p w14:paraId="37C3CF66">
            <w:pPr>
              <w:keepNext w:val="0"/>
              <w:keepLines w:val="0"/>
              <w:pageBreakBefore w:val="0"/>
              <w:widowControl/>
              <w:kinsoku/>
              <w:wordWrap/>
              <w:overflowPunct/>
              <w:topLinePunct w:val="0"/>
              <w:autoSpaceDE/>
              <w:autoSpaceDN/>
              <w:bidi w:val="0"/>
              <w:snapToGrid w:val="0"/>
              <w:spacing w:line="240" w:lineRule="auto"/>
              <w:ind w:left="0"/>
              <w:jc w:val="both"/>
              <w:textAlignment w:val="auto"/>
              <w:rPr>
                <w:rFonts w:hint="eastAsia" w:ascii="宋体" w:hAnsi="宋体" w:eastAsia="宋体" w:cs="宋体"/>
                <w:b w:val="0"/>
                <w:bCs w:val="0"/>
                <w:color w:val="auto"/>
                <w:kern w:val="0"/>
                <w:sz w:val="21"/>
                <w:szCs w:val="21"/>
                <w:highlight w:val="none"/>
              </w:rPr>
            </w:pPr>
          </w:p>
        </w:tc>
        <w:tc>
          <w:tcPr>
            <w:tcW w:w="7379" w:type="dxa"/>
            <w:shd w:val="clear" w:color="auto" w:fill="auto"/>
            <w:noWrap w:val="0"/>
            <w:vAlign w:val="center"/>
          </w:tcPr>
          <w:p w14:paraId="01F458F8">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lang w:val="en-US" w:eastAsia="zh-CN"/>
              </w:rPr>
              <w:t>（4）每年强降雨天气前后、雨雪季节检查屋面防水和雨落管等，发现破损，及时向采购人报告，按采购人要求出具维修方案，待采购人同意后按维修方案实施维修。</w:t>
            </w:r>
          </w:p>
        </w:tc>
      </w:tr>
      <w:tr w14:paraId="4025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vMerge w:val="continue"/>
            <w:noWrap w:val="0"/>
            <w:vAlign w:val="center"/>
          </w:tcPr>
          <w:p w14:paraId="225F079B">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val="0"/>
                <w:bCs w:val="0"/>
                <w:color w:val="auto"/>
                <w:kern w:val="0"/>
                <w:sz w:val="21"/>
                <w:szCs w:val="21"/>
                <w:highlight w:val="none"/>
                <w:lang w:val="en-US" w:eastAsia="zh-CN"/>
              </w:rPr>
            </w:pPr>
          </w:p>
        </w:tc>
        <w:tc>
          <w:tcPr>
            <w:tcW w:w="1166" w:type="dxa"/>
            <w:vMerge w:val="continue"/>
            <w:noWrap w:val="0"/>
            <w:vAlign w:val="center"/>
          </w:tcPr>
          <w:p w14:paraId="0E5CEB49">
            <w:pPr>
              <w:keepNext w:val="0"/>
              <w:keepLines w:val="0"/>
              <w:pageBreakBefore w:val="0"/>
              <w:widowControl/>
              <w:kinsoku/>
              <w:wordWrap/>
              <w:overflowPunct/>
              <w:topLinePunct w:val="0"/>
              <w:autoSpaceDE/>
              <w:autoSpaceDN/>
              <w:bidi w:val="0"/>
              <w:snapToGrid w:val="0"/>
              <w:spacing w:line="240" w:lineRule="auto"/>
              <w:ind w:left="0"/>
              <w:jc w:val="both"/>
              <w:textAlignment w:val="auto"/>
              <w:rPr>
                <w:rFonts w:hint="eastAsia" w:ascii="宋体" w:hAnsi="宋体" w:eastAsia="宋体" w:cs="宋体"/>
                <w:b w:val="0"/>
                <w:bCs w:val="0"/>
                <w:color w:val="auto"/>
                <w:kern w:val="0"/>
                <w:sz w:val="21"/>
                <w:szCs w:val="21"/>
                <w:highlight w:val="none"/>
              </w:rPr>
            </w:pPr>
          </w:p>
        </w:tc>
        <w:tc>
          <w:tcPr>
            <w:tcW w:w="7379" w:type="dxa"/>
            <w:shd w:val="clear" w:color="auto" w:fill="auto"/>
            <w:noWrap w:val="0"/>
            <w:vAlign w:val="center"/>
          </w:tcPr>
          <w:p w14:paraId="2F79025B">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lang w:val="en-US" w:eastAsia="zh-CN"/>
              </w:rPr>
              <w:t>（5）</w:t>
            </w:r>
            <w:r>
              <w:rPr>
                <w:rFonts w:hint="eastAsia" w:ascii="宋体" w:hAnsi="宋体" w:eastAsia="宋体" w:cs="宋体"/>
                <w:color w:val="auto"/>
                <w:sz w:val="21"/>
                <w:szCs w:val="21"/>
                <w:highlight w:val="none"/>
                <w:u w:val="none"/>
                <w:lang w:val="en-US" w:eastAsia="zh-CN"/>
              </w:rPr>
              <w:t>办公楼外观完好，建筑装饰面无脱落、无破损、无污渍，玻璃幕墙清洁明亮、无破损。</w:t>
            </w:r>
          </w:p>
        </w:tc>
      </w:tr>
      <w:tr w14:paraId="74BD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vMerge w:val="continue"/>
            <w:noWrap w:val="0"/>
            <w:vAlign w:val="center"/>
          </w:tcPr>
          <w:p w14:paraId="193B97FB">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val="0"/>
                <w:bCs w:val="0"/>
                <w:color w:val="auto"/>
                <w:kern w:val="0"/>
                <w:sz w:val="21"/>
                <w:szCs w:val="21"/>
                <w:highlight w:val="none"/>
                <w:lang w:val="en-US" w:eastAsia="zh-CN"/>
              </w:rPr>
            </w:pPr>
          </w:p>
        </w:tc>
        <w:tc>
          <w:tcPr>
            <w:tcW w:w="1166" w:type="dxa"/>
            <w:vMerge w:val="continue"/>
            <w:noWrap w:val="0"/>
            <w:vAlign w:val="center"/>
          </w:tcPr>
          <w:p w14:paraId="39C942F3">
            <w:pPr>
              <w:keepNext w:val="0"/>
              <w:keepLines w:val="0"/>
              <w:pageBreakBefore w:val="0"/>
              <w:widowControl/>
              <w:kinsoku/>
              <w:wordWrap/>
              <w:overflowPunct/>
              <w:topLinePunct w:val="0"/>
              <w:autoSpaceDE/>
              <w:autoSpaceDN/>
              <w:bidi w:val="0"/>
              <w:snapToGrid w:val="0"/>
              <w:spacing w:line="240" w:lineRule="auto"/>
              <w:ind w:left="0"/>
              <w:jc w:val="both"/>
              <w:textAlignment w:val="auto"/>
              <w:rPr>
                <w:rFonts w:hint="eastAsia" w:ascii="宋体" w:hAnsi="宋体" w:eastAsia="宋体" w:cs="宋体"/>
                <w:b w:val="0"/>
                <w:bCs w:val="0"/>
                <w:color w:val="auto"/>
                <w:kern w:val="0"/>
                <w:sz w:val="21"/>
                <w:szCs w:val="21"/>
                <w:highlight w:val="none"/>
              </w:rPr>
            </w:pPr>
          </w:p>
        </w:tc>
        <w:tc>
          <w:tcPr>
            <w:tcW w:w="7379" w:type="dxa"/>
            <w:shd w:val="clear" w:color="auto" w:fill="auto"/>
            <w:noWrap w:val="0"/>
            <w:vAlign w:val="center"/>
          </w:tcPr>
          <w:p w14:paraId="2D5A6A62">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lang w:val="en-US" w:eastAsia="zh-CN"/>
              </w:rPr>
              <w:t>（6）</w:t>
            </w:r>
            <w:r>
              <w:rPr>
                <w:rFonts w:hint="eastAsia" w:ascii="宋体" w:hAnsi="宋体" w:eastAsia="宋体" w:cs="宋体"/>
                <w:color w:val="auto"/>
                <w:sz w:val="21"/>
                <w:szCs w:val="21"/>
                <w:highlight w:val="none"/>
                <w:u w:val="none"/>
                <w:lang w:val="en-US" w:eastAsia="zh-CN"/>
              </w:rPr>
              <w:t>通道、楼梯、门窗等设施的完好和正常使用。</w:t>
            </w:r>
          </w:p>
        </w:tc>
      </w:tr>
      <w:tr w14:paraId="5F3A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vMerge w:val="restart"/>
            <w:noWrap w:val="0"/>
            <w:vAlign w:val="center"/>
          </w:tcPr>
          <w:p w14:paraId="15D452A3">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8</w:t>
            </w:r>
          </w:p>
        </w:tc>
        <w:tc>
          <w:tcPr>
            <w:tcW w:w="1166" w:type="dxa"/>
            <w:vMerge w:val="restart"/>
            <w:noWrap w:val="0"/>
            <w:vAlign w:val="center"/>
          </w:tcPr>
          <w:p w14:paraId="2A0DDE85">
            <w:pPr>
              <w:keepNext w:val="0"/>
              <w:keepLines w:val="0"/>
              <w:pageBreakBefore w:val="0"/>
              <w:widowControl/>
              <w:kinsoku/>
              <w:wordWrap/>
              <w:overflowPunct/>
              <w:topLinePunct w:val="0"/>
              <w:autoSpaceDE/>
              <w:autoSpaceDN/>
              <w:bidi w:val="0"/>
              <w:snapToGrid w:val="0"/>
              <w:spacing w:line="240" w:lineRule="auto"/>
              <w:ind w:left="0"/>
              <w:jc w:val="both"/>
              <w:textAlignment w:val="auto"/>
              <w:rPr>
                <w:rFonts w:hint="eastAsia" w:ascii="宋体" w:hAnsi="宋体" w:eastAsia="宋体" w:cs="宋体"/>
                <w:b w:val="0"/>
                <w:bCs w:val="0"/>
                <w:color w:val="auto"/>
                <w:kern w:val="0"/>
                <w:sz w:val="21"/>
                <w:szCs w:val="21"/>
                <w:highlight w:val="none"/>
              </w:rPr>
            </w:pPr>
            <w:r>
              <w:rPr>
                <w:rFonts w:hint="eastAsia" w:ascii="Times New Roman" w:hAnsi="Times New Roman" w:eastAsia="宋体" w:cs="Calibri"/>
                <w:b w:val="0"/>
                <w:bCs w:val="0"/>
                <w:color w:val="auto"/>
                <w:kern w:val="0"/>
                <w:szCs w:val="21"/>
                <w:highlight w:val="none"/>
                <w:lang w:val="en-US" w:eastAsia="zh-CN"/>
              </w:rPr>
              <w:t>其他设施</w:t>
            </w:r>
          </w:p>
        </w:tc>
        <w:tc>
          <w:tcPr>
            <w:tcW w:w="7379" w:type="dxa"/>
            <w:shd w:val="clear" w:color="auto" w:fill="auto"/>
            <w:noWrap w:val="0"/>
            <w:vAlign w:val="center"/>
          </w:tcPr>
          <w:p w14:paraId="16749A48">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lang w:val="en-US" w:eastAsia="zh-CN"/>
              </w:rPr>
              <w:t>（1）每半月至少开展1次大门、围墙、道路、场地、管井、沟渠等巡查，每半月至少检查1次雨污水管井、化粪池等巡查，发现破损，及时向采购人报告，按采购人要求出具维修方案，待采购人同意后按维修方案实施维修。</w:t>
            </w:r>
          </w:p>
        </w:tc>
      </w:tr>
      <w:tr w14:paraId="3010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vMerge w:val="continue"/>
            <w:noWrap w:val="0"/>
            <w:vAlign w:val="center"/>
          </w:tcPr>
          <w:p w14:paraId="6E2FFE3F">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val="0"/>
                <w:bCs w:val="0"/>
                <w:color w:val="auto"/>
                <w:kern w:val="0"/>
                <w:sz w:val="21"/>
                <w:szCs w:val="21"/>
                <w:highlight w:val="none"/>
                <w:lang w:val="en-US" w:eastAsia="zh-CN"/>
              </w:rPr>
            </w:pPr>
          </w:p>
        </w:tc>
        <w:tc>
          <w:tcPr>
            <w:tcW w:w="1166" w:type="dxa"/>
            <w:vMerge w:val="continue"/>
            <w:noWrap w:val="0"/>
            <w:vAlign w:val="center"/>
          </w:tcPr>
          <w:p w14:paraId="13C98FF5">
            <w:pPr>
              <w:keepNext w:val="0"/>
              <w:keepLines w:val="0"/>
              <w:pageBreakBefore w:val="0"/>
              <w:widowControl/>
              <w:kinsoku/>
              <w:wordWrap/>
              <w:overflowPunct/>
              <w:topLinePunct w:val="0"/>
              <w:autoSpaceDE/>
              <w:autoSpaceDN/>
              <w:bidi w:val="0"/>
              <w:snapToGrid w:val="0"/>
              <w:spacing w:line="240" w:lineRule="auto"/>
              <w:ind w:left="0"/>
              <w:jc w:val="both"/>
              <w:textAlignment w:val="auto"/>
              <w:rPr>
                <w:rFonts w:hint="eastAsia" w:ascii="宋体" w:hAnsi="宋体" w:eastAsia="宋体" w:cs="宋体"/>
                <w:b w:val="0"/>
                <w:bCs w:val="0"/>
                <w:color w:val="auto"/>
                <w:kern w:val="0"/>
                <w:sz w:val="21"/>
                <w:szCs w:val="21"/>
                <w:highlight w:val="none"/>
              </w:rPr>
            </w:pPr>
          </w:p>
        </w:tc>
        <w:tc>
          <w:tcPr>
            <w:tcW w:w="7379" w:type="dxa"/>
            <w:shd w:val="clear" w:color="auto" w:fill="auto"/>
            <w:noWrap w:val="0"/>
            <w:vAlign w:val="center"/>
          </w:tcPr>
          <w:p w14:paraId="1A3C52D5">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lang w:val="en-US" w:eastAsia="zh-CN"/>
              </w:rPr>
              <w:t>（2）每年至少开展1次防雷装置检测，发现失效，及时向采购人报告，按采购人要求出具维修方案，待采购人同意后按维修方案实施维修。</w:t>
            </w:r>
          </w:p>
        </w:tc>
      </w:tr>
      <w:tr w14:paraId="6BD9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vMerge w:val="continue"/>
            <w:noWrap w:val="0"/>
            <w:vAlign w:val="center"/>
          </w:tcPr>
          <w:p w14:paraId="27568ABE">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val="0"/>
                <w:bCs w:val="0"/>
                <w:color w:val="auto"/>
                <w:kern w:val="0"/>
                <w:sz w:val="21"/>
                <w:szCs w:val="21"/>
                <w:highlight w:val="none"/>
                <w:lang w:val="en-US" w:eastAsia="zh-CN"/>
              </w:rPr>
            </w:pPr>
          </w:p>
        </w:tc>
        <w:tc>
          <w:tcPr>
            <w:tcW w:w="1166" w:type="dxa"/>
            <w:vMerge w:val="continue"/>
            <w:noWrap w:val="0"/>
            <w:vAlign w:val="center"/>
          </w:tcPr>
          <w:p w14:paraId="35334DBA">
            <w:pPr>
              <w:keepNext w:val="0"/>
              <w:keepLines w:val="0"/>
              <w:pageBreakBefore w:val="0"/>
              <w:widowControl/>
              <w:kinsoku/>
              <w:wordWrap/>
              <w:overflowPunct/>
              <w:topLinePunct w:val="0"/>
              <w:autoSpaceDE/>
              <w:autoSpaceDN/>
              <w:bidi w:val="0"/>
              <w:snapToGrid w:val="0"/>
              <w:spacing w:line="240" w:lineRule="auto"/>
              <w:ind w:left="0"/>
              <w:jc w:val="both"/>
              <w:textAlignment w:val="auto"/>
              <w:rPr>
                <w:rFonts w:hint="eastAsia" w:ascii="宋体" w:hAnsi="宋体" w:eastAsia="宋体" w:cs="宋体"/>
                <w:b w:val="0"/>
                <w:bCs w:val="0"/>
                <w:color w:val="auto"/>
                <w:kern w:val="0"/>
                <w:sz w:val="21"/>
                <w:szCs w:val="21"/>
                <w:highlight w:val="none"/>
              </w:rPr>
            </w:pPr>
          </w:p>
        </w:tc>
        <w:tc>
          <w:tcPr>
            <w:tcW w:w="7379" w:type="dxa"/>
            <w:shd w:val="clear" w:color="auto" w:fill="auto"/>
            <w:noWrap w:val="0"/>
            <w:vAlign w:val="center"/>
          </w:tcPr>
          <w:p w14:paraId="1C2587ED">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color w:val="auto"/>
                <w:sz w:val="21"/>
                <w:szCs w:val="21"/>
                <w:highlight w:val="none"/>
                <w:u w:val="none"/>
                <w:lang w:val="en-US" w:eastAsia="zh-CN"/>
              </w:rPr>
              <w:t>路面状态良好，地漏通畅不堵塞。</w:t>
            </w:r>
          </w:p>
        </w:tc>
      </w:tr>
      <w:tr w14:paraId="4B07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vMerge w:val="continue"/>
            <w:noWrap w:val="0"/>
            <w:vAlign w:val="center"/>
          </w:tcPr>
          <w:p w14:paraId="270E290D">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val="0"/>
                <w:bCs w:val="0"/>
                <w:color w:val="auto"/>
                <w:kern w:val="0"/>
                <w:sz w:val="21"/>
                <w:szCs w:val="21"/>
                <w:highlight w:val="none"/>
                <w:lang w:val="en-US" w:eastAsia="zh-CN"/>
              </w:rPr>
            </w:pPr>
          </w:p>
        </w:tc>
        <w:tc>
          <w:tcPr>
            <w:tcW w:w="1166" w:type="dxa"/>
            <w:vMerge w:val="continue"/>
            <w:noWrap w:val="0"/>
            <w:vAlign w:val="center"/>
          </w:tcPr>
          <w:p w14:paraId="598803FB">
            <w:pPr>
              <w:keepNext w:val="0"/>
              <w:keepLines w:val="0"/>
              <w:pageBreakBefore w:val="0"/>
              <w:widowControl/>
              <w:kinsoku/>
              <w:wordWrap/>
              <w:overflowPunct/>
              <w:topLinePunct w:val="0"/>
              <w:autoSpaceDE/>
              <w:autoSpaceDN/>
              <w:bidi w:val="0"/>
              <w:snapToGrid w:val="0"/>
              <w:spacing w:line="240" w:lineRule="auto"/>
              <w:ind w:left="0"/>
              <w:jc w:val="both"/>
              <w:textAlignment w:val="auto"/>
              <w:rPr>
                <w:rFonts w:hint="eastAsia" w:ascii="宋体" w:hAnsi="宋体" w:eastAsia="宋体" w:cs="宋体"/>
                <w:b w:val="0"/>
                <w:bCs w:val="0"/>
                <w:color w:val="auto"/>
                <w:kern w:val="0"/>
                <w:sz w:val="21"/>
                <w:szCs w:val="21"/>
                <w:highlight w:val="none"/>
              </w:rPr>
            </w:pPr>
          </w:p>
        </w:tc>
        <w:tc>
          <w:tcPr>
            <w:tcW w:w="7379" w:type="dxa"/>
            <w:shd w:val="clear" w:color="auto" w:fill="auto"/>
            <w:noWrap w:val="0"/>
            <w:vAlign w:val="center"/>
          </w:tcPr>
          <w:p w14:paraId="123E812B">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（4）接到采购人家具报修服务后，及时通知家具供货商对保修期内的家具进行维修，及时对保修期外的家具进行维修。</w:t>
            </w:r>
          </w:p>
        </w:tc>
      </w:tr>
      <w:tr w14:paraId="6DB8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vMerge w:val="restart"/>
            <w:noWrap w:val="0"/>
            <w:vAlign w:val="center"/>
          </w:tcPr>
          <w:p w14:paraId="6FD9D399">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9</w:t>
            </w:r>
          </w:p>
        </w:tc>
        <w:tc>
          <w:tcPr>
            <w:tcW w:w="1166" w:type="dxa"/>
            <w:vMerge w:val="restart"/>
            <w:noWrap w:val="0"/>
            <w:vAlign w:val="center"/>
          </w:tcPr>
          <w:p w14:paraId="16F97E97">
            <w:pPr>
              <w:keepNext w:val="0"/>
              <w:keepLines w:val="0"/>
              <w:pageBreakBefore w:val="0"/>
              <w:widowControl/>
              <w:kinsoku/>
              <w:wordWrap/>
              <w:overflowPunct/>
              <w:topLinePunct w:val="0"/>
              <w:autoSpaceDE/>
              <w:autoSpaceDN/>
              <w:bidi w:val="0"/>
              <w:snapToGrid w:val="0"/>
              <w:spacing w:line="240" w:lineRule="auto"/>
              <w:ind w:left="0"/>
              <w:jc w:val="both"/>
              <w:textAlignment w:val="auto"/>
              <w:rPr>
                <w:rFonts w:hint="eastAsia" w:ascii="宋体" w:hAnsi="宋体" w:eastAsia="宋体" w:cs="宋体"/>
                <w:b w:val="0"/>
                <w:bCs w:val="0"/>
                <w:color w:val="auto"/>
                <w:kern w:val="0"/>
                <w:sz w:val="21"/>
                <w:szCs w:val="21"/>
                <w:highlight w:val="none"/>
              </w:rPr>
            </w:pPr>
            <w:r>
              <w:rPr>
                <w:rFonts w:hint="eastAsia" w:ascii="Times New Roman" w:hAnsi="Times New Roman" w:eastAsia="宋体" w:cs="Calibri"/>
                <w:b w:val="0"/>
                <w:bCs w:val="0"/>
                <w:color w:val="auto"/>
                <w:kern w:val="0"/>
                <w:szCs w:val="21"/>
                <w:highlight w:val="none"/>
                <w:lang w:val="en-US" w:eastAsia="zh-CN"/>
              </w:rPr>
              <w:t>标识标牌</w:t>
            </w:r>
          </w:p>
        </w:tc>
        <w:tc>
          <w:tcPr>
            <w:tcW w:w="7379" w:type="dxa"/>
            <w:shd w:val="clear" w:color="auto" w:fill="auto"/>
            <w:noWrap w:val="0"/>
            <w:vAlign w:val="center"/>
          </w:tcPr>
          <w:p w14:paraId="33D27AD7">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lang w:val="en-US" w:eastAsia="zh-CN"/>
              </w:rPr>
              <w:t>（1）标识标牌符合《</w:t>
            </w:r>
            <w:r>
              <w:rPr>
                <w:rFonts w:hint="eastAsia" w:ascii="宋体" w:hAnsi="宋体" w:eastAsia="宋体" w:cs="宋体"/>
                <w:color w:val="auto"/>
                <w:kern w:val="0"/>
                <w:sz w:val="21"/>
                <w:szCs w:val="21"/>
                <w:highlight w:val="none"/>
              </w:rPr>
              <w:t>公共信息图形符号 第1部分：通用符号</w:t>
            </w: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color w:val="auto"/>
                <w:kern w:val="0"/>
                <w:sz w:val="21"/>
                <w:szCs w:val="21"/>
                <w:highlight w:val="none"/>
              </w:rPr>
              <w:t>GB/T 10001.1</w:t>
            </w:r>
            <w:r>
              <w:rPr>
                <w:rFonts w:hint="eastAsia" w:ascii="宋体" w:hAnsi="宋体" w:eastAsia="宋体" w:cs="宋体"/>
                <w:b w:val="0"/>
                <w:bCs w:val="0"/>
                <w:color w:val="auto"/>
                <w:kern w:val="0"/>
                <w:sz w:val="21"/>
                <w:szCs w:val="21"/>
                <w:highlight w:val="none"/>
                <w:lang w:val="en-US" w:eastAsia="zh-CN"/>
              </w:rPr>
              <w:t>）的相关要求，消防与安全标识符合《</w:t>
            </w:r>
            <w:r>
              <w:rPr>
                <w:rFonts w:hint="eastAsia" w:ascii="宋体" w:hAnsi="宋体" w:eastAsia="宋体" w:cs="宋体"/>
                <w:color w:val="auto"/>
                <w:kern w:val="0"/>
                <w:sz w:val="21"/>
                <w:szCs w:val="21"/>
                <w:highlight w:val="none"/>
              </w:rPr>
              <w:t>安全标志及其使用导则</w:t>
            </w:r>
            <w:r>
              <w:rPr>
                <w:rFonts w:hint="eastAsia" w:ascii="宋体" w:hAnsi="宋体" w:eastAsia="宋体" w:cs="宋体"/>
                <w:b w:val="0"/>
                <w:bCs w:val="0"/>
                <w:color w:val="auto"/>
                <w:kern w:val="0"/>
                <w:sz w:val="21"/>
                <w:szCs w:val="21"/>
                <w:highlight w:val="none"/>
                <w:lang w:val="en-US" w:eastAsia="zh-CN"/>
              </w:rPr>
              <w:t>》（GB2894）、《消防安全标志　第1部分：标志》（GB13495.1）的相关要求。</w:t>
            </w:r>
          </w:p>
        </w:tc>
      </w:tr>
      <w:tr w14:paraId="1FB3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1" w:type="dxa"/>
            <w:vMerge w:val="continue"/>
            <w:noWrap w:val="0"/>
            <w:vAlign w:val="center"/>
          </w:tcPr>
          <w:p w14:paraId="24B040A4">
            <w:pPr>
              <w:keepNext w:val="0"/>
              <w:keepLines w:val="0"/>
              <w:pageBreakBefore w:val="0"/>
              <w:widowControl/>
              <w:kinsoku/>
              <w:wordWrap/>
              <w:overflowPunct/>
              <w:topLinePunct w:val="0"/>
              <w:autoSpaceDE/>
              <w:autoSpaceDN/>
              <w:bidi w:val="0"/>
              <w:snapToGrid w:val="0"/>
              <w:spacing w:line="240" w:lineRule="auto"/>
              <w:ind w:left="0"/>
              <w:jc w:val="center"/>
              <w:textAlignment w:val="auto"/>
              <w:rPr>
                <w:rFonts w:hint="eastAsia" w:ascii="宋体" w:hAnsi="宋体" w:eastAsia="宋体" w:cs="宋体"/>
                <w:b w:val="0"/>
                <w:bCs w:val="0"/>
                <w:color w:val="auto"/>
                <w:kern w:val="0"/>
                <w:sz w:val="21"/>
                <w:szCs w:val="21"/>
                <w:highlight w:val="none"/>
                <w:lang w:val="en-US" w:eastAsia="zh-CN"/>
              </w:rPr>
            </w:pPr>
          </w:p>
        </w:tc>
        <w:tc>
          <w:tcPr>
            <w:tcW w:w="1166" w:type="dxa"/>
            <w:vMerge w:val="continue"/>
            <w:noWrap w:val="0"/>
            <w:vAlign w:val="center"/>
          </w:tcPr>
          <w:p w14:paraId="41073B12">
            <w:pPr>
              <w:keepNext w:val="0"/>
              <w:keepLines w:val="0"/>
              <w:pageBreakBefore w:val="0"/>
              <w:widowControl/>
              <w:kinsoku/>
              <w:wordWrap/>
              <w:overflowPunct/>
              <w:topLinePunct w:val="0"/>
              <w:autoSpaceDE/>
              <w:autoSpaceDN/>
              <w:bidi w:val="0"/>
              <w:snapToGrid w:val="0"/>
              <w:spacing w:line="240" w:lineRule="auto"/>
              <w:ind w:left="0"/>
              <w:jc w:val="both"/>
              <w:textAlignment w:val="auto"/>
              <w:rPr>
                <w:rFonts w:hint="eastAsia" w:ascii="宋体" w:hAnsi="宋体" w:eastAsia="宋体" w:cs="宋体"/>
                <w:b w:val="0"/>
                <w:bCs w:val="0"/>
                <w:color w:val="auto"/>
                <w:kern w:val="0"/>
                <w:sz w:val="21"/>
                <w:szCs w:val="21"/>
                <w:highlight w:val="none"/>
              </w:rPr>
            </w:pPr>
          </w:p>
        </w:tc>
        <w:tc>
          <w:tcPr>
            <w:tcW w:w="7379" w:type="dxa"/>
            <w:shd w:val="clear" w:color="auto" w:fill="auto"/>
            <w:noWrap w:val="0"/>
            <w:vAlign w:val="center"/>
          </w:tcPr>
          <w:p w14:paraId="25305368">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（2）每月至少检查1次标识标牌和消防与安全标识。应当规范清晰、路线指引正确、安装稳固。</w:t>
            </w:r>
          </w:p>
        </w:tc>
      </w:tr>
    </w:tbl>
    <w:p w14:paraId="34BA6236">
      <w:pPr>
        <w:keepNext/>
        <w:keepLines/>
        <w:pageBreakBefore w:val="0"/>
        <w:widowControl w:val="0"/>
        <w:tabs>
          <w:tab w:val="left" w:pos="900"/>
        </w:tabs>
        <w:kinsoku/>
        <w:wordWrap/>
        <w:overflowPunct/>
        <w:topLinePunct w:val="0"/>
        <w:autoSpaceDE/>
        <w:autoSpaceDN/>
        <w:bidi w:val="0"/>
        <w:adjustRightInd w:val="0"/>
        <w:snapToGrid w:val="0"/>
        <w:spacing w:before="0" w:after="0" w:line="360" w:lineRule="auto"/>
        <w:ind w:left="0" w:firstLine="0"/>
        <w:jc w:val="both"/>
        <w:textAlignment w:val="auto"/>
        <w:outlineLvl w:val="2"/>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4.6会议服务</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66"/>
        <w:gridCol w:w="7379"/>
      </w:tblGrid>
      <w:tr w14:paraId="468A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noWrap w:val="0"/>
            <w:vAlign w:val="center"/>
          </w:tcPr>
          <w:p w14:paraId="050DEBC4">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序号</w:t>
            </w:r>
          </w:p>
        </w:tc>
        <w:tc>
          <w:tcPr>
            <w:tcW w:w="1068" w:type="dxa"/>
            <w:noWrap w:val="0"/>
            <w:vAlign w:val="center"/>
          </w:tcPr>
          <w:p w14:paraId="0C65B4F0">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服务内容</w:t>
            </w:r>
          </w:p>
        </w:tc>
        <w:tc>
          <w:tcPr>
            <w:tcW w:w="6749" w:type="dxa"/>
            <w:noWrap w:val="0"/>
            <w:vAlign w:val="center"/>
          </w:tcPr>
          <w:p w14:paraId="6B6701CD">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服务标准</w:t>
            </w:r>
          </w:p>
        </w:tc>
      </w:tr>
      <w:tr w14:paraId="41C9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noWrap w:val="0"/>
            <w:vAlign w:val="center"/>
          </w:tcPr>
          <w:p w14:paraId="6150BE84">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w:t>
            </w:r>
          </w:p>
        </w:tc>
        <w:tc>
          <w:tcPr>
            <w:tcW w:w="1068" w:type="dxa"/>
            <w:noWrap w:val="0"/>
            <w:vAlign w:val="center"/>
          </w:tcPr>
          <w:p w14:paraId="2A9960D4">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 w:val="21"/>
                <w:szCs w:val="21"/>
                <w:highlight w:val="none"/>
                <w:u w:val="none"/>
                <w:lang w:val="en-US" w:eastAsia="zh-CN"/>
              </w:rPr>
              <w:t>会议受理</w:t>
            </w:r>
          </w:p>
        </w:tc>
        <w:tc>
          <w:tcPr>
            <w:tcW w:w="6749" w:type="dxa"/>
            <w:noWrap w:val="0"/>
            <w:vAlign w:val="center"/>
          </w:tcPr>
          <w:p w14:paraId="14AEF256">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 w:val="21"/>
                <w:szCs w:val="21"/>
                <w:highlight w:val="none"/>
                <w:u w:val="none"/>
                <w:lang w:val="en-US" w:eastAsia="zh-CN"/>
              </w:rPr>
              <w:t>接受会议预订，记录会议需求。</w:t>
            </w:r>
          </w:p>
        </w:tc>
      </w:tr>
      <w:tr w14:paraId="1926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noWrap w:val="0"/>
            <w:vAlign w:val="center"/>
          </w:tcPr>
          <w:p w14:paraId="0025DFDC">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w:t>
            </w:r>
          </w:p>
        </w:tc>
        <w:tc>
          <w:tcPr>
            <w:tcW w:w="1068" w:type="dxa"/>
            <w:noWrap w:val="0"/>
            <w:vAlign w:val="center"/>
          </w:tcPr>
          <w:p w14:paraId="4BCD2DBF">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 w:val="21"/>
                <w:szCs w:val="21"/>
                <w:highlight w:val="none"/>
                <w:u w:val="none"/>
                <w:lang w:val="en-US" w:eastAsia="zh-CN"/>
              </w:rPr>
              <w:t>会前准备</w:t>
            </w:r>
          </w:p>
        </w:tc>
        <w:tc>
          <w:tcPr>
            <w:tcW w:w="6749" w:type="dxa"/>
            <w:noWrap w:val="0"/>
            <w:vAlign w:val="center"/>
          </w:tcPr>
          <w:p w14:paraId="190C5112">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 w:val="21"/>
                <w:szCs w:val="21"/>
                <w:highlight w:val="none"/>
                <w:u w:val="none"/>
                <w:lang w:val="en-US" w:eastAsia="zh-CN"/>
              </w:rPr>
              <w:t>根据会议需求、场地大小、用途，明确会议桌椅、物品、设备、文具等摆放规定，音、视频设施保障措施。</w:t>
            </w:r>
          </w:p>
        </w:tc>
      </w:tr>
      <w:tr w14:paraId="54F23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noWrap w:val="0"/>
            <w:vAlign w:val="center"/>
          </w:tcPr>
          <w:p w14:paraId="086A670B">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w:t>
            </w:r>
          </w:p>
        </w:tc>
        <w:tc>
          <w:tcPr>
            <w:tcW w:w="1068" w:type="dxa"/>
            <w:noWrap w:val="0"/>
            <w:vAlign w:val="center"/>
          </w:tcPr>
          <w:p w14:paraId="255AAADD">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 w:val="21"/>
                <w:szCs w:val="21"/>
                <w:highlight w:val="none"/>
                <w:u w:val="none"/>
                <w:lang w:val="en-US" w:eastAsia="zh-CN"/>
              </w:rPr>
              <w:t>引导服务</w:t>
            </w:r>
          </w:p>
        </w:tc>
        <w:tc>
          <w:tcPr>
            <w:tcW w:w="6749" w:type="dxa"/>
            <w:noWrap w:val="0"/>
            <w:vAlign w:val="center"/>
          </w:tcPr>
          <w:p w14:paraId="50132CD2">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 w:val="21"/>
                <w:szCs w:val="21"/>
                <w:highlight w:val="none"/>
                <w:u w:val="none"/>
                <w:lang w:val="en-US" w:eastAsia="zh-CN"/>
              </w:rPr>
              <w:t>做好引导牌并放置在指定位置，引导人员引导手势规范，语言标准。</w:t>
            </w:r>
          </w:p>
        </w:tc>
      </w:tr>
      <w:tr w14:paraId="5DFC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noWrap w:val="0"/>
            <w:vAlign w:val="center"/>
          </w:tcPr>
          <w:p w14:paraId="1BE07ECB">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w:t>
            </w:r>
          </w:p>
        </w:tc>
        <w:tc>
          <w:tcPr>
            <w:tcW w:w="1068" w:type="dxa"/>
            <w:noWrap w:val="0"/>
            <w:vAlign w:val="center"/>
          </w:tcPr>
          <w:p w14:paraId="2E9757FA">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 w:val="21"/>
                <w:szCs w:val="21"/>
                <w:highlight w:val="none"/>
                <w:u w:val="none"/>
                <w:lang w:val="en-US" w:eastAsia="zh-CN"/>
              </w:rPr>
              <w:t>会中服务</w:t>
            </w:r>
          </w:p>
        </w:tc>
        <w:tc>
          <w:tcPr>
            <w:tcW w:w="6749" w:type="dxa"/>
            <w:noWrap w:val="0"/>
            <w:vAlign w:val="center"/>
          </w:tcPr>
          <w:p w14:paraId="7050C546">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 w:val="21"/>
                <w:szCs w:val="21"/>
                <w:highlight w:val="none"/>
                <w:u w:val="none"/>
                <w:lang w:val="en-US" w:eastAsia="zh-CN"/>
              </w:rPr>
              <w:t>会议期间按要求加水。</w:t>
            </w:r>
          </w:p>
        </w:tc>
      </w:tr>
      <w:tr w14:paraId="71167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noWrap w:val="0"/>
            <w:vAlign w:val="center"/>
          </w:tcPr>
          <w:p w14:paraId="310635CE">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5</w:t>
            </w:r>
          </w:p>
        </w:tc>
        <w:tc>
          <w:tcPr>
            <w:tcW w:w="1068" w:type="dxa"/>
            <w:noWrap w:val="0"/>
            <w:vAlign w:val="center"/>
          </w:tcPr>
          <w:p w14:paraId="653DCF82">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 w:val="21"/>
                <w:szCs w:val="21"/>
                <w:highlight w:val="none"/>
                <w:u w:val="none"/>
                <w:lang w:val="en-US" w:eastAsia="zh-CN"/>
              </w:rPr>
              <w:t>会后整理</w:t>
            </w:r>
          </w:p>
        </w:tc>
        <w:tc>
          <w:tcPr>
            <w:tcW w:w="6749" w:type="dxa"/>
            <w:noWrap w:val="0"/>
            <w:vAlign w:val="center"/>
          </w:tcPr>
          <w:p w14:paraId="716A1065">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 w:val="21"/>
                <w:szCs w:val="21"/>
                <w:highlight w:val="none"/>
                <w:u w:val="none"/>
                <w:lang w:val="en-US" w:eastAsia="zh-CN"/>
              </w:rPr>
              <w:t>对会议现场进行检查，做好会场清扫工作。</w:t>
            </w:r>
          </w:p>
        </w:tc>
      </w:tr>
    </w:tbl>
    <w:p w14:paraId="529E983E">
      <w:pPr>
        <w:rPr>
          <w:rFonts w:hint="eastAsia" w:asciiTheme="minorEastAsia" w:hAnsiTheme="minorEastAsia" w:eastAsiaTheme="minorEastAsia" w:cstheme="minorEastAsia"/>
          <w:color w:val="auto"/>
          <w:highlight w:val="none"/>
        </w:rPr>
      </w:pPr>
    </w:p>
    <w:p w14:paraId="7A5F43AB">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2、商务需求：</w:t>
      </w:r>
    </w:p>
    <w:p w14:paraId="22A70A99">
      <w:pPr>
        <w:pageBreakBefore w:val="0"/>
        <w:widowControl w:val="0"/>
        <w:tabs>
          <w:tab w:val="left" w:pos="0"/>
        </w:tabs>
        <w:kinsoku/>
        <w:wordWrap/>
        <w:overflowPunct/>
        <w:topLinePunct w:val="0"/>
        <w:autoSpaceDE/>
        <w:autoSpaceDN/>
        <w:bidi w:val="0"/>
        <w:snapToGrid w:val="0"/>
        <w:spacing w:line="360" w:lineRule="auto"/>
        <w:ind w:firstLine="480"/>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.1付款方式：本项目不收取履约保证金。合同一年一签，</w:t>
      </w:r>
      <w:r>
        <w:rPr>
          <w:rFonts w:hint="eastAsia" w:ascii="宋体" w:hAnsi="宋体" w:cs="宋体"/>
          <w:b w:val="0"/>
          <w:bCs/>
          <w:color w:val="auto"/>
          <w:sz w:val="24"/>
          <w:szCs w:val="24"/>
          <w:highlight w:val="none"/>
          <w:lang w:val="en-US" w:eastAsia="zh-CN"/>
        </w:rPr>
        <w:t>合同金额为中标价格的二分之一。</w:t>
      </w:r>
      <w:r>
        <w:rPr>
          <w:rFonts w:hint="eastAsia" w:ascii="宋体" w:hAnsi="宋体" w:eastAsia="宋体" w:cs="宋体"/>
          <w:b w:val="0"/>
          <w:bCs/>
          <w:color w:val="auto"/>
          <w:sz w:val="24"/>
          <w:szCs w:val="24"/>
          <w:highlight w:val="none"/>
          <w:lang w:val="en-US" w:eastAsia="zh-CN"/>
        </w:rPr>
        <w:t>每年合同签订后，采购人支付当年合同金额的40%作为预付款，其余费用分两次支付，支付时间和比例根据招标进度在合同中约定。采购人根据招标需求制定考核办法</w:t>
      </w:r>
      <w:r>
        <w:rPr>
          <w:rFonts w:hint="eastAsia" w:ascii="宋体" w:hAnsi="宋体" w:cs="宋体"/>
          <w:b w:val="0"/>
          <w:bCs/>
          <w:color w:val="auto"/>
          <w:sz w:val="24"/>
          <w:szCs w:val="24"/>
          <w:highlight w:val="none"/>
          <w:lang w:val="en-US" w:eastAsia="zh-CN"/>
        </w:rPr>
        <w:t>，即附件1，</w:t>
      </w:r>
      <w:r>
        <w:rPr>
          <w:rFonts w:hint="eastAsia" w:ascii="宋体" w:hAnsi="宋体" w:eastAsia="宋体" w:cs="宋体"/>
          <w:b w:val="0"/>
          <w:bCs/>
          <w:color w:val="auto"/>
          <w:sz w:val="24"/>
          <w:szCs w:val="24"/>
          <w:highlight w:val="none"/>
          <w:lang w:val="en-US" w:eastAsia="zh-CN"/>
        </w:rPr>
        <w:t>每月组织对物业服务内容及质量进行考核，费用按考核拨付。</w:t>
      </w:r>
    </w:p>
    <w:p w14:paraId="6D02ADD2">
      <w:pPr>
        <w:pageBreakBefore w:val="0"/>
        <w:widowControl w:val="0"/>
        <w:tabs>
          <w:tab w:val="left" w:pos="0"/>
        </w:tabs>
        <w:kinsoku/>
        <w:wordWrap/>
        <w:overflowPunct/>
        <w:topLinePunct w:val="0"/>
        <w:autoSpaceDE/>
        <w:autoSpaceDN/>
        <w:bidi w:val="0"/>
        <w:snapToGrid w:val="0"/>
        <w:spacing w:line="360" w:lineRule="auto"/>
        <w:ind w:firstLine="48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2服务期限：服务期限2年（具体起止日期从签订之日算起）。到期后，在未找到接替物业公司前中标单位应延续一定时间的服务，费用按照原合同签订的费用标准按时支付。如中标单位在服务期内违反合同服务约定，经考核不合格，采购单位有权提前终止合同。</w:t>
      </w:r>
    </w:p>
    <w:p w14:paraId="551261D2">
      <w:pPr>
        <w:pageBreakBefore w:val="0"/>
        <w:widowControl w:val="0"/>
        <w:tabs>
          <w:tab w:val="left" w:pos="0"/>
        </w:tabs>
        <w:kinsoku/>
        <w:wordWrap/>
        <w:overflowPunct/>
        <w:topLinePunct w:val="0"/>
        <w:autoSpaceDE/>
        <w:autoSpaceDN/>
        <w:bidi w:val="0"/>
        <w:snapToGrid w:val="0"/>
        <w:spacing w:line="360" w:lineRule="auto"/>
        <w:ind w:firstLine="48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服务</w:t>
      </w:r>
      <w:r>
        <w:rPr>
          <w:rFonts w:hint="eastAsia" w:ascii="宋体" w:hAnsi="宋体" w:cs="宋体"/>
          <w:b w:val="0"/>
          <w:bCs/>
          <w:color w:val="auto"/>
          <w:sz w:val="24"/>
          <w:szCs w:val="24"/>
          <w:highlight w:val="none"/>
          <w:lang w:val="en-US" w:eastAsia="zh-CN"/>
        </w:rPr>
        <w:t>地点</w:t>
      </w:r>
      <w:r>
        <w:rPr>
          <w:rFonts w:hint="eastAsia" w:ascii="宋体" w:hAnsi="宋体" w:eastAsia="宋体" w:cs="宋体"/>
          <w:b w:val="0"/>
          <w:bCs/>
          <w:color w:val="auto"/>
          <w:sz w:val="24"/>
          <w:szCs w:val="24"/>
          <w:highlight w:val="none"/>
          <w:lang w:val="en-US" w:eastAsia="zh-CN"/>
        </w:rPr>
        <w:t>：</w:t>
      </w:r>
    </w:p>
    <w:p w14:paraId="4D8820C0">
      <w:pPr>
        <w:pageBreakBefore w:val="0"/>
        <w:widowControl w:val="0"/>
        <w:numPr>
          <w:ilvl w:val="0"/>
          <w:numId w:val="12"/>
        </w:numPr>
        <w:tabs>
          <w:tab w:val="left" w:pos="0"/>
        </w:tabs>
        <w:kinsoku/>
        <w:wordWrap/>
        <w:overflowPunct/>
        <w:topLinePunct w:val="0"/>
        <w:autoSpaceDE/>
        <w:autoSpaceDN/>
        <w:bidi w:val="0"/>
        <w:snapToGrid w:val="0"/>
        <w:spacing w:line="360" w:lineRule="auto"/>
        <w:ind w:firstLine="48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杭州市规划和自然资源局萧山分局大楼：杭州市萧山区育才北路508号；</w:t>
      </w:r>
    </w:p>
    <w:p w14:paraId="07A110F2">
      <w:pPr>
        <w:pageBreakBefore w:val="0"/>
        <w:widowControl w:val="0"/>
        <w:numPr>
          <w:ilvl w:val="0"/>
          <w:numId w:val="12"/>
        </w:numPr>
        <w:tabs>
          <w:tab w:val="left" w:pos="0"/>
        </w:tabs>
        <w:kinsoku/>
        <w:wordWrap/>
        <w:overflowPunct/>
        <w:topLinePunct w:val="0"/>
        <w:autoSpaceDE/>
        <w:autoSpaceDN/>
        <w:bidi w:val="0"/>
        <w:snapToGrid w:val="0"/>
        <w:spacing w:line="360" w:lineRule="auto"/>
        <w:ind w:firstLine="480"/>
        <w:textAlignment w:val="auto"/>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杭州市规划和自然资源局萧山分局档案大楼：杭州市萧山区潮悦府东天德路68号；</w:t>
      </w:r>
    </w:p>
    <w:p w14:paraId="190F3862">
      <w:pPr>
        <w:pageBreakBefore w:val="0"/>
        <w:widowControl w:val="0"/>
        <w:numPr>
          <w:ilvl w:val="0"/>
          <w:numId w:val="12"/>
        </w:numPr>
        <w:tabs>
          <w:tab w:val="left" w:pos="0"/>
        </w:tabs>
        <w:kinsoku/>
        <w:wordWrap/>
        <w:overflowPunct/>
        <w:topLinePunct w:val="0"/>
        <w:autoSpaceDE/>
        <w:autoSpaceDN/>
        <w:bidi w:val="0"/>
        <w:snapToGrid w:val="0"/>
        <w:spacing w:line="360" w:lineRule="auto"/>
        <w:ind w:left="0" w:leftChars="0" w:firstLine="480" w:firstLineChars="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各自然资源所：</w:t>
      </w:r>
    </w:p>
    <w:p w14:paraId="59B62194">
      <w:pPr>
        <w:pageBreakBefore w:val="0"/>
        <w:widowControl w:val="0"/>
        <w:numPr>
          <w:ilvl w:val="0"/>
          <w:numId w:val="0"/>
        </w:numPr>
        <w:tabs>
          <w:tab w:val="left" w:pos="0"/>
        </w:tabs>
        <w:kinsoku/>
        <w:wordWrap/>
        <w:overflowPunct/>
        <w:topLinePunct w:val="0"/>
        <w:autoSpaceDE/>
        <w:autoSpaceDN/>
        <w:bidi w:val="0"/>
        <w:snapToGrid w:val="0"/>
        <w:spacing w:line="360" w:lineRule="auto"/>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戴村自然资源所：杭州市萧山区桥戴线与人民路交叉口东北角（茗香庭）；</w:t>
      </w:r>
    </w:p>
    <w:p w14:paraId="263DBD16">
      <w:pPr>
        <w:pageBreakBefore w:val="0"/>
        <w:widowControl w:val="0"/>
        <w:numPr>
          <w:ilvl w:val="0"/>
          <w:numId w:val="0"/>
        </w:numPr>
        <w:tabs>
          <w:tab w:val="left" w:pos="0"/>
        </w:tabs>
        <w:kinsoku/>
        <w:wordWrap/>
        <w:overflowPunct/>
        <w:topLinePunct w:val="0"/>
        <w:autoSpaceDE/>
        <w:autoSpaceDN/>
        <w:bidi w:val="0"/>
        <w:snapToGrid w:val="0"/>
        <w:spacing w:line="360" w:lineRule="auto"/>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临浦自然资源所：杭州市萧山区临浦镇东藩南路69号；</w:t>
      </w:r>
    </w:p>
    <w:p w14:paraId="09A9C28F">
      <w:pPr>
        <w:pageBreakBefore w:val="0"/>
        <w:widowControl w:val="0"/>
        <w:numPr>
          <w:ilvl w:val="0"/>
          <w:numId w:val="0"/>
        </w:numPr>
        <w:tabs>
          <w:tab w:val="left" w:pos="0"/>
        </w:tabs>
        <w:kinsoku/>
        <w:wordWrap/>
        <w:overflowPunct/>
        <w:topLinePunct w:val="0"/>
        <w:autoSpaceDE/>
        <w:autoSpaceDN/>
        <w:bidi w:val="0"/>
        <w:snapToGrid w:val="0"/>
        <w:spacing w:line="360" w:lineRule="auto"/>
        <w:textAlignment w:val="auto"/>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闻堰自然资源所：杭州市萧山区闻堰街道党群服务中心东3楼；</w:t>
      </w:r>
    </w:p>
    <w:p w14:paraId="0A6FD976">
      <w:pPr>
        <w:pageBreakBefore w:val="0"/>
        <w:widowControl w:val="0"/>
        <w:numPr>
          <w:ilvl w:val="0"/>
          <w:numId w:val="0"/>
        </w:numPr>
        <w:tabs>
          <w:tab w:val="left" w:pos="0"/>
        </w:tabs>
        <w:kinsoku/>
        <w:wordWrap/>
        <w:overflowPunct/>
        <w:topLinePunct w:val="0"/>
        <w:autoSpaceDE/>
        <w:autoSpaceDN/>
        <w:bidi w:val="0"/>
        <w:snapToGrid w:val="0"/>
        <w:spacing w:line="360" w:lineRule="auto"/>
        <w:textAlignment w:val="auto"/>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新塘自然资源所：杭州市萧山区新塘街道新螺路917号；</w:t>
      </w:r>
    </w:p>
    <w:p w14:paraId="75822198">
      <w:pPr>
        <w:pageBreakBefore w:val="0"/>
        <w:widowControl w:val="0"/>
        <w:numPr>
          <w:ilvl w:val="0"/>
          <w:numId w:val="0"/>
        </w:numPr>
        <w:tabs>
          <w:tab w:val="left" w:pos="0"/>
        </w:tabs>
        <w:kinsoku/>
        <w:wordWrap/>
        <w:overflowPunct/>
        <w:topLinePunct w:val="0"/>
        <w:autoSpaceDE/>
        <w:autoSpaceDN/>
        <w:bidi w:val="0"/>
        <w:snapToGrid w:val="0"/>
        <w:spacing w:line="360" w:lineRule="auto"/>
        <w:textAlignment w:val="auto"/>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宁围自然资源所：杭州市萧山区宁围街道利华路；</w:t>
      </w:r>
    </w:p>
    <w:p w14:paraId="68DB10A3">
      <w:pPr>
        <w:pageBreakBefore w:val="0"/>
        <w:widowControl w:val="0"/>
        <w:kinsoku/>
        <w:wordWrap/>
        <w:overflowPunct/>
        <w:topLinePunct w:val="0"/>
        <w:autoSpaceDE/>
        <w:autoSpaceDN/>
        <w:bidi w:val="0"/>
        <w:snapToGrid w:val="0"/>
        <w:spacing w:line="360" w:lineRule="auto"/>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瓜沥自然资源所：杭州市萧山区瓜沥镇摩托车市场7幢北。</w:t>
      </w:r>
    </w:p>
    <w:p w14:paraId="0A891927">
      <w:pPr>
        <w:pStyle w:val="2"/>
        <w:pageBreakBefore w:val="0"/>
        <w:widowControl w:val="0"/>
        <w:kinsoku/>
        <w:wordWrap/>
        <w:overflowPunct/>
        <w:topLinePunct w:val="0"/>
        <w:autoSpaceDE/>
        <w:autoSpaceDN/>
        <w:bidi w:val="0"/>
        <w:snapToGrid w:val="0"/>
        <w:spacing w:line="360" w:lineRule="auto"/>
        <w:textAlignment w:val="auto"/>
        <w:rPr>
          <w:rFonts w:hint="eastAsia"/>
          <w:color w:val="auto"/>
          <w:highlight w:val="none"/>
        </w:rPr>
      </w:pPr>
    </w:p>
    <w:p w14:paraId="65F6850F">
      <w:pPr>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w:t>
      </w:r>
    </w:p>
    <w:p w14:paraId="31E44D4A">
      <w:pPr>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1、如有附图，仅作参考。</w:t>
      </w:r>
    </w:p>
    <w:p w14:paraId="72B9A5A6">
      <w:pPr>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2、打▲内容为实质性要求，不允许有负偏离，否则将以涉及无效投标条款作无效投标。</w:t>
      </w:r>
    </w:p>
    <w:p w14:paraId="61DFAE7F">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3、中标人所提供的货物、服务须与投标承诺一致，不得以次充好、偷工减料，若在项目验收中发现有上述情况，将向有关部门举报，根据相关规定进行处理。</w:t>
      </w:r>
    </w:p>
    <w:p w14:paraId="381ED376">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本采购需求中所称的“以上”、“以下”、“内”、“以内”，包括本数；所称的“不足”，不包括本数。</w:t>
      </w:r>
    </w:p>
    <w:p w14:paraId="02C4D306">
      <w:pPr>
        <w:spacing w:line="500" w:lineRule="exact"/>
        <w:rPr>
          <w:rFonts w:hint="eastAsia" w:asciiTheme="minorEastAsia" w:hAnsiTheme="minorEastAsia" w:eastAsiaTheme="minorEastAsia" w:cstheme="minorEastAsia"/>
          <w:color w:val="auto"/>
          <w:highlight w:val="none"/>
        </w:rPr>
        <w:sectPr>
          <w:headerReference r:id="rId6" w:type="first"/>
          <w:footerReference r:id="rId9" w:type="first"/>
          <w:headerReference r:id="rId5" w:type="default"/>
          <w:footerReference r:id="rId7" w:type="default"/>
          <w:footerReference r:id="rId8" w:type="even"/>
          <w:pgSz w:w="11906" w:h="16838"/>
          <w:pgMar w:top="1276" w:right="1418" w:bottom="1247" w:left="1418" w:header="851" w:footer="992" w:gutter="0"/>
          <w:cols w:space="720" w:num="1"/>
          <w:titlePg/>
          <w:docGrid w:linePitch="312" w:charSpace="0"/>
        </w:sectPr>
      </w:pPr>
    </w:p>
    <w:p w14:paraId="467ABEC3">
      <w:pPr>
        <w:keepNext/>
        <w:keepLines/>
        <w:pageBreakBefore/>
        <w:widowControl w:val="0"/>
        <w:numPr>
          <w:ilvl w:val="0"/>
          <w:numId w:val="0"/>
        </w:numPr>
        <w:tabs>
          <w:tab w:val="left" w:pos="432"/>
        </w:tabs>
        <w:kinsoku/>
        <w:wordWrap/>
        <w:overflowPunct/>
        <w:topLinePunct w:val="0"/>
        <w:autoSpaceDE/>
        <w:autoSpaceDN/>
        <w:bidi w:val="0"/>
        <w:adjustRightInd w:val="0"/>
        <w:snapToGrid w:val="0"/>
        <w:spacing w:before="0" w:after="0" w:line="360" w:lineRule="auto"/>
        <w:ind w:left="431" w:leftChars="0" w:hanging="431"/>
        <w:jc w:val="center"/>
        <w:textAlignment w:val="auto"/>
        <w:outlineLvl w:val="0"/>
        <w:rPr>
          <w:rFonts w:hint="eastAsia" w:ascii="Times New Roman" w:hAnsi="Times New Roman" w:eastAsia="宋体" w:cs="Times New Roman"/>
          <w:b/>
          <w:bCs/>
          <w:color w:val="auto"/>
          <w:kern w:val="44"/>
          <w:sz w:val="32"/>
          <w:szCs w:val="44"/>
          <w:highlight w:val="none"/>
          <w:lang w:val="en-US" w:eastAsia="zh-CN" w:bidi="ar-SA"/>
        </w:rPr>
      </w:pPr>
      <w:r>
        <w:rPr>
          <w:rFonts w:hint="eastAsia" w:ascii="Times New Roman" w:hAnsi="Times New Roman" w:eastAsia="宋体" w:cs="Times New Roman"/>
          <w:b/>
          <w:bCs/>
          <w:color w:val="auto"/>
          <w:kern w:val="44"/>
          <w:sz w:val="32"/>
          <w:szCs w:val="44"/>
          <w:highlight w:val="none"/>
          <w:lang w:val="en-US" w:eastAsia="zh-CN" w:bidi="ar-SA"/>
        </w:rPr>
        <w:t>考核办法</w:t>
      </w:r>
    </w:p>
    <w:tbl>
      <w:tblPr>
        <w:tblStyle w:val="62"/>
        <w:tblW w:w="92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6912"/>
        <w:gridCol w:w="1100"/>
      </w:tblGrid>
      <w:tr w14:paraId="09005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8172" w:type="dxa"/>
            <w:gridSpan w:val="2"/>
            <w:noWrap w:val="0"/>
            <w:vAlign w:val="center"/>
          </w:tcPr>
          <w:p w14:paraId="1ADCE6A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考核内容</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满分为100分</w:t>
            </w:r>
            <w:r>
              <w:rPr>
                <w:rFonts w:hint="eastAsia" w:ascii="宋体" w:hAnsi="宋体" w:cs="宋体"/>
                <w:color w:val="auto"/>
                <w:sz w:val="24"/>
                <w:highlight w:val="none"/>
                <w:lang w:eastAsia="zh-CN"/>
              </w:rPr>
              <w:t>）</w:t>
            </w:r>
          </w:p>
        </w:tc>
        <w:tc>
          <w:tcPr>
            <w:tcW w:w="1100" w:type="dxa"/>
            <w:noWrap w:val="0"/>
            <w:vAlign w:val="center"/>
          </w:tcPr>
          <w:p w14:paraId="3F0960F4">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扣  分</w:t>
            </w:r>
          </w:p>
        </w:tc>
      </w:tr>
      <w:tr w14:paraId="7A272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1260" w:type="dxa"/>
            <w:noWrap w:val="0"/>
            <w:vAlign w:val="center"/>
          </w:tcPr>
          <w:p w14:paraId="221E0857">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日常管理</w:t>
            </w:r>
            <w:r>
              <w:rPr>
                <w:rFonts w:hint="eastAsia" w:ascii="宋体" w:hAnsi="宋体" w:cs="宋体"/>
                <w:color w:val="auto"/>
                <w:sz w:val="24"/>
                <w:highlight w:val="none"/>
                <w:lang w:val="en-US" w:eastAsia="zh-CN"/>
              </w:rPr>
              <w:t>要求</w:t>
            </w:r>
          </w:p>
        </w:tc>
        <w:tc>
          <w:tcPr>
            <w:tcW w:w="6912" w:type="dxa"/>
            <w:noWrap w:val="0"/>
            <w:vAlign w:val="center"/>
          </w:tcPr>
          <w:p w14:paraId="1E78A4A5">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eastAsia" w:ascii="宋体" w:hAnsi="宋体" w:cs="宋体"/>
                <w:color w:val="auto"/>
                <w:sz w:val="24"/>
                <w:highlight w:val="none"/>
              </w:rPr>
            </w:pPr>
            <w:r>
              <w:rPr>
                <w:rFonts w:hint="eastAsia" w:ascii="宋体" w:hAnsi="宋体" w:cs="宋体"/>
                <w:color w:val="auto"/>
                <w:sz w:val="24"/>
                <w:highlight w:val="none"/>
              </w:rPr>
              <w:t>1、实行统一着装、统一管理。所有服务人员要求着装挂牌上岗，所有工作人员必须着统一成套制服（经采购人确认），服务热心、热情、用语规范、文明工作。不符合扣3分</w:t>
            </w:r>
          </w:p>
          <w:p w14:paraId="76CBBDC3">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eastAsia" w:ascii="宋体" w:hAnsi="宋体" w:cs="宋体"/>
                <w:color w:val="auto"/>
                <w:sz w:val="24"/>
                <w:highlight w:val="none"/>
              </w:rPr>
            </w:pPr>
            <w:r>
              <w:rPr>
                <w:rFonts w:hint="eastAsia" w:ascii="宋体" w:hAnsi="宋体" w:cs="宋体"/>
                <w:color w:val="auto"/>
                <w:sz w:val="24"/>
                <w:highlight w:val="none"/>
              </w:rPr>
              <w:t>2、根据采购人工作要求，科学设置岗位分工，合理编制工作任务表，工作人员不得迟到早退。不符合扣3分</w:t>
            </w:r>
          </w:p>
          <w:p w14:paraId="4B64DFF0">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cs="宋体"/>
                <w:color w:val="auto"/>
                <w:sz w:val="24"/>
                <w:highlight w:val="none"/>
              </w:rPr>
              <w:t>3、如</w:t>
            </w:r>
            <w:r>
              <w:rPr>
                <w:rFonts w:hint="eastAsia" w:ascii="宋体" w:hAnsi="宋体" w:eastAsia="宋体" w:cs="宋体"/>
                <w:color w:val="auto"/>
                <w:sz w:val="24"/>
                <w:highlight w:val="none"/>
              </w:rPr>
              <w:t>非在岗时间遇特殊情况的，需接到任务后30分钟内集结完毕。不符合扣3分</w:t>
            </w:r>
          </w:p>
          <w:p w14:paraId="0A89DAE4">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如采购人认为服务人员不适应岗位要求或存在其他影响工作的，可要求供应商进行调换。如因供应商原因对服务人员进行调换，应当经采购人同意，更换比例不得超过本项目服务人员总数的20%，更换人员需在3个工作日内更换到位。</w:t>
            </w:r>
            <w:r>
              <w:rPr>
                <w:rFonts w:hint="eastAsia" w:ascii="宋体" w:hAnsi="宋体" w:eastAsia="宋体" w:cs="宋体"/>
                <w:color w:val="auto"/>
                <w:sz w:val="24"/>
                <w:highlight w:val="none"/>
              </w:rPr>
              <w:t>不符合扣3分</w:t>
            </w:r>
          </w:p>
          <w:p w14:paraId="2A56BB49">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、服务人员在派驻场所不得</w:t>
            </w:r>
            <w:r>
              <w:rPr>
                <w:rFonts w:hint="eastAsia" w:ascii="宋体" w:hAnsi="宋体" w:eastAsia="宋体" w:cs="宋体"/>
                <w:color w:val="auto"/>
                <w:sz w:val="24"/>
                <w:highlight w:val="none"/>
                <w:lang w:val="en-US" w:eastAsia="zh-CN"/>
              </w:rPr>
              <w:t>从事有损采购人利益的活动，本项目服务人员不得在其他项目兼职。不符合扣3分</w:t>
            </w:r>
          </w:p>
          <w:p w14:paraId="255D7134">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6、建立保密管理制度；根据采购人要求与涉密工作岗位的服务人员签订保密协议，每季度至少开展1次对服务人员进行保密、思想政治教育的培训，不组织扣5分。</w:t>
            </w:r>
          </w:p>
          <w:p w14:paraId="5650DE95">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default"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7、建立物业信息，准确、及时地对文件资料和服务记录进行归档保存，并确保其物理安全；遵守采购人的信息、档案资料保密要求，未经许可，不得将建筑物平面图等资料转作其他用途或向其他单位、个人提供。不符合扣3分</w:t>
            </w:r>
          </w:p>
        </w:tc>
        <w:tc>
          <w:tcPr>
            <w:tcW w:w="1100" w:type="dxa"/>
            <w:noWrap w:val="0"/>
            <w:vAlign w:val="center"/>
          </w:tcPr>
          <w:p w14:paraId="77259D94">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default" w:ascii="宋体" w:hAnsi="宋体" w:cs="宋体"/>
                <w:color w:val="auto"/>
                <w:sz w:val="24"/>
                <w:highlight w:val="none"/>
              </w:rPr>
            </w:pPr>
          </w:p>
          <w:p w14:paraId="3F27E492">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default" w:ascii="宋体" w:hAnsi="宋体" w:cs="宋体"/>
                <w:color w:val="auto"/>
                <w:sz w:val="24"/>
                <w:highlight w:val="none"/>
              </w:rPr>
            </w:pPr>
          </w:p>
        </w:tc>
      </w:tr>
      <w:tr w14:paraId="12EC4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60" w:type="dxa"/>
            <w:noWrap w:val="0"/>
            <w:vAlign w:val="center"/>
          </w:tcPr>
          <w:p w14:paraId="40F2D613">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安保消控要求</w:t>
            </w:r>
          </w:p>
        </w:tc>
        <w:tc>
          <w:tcPr>
            <w:tcW w:w="6912" w:type="dxa"/>
            <w:noWrap w:val="0"/>
            <w:vAlign w:val="center"/>
          </w:tcPr>
          <w:p w14:paraId="7D3A980A">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1、门岗实行24小时值班制，维护服务范围内安全保卫，严格验证、登记、通报制度，杜绝闲杂人员进入。维护单位内部安全正常的工作环境。不符合要求扣</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w:t>
            </w:r>
          </w:p>
          <w:p w14:paraId="296EBA6E">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2、门岗在出入口对外来人员及其携带大件物品、外来车辆进行询问和记录，并与相关部门取得联系，同意后方可进入；大件物品搬出有相关部门开具的证明和清单，经核实后放行。不符合要求扣2分</w:t>
            </w:r>
          </w:p>
          <w:p w14:paraId="710E67EE">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巡逻岗实行24小时值班巡查制度；制定巡查路线，按照指定时间和路线执行，加强重点区域、重点部位及装修区域的巡查；巡查期间保持通信设施设备畅通，遇到异常情况立即上报并在现场采取相应措施。不符合要求扣2分</w:t>
            </w:r>
          </w:p>
          <w:p w14:paraId="3DA2D70A">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4、车辆管理：发现车辆异常情况及时通知车主，并做好登记；发生交通事故、自然灾害等意外事故时及时赶赴现场疏导和协助处理，响应时间不超过3分钟。不符合要求扣2分</w:t>
            </w:r>
          </w:p>
          <w:p w14:paraId="70535F51">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default" w:ascii="宋体" w:hAnsi="宋体" w:eastAsia="宋体" w:cs="宋体"/>
                <w:color w:val="auto"/>
                <w:sz w:val="24"/>
                <w:highlight w:val="none"/>
                <w:lang w:val="en-US" w:eastAsia="zh-CN"/>
              </w:rPr>
              <w:t>监控值守</w:t>
            </w:r>
            <w:r>
              <w:rPr>
                <w:rFonts w:hint="eastAsia" w:ascii="宋体" w:hAnsi="宋体" w:eastAsia="宋体" w:cs="宋体"/>
                <w:color w:val="auto"/>
                <w:sz w:val="24"/>
                <w:highlight w:val="none"/>
                <w:lang w:val="en-US" w:eastAsia="zh-CN"/>
              </w:rPr>
              <w:t>：监控室环境符合系统设备运行要求，定期进行检查和检测，确保系统功能正常；监控设备24小时正常运行，监控室实行专人24小时值班制度；监控记录保持完整，保存时间不应少于90天。不符合要求扣2分</w:t>
            </w:r>
          </w:p>
          <w:p w14:paraId="48769C84">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r>
              <w:rPr>
                <w:rFonts w:hint="default" w:ascii="宋体" w:hAnsi="宋体" w:eastAsia="宋体" w:cs="宋体"/>
                <w:color w:val="auto"/>
                <w:sz w:val="24"/>
                <w:highlight w:val="none"/>
                <w:lang w:val="en-US" w:eastAsia="zh-CN"/>
              </w:rPr>
              <w:t>消防安全管理</w:t>
            </w:r>
            <w:r>
              <w:rPr>
                <w:rFonts w:hint="eastAsia" w:ascii="宋体" w:hAnsi="宋体" w:eastAsia="宋体" w:cs="宋体"/>
                <w:color w:val="auto"/>
                <w:sz w:val="24"/>
                <w:highlight w:val="none"/>
                <w:lang w:val="en-US" w:eastAsia="zh-CN"/>
              </w:rPr>
              <w:t>：消防控制室实行24小时值班制度，每班不少于1人；定期组织消防安全宣传，每半年至少开展1次消防演练。不符合要求扣2分</w:t>
            </w:r>
          </w:p>
          <w:p w14:paraId="14A88DE5">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r>
              <w:rPr>
                <w:rFonts w:hint="default" w:ascii="宋体" w:hAnsi="宋体" w:eastAsia="宋体" w:cs="宋体"/>
                <w:color w:val="auto"/>
                <w:sz w:val="24"/>
                <w:highlight w:val="none"/>
                <w:lang w:val="en-US" w:eastAsia="zh-CN"/>
              </w:rPr>
              <w:t>突发事件处理</w:t>
            </w:r>
            <w:r>
              <w:rPr>
                <w:rFonts w:hint="eastAsia" w:ascii="宋体" w:hAnsi="宋体" w:eastAsia="宋体" w:cs="宋体"/>
                <w:color w:val="auto"/>
                <w:sz w:val="24"/>
                <w:highlight w:val="none"/>
                <w:lang w:val="en-US" w:eastAsia="zh-CN"/>
              </w:rPr>
              <w:t>：建立应急突发事件处置队伍，明确各自的职责；每半年至少开展1次突发事件应急演练，并有相应记录。不符合要求扣2分</w:t>
            </w:r>
          </w:p>
          <w:p w14:paraId="3C733A95">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r>
              <w:rPr>
                <w:rFonts w:hint="default" w:ascii="宋体" w:hAnsi="宋体" w:eastAsia="宋体" w:cs="宋体"/>
                <w:color w:val="auto"/>
                <w:sz w:val="24"/>
                <w:highlight w:val="none"/>
                <w:lang w:val="en-US" w:eastAsia="zh-CN"/>
              </w:rPr>
              <w:t>大型活动秩序</w:t>
            </w:r>
            <w:r>
              <w:rPr>
                <w:rFonts w:hint="eastAsia" w:ascii="宋体" w:hAnsi="宋体" w:eastAsia="宋体" w:cs="宋体"/>
                <w:color w:val="auto"/>
                <w:sz w:val="24"/>
                <w:highlight w:val="none"/>
                <w:lang w:val="en-US" w:eastAsia="zh-CN"/>
              </w:rPr>
              <w:t>：遇大型活动，制定相应的活动秩序维护方案，合理安排人员，并对场所的安全隐患进行排查；活动举办过程中，做好现场秩序的维护和突发事故的处置工作，确保活动正常进行。不符合要求扣2分</w:t>
            </w:r>
          </w:p>
        </w:tc>
        <w:tc>
          <w:tcPr>
            <w:tcW w:w="1100" w:type="dxa"/>
            <w:noWrap w:val="0"/>
            <w:vAlign w:val="center"/>
          </w:tcPr>
          <w:p w14:paraId="705D62CD">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default" w:ascii="宋体" w:hAnsi="宋体" w:cs="宋体"/>
                <w:color w:val="auto"/>
                <w:sz w:val="24"/>
                <w:highlight w:val="none"/>
              </w:rPr>
            </w:pPr>
          </w:p>
        </w:tc>
      </w:tr>
      <w:tr w14:paraId="238FA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60" w:type="dxa"/>
            <w:noWrap w:val="0"/>
            <w:vAlign w:val="center"/>
          </w:tcPr>
          <w:p w14:paraId="77C791FE">
            <w:pPr>
              <w:widowControl/>
              <w:autoSpaceDE w:val="0"/>
              <w:autoSpaceDN w:val="0"/>
              <w:spacing w:line="240" w:lineRule="auto"/>
              <w:rPr>
                <w:rFonts w:hint="eastAsia" w:ascii="宋体" w:hAnsi="宋体" w:cs="宋体"/>
                <w:color w:val="auto"/>
                <w:sz w:val="24"/>
                <w:highlight w:val="none"/>
              </w:rPr>
            </w:pPr>
            <w:r>
              <w:rPr>
                <w:rFonts w:hint="eastAsia" w:ascii="宋体" w:hAnsi="宋体" w:cs="宋体"/>
                <w:color w:val="auto"/>
                <w:sz w:val="24"/>
                <w:highlight w:val="none"/>
              </w:rPr>
              <w:t>清卫保洁要求</w:t>
            </w:r>
          </w:p>
        </w:tc>
        <w:tc>
          <w:tcPr>
            <w:tcW w:w="6912" w:type="dxa"/>
            <w:noWrap w:val="0"/>
            <w:vAlign w:val="center"/>
          </w:tcPr>
          <w:p w14:paraId="1F9144D3">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大厅、楼内公共通道保持干净，无异味、无杂物、无积水，每日至少开展1次清洁作业；门窗玻璃干净无尘，透光性好，每周至少开展1次清洁作业；指示牌干净，无污渍，每日至少开展1次清洁作业。不符合要求扣2分</w:t>
            </w:r>
          </w:p>
          <w:p w14:paraId="7A416AF7">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配电箱、设备机房、会议室音视频设备、消防栓及开关插座等保持表面干净，无尘无污迹，每月至少开展1次清洁作业；监控摄像头、门禁系统等表面光亮，无尘、无斑点，每月至少开展1次清洁作业。不符合要求扣2分</w:t>
            </w:r>
          </w:p>
          <w:p w14:paraId="4DDC01E1">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3、楼梯及楼梯间保持干净、无异味、无杂物、无积水，每日至少开展1次清洁作业；开水间保持干净、无异味、无杂物、无积水，每日至少开展1次清洁作业。不符合要求扣2分</w:t>
            </w:r>
          </w:p>
          <w:p w14:paraId="502258F5">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4、作业工具间保持干净，无异味、无杂物、无积水，每日至少开展1次清洁作业；公共卫生间保持干净，无异味，垃圾无溢出，每日至少开展1次清洁作业。不符合要求扣2分</w:t>
            </w:r>
          </w:p>
          <w:p w14:paraId="1CC12EF9">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5、电梯轿厢保持干净，无污渍、无粘贴物、无异味，每日至少开展1次清洁作业；保证灯具、操作指示板明亮。不符合要求扣2分</w:t>
            </w:r>
          </w:p>
          <w:p w14:paraId="333EA79A">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平台、屋顶、天沟保持干净，有杂物及时清扫，每月至少开展1次清洁作业；石材地面、内墙做好养护工作，每季度开展1次清洁作业；地毯干净、无油渍、无污渍、无褪色，每月至少开展1次清洁作业。不符合要求扣2分</w:t>
            </w:r>
          </w:p>
          <w:p w14:paraId="10CF45D9">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每日清扫道路地面、停车场等公共区域2次，保持干净、无杂物、无积水；各种路标、宣传栏等保持干净，每月至少开展1次清洁作业；清洁室外照明设备，每月至少开展1次清洁作业；绿地内无杂物、无改变用途和破坏、践踏、占用现象，每天至少开展1次巡查；办公区外立面定期清洗、2米以上外窗玻璃擦拭，每年至少开展1次清洗。不符合要求扣2分</w:t>
            </w:r>
          </w:p>
          <w:p w14:paraId="20928533">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8、垃圾中转房保持整洁，无明显异味，每日至少开展1次清洁作业；桶身表面干净无污渍，每日开展至少1次清洁作业；垃圾装袋，日产日清。不符合要求扣2分</w:t>
            </w:r>
          </w:p>
          <w:p w14:paraId="140EF1FD">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9、化粪池清掏，无明显异味，每半年至少开展1次清洁作业。不符合要求扣2分</w:t>
            </w:r>
          </w:p>
          <w:p w14:paraId="4A4620F0">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10、办公用房区域、公共场所区域和周围环境预防性卫生消毒，消毒后及时通风，每周至少开展1次作业；采取综合措施消灭老鼠、蟑螂，控制室内外蚊虫孳生，达到基本无蝇，每季度至少开展1次作业。不符合要求扣2分</w:t>
            </w:r>
          </w:p>
        </w:tc>
        <w:tc>
          <w:tcPr>
            <w:tcW w:w="1100" w:type="dxa"/>
            <w:noWrap w:val="0"/>
            <w:vAlign w:val="center"/>
          </w:tcPr>
          <w:p w14:paraId="774943A3">
            <w:pPr>
              <w:widowControl/>
              <w:autoSpaceDE w:val="0"/>
              <w:autoSpaceDN w:val="0"/>
              <w:spacing w:line="240" w:lineRule="auto"/>
              <w:rPr>
                <w:rFonts w:hint="default" w:ascii="宋体" w:hAnsi="宋体" w:cs="宋体"/>
                <w:color w:val="auto"/>
                <w:sz w:val="24"/>
                <w:highlight w:val="none"/>
              </w:rPr>
            </w:pPr>
          </w:p>
        </w:tc>
      </w:tr>
      <w:tr w14:paraId="41281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7" w:hRule="atLeast"/>
          <w:jc w:val="center"/>
        </w:trPr>
        <w:tc>
          <w:tcPr>
            <w:tcW w:w="1260" w:type="dxa"/>
            <w:noWrap w:val="0"/>
            <w:vAlign w:val="center"/>
          </w:tcPr>
          <w:p w14:paraId="3BAB1939">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绿化养护要求</w:t>
            </w:r>
          </w:p>
        </w:tc>
        <w:tc>
          <w:tcPr>
            <w:tcW w:w="6912" w:type="dxa"/>
            <w:noWrap w:val="0"/>
            <w:vAlign w:val="center"/>
          </w:tcPr>
          <w:p w14:paraId="242EE08F">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1、草坪修剪、浇水及时，长势良好，绿地整洁无垃圾、无杂草、无大面积土地裸露现象；植株修剪及时，做到枝叶紧密、圆整，无脱节、无倾斜、无枯枝、无死树，无缺株；灌木色块完整、整齐、无空洞现象；不符合要求扣2分</w:t>
            </w:r>
          </w:p>
          <w:p w14:paraId="75B703B4">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2、及时清除花坛和花景的花蒂、黄叶、杂草、垃圾，做好病虫害防治。不符合要求扣2分</w:t>
            </w:r>
          </w:p>
          <w:p w14:paraId="7011384C">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highlight w:val="none"/>
              </w:rPr>
              <w:t>及时防治、灭治病虫害</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绿篱生长造型正常，颜色正常，修剪及时，基本无死株和干死株，有虫株率在10%以下。</w:t>
            </w:r>
            <w:r>
              <w:rPr>
                <w:rFonts w:hint="eastAsia" w:ascii="宋体" w:hAnsi="宋体" w:eastAsia="宋体" w:cs="宋体"/>
                <w:color w:val="auto"/>
                <w:sz w:val="24"/>
                <w:highlight w:val="none"/>
              </w:rPr>
              <w:t>不符合要求扣2分</w:t>
            </w:r>
          </w:p>
          <w:p w14:paraId="127F76BF">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4、绿化带内无烟蒂、无碎石、无垃圾、无杂物，一经发现立即清除。不符合要求扣2分</w:t>
            </w:r>
          </w:p>
          <w:p w14:paraId="4B7604F5">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5、绿地整洁，无杂挂物，绿化生产垃圾（如树枝、树叶、草屑等）、绿地内水面杂物应日产日清，保洁及时。不符合要求扣2分</w:t>
            </w:r>
          </w:p>
          <w:p w14:paraId="3A1D13B1">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6</w:t>
            </w:r>
            <w:r>
              <w:rPr>
                <w:rFonts w:hint="eastAsia" w:ascii="宋体" w:hAnsi="宋体" w:eastAsia="宋体" w:cs="宋体"/>
                <w:color w:val="auto"/>
                <w:sz w:val="24"/>
                <w:highlight w:val="none"/>
              </w:rPr>
              <w:t>、必须做好防台风</w:t>
            </w:r>
            <w:r>
              <w:rPr>
                <w:rFonts w:hint="eastAsia" w:ascii="宋体" w:hAnsi="宋体" w:eastAsia="宋体" w:cs="宋体"/>
                <w:color w:val="auto"/>
                <w:sz w:val="24"/>
                <w:highlight w:val="none"/>
                <w:lang w:val="en-US" w:eastAsia="zh-CN"/>
              </w:rPr>
              <w:t>及防其他恶劣天气的</w:t>
            </w:r>
            <w:r>
              <w:rPr>
                <w:rFonts w:hint="eastAsia" w:ascii="宋体" w:hAnsi="宋体" w:eastAsia="宋体" w:cs="宋体"/>
                <w:color w:val="auto"/>
                <w:sz w:val="24"/>
                <w:highlight w:val="none"/>
              </w:rPr>
              <w:t>工作，</w:t>
            </w:r>
            <w:r>
              <w:rPr>
                <w:rFonts w:hint="eastAsia" w:ascii="宋体" w:hAnsi="宋体" w:eastAsia="宋体" w:cs="宋体"/>
                <w:color w:val="auto"/>
                <w:sz w:val="24"/>
                <w:highlight w:val="none"/>
                <w:lang w:val="en-US" w:eastAsia="zh-CN"/>
              </w:rPr>
              <w:t>恶劣天气来临前，专人巡查，对绿植做好预防措施，排除安全隐患；恶劣天气后，及时清除倒树断枝，疏通道路，尽快恢复原状。</w:t>
            </w:r>
            <w:r>
              <w:rPr>
                <w:rFonts w:hint="eastAsia" w:ascii="宋体" w:hAnsi="宋体" w:eastAsia="宋体" w:cs="宋体"/>
                <w:color w:val="auto"/>
                <w:sz w:val="24"/>
                <w:highlight w:val="none"/>
              </w:rPr>
              <w:t>不符合要求</w:t>
            </w:r>
            <w:r>
              <w:rPr>
                <w:rFonts w:hint="eastAsia" w:ascii="宋体" w:hAnsi="宋体" w:eastAsia="宋体" w:cs="宋体"/>
                <w:color w:val="auto"/>
                <w:sz w:val="24"/>
                <w:highlight w:val="none"/>
                <w:lang w:eastAsia="zh-CN"/>
              </w:rPr>
              <w:t>扣</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分。</w:t>
            </w:r>
          </w:p>
        </w:tc>
        <w:tc>
          <w:tcPr>
            <w:tcW w:w="1100" w:type="dxa"/>
            <w:noWrap w:val="0"/>
            <w:vAlign w:val="center"/>
          </w:tcPr>
          <w:p w14:paraId="2B3A06CE">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default" w:ascii="宋体" w:hAnsi="宋体" w:cs="宋体"/>
                <w:color w:val="auto"/>
                <w:sz w:val="24"/>
                <w:highlight w:val="none"/>
              </w:rPr>
            </w:pPr>
          </w:p>
        </w:tc>
      </w:tr>
      <w:tr w14:paraId="1FBCB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jc w:val="center"/>
        </w:trPr>
        <w:tc>
          <w:tcPr>
            <w:tcW w:w="1260" w:type="dxa"/>
            <w:noWrap w:val="0"/>
            <w:vAlign w:val="center"/>
          </w:tcPr>
          <w:p w14:paraId="6AF75920">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工程设备维护要求</w:t>
            </w:r>
          </w:p>
        </w:tc>
        <w:tc>
          <w:tcPr>
            <w:tcW w:w="6912" w:type="dxa"/>
            <w:noWrap w:val="0"/>
            <w:vAlign w:val="center"/>
          </w:tcPr>
          <w:p w14:paraId="3A7A1ECB">
            <w:pPr>
              <w:widowControl w:val="0"/>
              <w:numPr>
                <w:ilvl w:val="0"/>
                <w:numId w:val="0"/>
              </w:numPr>
              <w:autoSpaceDE w:val="0"/>
              <w:autoSpaceDN w:val="0"/>
              <w:adjustRightInd w:val="0"/>
              <w:spacing w:line="240" w:lineRule="auto"/>
              <w:jc w:val="both"/>
              <w:rPr>
                <w:rFonts w:hint="eastAsia" w:ascii="宋体" w:hAnsi="Arial" w:eastAsia="宋体" w:cs="Arial"/>
                <w:snapToGrid w:val="0"/>
                <w:color w:val="auto"/>
                <w:kern w:val="2"/>
                <w:sz w:val="24"/>
                <w:szCs w:val="21"/>
                <w:highlight w:val="none"/>
                <w:lang w:val="en-US" w:eastAsia="zh-CN" w:bidi="ar-SA"/>
              </w:rPr>
            </w:pPr>
            <w:r>
              <w:rPr>
                <w:rFonts w:hint="eastAsia" w:ascii="宋体" w:hAnsi="Arial" w:eastAsia="宋体" w:cs="Arial"/>
                <w:snapToGrid w:val="0"/>
                <w:color w:val="auto"/>
                <w:kern w:val="2"/>
                <w:sz w:val="24"/>
                <w:szCs w:val="21"/>
                <w:highlight w:val="none"/>
                <w:lang w:val="en-US" w:eastAsia="zh-CN" w:bidi="ar-SA"/>
              </w:rPr>
              <w:t>1、设备机房维护</w:t>
            </w:r>
          </w:p>
          <w:p w14:paraId="55062D5D">
            <w:pPr>
              <w:widowControl w:val="0"/>
              <w:numPr>
                <w:ilvl w:val="0"/>
                <w:numId w:val="0"/>
              </w:numPr>
              <w:autoSpaceDE w:val="0"/>
              <w:autoSpaceDN w:val="0"/>
              <w:adjustRightInd w:val="0"/>
              <w:spacing w:line="240" w:lineRule="auto"/>
              <w:jc w:val="both"/>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（1）保证设备机房门窗、锁具应当完好、有效；按各设备机房国家标准规范规定维护/保管消防、通风、应急照明，防止小动物进入。不符合要求扣1分</w:t>
            </w:r>
          </w:p>
          <w:p w14:paraId="2E19BA60">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（2）每半月至少开展1次清洁，整洁有序、无杂物、无积尘、无鼠、无虫害，温湿度符合设备运行要求。不符合要求扣1分</w:t>
            </w:r>
          </w:p>
          <w:p w14:paraId="1337CD9C">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给排水</w:t>
            </w:r>
            <w:r>
              <w:rPr>
                <w:rFonts w:hint="eastAsia" w:ascii="宋体" w:hAnsi="宋体" w:cs="宋体"/>
                <w:color w:val="auto"/>
                <w:sz w:val="24"/>
                <w:highlight w:val="none"/>
                <w:lang w:val="en-US" w:eastAsia="zh-CN"/>
              </w:rPr>
              <w:t>系统</w:t>
            </w:r>
            <w:r>
              <w:rPr>
                <w:rFonts w:hint="eastAsia" w:ascii="宋体" w:hAnsi="宋体" w:cs="宋体"/>
                <w:color w:val="auto"/>
                <w:sz w:val="24"/>
                <w:highlight w:val="none"/>
              </w:rPr>
              <w:t>维护保养</w:t>
            </w:r>
          </w:p>
          <w:p w14:paraId="7688FAC2">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保证</w:t>
            </w:r>
            <w:r>
              <w:rPr>
                <w:rFonts w:hint="eastAsia" w:ascii="宋体" w:hAnsi="宋体" w:eastAsia="宋体" w:cs="宋体"/>
                <w:color w:val="auto"/>
                <w:sz w:val="24"/>
                <w:highlight w:val="none"/>
                <w:lang w:val="en-US" w:eastAsia="zh-CN"/>
              </w:rPr>
              <w:t>设施设备、阀门、管道等运行正常，无跑、冒、滴、漏现象</w:t>
            </w:r>
            <w:r>
              <w:rPr>
                <w:rFonts w:hint="eastAsia" w:ascii="宋体" w:hAnsi="宋体" w:eastAsia="宋体" w:cs="宋体"/>
                <w:color w:val="auto"/>
                <w:sz w:val="24"/>
                <w:highlight w:val="none"/>
              </w:rPr>
              <w:t>。不符合要求扣</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w:t>
            </w:r>
          </w:p>
          <w:p w14:paraId="4AEAE3BE">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）有水泵房、水箱间的，每日至少巡视1次。每年至少养护1次水泵。不符合要求扣1分</w:t>
            </w:r>
          </w:p>
          <w:p w14:paraId="0761B0C5">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）每季度至少开展1次对排水管进行疏通、清污，保证室内外排水系统通畅。不符合要求扣1分</w:t>
            </w:r>
          </w:p>
          <w:p w14:paraId="281424D8">
            <w:pPr>
              <w:widowControl w:val="0"/>
              <w:numPr>
                <w:ilvl w:val="0"/>
                <w:numId w:val="0"/>
              </w:numPr>
              <w:autoSpaceDE w:val="0"/>
              <w:autoSpaceDN w:val="0"/>
              <w:adjustRightInd w:val="0"/>
              <w:spacing w:line="240" w:lineRule="auto"/>
              <w:jc w:val="both"/>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3、按照消防规定要求，定期对消防设备、系统等进行点检。不符合要求扣2分</w:t>
            </w:r>
          </w:p>
          <w:p w14:paraId="66C553CB">
            <w:pPr>
              <w:widowControl w:val="0"/>
              <w:numPr>
                <w:ilvl w:val="0"/>
                <w:numId w:val="0"/>
              </w:numPr>
              <w:autoSpaceDE w:val="0"/>
              <w:autoSpaceDN w:val="0"/>
              <w:adjustRightInd w:val="0"/>
              <w:spacing w:line="240" w:lineRule="auto"/>
              <w:jc w:val="both"/>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4、供配电系统维护保养</w:t>
            </w:r>
          </w:p>
          <w:p w14:paraId="57EB94A3">
            <w:pPr>
              <w:widowControl w:val="0"/>
              <w:numPr>
                <w:ilvl w:val="0"/>
                <w:numId w:val="0"/>
              </w:numPr>
              <w:autoSpaceDE w:val="0"/>
              <w:autoSpaceDN w:val="0"/>
              <w:adjustRightInd w:val="0"/>
              <w:spacing w:line="240" w:lineRule="auto"/>
              <w:jc w:val="both"/>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（1）建立24小时运行值班监控制度。不符合要求扣1分</w:t>
            </w:r>
          </w:p>
          <w:p w14:paraId="2221DD80">
            <w:pPr>
              <w:widowControl w:val="0"/>
              <w:numPr>
                <w:ilvl w:val="0"/>
                <w:numId w:val="0"/>
              </w:numPr>
              <w:autoSpaceDE w:val="0"/>
              <w:autoSpaceDN w:val="0"/>
              <w:adjustRightInd w:val="0"/>
              <w:spacing w:line="240" w:lineRule="auto"/>
              <w:jc w:val="both"/>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（2）对供电范围内的电气设备定期巡视维护，加强高低压配电柜、配电箱、控制柜及线路等重点部位监测。不符合要求扣1分</w:t>
            </w:r>
          </w:p>
          <w:p w14:paraId="79196A5F">
            <w:pPr>
              <w:widowControl w:val="0"/>
              <w:numPr>
                <w:ilvl w:val="0"/>
                <w:numId w:val="0"/>
              </w:numPr>
              <w:autoSpaceDE w:val="0"/>
              <w:autoSpaceDN w:val="0"/>
              <w:adjustRightInd w:val="0"/>
              <w:spacing w:line="240" w:lineRule="auto"/>
              <w:jc w:val="both"/>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（3）保证公共使用的照明、指示灯具线路、开关、接地等完好，确保用电安全。不符合要求扣1分</w:t>
            </w:r>
          </w:p>
          <w:p w14:paraId="63105620">
            <w:pPr>
              <w:widowControl w:val="0"/>
              <w:numPr>
                <w:ilvl w:val="0"/>
                <w:numId w:val="0"/>
              </w:numPr>
              <w:autoSpaceDE w:val="0"/>
              <w:autoSpaceDN w:val="0"/>
              <w:adjustRightInd w:val="0"/>
              <w:spacing w:line="240" w:lineRule="auto"/>
              <w:jc w:val="both"/>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4）发生非计划性停电的，应当在事件发生后及时通知采购人，快速恢复或启用应急电源，并做好应急事件上报及处理工作；复杂故障涉及供电部门维修处置的及时与供电部门联系，并向采购人报告。不符合要求扣1分</w:t>
            </w:r>
          </w:p>
          <w:p w14:paraId="708EA904">
            <w:pPr>
              <w:widowControl w:val="0"/>
              <w:numPr>
                <w:ilvl w:val="0"/>
                <w:numId w:val="0"/>
              </w:numPr>
              <w:autoSpaceDE w:val="0"/>
              <w:autoSpaceDN w:val="0"/>
              <w:adjustRightInd w:val="0"/>
              <w:spacing w:line="240" w:lineRule="auto"/>
              <w:jc w:val="both"/>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5、保持监控系统、门禁系统、安全防范系统等运行正常，有故障及时排除。不符合要求扣2分</w:t>
            </w:r>
          </w:p>
          <w:p w14:paraId="5E99DF94">
            <w:pPr>
              <w:widowControl w:val="0"/>
              <w:numPr>
                <w:ilvl w:val="0"/>
                <w:numId w:val="0"/>
              </w:numPr>
              <w:autoSpaceDE w:val="0"/>
              <w:autoSpaceDN w:val="0"/>
              <w:adjustRightInd w:val="0"/>
              <w:spacing w:line="240" w:lineRule="auto"/>
              <w:jc w:val="both"/>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6、每周至少开展1次公共区域照明设备巡视；保证照明系统外观整洁无缺损、无松落。不符合要求扣2分</w:t>
            </w:r>
          </w:p>
          <w:p w14:paraId="1C8FB908">
            <w:pPr>
              <w:widowControl w:val="0"/>
              <w:numPr>
                <w:ilvl w:val="0"/>
                <w:numId w:val="0"/>
              </w:numPr>
              <w:autoSpaceDE w:val="0"/>
              <w:autoSpaceDN w:val="0"/>
              <w:adjustRightInd w:val="0"/>
              <w:spacing w:line="240" w:lineRule="auto"/>
              <w:jc w:val="both"/>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7、主体结构、围护结构、部品部件维护保养</w:t>
            </w:r>
          </w:p>
          <w:p w14:paraId="363017D0">
            <w:pPr>
              <w:widowControl w:val="0"/>
              <w:numPr>
                <w:ilvl w:val="0"/>
                <w:numId w:val="0"/>
              </w:numPr>
              <w:autoSpaceDE w:val="0"/>
              <w:autoSpaceDN w:val="0"/>
              <w:adjustRightInd w:val="0"/>
              <w:spacing w:line="240" w:lineRule="auto"/>
              <w:jc w:val="both"/>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（1）每季度至少开展1次房屋结构安全巡视，发现外观有变形、开裂等现象，及时建议采购人申请房屋安全鉴定，并采取必要的避险和防护措施。不符合要求扣1分</w:t>
            </w:r>
          </w:p>
          <w:p w14:paraId="4D6C7CEB">
            <w:pPr>
              <w:widowControl w:val="0"/>
              <w:numPr>
                <w:ilvl w:val="0"/>
                <w:numId w:val="0"/>
              </w:numPr>
              <w:autoSpaceDE w:val="0"/>
              <w:autoSpaceDN w:val="0"/>
              <w:adjustRightInd w:val="0"/>
              <w:spacing w:line="240" w:lineRule="auto"/>
              <w:jc w:val="both"/>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（2）每季度至少开展1次外墙贴饰面、幕墙玻璃、雨篷、散水、空调室外机支撑构件等检查，发现破损，及时向采购人报告，按采购人要求出具维修方案，待采购人同意后按维修方案实施维修。不符合要求扣1分</w:t>
            </w:r>
          </w:p>
          <w:p w14:paraId="37735BD8">
            <w:pPr>
              <w:widowControl w:val="0"/>
              <w:numPr>
                <w:ilvl w:val="0"/>
                <w:numId w:val="0"/>
              </w:numPr>
              <w:autoSpaceDE w:val="0"/>
              <w:autoSpaceDN w:val="0"/>
              <w:adjustRightInd w:val="0"/>
              <w:spacing w:line="240" w:lineRule="auto"/>
              <w:jc w:val="both"/>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每半月至少开展1次公用部位的门、窗、楼梯、通风道、室内地面、墙面、吊顶和室外屋面等巡查，发现破损，及时向采购人报告，按采购人要求出具维修方案，待采购人同意后按维修方案实施维修。不符合要求扣1分</w:t>
            </w:r>
          </w:p>
          <w:p w14:paraId="1A7730D4">
            <w:pPr>
              <w:widowControl w:val="0"/>
              <w:numPr>
                <w:ilvl w:val="0"/>
                <w:numId w:val="0"/>
              </w:numPr>
              <w:autoSpaceDE w:val="0"/>
              <w:autoSpaceDN w:val="0"/>
              <w:adjustRightInd w:val="0"/>
              <w:spacing w:line="240" w:lineRule="auto"/>
              <w:jc w:val="both"/>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（4）每年强降雨天气前后、雨雪季节检查屋面防水和雨落管等，发现破损，及时向采购人报告，按采购人要求出具维修方案，待采购人同意后按维修方案实施维修。不符合要求扣1分</w:t>
            </w:r>
          </w:p>
          <w:p w14:paraId="71778EC6">
            <w:pPr>
              <w:widowControl w:val="0"/>
              <w:numPr>
                <w:ilvl w:val="0"/>
                <w:numId w:val="0"/>
              </w:numPr>
              <w:autoSpaceDE w:val="0"/>
              <w:autoSpaceDN w:val="0"/>
              <w:adjustRightInd w:val="0"/>
              <w:spacing w:line="240" w:lineRule="auto"/>
              <w:jc w:val="both"/>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8、其他设施维护保养</w:t>
            </w:r>
          </w:p>
          <w:p w14:paraId="6EDA84A3">
            <w:pPr>
              <w:widowControl w:val="0"/>
              <w:numPr>
                <w:ilvl w:val="0"/>
                <w:numId w:val="0"/>
              </w:numPr>
              <w:autoSpaceDE w:val="0"/>
              <w:autoSpaceDN w:val="0"/>
              <w:adjustRightInd w:val="0"/>
              <w:spacing w:line="240" w:lineRule="auto"/>
              <w:jc w:val="both"/>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每半月至少开展1次大门、围墙、道路、场地、管井、沟渠等巡查，每半月至少检查1次雨污水管井、化粪池等巡查，发现破损，及时向采购人报告，按采购人要求出具维修方案，待采购人同意后按维修方案实施维修。不符合要求扣2分</w:t>
            </w:r>
          </w:p>
          <w:p w14:paraId="4DB68E4B">
            <w:pPr>
              <w:widowControl w:val="0"/>
              <w:numPr>
                <w:ilvl w:val="0"/>
                <w:numId w:val="0"/>
              </w:numPr>
              <w:autoSpaceDE w:val="0"/>
              <w:autoSpaceDN w:val="0"/>
              <w:adjustRightInd w:val="0"/>
              <w:spacing w:line="240" w:lineRule="auto"/>
              <w:jc w:val="both"/>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（2）每年至少开展1次防雷装置检测，发现失效，及时向采购人报告，按采购人要求出具维修方案，待采购人同意后按维修方案实施维修。不符合要求扣2分</w:t>
            </w:r>
          </w:p>
          <w:p w14:paraId="662BB3AB">
            <w:pPr>
              <w:widowControl w:val="0"/>
              <w:numPr>
                <w:ilvl w:val="0"/>
                <w:numId w:val="0"/>
              </w:numPr>
              <w:autoSpaceDE w:val="0"/>
              <w:autoSpaceDN w:val="0"/>
              <w:adjustRightInd w:val="0"/>
              <w:spacing w:line="240" w:lineRule="auto"/>
              <w:jc w:val="both"/>
              <w:rPr>
                <w:rFonts w:hint="default"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9、每月至少检查1次标识标牌和消防与安全标识。应当规范清晰、路线指引正确、安装稳固。不符合要求扣2分</w:t>
            </w:r>
          </w:p>
        </w:tc>
        <w:tc>
          <w:tcPr>
            <w:tcW w:w="1100" w:type="dxa"/>
            <w:noWrap w:val="0"/>
            <w:vAlign w:val="center"/>
          </w:tcPr>
          <w:p w14:paraId="4A41081D">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default" w:ascii="宋体" w:hAnsi="宋体" w:cs="宋体"/>
                <w:color w:val="auto"/>
                <w:sz w:val="24"/>
                <w:highlight w:val="none"/>
              </w:rPr>
            </w:pPr>
          </w:p>
        </w:tc>
      </w:tr>
      <w:tr w14:paraId="5C1B1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jc w:val="center"/>
        </w:trPr>
        <w:tc>
          <w:tcPr>
            <w:tcW w:w="1260" w:type="dxa"/>
            <w:noWrap w:val="0"/>
            <w:vAlign w:val="center"/>
          </w:tcPr>
          <w:p w14:paraId="185CAB50">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会务服务要求</w:t>
            </w:r>
          </w:p>
        </w:tc>
        <w:tc>
          <w:tcPr>
            <w:tcW w:w="6912" w:type="dxa"/>
            <w:noWrap w:val="0"/>
            <w:vAlign w:val="center"/>
          </w:tcPr>
          <w:p w14:paraId="0C82AF23">
            <w:pPr>
              <w:widowControl w:val="0"/>
              <w:autoSpaceDE w:val="0"/>
              <w:autoSpaceDN w:val="0"/>
              <w:adjustRightInd w:val="0"/>
              <w:spacing w:line="240" w:lineRule="auto"/>
              <w:jc w:val="both"/>
              <w:rPr>
                <w:rFonts w:hint="default"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w:t>
            </w:r>
            <w:r>
              <w:rPr>
                <w:rFonts w:hint="eastAsia" w:ascii="宋体" w:hAnsi="宋体" w:eastAsia="宋体" w:cs="宋体"/>
                <w:b w:val="0"/>
                <w:bCs w:val="0"/>
                <w:snapToGrid w:val="0"/>
                <w:color w:val="auto"/>
                <w:kern w:val="2"/>
                <w:sz w:val="24"/>
                <w:szCs w:val="21"/>
                <w:highlight w:val="none"/>
                <w:lang w:val="zh-CN" w:eastAsia="zh-CN" w:bidi="ar-SA"/>
              </w:rPr>
              <w:t>根据</w:t>
            </w:r>
            <w:r>
              <w:rPr>
                <w:rFonts w:hint="eastAsia" w:ascii="宋体" w:hAnsi="宋体" w:eastAsia="宋体" w:cs="宋体"/>
                <w:snapToGrid/>
                <w:color w:val="auto"/>
                <w:kern w:val="2"/>
                <w:sz w:val="24"/>
                <w:szCs w:val="24"/>
                <w:highlight w:val="none"/>
                <w:lang w:val="en-US" w:eastAsia="zh-CN" w:bidi="ar-SA"/>
              </w:rPr>
              <w:t>采购人需要提供会议等活动的会务服务，包括会场布置、音、视频设施保障、接待引导等工作。不符合要求扣3分</w:t>
            </w:r>
          </w:p>
        </w:tc>
        <w:tc>
          <w:tcPr>
            <w:tcW w:w="1100" w:type="dxa"/>
            <w:noWrap w:val="0"/>
            <w:vAlign w:val="center"/>
          </w:tcPr>
          <w:p w14:paraId="4D3F210C">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default" w:ascii="宋体" w:hAnsi="宋体" w:cs="宋体"/>
                <w:color w:val="auto"/>
                <w:sz w:val="24"/>
                <w:highlight w:val="none"/>
              </w:rPr>
            </w:pPr>
          </w:p>
        </w:tc>
      </w:tr>
      <w:tr w14:paraId="2BFEB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2" w:hRule="atLeast"/>
          <w:jc w:val="center"/>
        </w:trPr>
        <w:tc>
          <w:tcPr>
            <w:tcW w:w="9272" w:type="dxa"/>
            <w:gridSpan w:val="3"/>
            <w:noWrap w:val="0"/>
            <w:vAlign w:val="center"/>
          </w:tcPr>
          <w:p w14:paraId="01D37E87">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采购人经办人（签字）：                   中标人（签字、盖章）：</w:t>
            </w:r>
          </w:p>
          <w:p w14:paraId="206B51B6">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 xml:space="preserve">采购人审核人（签字、盖章）：                        </w:t>
            </w:r>
          </w:p>
          <w:p w14:paraId="72610976">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default" w:ascii="宋体" w:hAnsi="宋体" w:cs="宋体"/>
                <w:color w:val="auto"/>
                <w:sz w:val="24"/>
                <w:highlight w:val="none"/>
              </w:rPr>
            </w:pPr>
          </w:p>
          <w:p w14:paraId="363FDAC7">
            <w:pPr>
              <w:keepNext w:val="0"/>
              <w:keepLines w:val="0"/>
              <w:pageBreakBefore w:val="0"/>
              <w:widowControl/>
              <w:suppressLineNumbers w:val="0"/>
              <w:kinsoku/>
              <w:wordWrap/>
              <w:overflowPunct/>
              <w:topLinePunct w:val="0"/>
              <w:autoSpaceDE w:val="0"/>
              <w:autoSpaceDN w:val="0"/>
              <w:bidi w:val="0"/>
              <w:spacing w:before="0" w:beforeAutospacing="0" w:after="0" w:afterAutospacing="0" w:line="240" w:lineRule="auto"/>
              <w:ind w:left="0" w:right="0"/>
              <w:rPr>
                <w:rFonts w:hint="default" w:ascii="宋体" w:hAnsi="宋体" w:cs="宋体"/>
                <w:color w:val="auto"/>
                <w:sz w:val="24"/>
                <w:highlight w:val="none"/>
              </w:rPr>
            </w:pPr>
            <w:r>
              <w:rPr>
                <w:rFonts w:hint="eastAsia" w:ascii="宋体" w:hAnsi="宋体" w:cs="宋体"/>
                <w:color w:val="auto"/>
                <w:sz w:val="24"/>
                <w:highlight w:val="none"/>
              </w:rPr>
              <w:t xml:space="preserve">                                                       日  期： </w:t>
            </w:r>
          </w:p>
        </w:tc>
      </w:tr>
    </w:tbl>
    <w:p w14:paraId="0603AFC4">
      <w:pPr>
        <w:keepNext/>
        <w:keepLines/>
        <w:widowControl w:val="0"/>
        <w:tabs>
          <w:tab w:val="left" w:pos="432"/>
        </w:tabs>
        <w:adjustRightInd/>
        <w:ind w:left="431" w:hanging="431"/>
        <w:jc w:val="center"/>
        <w:outlineLvl w:val="1"/>
        <w:rPr>
          <w:rFonts w:hint="eastAsia" w:ascii="宋体" w:hAnsi="宋体" w:eastAsia="宋体" w:cs="宋体"/>
          <w:b w:val="0"/>
          <w:bCs w:val="0"/>
          <w:color w:val="auto"/>
          <w:kern w:val="2"/>
          <w:sz w:val="24"/>
          <w:szCs w:val="24"/>
          <w:highlight w:val="none"/>
          <w:lang w:val="zh-CN" w:eastAsia="zh-CN" w:bidi="ar-SA"/>
        </w:rPr>
      </w:pPr>
    </w:p>
    <w:p w14:paraId="50AB2E90">
      <w:pPr>
        <w:rPr>
          <w:rFonts w:hint="eastAsia" w:eastAsia="宋体"/>
          <w:strike w:val="0"/>
          <w:dstrike w:val="0"/>
          <w:color w:val="auto"/>
          <w:sz w:val="24"/>
          <w:szCs w:val="32"/>
          <w:highlight w:val="none"/>
          <w:lang w:eastAsia="zh-CN"/>
        </w:rPr>
        <w:sectPr>
          <w:headerReference r:id="rId11" w:type="first"/>
          <w:footerReference r:id="rId14" w:type="first"/>
          <w:headerReference r:id="rId10" w:type="default"/>
          <w:footerReference r:id="rId12" w:type="default"/>
          <w:footerReference r:id="rId13"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Times New Roman" w:hAnsi="Times New Roman" w:cs="Times New Roman"/>
          <w:strike w:val="0"/>
          <w:dstrike w:val="0"/>
          <w:color w:val="auto"/>
          <w:sz w:val="24"/>
          <w:szCs w:val="32"/>
          <w:highlight w:val="none"/>
          <w:lang w:val="en-US" w:eastAsia="zh-CN"/>
        </w:rPr>
        <w:t>上述考核表仅供参考，具体细则在</w:t>
      </w:r>
      <w:r>
        <w:rPr>
          <w:rFonts w:hint="eastAsia" w:ascii="Times New Roman" w:hAnsi="Times New Roman" w:cs="Times New Roman"/>
          <w:strike w:val="0"/>
          <w:dstrike w:val="0"/>
          <w:color w:val="auto"/>
          <w:sz w:val="24"/>
          <w:szCs w:val="32"/>
          <w:highlight w:val="none"/>
        </w:rPr>
        <w:t>中标后</w:t>
      </w:r>
      <w:r>
        <w:rPr>
          <w:rFonts w:hint="eastAsia" w:ascii="Times New Roman" w:hAnsi="Times New Roman" w:cs="Times New Roman"/>
          <w:strike w:val="0"/>
          <w:dstrike w:val="0"/>
          <w:color w:val="auto"/>
          <w:sz w:val="24"/>
          <w:szCs w:val="32"/>
          <w:highlight w:val="none"/>
          <w:lang w:val="en-US" w:eastAsia="zh-CN"/>
        </w:rPr>
        <w:t>由</w:t>
      </w:r>
      <w:r>
        <w:rPr>
          <w:rFonts w:hint="eastAsia" w:ascii="Times New Roman" w:hAnsi="Times New Roman" w:cs="Times New Roman"/>
          <w:strike w:val="0"/>
          <w:dstrike w:val="0"/>
          <w:color w:val="auto"/>
          <w:sz w:val="24"/>
          <w:szCs w:val="32"/>
          <w:highlight w:val="none"/>
        </w:rPr>
        <w:t>采购人与中标单位协商确认，并在合同中明确。对未达到考核要求的，采购人有权中标人限期整改，2次未达到要求或整改后仍不符合采购人要求的，采购人将扣除中标人的当期服务费</w:t>
      </w:r>
      <w:r>
        <w:rPr>
          <w:rFonts w:hint="eastAsia" w:ascii="Times New Roman" w:hAnsi="Times New Roman" w:cs="Times New Roman"/>
          <w:strike w:val="0"/>
          <w:dstrike w:val="0"/>
          <w:color w:val="auto"/>
          <w:sz w:val="24"/>
          <w:szCs w:val="32"/>
          <w:highlight w:val="none"/>
          <w:lang w:eastAsia="zh-CN"/>
        </w:rPr>
        <w:t>。</w:t>
      </w:r>
    </w:p>
    <w:p w14:paraId="53B784B5">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0" w:name="_Toc184313258"/>
      <w:bookmarkEnd w:id="30"/>
      <w:bookmarkStart w:id="31" w:name="_Toc184314431"/>
      <w:bookmarkEnd w:id="31"/>
      <w:bookmarkStart w:id="32" w:name="_Toc184308058"/>
      <w:bookmarkEnd w:id="32"/>
      <w:bookmarkStart w:id="33" w:name="_Toc184308039"/>
      <w:bookmarkEnd w:id="33"/>
      <w:bookmarkStart w:id="34" w:name="_Toc184312088"/>
      <w:bookmarkEnd w:id="34"/>
      <w:bookmarkStart w:id="35" w:name="_Toc184310324"/>
      <w:bookmarkEnd w:id="35"/>
      <w:bookmarkStart w:id="36" w:name="_Toc184314480"/>
      <w:bookmarkEnd w:id="36"/>
      <w:bookmarkStart w:id="37" w:name="_Toc184313267"/>
      <w:bookmarkEnd w:id="37"/>
      <w:bookmarkStart w:id="38" w:name="_Toc184308068"/>
      <w:bookmarkEnd w:id="38"/>
      <w:bookmarkStart w:id="39" w:name="_Toc184313265"/>
      <w:bookmarkEnd w:id="39"/>
      <w:bookmarkStart w:id="40" w:name="_Toc184313264"/>
      <w:bookmarkEnd w:id="40"/>
      <w:bookmarkStart w:id="41" w:name="_Toc184313278"/>
      <w:bookmarkEnd w:id="41"/>
      <w:bookmarkStart w:id="42" w:name="_Toc184314471"/>
      <w:bookmarkEnd w:id="42"/>
      <w:bookmarkStart w:id="43" w:name="_Toc184310311"/>
      <w:bookmarkEnd w:id="43"/>
      <w:bookmarkStart w:id="44" w:name="_Toc184313275"/>
      <w:bookmarkEnd w:id="44"/>
      <w:bookmarkStart w:id="45" w:name="_Toc184308055"/>
      <w:bookmarkEnd w:id="45"/>
      <w:bookmarkStart w:id="46" w:name="_Toc184314414"/>
      <w:bookmarkEnd w:id="46"/>
      <w:bookmarkStart w:id="47" w:name="_Toc184314479"/>
      <w:bookmarkEnd w:id="47"/>
      <w:bookmarkStart w:id="48" w:name="_Toc184314411"/>
      <w:bookmarkEnd w:id="48"/>
      <w:bookmarkStart w:id="49" w:name="_Toc184310275"/>
      <w:bookmarkEnd w:id="49"/>
      <w:bookmarkStart w:id="50" w:name="_Toc184314472"/>
      <w:bookmarkEnd w:id="50"/>
      <w:bookmarkStart w:id="51" w:name="_Toc184308108"/>
      <w:bookmarkEnd w:id="51"/>
      <w:bookmarkStart w:id="52" w:name="_Toc184313276"/>
      <w:bookmarkEnd w:id="52"/>
      <w:bookmarkStart w:id="53" w:name="_Toc184314437"/>
      <w:bookmarkEnd w:id="53"/>
      <w:bookmarkStart w:id="54" w:name="_Toc184308099"/>
      <w:bookmarkEnd w:id="54"/>
      <w:bookmarkStart w:id="55" w:name="_Toc184314448"/>
      <w:bookmarkEnd w:id="55"/>
      <w:bookmarkStart w:id="56" w:name="_Toc184310299"/>
      <w:bookmarkEnd w:id="56"/>
      <w:bookmarkStart w:id="57" w:name="_Toc184314462"/>
      <w:bookmarkEnd w:id="57"/>
      <w:bookmarkStart w:id="58" w:name="_Toc184308063"/>
      <w:bookmarkEnd w:id="58"/>
      <w:bookmarkStart w:id="59" w:name="_Toc184313274"/>
      <w:bookmarkEnd w:id="59"/>
      <w:bookmarkStart w:id="60" w:name="_Toc184308098"/>
      <w:bookmarkEnd w:id="60"/>
      <w:bookmarkStart w:id="61" w:name="_Toc184310331"/>
      <w:bookmarkEnd w:id="61"/>
      <w:bookmarkStart w:id="62" w:name="_Toc184310314"/>
      <w:bookmarkEnd w:id="62"/>
      <w:bookmarkStart w:id="63" w:name="_Toc184312107"/>
      <w:bookmarkEnd w:id="63"/>
      <w:bookmarkStart w:id="64" w:name="_Toc184310273"/>
      <w:bookmarkEnd w:id="64"/>
      <w:bookmarkStart w:id="65" w:name="_Toc184313309"/>
      <w:bookmarkEnd w:id="65"/>
      <w:bookmarkStart w:id="66" w:name="_Toc184314478"/>
      <w:bookmarkEnd w:id="66"/>
      <w:bookmarkStart w:id="67" w:name="_Toc184314440"/>
      <w:bookmarkEnd w:id="67"/>
      <w:bookmarkStart w:id="68" w:name="_Toc184310296"/>
      <w:bookmarkEnd w:id="68"/>
      <w:bookmarkStart w:id="69" w:name="_Toc184310282"/>
      <w:bookmarkEnd w:id="69"/>
      <w:bookmarkStart w:id="70" w:name="_Toc184310322"/>
      <w:bookmarkEnd w:id="70"/>
      <w:bookmarkStart w:id="71" w:name="_Toc184310302"/>
      <w:bookmarkEnd w:id="71"/>
      <w:bookmarkStart w:id="72" w:name="_Toc184308052"/>
      <w:bookmarkEnd w:id="72"/>
      <w:bookmarkStart w:id="73" w:name="_Toc184313291"/>
      <w:bookmarkEnd w:id="73"/>
      <w:bookmarkStart w:id="74" w:name="_Toc184312103"/>
      <w:bookmarkEnd w:id="74"/>
      <w:bookmarkStart w:id="75" w:name="_Toc184314452"/>
      <w:bookmarkEnd w:id="75"/>
      <w:bookmarkStart w:id="76" w:name="_Toc184308038"/>
      <w:bookmarkEnd w:id="76"/>
      <w:bookmarkStart w:id="77" w:name="_Toc184312100"/>
      <w:bookmarkEnd w:id="77"/>
      <w:bookmarkStart w:id="78" w:name="_Toc184313305"/>
      <w:bookmarkEnd w:id="78"/>
      <w:bookmarkStart w:id="79" w:name="_Toc184312110"/>
      <w:bookmarkEnd w:id="79"/>
      <w:bookmarkStart w:id="80" w:name="_Toc184312111"/>
      <w:bookmarkEnd w:id="80"/>
      <w:bookmarkStart w:id="81" w:name="_Toc184313239"/>
      <w:bookmarkEnd w:id="81"/>
      <w:bookmarkStart w:id="82" w:name="_Toc184312123"/>
      <w:bookmarkEnd w:id="82"/>
      <w:bookmarkStart w:id="83" w:name="_Toc184310303"/>
      <w:bookmarkEnd w:id="83"/>
      <w:bookmarkStart w:id="84" w:name="_Toc184308050"/>
      <w:bookmarkEnd w:id="84"/>
      <w:bookmarkStart w:id="85" w:name="_Toc184310334"/>
      <w:bookmarkEnd w:id="85"/>
      <w:bookmarkStart w:id="86" w:name="_Toc184310329"/>
      <w:bookmarkEnd w:id="86"/>
      <w:bookmarkStart w:id="87" w:name="_Toc184310283"/>
      <w:bookmarkEnd w:id="87"/>
      <w:bookmarkStart w:id="88" w:name="_Toc184314435"/>
      <w:bookmarkEnd w:id="88"/>
      <w:bookmarkStart w:id="89" w:name="_Toc184313268"/>
      <w:bookmarkEnd w:id="89"/>
      <w:bookmarkStart w:id="90" w:name="_Toc184313246"/>
      <w:bookmarkEnd w:id="90"/>
      <w:bookmarkStart w:id="91" w:name="_Toc184314475"/>
      <w:bookmarkEnd w:id="91"/>
      <w:bookmarkStart w:id="92" w:name="_Toc184308069"/>
      <w:bookmarkEnd w:id="92"/>
      <w:bookmarkStart w:id="93" w:name="_Toc184312101"/>
      <w:bookmarkEnd w:id="93"/>
      <w:bookmarkStart w:id="94" w:name="_Toc184313301"/>
      <w:bookmarkEnd w:id="94"/>
      <w:bookmarkStart w:id="95" w:name="_Toc184312083"/>
      <w:bookmarkEnd w:id="95"/>
      <w:bookmarkStart w:id="96" w:name="_Toc184310285"/>
      <w:bookmarkEnd w:id="96"/>
      <w:bookmarkStart w:id="97" w:name="_Toc184312081"/>
      <w:bookmarkEnd w:id="97"/>
      <w:bookmarkStart w:id="98" w:name="_Toc184314470"/>
      <w:bookmarkEnd w:id="98"/>
      <w:bookmarkStart w:id="99" w:name="_Toc184310291"/>
      <w:bookmarkEnd w:id="99"/>
      <w:bookmarkStart w:id="100" w:name="_Toc184310339"/>
      <w:bookmarkEnd w:id="100"/>
      <w:bookmarkStart w:id="101" w:name="_Toc184313240"/>
      <w:bookmarkEnd w:id="101"/>
      <w:bookmarkStart w:id="102" w:name="_Toc184313261"/>
      <w:bookmarkEnd w:id="102"/>
      <w:bookmarkStart w:id="103" w:name="_Toc184313282"/>
      <w:bookmarkEnd w:id="103"/>
      <w:bookmarkStart w:id="104" w:name="_Toc184312112"/>
      <w:bookmarkEnd w:id="104"/>
      <w:bookmarkStart w:id="105" w:name="_Toc184308053"/>
      <w:bookmarkEnd w:id="105"/>
      <w:bookmarkStart w:id="106" w:name="_Toc184308080"/>
      <w:bookmarkEnd w:id="106"/>
      <w:bookmarkStart w:id="107" w:name="_Toc184310317"/>
      <w:bookmarkEnd w:id="107"/>
      <w:bookmarkStart w:id="108" w:name="_Toc184312097"/>
      <w:bookmarkEnd w:id="108"/>
      <w:bookmarkStart w:id="109" w:name="_Toc184310295"/>
      <w:bookmarkEnd w:id="109"/>
      <w:bookmarkStart w:id="110" w:name="_Toc184312098"/>
      <w:bookmarkEnd w:id="110"/>
      <w:bookmarkStart w:id="111" w:name="_Toc184313269"/>
      <w:bookmarkEnd w:id="111"/>
      <w:bookmarkStart w:id="112" w:name="_Toc184312095"/>
      <w:bookmarkEnd w:id="112"/>
      <w:bookmarkStart w:id="113" w:name="_Toc184310341"/>
      <w:bookmarkEnd w:id="113"/>
      <w:bookmarkStart w:id="114" w:name="_Toc184308064"/>
      <w:bookmarkEnd w:id="114"/>
      <w:bookmarkStart w:id="115" w:name="_Toc184312132"/>
      <w:bookmarkEnd w:id="115"/>
      <w:bookmarkStart w:id="116" w:name="_Toc184312067"/>
      <w:bookmarkEnd w:id="116"/>
      <w:bookmarkStart w:id="117" w:name="_Toc184310290"/>
      <w:bookmarkEnd w:id="117"/>
      <w:bookmarkStart w:id="118" w:name="_Toc184312085"/>
      <w:bookmarkEnd w:id="118"/>
      <w:bookmarkStart w:id="119" w:name="_Toc184308094"/>
      <w:bookmarkEnd w:id="119"/>
      <w:bookmarkStart w:id="120" w:name="_Toc184308089"/>
      <w:bookmarkEnd w:id="120"/>
      <w:bookmarkStart w:id="121" w:name="_Toc184308045"/>
      <w:bookmarkEnd w:id="121"/>
      <w:bookmarkStart w:id="122" w:name="_Toc184313279"/>
      <w:bookmarkEnd w:id="122"/>
      <w:bookmarkStart w:id="123" w:name="_Toc184314463"/>
      <w:bookmarkEnd w:id="123"/>
      <w:bookmarkStart w:id="124" w:name="_Toc184308071"/>
      <w:bookmarkEnd w:id="124"/>
      <w:bookmarkStart w:id="125" w:name="_Toc184308106"/>
      <w:bookmarkEnd w:id="125"/>
      <w:bookmarkStart w:id="126" w:name="_Toc184312075"/>
      <w:bookmarkEnd w:id="126"/>
      <w:bookmarkStart w:id="127" w:name="_Toc184313299"/>
      <w:bookmarkEnd w:id="127"/>
      <w:bookmarkStart w:id="128" w:name="_Toc184314441"/>
      <w:bookmarkEnd w:id="128"/>
      <w:bookmarkStart w:id="129" w:name="_Toc184314450"/>
      <w:bookmarkEnd w:id="129"/>
      <w:bookmarkStart w:id="130" w:name="_Toc184308040"/>
      <w:bookmarkEnd w:id="130"/>
      <w:bookmarkStart w:id="131" w:name="_Toc184313287"/>
      <w:bookmarkEnd w:id="131"/>
      <w:bookmarkStart w:id="132" w:name="_Toc184314415"/>
      <w:bookmarkEnd w:id="132"/>
      <w:bookmarkStart w:id="133" w:name="_Toc184310288"/>
      <w:bookmarkEnd w:id="133"/>
      <w:bookmarkStart w:id="134" w:name="_Toc184310340"/>
      <w:bookmarkEnd w:id="134"/>
      <w:bookmarkStart w:id="135" w:name="_Toc184308054"/>
      <w:bookmarkEnd w:id="135"/>
      <w:bookmarkStart w:id="136" w:name="_Toc184313248"/>
      <w:bookmarkEnd w:id="136"/>
      <w:bookmarkStart w:id="137" w:name="_Toc184308092"/>
      <w:bookmarkEnd w:id="137"/>
      <w:bookmarkStart w:id="138" w:name="_Toc184314432"/>
      <w:bookmarkEnd w:id="138"/>
      <w:bookmarkStart w:id="139" w:name="_Toc184310323"/>
      <w:bookmarkEnd w:id="139"/>
      <w:bookmarkStart w:id="140" w:name="_Toc184312080"/>
      <w:bookmarkEnd w:id="140"/>
      <w:bookmarkStart w:id="141" w:name="_Toc184314417"/>
      <w:bookmarkEnd w:id="141"/>
      <w:bookmarkStart w:id="142" w:name="_Toc184312133"/>
      <w:bookmarkEnd w:id="142"/>
      <w:bookmarkStart w:id="143" w:name="_Toc184313285"/>
      <w:bookmarkEnd w:id="143"/>
      <w:bookmarkStart w:id="144" w:name="_Toc184308037"/>
      <w:bookmarkEnd w:id="144"/>
      <w:bookmarkStart w:id="145" w:name="_Toc184312117"/>
      <w:bookmarkEnd w:id="145"/>
      <w:bookmarkStart w:id="146" w:name="_Toc184312115"/>
      <w:bookmarkEnd w:id="146"/>
      <w:bookmarkStart w:id="147" w:name="_Toc184308087"/>
      <w:bookmarkEnd w:id="147"/>
      <w:bookmarkStart w:id="148" w:name="_Toc184312078"/>
      <w:bookmarkEnd w:id="148"/>
      <w:bookmarkStart w:id="149" w:name="_Toc184308051"/>
      <w:bookmarkEnd w:id="149"/>
      <w:bookmarkStart w:id="150" w:name="_Toc184312127"/>
      <w:bookmarkEnd w:id="150"/>
      <w:bookmarkStart w:id="151" w:name="_Toc184313303"/>
      <w:bookmarkEnd w:id="151"/>
      <w:bookmarkStart w:id="152" w:name="_Toc184310300"/>
      <w:bookmarkEnd w:id="152"/>
      <w:bookmarkStart w:id="153" w:name="_Toc184310277"/>
      <w:bookmarkEnd w:id="153"/>
      <w:bookmarkStart w:id="154" w:name="_Toc184310327"/>
      <w:bookmarkEnd w:id="154"/>
      <w:bookmarkStart w:id="155" w:name="_Toc184312089"/>
      <w:bookmarkEnd w:id="155"/>
      <w:bookmarkStart w:id="156" w:name="_Toc184310304"/>
      <w:bookmarkEnd w:id="156"/>
      <w:bookmarkStart w:id="157" w:name="_Toc184313298"/>
      <w:bookmarkEnd w:id="157"/>
      <w:bookmarkStart w:id="158" w:name="_Toc184314445"/>
      <w:bookmarkEnd w:id="158"/>
      <w:bookmarkStart w:id="159" w:name="_Toc184313295"/>
      <w:bookmarkEnd w:id="159"/>
      <w:bookmarkStart w:id="160" w:name="_Toc184312125"/>
      <w:bookmarkEnd w:id="160"/>
      <w:bookmarkStart w:id="161" w:name="_Toc184313266"/>
      <w:bookmarkEnd w:id="161"/>
      <w:bookmarkStart w:id="162" w:name="_Toc184308088"/>
      <w:bookmarkEnd w:id="162"/>
      <w:bookmarkStart w:id="163" w:name="_Toc184308083"/>
      <w:bookmarkEnd w:id="163"/>
      <w:bookmarkStart w:id="164" w:name="_Toc184310307"/>
      <w:bookmarkEnd w:id="164"/>
      <w:bookmarkStart w:id="165" w:name="_Toc184312121"/>
      <w:bookmarkEnd w:id="165"/>
      <w:bookmarkStart w:id="166" w:name="_Toc184312073"/>
      <w:bookmarkEnd w:id="166"/>
      <w:bookmarkStart w:id="167" w:name="_Toc184312124"/>
      <w:bookmarkEnd w:id="167"/>
      <w:bookmarkStart w:id="168" w:name="_Toc184314469"/>
      <w:bookmarkEnd w:id="168"/>
      <w:bookmarkStart w:id="169" w:name="_Toc184313286"/>
      <w:bookmarkEnd w:id="169"/>
      <w:bookmarkStart w:id="170" w:name="_Toc184308084"/>
      <w:bookmarkEnd w:id="170"/>
      <w:bookmarkStart w:id="171" w:name="_Toc184308048"/>
      <w:bookmarkEnd w:id="171"/>
      <w:bookmarkStart w:id="172" w:name="_Toc184312130"/>
      <w:bookmarkEnd w:id="172"/>
      <w:bookmarkStart w:id="173" w:name="_Toc184308085"/>
      <w:bookmarkEnd w:id="173"/>
      <w:bookmarkStart w:id="174" w:name="_Toc184308107"/>
      <w:bookmarkEnd w:id="174"/>
      <w:bookmarkStart w:id="175" w:name="_Toc184310335"/>
      <w:bookmarkEnd w:id="175"/>
      <w:bookmarkStart w:id="176" w:name="_Toc184312131"/>
      <w:bookmarkEnd w:id="176"/>
      <w:bookmarkStart w:id="177" w:name="_Toc184314446"/>
      <w:bookmarkEnd w:id="177"/>
      <w:bookmarkStart w:id="178" w:name="_Toc184308073"/>
      <w:bookmarkEnd w:id="178"/>
      <w:bookmarkStart w:id="179" w:name="_Toc184313253"/>
      <w:bookmarkEnd w:id="179"/>
      <w:bookmarkStart w:id="180" w:name="_Toc184314457"/>
      <w:bookmarkEnd w:id="180"/>
      <w:bookmarkStart w:id="181" w:name="_Toc184312138"/>
      <w:bookmarkEnd w:id="181"/>
      <w:bookmarkStart w:id="182" w:name="_Toc184310289"/>
      <w:bookmarkEnd w:id="182"/>
      <w:bookmarkStart w:id="183" w:name="_Toc184313277"/>
      <w:bookmarkEnd w:id="183"/>
      <w:bookmarkStart w:id="184" w:name="_Toc184313273"/>
      <w:bookmarkEnd w:id="184"/>
      <w:bookmarkStart w:id="185" w:name="_Toc184312136"/>
      <w:bookmarkEnd w:id="185"/>
      <w:bookmarkStart w:id="186" w:name="_Toc184308066"/>
      <w:bookmarkEnd w:id="186"/>
      <w:bookmarkStart w:id="187" w:name="_Toc184313242"/>
      <w:bookmarkEnd w:id="187"/>
      <w:bookmarkStart w:id="188" w:name="_Toc184312114"/>
      <w:bookmarkEnd w:id="188"/>
      <w:bookmarkStart w:id="189" w:name="_Toc184314433"/>
      <w:bookmarkEnd w:id="189"/>
      <w:bookmarkStart w:id="190" w:name="_Toc184313244"/>
      <w:bookmarkEnd w:id="190"/>
      <w:bookmarkStart w:id="191" w:name="_Toc184310287"/>
      <w:bookmarkEnd w:id="191"/>
      <w:bookmarkStart w:id="192" w:name="_Toc184308081"/>
      <w:bookmarkEnd w:id="192"/>
      <w:bookmarkStart w:id="193" w:name="_Toc184310336"/>
      <w:bookmarkEnd w:id="193"/>
      <w:bookmarkStart w:id="194" w:name="_Toc184313281"/>
      <w:bookmarkEnd w:id="194"/>
      <w:bookmarkStart w:id="195" w:name="_Toc184310293"/>
      <w:bookmarkEnd w:id="195"/>
      <w:bookmarkStart w:id="196" w:name="_Toc184313283"/>
      <w:bookmarkEnd w:id="196"/>
      <w:bookmarkStart w:id="197" w:name="_Toc184313300"/>
      <w:bookmarkEnd w:id="197"/>
      <w:bookmarkStart w:id="198" w:name="_Toc184312106"/>
      <w:bookmarkEnd w:id="198"/>
      <w:bookmarkStart w:id="199" w:name="_Toc184308086"/>
      <w:bookmarkEnd w:id="199"/>
      <w:bookmarkStart w:id="200" w:name="_Toc184310284"/>
      <w:bookmarkEnd w:id="200"/>
      <w:bookmarkStart w:id="201" w:name="_Toc184312113"/>
      <w:bookmarkEnd w:id="201"/>
      <w:bookmarkStart w:id="202" w:name="_Toc184314410"/>
      <w:bookmarkEnd w:id="202"/>
      <w:bookmarkStart w:id="203" w:name="_Toc184314429"/>
      <w:bookmarkEnd w:id="203"/>
      <w:bookmarkStart w:id="204" w:name="_Toc184310308"/>
      <w:bookmarkEnd w:id="204"/>
      <w:bookmarkStart w:id="205" w:name="_Toc184313302"/>
      <w:bookmarkEnd w:id="205"/>
      <w:bookmarkStart w:id="206" w:name="_Toc184310281"/>
      <w:bookmarkEnd w:id="206"/>
      <w:bookmarkStart w:id="207" w:name="_Toc184314481"/>
      <w:bookmarkEnd w:id="207"/>
      <w:bookmarkStart w:id="208" w:name="_Toc184310309"/>
      <w:bookmarkEnd w:id="208"/>
      <w:bookmarkStart w:id="209" w:name="_Toc184314427"/>
      <w:bookmarkEnd w:id="209"/>
      <w:bookmarkStart w:id="210" w:name="_Toc184310333"/>
      <w:bookmarkEnd w:id="210"/>
      <w:bookmarkStart w:id="211" w:name="_Toc184314443"/>
      <w:bookmarkEnd w:id="211"/>
      <w:bookmarkStart w:id="212" w:name="_Toc184308044"/>
      <w:bookmarkEnd w:id="212"/>
      <w:bookmarkStart w:id="213" w:name="_Toc184312094"/>
      <w:bookmarkEnd w:id="213"/>
      <w:bookmarkStart w:id="214" w:name="_Toc184312108"/>
      <w:bookmarkEnd w:id="214"/>
      <w:bookmarkStart w:id="215" w:name="_Toc184314460"/>
      <w:bookmarkEnd w:id="215"/>
      <w:bookmarkStart w:id="216" w:name="_Toc184308075"/>
      <w:bookmarkEnd w:id="216"/>
      <w:bookmarkStart w:id="217" w:name="_Toc184312134"/>
      <w:bookmarkEnd w:id="217"/>
      <w:bookmarkStart w:id="218" w:name="_Toc184310337"/>
      <w:bookmarkEnd w:id="218"/>
      <w:bookmarkStart w:id="219" w:name="_Toc184308072"/>
      <w:bookmarkEnd w:id="219"/>
      <w:bookmarkStart w:id="220" w:name="_Toc184308079"/>
      <w:bookmarkEnd w:id="220"/>
      <w:bookmarkStart w:id="221" w:name="_Toc184308076"/>
      <w:bookmarkEnd w:id="221"/>
      <w:bookmarkStart w:id="222" w:name="_Toc184310294"/>
      <w:bookmarkEnd w:id="222"/>
      <w:bookmarkStart w:id="223" w:name="_Toc184313308"/>
      <w:bookmarkEnd w:id="223"/>
      <w:bookmarkStart w:id="224" w:name="_Toc184312070"/>
      <w:bookmarkEnd w:id="224"/>
      <w:bookmarkStart w:id="225" w:name="_Toc184312099"/>
      <w:bookmarkEnd w:id="225"/>
      <w:bookmarkStart w:id="226" w:name="_Toc184313257"/>
      <w:bookmarkEnd w:id="226"/>
      <w:bookmarkStart w:id="227" w:name="_Toc184310328"/>
      <w:bookmarkEnd w:id="227"/>
      <w:bookmarkStart w:id="228" w:name="_Toc184310344"/>
      <w:bookmarkEnd w:id="228"/>
      <w:bookmarkStart w:id="229" w:name="_Toc184310318"/>
      <w:bookmarkEnd w:id="229"/>
      <w:bookmarkStart w:id="230" w:name="_Toc184308102"/>
      <w:bookmarkEnd w:id="230"/>
      <w:bookmarkStart w:id="231" w:name="_Toc184312096"/>
      <w:bookmarkEnd w:id="231"/>
      <w:bookmarkStart w:id="232" w:name="_Toc184313290"/>
      <w:bookmarkEnd w:id="232"/>
      <w:bookmarkStart w:id="233" w:name="_Toc184312090"/>
      <w:bookmarkEnd w:id="233"/>
      <w:bookmarkStart w:id="234" w:name="_Toc184314412"/>
      <w:bookmarkEnd w:id="234"/>
      <w:bookmarkStart w:id="235" w:name="_Toc184312120"/>
      <w:bookmarkEnd w:id="235"/>
      <w:bookmarkStart w:id="236" w:name="_Toc184310279"/>
      <w:bookmarkEnd w:id="236"/>
      <w:bookmarkStart w:id="237" w:name="_Toc184308065"/>
      <w:bookmarkEnd w:id="237"/>
      <w:bookmarkStart w:id="238" w:name="_Toc184310342"/>
      <w:bookmarkEnd w:id="238"/>
      <w:bookmarkStart w:id="239" w:name="_Toc184312092"/>
      <w:bookmarkEnd w:id="239"/>
      <w:bookmarkStart w:id="240" w:name="_Toc184312135"/>
      <w:bookmarkEnd w:id="240"/>
      <w:bookmarkStart w:id="241" w:name="_Toc184313294"/>
      <w:bookmarkEnd w:id="241"/>
      <w:bookmarkStart w:id="242" w:name="_Toc184312068"/>
      <w:bookmarkEnd w:id="242"/>
      <w:bookmarkStart w:id="243" w:name="_Toc184308074"/>
      <w:bookmarkEnd w:id="243"/>
      <w:bookmarkStart w:id="244" w:name="_Toc184308061"/>
      <w:bookmarkEnd w:id="244"/>
      <w:bookmarkStart w:id="245" w:name="_Toc184310292"/>
      <w:bookmarkEnd w:id="245"/>
      <w:bookmarkStart w:id="246" w:name="_Toc184308036"/>
      <w:bookmarkEnd w:id="246"/>
      <w:bookmarkStart w:id="247" w:name="_Toc184312116"/>
      <w:bookmarkEnd w:id="247"/>
      <w:bookmarkStart w:id="248" w:name="_Toc184310326"/>
      <w:bookmarkEnd w:id="248"/>
      <w:bookmarkStart w:id="249" w:name="_Toc184310305"/>
      <w:bookmarkEnd w:id="249"/>
      <w:bookmarkStart w:id="250" w:name="_Toc184313262"/>
      <w:bookmarkEnd w:id="250"/>
      <w:bookmarkStart w:id="251" w:name="_Toc184314436"/>
      <w:bookmarkEnd w:id="251"/>
      <w:bookmarkStart w:id="252" w:name="_Toc184308097"/>
      <w:bookmarkEnd w:id="252"/>
      <w:bookmarkStart w:id="253" w:name="_Toc184308056"/>
      <w:bookmarkEnd w:id="253"/>
      <w:bookmarkStart w:id="254" w:name="_Toc184314424"/>
      <w:bookmarkEnd w:id="254"/>
      <w:bookmarkStart w:id="255" w:name="_Toc184308057"/>
      <w:bookmarkEnd w:id="255"/>
      <w:bookmarkStart w:id="256" w:name="_Toc184308043"/>
      <w:bookmarkEnd w:id="256"/>
      <w:bookmarkStart w:id="257" w:name="_Toc184308049"/>
      <w:bookmarkEnd w:id="257"/>
      <w:bookmarkStart w:id="258" w:name="_Toc184313306"/>
      <w:bookmarkEnd w:id="258"/>
      <w:bookmarkStart w:id="259" w:name="_Toc184308082"/>
      <w:bookmarkEnd w:id="259"/>
      <w:bookmarkStart w:id="260" w:name="_Toc184313292"/>
      <w:bookmarkEnd w:id="260"/>
      <w:bookmarkStart w:id="261" w:name="_Toc184314473"/>
      <w:bookmarkEnd w:id="261"/>
      <w:bookmarkStart w:id="262" w:name="_Toc184313296"/>
      <w:bookmarkEnd w:id="262"/>
      <w:bookmarkStart w:id="263" w:name="_Toc184308103"/>
      <w:bookmarkEnd w:id="263"/>
      <w:bookmarkStart w:id="264" w:name="_Toc184313288"/>
      <w:bookmarkEnd w:id="264"/>
      <w:bookmarkStart w:id="265" w:name="_Toc184313241"/>
      <w:bookmarkEnd w:id="265"/>
      <w:bookmarkStart w:id="266" w:name="_Toc184314425"/>
      <w:bookmarkEnd w:id="266"/>
      <w:bookmarkStart w:id="267" w:name="_Toc184313289"/>
      <w:bookmarkEnd w:id="267"/>
      <w:bookmarkStart w:id="268" w:name="_Toc184312102"/>
      <w:bookmarkEnd w:id="268"/>
      <w:bookmarkStart w:id="269" w:name="_Toc184308070"/>
      <w:bookmarkEnd w:id="269"/>
      <w:bookmarkStart w:id="270" w:name="_Toc184310332"/>
      <w:bookmarkEnd w:id="270"/>
      <w:bookmarkStart w:id="271" w:name="_Toc184310313"/>
      <w:bookmarkEnd w:id="271"/>
      <w:bookmarkStart w:id="272" w:name="_Toc184312122"/>
      <w:bookmarkEnd w:id="272"/>
      <w:bookmarkStart w:id="273" w:name="_Toc184310325"/>
      <w:bookmarkEnd w:id="273"/>
      <w:bookmarkStart w:id="274" w:name="_Toc184312069"/>
      <w:bookmarkEnd w:id="274"/>
      <w:bookmarkStart w:id="275" w:name="_Toc184314438"/>
      <w:bookmarkEnd w:id="275"/>
      <w:bookmarkStart w:id="276" w:name="_Toc184312082"/>
      <w:bookmarkEnd w:id="276"/>
      <w:bookmarkStart w:id="277" w:name="_Toc184314455"/>
      <w:bookmarkEnd w:id="277"/>
      <w:bookmarkStart w:id="278" w:name="_Toc184314418"/>
      <w:bookmarkEnd w:id="278"/>
      <w:bookmarkStart w:id="279" w:name="_Toc184308047"/>
      <w:bookmarkEnd w:id="279"/>
      <w:bookmarkStart w:id="280" w:name="_Toc184313270"/>
      <w:bookmarkEnd w:id="280"/>
      <w:bookmarkStart w:id="281" w:name="_Toc184313260"/>
      <w:bookmarkEnd w:id="281"/>
      <w:bookmarkStart w:id="282" w:name="_Toc184312104"/>
      <w:bookmarkEnd w:id="282"/>
      <w:bookmarkStart w:id="283" w:name="_Toc184310343"/>
      <w:bookmarkEnd w:id="283"/>
      <w:bookmarkStart w:id="284" w:name="_Toc184314456"/>
      <w:bookmarkEnd w:id="284"/>
      <w:bookmarkStart w:id="285" w:name="_Toc184312118"/>
      <w:bookmarkEnd w:id="285"/>
      <w:bookmarkStart w:id="286" w:name="_Toc184312079"/>
      <w:bookmarkEnd w:id="286"/>
      <w:bookmarkStart w:id="287" w:name="_Toc184313252"/>
      <w:bookmarkEnd w:id="287"/>
      <w:bookmarkStart w:id="288" w:name="_Toc184308059"/>
      <w:bookmarkEnd w:id="288"/>
      <w:bookmarkStart w:id="289" w:name="_Toc184313243"/>
      <w:bookmarkEnd w:id="289"/>
      <w:bookmarkStart w:id="290" w:name="_Toc184312093"/>
      <w:bookmarkEnd w:id="290"/>
      <w:bookmarkStart w:id="291" w:name="_Toc184310338"/>
      <w:bookmarkEnd w:id="291"/>
      <w:bookmarkStart w:id="292" w:name="_Toc184313247"/>
      <w:bookmarkEnd w:id="292"/>
      <w:bookmarkStart w:id="293" w:name="_Toc184313310"/>
      <w:bookmarkEnd w:id="293"/>
      <w:bookmarkStart w:id="294" w:name="_Toc184308100"/>
      <w:bookmarkEnd w:id="294"/>
      <w:bookmarkStart w:id="295" w:name="_Toc184310298"/>
      <w:bookmarkEnd w:id="295"/>
      <w:bookmarkStart w:id="296" w:name="_Toc184314421"/>
      <w:bookmarkEnd w:id="296"/>
      <w:bookmarkStart w:id="297" w:name="_Toc184308062"/>
      <w:bookmarkEnd w:id="297"/>
      <w:bookmarkStart w:id="298" w:name="_Toc184314444"/>
      <w:bookmarkEnd w:id="298"/>
      <w:bookmarkStart w:id="299" w:name="_Toc184312128"/>
      <w:bookmarkEnd w:id="299"/>
      <w:bookmarkStart w:id="300" w:name="_Toc184312119"/>
      <w:bookmarkEnd w:id="300"/>
      <w:bookmarkStart w:id="301" w:name="_Toc184314468"/>
      <w:bookmarkEnd w:id="301"/>
      <w:bookmarkStart w:id="302" w:name="_Toc184312071"/>
      <w:bookmarkEnd w:id="302"/>
      <w:bookmarkStart w:id="303" w:name="_Toc184314454"/>
      <w:bookmarkEnd w:id="303"/>
      <w:bookmarkStart w:id="304" w:name="_Toc184310310"/>
      <w:bookmarkEnd w:id="304"/>
      <w:bookmarkStart w:id="305" w:name="_Toc184312086"/>
      <w:bookmarkEnd w:id="305"/>
      <w:bookmarkStart w:id="306" w:name="_Toc184308046"/>
      <w:bookmarkEnd w:id="306"/>
      <w:bookmarkStart w:id="307" w:name="_Toc184313245"/>
      <w:bookmarkEnd w:id="307"/>
      <w:bookmarkStart w:id="308" w:name="_Toc184312084"/>
      <w:bookmarkEnd w:id="308"/>
      <w:bookmarkStart w:id="309" w:name="_Toc184308042"/>
      <w:bookmarkEnd w:id="309"/>
      <w:bookmarkStart w:id="310" w:name="_Toc184313263"/>
      <w:bookmarkEnd w:id="310"/>
      <w:bookmarkStart w:id="311" w:name="_Toc184313249"/>
      <w:bookmarkEnd w:id="311"/>
      <w:bookmarkStart w:id="312" w:name="_Toc184310272"/>
      <w:bookmarkEnd w:id="312"/>
      <w:bookmarkStart w:id="313" w:name="_Toc184314476"/>
      <w:bookmarkEnd w:id="313"/>
      <w:bookmarkStart w:id="314" w:name="_Toc184312077"/>
      <w:bookmarkEnd w:id="314"/>
      <w:bookmarkStart w:id="315" w:name="_Toc184310301"/>
      <w:bookmarkEnd w:id="315"/>
      <w:bookmarkStart w:id="316" w:name="_Toc184308101"/>
      <w:bookmarkEnd w:id="316"/>
      <w:bookmarkStart w:id="317" w:name="_Toc184314439"/>
      <w:bookmarkEnd w:id="317"/>
      <w:bookmarkStart w:id="318" w:name="_Toc184314465"/>
      <w:bookmarkEnd w:id="318"/>
      <w:bookmarkStart w:id="319" w:name="_Toc184310319"/>
      <w:bookmarkEnd w:id="319"/>
      <w:bookmarkStart w:id="320" w:name="_Toc184314467"/>
      <w:bookmarkEnd w:id="320"/>
      <w:bookmarkStart w:id="321" w:name="_Toc184312139"/>
      <w:bookmarkEnd w:id="321"/>
      <w:bookmarkStart w:id="322" w:name="_Toc184314442"/>
      <w:bookmarkEnd w:id="322"/>
      <w:bookmarkStart w:id="323" w:name="_Toc184313304"/>
      <w:bookmarkEnd w:id="323"/>
      <w:bookmarkStart w:id="324" w:name="_Toc184308067"/>
      <w:bookmarkEnd w:id="324"/>
      <w:bookmarkStart w:id="325" w:name="_Toc184308090"/>
      <w:bookmarkEnd w:id="325"/>
      <w:bookmarkStart w:id="326" w:name="_Toc184312137"/>
      <w:bookmarkEnd w:id="326"/>
      <w:bookmarkStart w:id="327" w:name="_Toc184314464"/>
      <w:bookmarkEnd w:id="327"/>
      <w:bookmarkStart w:id="328" w:name="_Toc184314459"/>
      <w:bookmarkEnd w:id="328"/>
      <w:bookmarkStart w:id="329" w:name="_Toc184310274"/>
      <w:bookmarkEnd w:id="329"/>
      <w:bookmarkStart w:id="330" w:name="_Toc184314447"/>
      <w:bookmarkEnd w:id="330"/>
      <w:bookmarkStart w:id="331" w:name="_Toc184314466"/>
      <w:bookmarkEnd w:id="331"/>
      <w:bookmarkStart w:id="332" w:name="_Toc184313271"/>
      <w:bookmarkEnd w:id="332"/>
      <w:bookmarkStart w:id="333" w:name="_Toc184308093"/>
      <w:bookmarkEnd w:id="333"/>
      <w:bookmarkStart w:id="334" w:name="_Toc184312072"/>
      <w:bookmarkEnd w:id="334"/>
      <w:bookmarkStart w:id="335" w:name="_Toc184313255"/>
      <w:bookmarkEnd w:id="335"/>
      <w:bookmarkStart w:id="336" w:name="_Toc184314451"/>
      <w:bookmarkEnd w:id="336"/>
      <w:bookmarkStart w:id="337" w:name="_Toc184313238"/>
      <w:bookmarkEnd w:id="337"/>
      <w:bookmarkStart w:id="338" w:name="_Toc184308104"/>
      <w:bookmarkEnd w:id="338"/>
      <w:bookmarkStart w:id="339" w:name="_Toc184312105"/>
      <w:bookmarkEnd w:id="339"/>
      <w:bookmarkStart w:id="340" w:name="_Toc184314474"/>
      <w:bookmarkEnd w:id="340"/>
      <w:bookmarkStart w:id="341" w:name="_Toc184308105"/>
      <w:bookmarkEnd w:id="341"/>
      <w:bookmarkStart w:id="342" w:name="_Toc184310321"/>
      <w:bookmarkEnd w:id="342"/>
      <w:bookmarkStart w:id="343" w:name="_Toc184312091"/>
      <w:bookmarkEnd w:id="343"/>
      <w:bookmarkStart w:id="344" w:name="_Toc184312074"/>
      <w:bookmarkEnd w:id="344"/>
      <w:bookmarkStart w:id="345" w:name="_Toc184308077"/>
      <w:bookmarkEnd w:id="345"/>
      <w:bookmarkStart w:id="346" w:name="_Toc184314420"/>
      <w:bookmarkEnd w:id="346"/>
      <w:bookmarkStart w:id="347" w:name="_Toc184314423"/>
      <w:bookmarkEnd w:id="347"/>
      <w:bookmarkStart w:id="348" w:name="_Toc184313284"/>
      <w:bookmarkEnd w:id="348"/>
      <w:bookmarkStart w:id="349" w:name="_Toc184314477"/>
      <w:bookmarkEnd w:id="349"/>
      <w:bookmarkStart w:id="350" w:name="_Toc184313251"/>
      <w:bookmarkEnd w:id="350"/>
      <w:bookmarkStart w:id="351" w:name="_Toc184314482"/>
      <w:bookmarkEnd w:id="351"/>
      <w:bookmarkStart w:id="352" w:name="_Toc184314422"/>
      <w:bookmarkEnd w:id="352"/>
      <w:bookmarkStart w:id="353" w:name="_Toc184313293"/>
      <w:bookmarkEnd w:id="353"/>
      <w:bookmarkStart w:id="354" w:name="_Toc184310276"/>
      <w:bookmarkEnd w:id="354"/>
      <w:bookmarkStart w:id="355" w:name="_Toc184313259"/>
      <w:bookmarkEnd w:id="355"/>
      <w:bookmarkStart w:id="356" w:name="_Toc184313307"/>
      <w:bookmarkEnd w:id="356"/>
      <w:bookmarkStart w:id="357" w:name="_Toc184312109"/>
      <w:bookmarkEnd w:id="357"/>
      <w:bookmarkStart w:id="358" w:name="_Toc184308041"/>
      <w:bookmarkEnd w:id="358"/>
      <w:bookmarkStart w:id="359" w:name="_Toc184314453"/>
      <w:bookmarkEnd w:id="359"/>
      <w:bookmarkStart w:id="360" w:name="_Toc184308078"/>
      <w:bookmarkEnd w:id="360"/>
      <w:bookmarkStart w:id="361" w:name="_Toc184310312"/>
      <w:bookmarkEnd w:id="361"/>
      <w:bookmarkStart w:id="362" w:name="_Toc184310315"/>
      <w:bookmarkEnd w:id="362"/>
      <w:bookmarkStart w:id="363" w:name="_Toc184312087"/>
      <w:bookmarkEnd w:id="363"/>
      <w:bookmarkStart w:id="364" w:name="_Toc184310280"/>
      <w:bookmarkEnd w:id="364"/>
      <w:bookmarkStart w:id="365" w:name="_Toc184310306"/>
      <w:bookmarkEnd w:id="365"/>
      <w:bookmarkStart w:id="366" w:name="_Toc184314449"/>
      <w:bookmarkEnd w:id="366"/>
      <w:bookmarkStart w:id="367" w:name="_Toc184310297"/>
      <w:bookmarkEnd w:id="367"/>
      <w:bookmarkStart w:id="368" w:name="_Toc184308096"/>
      <w:bookmarkEnd w:id="368"/>
      <w:bookmarkStart w:id="369" w:name="_Toc184313256"/>
      <w:bookmarkEnd w:id="369"/>
      <w:bookmarkStart w:id="370" w:name="_Toc184308095"/>
      <w:bookmarkEnd w:id="370"/>
      <w:bookmarkStart w:id="371" w:name="_Toc184312076"/>
      <w:bookmarkEnd w:id="371"/>
      <w:bookmarkStart w:id="372" w:name="_Toc184314419"/>
      <w:bookmarkEnd w:id="372"/>
      <w:bookmarkStart w:id="373" w:name="_Toc184310320"/>
      <w:bookmarkEnd w:id="373"/>
      <w:bookmarkStart w:id="374" w:name="_Toc184314461"/>
      <w:bookmarkEnd w:id="374"/>
      <w:bookmarkStart w:id="375" w:name="_Toc184314428"/>
      <w:bookmarkEnd w:id="375"/>
      <w:bookmarkStart w:id="376" w:name="_Toc184314413"/>
      <w:bookmarkEnd w:id="376"/>
      <w:bookmarkStart w:id="377" w:name="_Toc184314430"/>
      <w:bookmarkEnd w:id="377"/>
      <w:bookmarkStart w:id="378" w:name="_Toc184314416"/>
      <w:bookmarkEnd w:id="378"/>
      <w:bookmarkStart w:id="379" w:name="_Toc184314426"/>
      <w:bookmarkEnd w:id="379"/>
      <w:bookmarkStart w:id="380" w:name="_Toc184313250"/>
      <w:bookmarkEnd w:id="380"/>
      <w:bookmarkStart w:id="381" w:name="_Toc184314458"/>
      <w:bookmarkEnd w:id="381"/>
      <w:bookmarkStart w:id="382" w:name="_Toc184310330"/>
      <w:bookmarkEnd w:id="382"/>
      <w:bookmarkStart w:id="383" w:name="_Toc184313280"/>
      <w:bookmarkEnd w:id="383"/>
      <w:bookmarkStart w:id="384" w:name="_Toc184314434"/>
      <w:bookmarkEnd w:id="384"/>
      <w:bookmarkStart w:id="385" w:name="_Toc184313272"/>
      <w:bookmarkEnd w:id="385"/>
      <w:bookmarkStart w:id="386" w:name="_Toc184310316"/>
      <w:bookmarkEnd w:id="386"/>
      <w:bookmarkStart w:id="387" w:name="_Toc184313297"/>
      <w:bookmarkEnd w:id="387"/>
      <w:bookmarkStart w:id="388" w:name="_Toc184312129"/>
      <w:bookmarkEnd w:id="388"/>
      <w:bookmarkStart w:id="389" w:name="_Toc184308060"/>
      <w:bookmarkEnd w:id="389"/>
      <w:bookmarkStart w:id="390" w:name="_Toc184310286"/>
      <w:bookmarkEnd w:id="390"/>
      <w:bookmarkStart w:id="391" w:name="_Toc184312126"/>
      <w:bookmarkEnd w:id="391"/>
      <w:bookmarkStart w:id="392" w:name="_Toc184308091"/>
      <w:bookmarkEnd w:id="392"/>
      <w:bookmarkStart w:id="393" w:name="_Toc184313254"/>
      <w:bookmarkEnd w:id="393"/>
      <w:bookmarkStart w:id="394" w:name="_Toc184310278"/>
      <w:bookmarkEnd w:id="394"/>
      <w:r>
        <w:rPr>
          <w:rFonts w:hint="eastAsia" w:ascii="宋体" w:hAnsi="宋体" w:cs="宋体"/>
          <w:b/>
          <w:color w:val="auto"/>
          <w:sz w:val="36"/>
          <w:szCs w:val="36"/>
          <w:highlight w:val="none"/>
        </w:rPr>
        <w:t>评标办法</w:t>
      </w:r>
    </w:p>
    <w:p w14:paraId="3ECC4F09">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bookmarkEnd w:id="26"/>
    <w:p w14:paraId="7F35C9A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b/>
          <w:bCs/>
          <w:color w:val="auto"/>
          <w:sz w:val="32"/>
          <w:szCs w:val="40"/>
          <w:highlight w:val="none"/>
        </w:rPr>
      </w:pPr>
      <w:bookmarkStart w:id="395" w:name="第五部分"/>
      <w:bookmarkStart w:id="396" w:name="_Toc86217003"/>
      <w:r>
        <w:rPr>
          <w:rFonts w:hint="eastAsia" w:ascii="Times New Roman" w:hAnsi="Times New Roman" w:cs="Times New Roman"/>
          <w:b/>
          <w:bCs/>
          <w:color w:val="auto"/>
          <w:sz w:val="32"/>
          <w:szCs w:val="40"/>
          <w:highlight w:val="none"/>
        </w:rPr>
        <w:t>商务资信：</w:t>
      </w:r>
      <w:r>
        <w:rPr>
          <w:rFonts w:hint="eastAsia" w:ascii="Times New Roman" w:hAnsi="Times New Roman" w:cs="Times New Roman"/>
          <w:b/>
          <w:bCs/>
          <w:color w:val="auto"/>
          <w:sz w:val="32"/>
          <w:szCs w:val="40"/>
          <w:highlight w:val="none"/>
          <w:lang w:val="en-US" w:eastAsia="zh-CN"/>
        </w:rPr>
        <w:t>10</w:t>
      </w:r>
      <w:r>
        <w:rPr>
          <w:rFonts w:hint="eastAsia" w:ascii="Times New Roman" w:hAnsi="Times New Roman" w:cs="Times New Roman"/>
          <w:b/>
          <w:bCs/>
          <w:color w:val="auto"/>
          <w:sz w:val="32"/>
          <w:szCs w:val="40"/>
          <w:highlight w:val="none"/>
        </w:rPr>
        <w:t>分</w:t>
      </w:r>
    </w:p>
    <w:tbl>
      <w:tblPr>
        <w:tblStyle w:val="62"/>
        <w:tblW w:w="5411" w:type="pct"/>
        <w:jc w:val="center"/>
        <w:tblLayout w:type="fixed"/>
        <w:tblCellMar>
          <w:top w:w="0" w:type="dxa"/>
          <w:left w:w="108" w:type="dxa"/>
          <w:bottom w:w="0" w:type="dxa"/>
          <w:right w:w="108" w:type="dxa"/>
        </w:tblCellMar>
      </w:tblPr>
      <w:tblGrid>
        <w:gridCol w:w="717"/>
        <w:gridCol w:w="7614"/>
        <w:gridCol w:w="735"/>
        <w:gridCol w:w="983"/>
      </w:tblGrid>
      <w:tr w14:paraId="4EE9AB03">
        <w:tblPrEx>
          <w:tblCellMar>
            <w:top w:w="0" w:type="dxa"/>
            <w:left w:w="108" w:type="dxa"/>
            <w:bottom w:w="0" w:type="dxa"/>
            <w:right w:w="108" w:type="dxa"/>
          </w:tblCellMar>
        </w:tblPrEx>
        <w:trPr>
          <w:trHeight w:val="65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0E6C">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616" w:type="dxa"/>
            <w:tcBorders>
              <w:top w:val="single" w:color="000000" w:sz="4" w:space="0"/>
              <w:left w:val="nil"/>
              <w:bottom w:val="single" w:color="000000" w:sz="4" w:space="0"/>
              <w:right w:val="single" w:color="000000" w:sz="4" w:space="0"/>
            </w:tcBorders>
            <w:shd w:val="clear" w:color="auto" w:fill="auto"/>
            <w:vAlign w:val="center"/>
          </w:tcPr>
          <w:p w14:paraId="6E837580">
            <w:pPr>
              <w:keepNext w:val="0"/>
              <w:keepLines w:val="0"/>
              <w:pageBreakBefore w:val="0"/>
              <w:widowControl w:val="0"/>
              <w:kinsoku/>
              <w:wordWrap/>
              <w:overflowPunct/>
              <w:topLinePunct w:val="0"/>
              <w:autoSpaceDE/>
              <w:autoSpaceDN/>
              <w:bidi w:val="0"/>
              <w:adjustRightInd w:val="0"/>
              <w:snapToGrid w:val="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评审条款</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49A3">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最高分值</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447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主客</w:t>
            </w:r>
          </w:p>
          <w:p w14:paraId="6032E0AF">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观分</w:t>
            </w:r>
          </w:p>
        </w:tc>
      </w:tr>
      <w:tr w14:paraId="57C48980">
        <w:tblPrEx>
          <w:tblCellMar>
            <w:top w:w="0" w:type="dxa"/>
            <w:left w:w="108" w:type="dxa"/>
            <w:bottom w:w="0" w:type="dxa"/>
            <w:right w:w="108" w:type="dxa"/>
          </w:tblCellMar>
        </w:tblPrEx>
        <w:trPr>
          <w:trHeight w:val="554"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25D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7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29CE">
            <w:pPr>
              <w:keepNext w:val="0"/>
              <w:keepLines w:val="0"/>
              <w:pageBreakBefore w:val="0"/>
              <w:widowControl w:val="0"/>
              <w:kinsoku/>
              <w:wordWrap/>
              <w:overflowPunct/>
              <w:topLinePunct w:val="0"/>
              <w:autoSpaceDE/>
              <w:autoSpaceDN/>
              <w:bidi w:val="0"/>
              <w:adjustRightInd w:val="0"/>
              <w:snapToGrid w:val="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服务质量评价：</w:t>
            </w:r>
          </w:p>
          <w:p w14:paraId="5A003031">
            <w:pPr>
              <w:keepNext w:val="0"/>
              <w:keepLines w:val="0"/>
              <w:pageBreakBefore w:val="0"/>
              <w:widowControl w:val="0"/>
              <w:kinsoku/>
              <w:wordWrap/>
              <w:overflowPunct/>
              <w:topLinePunct w:val="0"/>
              <w:autoSpaceDE/>
              <w:autoSpaceDN/>
              <w:bidi w:val="0"/>
              <w:adjustRightInd w:val="0"/>
              <w:snapToGrid w:val="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202</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年1月1日起，投标人收到服务项目业主单位</w:t>
            </w:r>
            <w:r>
              <w:rPr>
                <w:rFonts w:hint="eastAsia" w:ascii="宋体" w:hAnsi="宋体" w:eastAsia="宋体" w:cs="宋体"/>
                <w:color w:val="auto"/>
                <w:sz w:val="21"/>
                <w:szCs w:val="21"/>
                <w:highlight w:val="none"/>
                <w:lang w:eastAsia="zh-CN" w:bidi="ar"/>
              </w:rPr>
              <w:t>的</w:t>
            </w:r>
            <w:r>
              <w:rPr>
                <w:rFonts w:hint="eastAsia" w:ascii="宋体" w:hAnsi="宋体" w:eastAsia="宋体" w:cs="宋体"/>
                <w:color w:val="auto"/>
                <w:sz w:val="21"/>
                <w:szCs w:val="21"/>
                <w:highlight w:val="none"/>
                <w:lang w:bidi="ar"/>
              </w:rPr>
              <w:t>表扬信、感谢信、表彰等正面评价材料，每提供1个得1分。</w:t>
            </w:r>
          </w:p>
          <w:p w14:paraId="6CE12412">
            <w:pPr>
              <w:keepNext w:val="0"/>
              <w:keepLines w:val="0"/>
              <w:pageBreakBefore w:val="0"/>
              <w:widowControl w:val="0"/>
              <w:kinsoku/>
              <w:wordWrap/>
              <w:overflowPunct/>
              <w:topLinePunct w:val="0"/>
              <w:autoSpaceDE/>
              <w:autoSpaceDN/>
              <w:bidi w:val="0"/>
              <w:adjustRightInd w:val="0"/>
              <w:snapToGrid w:val="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业主单位</w:t>
            </w:r>
            <w:r>
              <w:rPr>
                <w:rFonts w:hint="eastAsia" w:ascii="宋体" w:hAnsi="宋体" w:eastAsia="宋体" w:cs="宋体"/>
                <w:color w:val="auto"/>
                <w:sz w:val="21"/>
                <w:szCs w:val="21"/>
                <w:highlight w:val="none"/>
                <w:lang w:bidi="ar"/>
              </w:rPr>
              <w:t>包括但不限于机关事业单位、公司、小区业委会等非自然人机构</w:t>
            </w:r>
            <w:r>
              <w:rPr>
                <w:rFonts w:hint="eastAsia" w:ascii="宋体" w:hAnsi="宋体" w:eastAsia="宋体" w:cs="宋体"/>
                <w:color w:val="auto"/>
                <w:sz w:val="21"/>
                <w:szCs w:val="21"/>
                <w:highlight w:val="none"/>
                <w:lang w:eastAsia="zh-CN" w:bidi="ar"/>
              </w:rPr>
              <w:t>，材料格式不限，需加盖业主单位公章。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308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9583">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r>
      <w:tr w14:paraId="19913377">
        <w:tblPrEx>
          <w:tblCellMar>
            <w:top w:w="0" w:type="dxa"/>
            <w:left w:w="108" w:type="dxa"/>
            <w:bottom w:w="0" w:type="dxa"/>
            <w:right w:w="108" w:type="dxa"/>
          </w:tblCellMar>
        </w:tblPrEx>
        <w:trPr>
          <w:trHeight w:val="134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DAB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7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24A9">
            <w:pPr>
              <w:keepNext w:val="0"/>
              <w:keepLines w:val="0"/>
              <w:pageBreakBefore w:val="0"/>
              <w:widowControl w:val="0"/>
              <w:kinsoku/>
              <w:wordWrap/>
              <w:overflowPunct/>
              <w:topLinePunct w:val="0"/>
              <w:autoSpaceDE/>
              <w:autoSpaceDN/>
              <w:bidi w:val="0"/>
              <w:adjustRightInd w:val="0"/>
              <w:snapToGrid w:val="0"/>
              <w:textAlignment w:val="auto"/>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投标人管理体系、服务能力认证：</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（1）质量管理体系、</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（2）环境管理体系、</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（3）职业健康管理体系、</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（4）能源管理体系、</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（5）生活垃圾分类服务能力认证、</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（6）物业服务认证证书、</w:t>
            </w:r>
          </w:p>
          <w:p w14:paraId="622B8EE6">
            <w:pPr>
              <w:keepNext w:val="0"/>
              <w:keepLines w:val="0"/>
              <w:pageBreakBefore w:val="0"/>
              <w:widowControl w:val="0"/>
              <w:kinsoku/>
              <w:wordWrap/>
              <w:overflowPunct/>
              <w:topLinePunct w:val="0"/>
              <w:autoSpaceDE/>
              <w:autoSpaceDN/>
              <w:bidi w:val="0"/>
              <w:adjustRightInd w:val="0"/>
              <w:snapToGrid w:val="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每提供1项得1分，本项最高可得5分。（须提供认证证书的复印件，否则不得分）。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1AB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2B34">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r>
      <w:tr w14:paraId="3D5CDACE">
        <w:tblPrEx>
          <w:tblCellMar>
            <w:top w:w="0" w:type="dxa"/>
            <w:left w:w="108" w:type="dxa"/>
            <w:bottom w:w="0" w:type="dxa"/>
            <w:right w:w="108" w:type="dxa"/>
          </w:tblCellMar>
        </w:tblPrEx>
        <w:trPr>
          <w:trHeight w:val="264"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8F8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p>
        </w:tc>
        <w:tc>
          <w:tcPr>
            <w:tcW w:w="7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C851">
            <w:pPr>
              <w:keepNext w:val="0"/>
              <w:keepLines w:val="0"/>
              <w:pageBreakBefore w:val="0"/>
              <w:widowControl w:val="0"/>
              <w:kinsoku/>
              <w:wordWrap/>
              <w:overflowPunct/>
              <w:topLinePunct w:val="0"/>
              <w:autoSpaceDE/>
              <w:autoSpaceDN/>
              <w:bidi w:val="0"/>
              <w:adjustRightInd w:val="0"/>
              <w:snapToGrid w:val="0"/>
              <w:textAlignment w:val="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业绩经验：</w:t>
            </w:r>
          </w:p>
          <w:p w14:paraId="2C38D857">
            <w:pPr>
              <w:keepNext w:val="0"/>
              <w:keepLines w:val="0"/>
              <w:pageBreakBefore w:val="0"/>
              <w:widowControl w:val="0"/>
              <w:kinsoku/>
              <w:wordWrap/>
              <w:overflowPunct/>
              <w:topLinePunct w:val="0"/>
              <w:autoSpaceDE/>
              <w:autoSpaceDN/>
              <w:bidi w:val="0"/>
              <w:adjustRightInd w:val="0"/>
              <w:snapToGrid w:val="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年1月1日以来承接的物业项目业绩。每个合同得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分（在投标文件中提供合同复印件，时间以合同签订时间为准）。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9FA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5123">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r>
    </w:tbl>
    <w:p w14:paraId="007E446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cs="Times New Roman"/>
          <w:b/>
          <w:bCs/>
          <w:color w:val="auto"/>
          <w:sz w:val="32"/>
          <w:szCs w:val="40"/>
          <w:highlight w:val="none"/>
        </w:rPr>
      </w:pPr>
      <w:r>
        <w:rPr>
          <w:rFonts w:hint="eastAsia" w:ascii="Times New Roman" w:hAnsi="Times New Roman" w:cs="Times New Roman"/>
          <w:b/>
          <w:bCs/>
          <w:color w:val="auto"/>
          <w:sz w:val="32"/>
          <w:szCs w:val="40"/>
          <w:highlight w:val="none"/>
          <w:lang w:eastAsia="zh-CN"/>
        </w:rPr>
        <w:t>商务技术</w:t>
      </w:r>
      <w:r>
        <w:rPr>
          <w:rFonts w:hint="eastAsia" w:ascii="Times New Roman" w:hAnsi="Times New Roman" w:cs="Times New Roman"/>
          <w:b/>
          <w:bCs/>
          <w:color w:val="auto"/>
          <w:sz w:val="32"/>
          <w:szCs w:val="40"/>
          <w:highlight w:val="none"/>
        </w:rPr>
        <w:t>：</w:t>
      </w:r>
      <w:r>
        <w:rPr>
          <w:rFonts w:hint="eastAsia" w:ascii="Times New Roman" w:hAnsi="Times New Roman" w:cs="Times New Roman"/>
          <w:b/>
          <w:bCs/>
          <w:color w:val="auto"/>
          <w:sz w:val="32"/>
          <w:szCs w:val="40"/>
          <w:highlight w:val="none"/>
          <w:lang w:val="en-US" w:eastAsia="zh-CN"/>
        </w:rPr>
        <w:t>70</w:t>
      </w:r>
      <w:r>
        <w:rPr>
          <w:rFonts w:hint="eastAsia" w:ascii="Times New Roman" w:hAnsi="Times New Roman" w:cs="Times New Roman"/>
          <w:b/>
          <w:bCs/>
          <w:color w:val="auto"/>
          <w:sz w:val="32"/>
          <w:szCs w:val="40"/>
          <w:highlight w:val="none"/>
        </w:rPr>
        <w:t>分</w:t>
      </w:r>
    </w:p>
    <w:p w14:paraId="540D76F8">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b/>
          <w:bCs/>
          <w:color w:val="auto"/>
          <w:sz w:val="28"/>
          <w:szCs w:val="36"/>
          <w:highlight w:val="none"/>
          <w:lang w:eastAsia="zh-CN"/>
        </w:rPr>
      </w:pPr>
      <w:r>
        <w:rPr>
          <w:rFonts w:hint="eastAsia" w:ascii="Times New Roman" w:hAnsi="Times New Roman" w:cs="Times New Roman"/>
          <w:b/>
          <w:bCs/>
          <w:color w:val="auto"/>
          <w:sz w:val="28"/>
          <w:szCs w:val="36"/>
          <w:highlight w:val="none"/>
          <w:lang w:eastAsia="zh-CN"/>
        </w:rPr>
        <w:t>基础服务响应评审：</w:t>
      </w:r>
    </w:p>
    <w:p w14:paraId="7B005EE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29" w:rightChars="14" w:firstLine="0" w:firstLineChars="0"/>
        <w:textAlignment w:val="auto"/>
        <w:rPr>
          <w:rFonts w:hint="eastAsia" w:ascii="Times New Roman" w:hAnsi="Times New Roman" w:cs="Times New Roman"/>
          <w:b/>
          <w:bCs/>
          <w:color w:val="auto"/>
          <w:sz w:val="22"/>
          <w:szCs w:val="28"/>
          <w:highlight w:val="none"/>
          <w:u w:val="single"/>
          <w:shd w:val="clear" w:color="FFFFFF" w:fill="D9D9D9"/>
          <w:lang w:eastAsia="zh-CN"/>
        </w:rPr>
      </w:pPr>
      <w:r>
        <w:rPr>
          <w:rFonts w:hint="eastAsia" w:ascii="Times New Roman" w:hAnsi="Times New Roman" w:cs="Times New Roman"/>
          <w:b/>
          <w:bCs/>
          <w:color w:val="auto"/>
          <w:sz w:val="22"/>
          <w:szCs w:val="28"/>
          <w:highlight w:val="none"/>
          <w:u w:val="single"/>
          <w:shd w:val="clear" w:color="FFFFFF" w:fill="D9D9D9"/>
          <w:lang w:eastAsia="zh-CN"/>
        </w:rPr>
        <w:t>（评审依据：商务技术偏离表、投标文件服务方案、采购文件</w:t>
      </w:r>
      <w:r>
        <w:rPr>
          <w:rFonts w:hint="eastAsia" w:ascii="Times New Roman" w:hAnsi="Times New Roman" w:cs="Times New Roman"/>
          <w:b/>
          <w:bCs/>
          <w:color w:val="auto"/>
          <w:sz w:val="22"/>
          <w:szCs w:val="28"/>
          <w:highlight w:val="none"/>
          <w:u w:val="single"/>
          <w:shd w:val="clear" w:color="FFFFFF" w:fill="D9D9D9"/>
          <w:lang w:val="en-US" w:eastAsia="zh-CN"/>
        </w:rPr>
        <w:t>-招标需求-（四）</w:t>
      </w:r>
      <w:r>
        <w:rPr>
          <w:rFonts w:hint="eastAsia" w:ascii="Times New Roman" w:hAnsi="Times New Roman" w:cs="Times New Roman"/>
          <w:b/>
          <w:bCs/>
          <w:color w:val="auto"/>
          <w:sz w:val="22"/>
          <w:szCs w:val="28"/>
          <w:highlight w:val="none"/>
          <w:u w:val="single"/>
          <w:shd w:val="clear" w:color="FFFFFF" w:fill="D9D9D9"/>
          <w:lang w:eastAsia="zh-CN"/>
        </w:rPr>
        <w:t>服务最低要求应无偏离、评标办法）</w:t>
      </w:r>
    </w:p>
    <w:tbl>
      <w:tblPr>
        <w:tblStyle w:val="62"/>
        <w:tblW w:w="5388" w:type="pct"/>
        <w:jc w:val="center"/>
        <w:tblLayout w:type="fixed"/>
        <w:tblCellMar>
          <w:top w:w="0" w:type="dxa"/>
          <w:left w:w="108" w:type="dxa"/>
          <w:bottom w:w="0" w:type="dxa"/>
          <w:right w:w="108" w:type="dxa"/>
        </w:tblCellMar>
      </w:tblPr>
      <w:tblGrid>
        <w:gridCol w:w="705"/>
        <w:gridCol w:w="7680"/>
        <w:gridCol w:w="766"/>
        <w:gridCol w:w="856"/>
      </w:tblGrid>
      <w:tr w14:paraId="7FDA2B73">
        <w:tblPrEx>
          <w:tblCellMar>
            <w:top w:w="0" w:type="dxa"/>
            <w:left w:w="108" w:type="dxa"/>
            <w:bottom w:w="0" w:type="dxa"/>
            <w:right w:w="108" w:type="dxa"/>
          </w:tblCellMar>
        </w:tblPrEx>
        <w:trPr>
          <w:trHeight w:val="66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3C83">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681" w:type="dxa"/>
            <w:tcBorders>
              <w:top w:val="single" w:color="000000" w:sz="4" w:space="0"/>
              <w:left w:val="nil"/>
              <w:bottom w:val="single" w:color="000000" w:sz="4" w:space="0"/>
              <w:right w:val="nil"/>
            </w:tcBorders>
            <w:shd w:val="clear" w:color="auto" w:fill="auto"/>
            <w:vAlign w:val="center"/>
          </w:tcPr>
          <w:p w14:paraId="0E176891">
            <w:pPr>
              <w:keepNext w:val="0"/>
              <w:keepLines w:val="0"/>
              <w:pageBreakBefore w:val="0"/>
              <w:widowControl w:val="0"/>
              <w:kinsoku/>
              <w:wordWrap/>
              <w:overflowPunct/>
              <w:topLinePunct w:val="0"/>
              <w:autoSpaceDE/>
              <w:autoSpaceDN/>
              <w:bidi w:val="0"/>
              <w:adjustRightInd w:val="0"/>
              <w:snapToGrid w:val="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评审条款</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11C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最高分值</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BA7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主客</w:t>
            </w:r>
          </w:p>
          <w:p w14:paraId="30404D9B">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观分</w:t>
            </w:r>
          </w:p>
        </w:tc>
      </w:tr>
      <w:tr w14:paraId="296AAF05">
        <w:tblPrEx>
          <w:tblCellMar>
            <w:top w:w="0" w:type="dxa"/>
            <w:left w:w="108" w:type="dxa"/>
            <w:bottom w:w="0" w:type="dxa"/>
            <w:right w:w="108" w:type="dxa"/>
          </w:tblCellMar>
        </w:tblPrEx>
        <w:trPr>
          <w:trHeight w:val="399"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970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w:t>
            </w:r>
          </w:p>
        </w:tc>
        <w:tc>
          <w:tcPr>
            <w:tcW w:w="7681" w:type="dxa"/>
            <w:tcBorders>
              <w:top w:val="single" w:color="000000" w:sz="4" w:space="0"/>
              <w:left w:val="nil"/>
              <w:bottom w:val="single" w:color="000000" w:sz="4" w:space="0"/>
              <w:right w:val="nil"/>
            </w:tcBorders>
            <w:shd w:val="clear" w:color="auto" w:fill="auto"/>
            <w:vAlign w:val="center"/>
          </w:tcPr>
          <w:p w14:paraId="4E664A6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根据投标人投标方案（可用商务技术偏离表形式响应）对</w:t>
            </w:r>
            <w:r>
              <w:rPr>
                <w:rFonts w:hint="eastAsia" w:ascii="宋体" w:hAnsi="宋体" w:eastAsia="宋体" w:cs="宋体"/>
                <w:b/>
                <w:bCs/>
                <w:color w:val="auto"/>
                <w:sz w:val="21"/>
                <w:szCs w:val="21"/>
                <w:highlight w:val="none"/>
                <w:u w:val="single"/>
                <w:shd w:val="clear" w:color="FFFFFF" w:fill="D9D9D9"/>
                <w:lang w:val="en-US" w:eastAsia="zh-CN"/>
              </w:rPr>
              <w:t>招标需求-（四）服务最低要求-4.1基本服务</w:t>
            </w:r>
            <w:r>
              <w:rPr>
                <w:rFonts w:hint="eastAsia" w:ascii="宋体" w:hAnsi="宋体" w:eastAsia="宋体" w:cs="宋体"/>
                <w:b w:val="0"/>
                <w:bCs w:val="0"/>
                <w:color w:val="auto"/>
                <w:sz w:val="21"/>
                <w:szCs w:val="21"/>
                <w:highlight w:val="none"/>
                <w:u w:val="none"/>
                <w:shd w:val="clear" w:color="auto" w:fill="auto"/>
                <w:lang w:val="en-US" w:eastAsia="zh-CN"/>
              </w:rPr>
              <w:t>的响应情况综合评定，无偏离得10分，每有一项存在负偏离扣1分，扣完为止。</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56E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B49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r>
      <w:tr w14:paraId="245D903C">
        <w:tblPrEx>
          <w:tblCellMar>
            <w:top w:w="0" w:type="dxa"/>
            <w:left w:w="108" w:type="dxa"/>
            <w:bottom w:w="0" w:type="dxa"/>
            <w:right w:w="108" w:type="dxa"/>
          </w:tblCellMar>
        </w:tblPrEx>
        <w:trPr>
          <w:trHeight w:val="43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B52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p>
        </w:tc>
        <w:tc>
          <w:tcPr>
            <w:tcW w:w="7681" w:type="dxa"/>
            <w:tcBorders>
              <w:top w:val="single" w:color="000000" w:sz="4" w:space="0"/>
              <w:left w:val="nil"/>
              <w:bottom w:val="single" w:color="000000" w:sz="4" w:space="0"/>
              <w:right w:val="nil"/>
            </w:tcBorders>
            <w:shd w:val="clear" w:color="auto" w:fill="auto"/>
            <w:vAlign w:val="center"/>
          </w:tcPr>
          <w:p w14:paraId="2E3A77D9">
            <w:pPr>
              <w:keepNext w:val="0"/>
              <w:keepLines w:val="0"/>
              <w:pageBreakBefore w:val="0"/>
              <w:widowControl w:val="0"/>
              <w:kinsoku/>
              <w:wordWrap/>
              <w:overflowPunct/>
              <w:topLinePunct w:val="0"/>
              <w:autoSpaceDE/>
              <w:autoSpaceDN/>
              <w:bidi w:val="0"/>
              <w:adjustRightInd w:val="0"/>
              <w:snapToGrid w:val="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根据投标人投标方案（可用商务技术偏离表形式响应）对</w:t>
            </w:r>
            <w:r>
              <w:rPr>
                <w:rFonts w:hint="eastAsia" w:ascii="宋体" w:hAnsi="宋体" w:eastAsia="宋体" w:cs="宋体"/>
                <w:b/>
                <w:bCs/>
                <w:color w:val="auto"/>
                <w:sz w:val="21"/>
                <w:szCs w:val="21"/>
                <w:highlight w:val="none"/>
                <w:u w:val="single"/>
                <w:shd w:val="clear" w:color="FFFFFF" w:fill="D9D9D9"/>
                <w:lang w:val="en-US" w:eastAsia="zh-CN"/>
              </w:rPr>
              <w:t>招标需求-（四）服务最低要求-4.2保安服务</w:t>
            </w:r>
            <w:r>
              <w:rPr>
                <w:rFonts w:hint="eastAsia" w:ascii="宋体" w:hAnsi="宋体" w:eastAsia="宋体" w:cs="宋体"/>
                <w:b w:val="0"/>
                <w:bCs w:val="0"/>
                <w:color w:val="auto"/>
                <w:sz w:val="21"/>
                <w:szCs w:val="21"/>
                <w:highlight w:val="none"/>
                <w:u w:val="none"/>
                <w:shd w:val="clear" w:color="auto" w:fill="auto"/>
                <w:lang w:val="en-US" w:eastAsia="zh-CN"/>
              </w:rPr>
              <w:t>的响应情况综合评定，无偏离得10分，每有一项存在负偏离扣1分，扣完为止。</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8FB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704D">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r>
      <w:tr w14:paraId="2C19852C">
        <w:tblPrEx>
          <w:tblCellMar>
            <w:top w:w="0" w:type="dxa"/>
            <w:left w:w="108" w:type="dxa"/>
            <w:bottom w:w="0" w:type="dxa"/>
            <w:right w:w="108" w:type="dxa"/>
          </w:tblCellMar>
        </w:tblPrEx>
        <w:trPr>
          <w:trHeight w:val="327"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20E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w:t>
            </w:r>
          </w:p>
        </w:tc>
        <w:tc>
          <w:tcPr>
            <w:tcW w:w="7681" w:type="dxa"/>
            <w:tcBorders>
              <w:top w:val="single" w:color="000000" w:sz="4" w:space="0"/>
              <w:left w:val="nil"/>
              <w:bottom w:val="single" w:color="000000" w:sz="4" w:space="0"/>
              <w:right w:val="nil"/>
            </w:tcBorders>
            <w:shd w:val="clear" w:color="auto" w:fill="auto"/>
            <w:vAlign w:val="center"/>
          </w:tcPr>
          <w:p w14:paraId="24A01DA1">
            <w:pPr>
              <w:keepNext w:val="0"/>
              <w:keepLines w:val="0"/>
              <w:pageBreakBefore w:val="0"/>
              <w:widowControl w:val="0"/>
              <w:kinsoku/>
              <w:wordWrap/>
              <w:overflowPunct/>
              <w:topLinePunct w:val="0"/>
              <w:autoSpaceDE/>
              <w:autoSpaceDN/>
              <w:bidi w:val="0"/>
              <w:adjustRightInd w:val="0"/>
              <w:snapToGrid w:val="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根据投标人投标方案（可用商务技术偏离表形式响应）对</w:t>
            </w:r>
            <w:r>
              <w:rPr>
                <w:rFonts w:hint="eastAsia" w:ascii="宋体" w:hAnsi="宋体" w:eastAsia="宋体" w:cs="宋体"/>
                <w:b/>
                <w:bCs/>
                <w:color w:val="auto"/>
                <w:sz w:val="21"/>
                <w:szCs w:val="21"/>
                <w:highlight w:val="none"/>
                <w:u w:val="single"/>
                <w:shd w:val="clear" w:color="FFFFFF" w:fill="D9D9D9"/>
                <w:lang w:val="en-US" w:eastAsia="zh-CN"/>
              </w:rPr>
              <w:t>招标需求-（四）服务最低要求-4.3保洁服务</w:t>
            </w:r>
            <w:r>
              <w:rPr>
                <w:rFonts w:hint="eastAsia" w:ascii="宋体" w:hAnsi="宋体" w:eastAsia="宋体" w:cs="宋体"/>
                <w:b w:val="0"/>
                <w:bCs w:val="0"/>
                <w:color w:val="auto"/>
                <w:sz w:val="21"/>
                <w:szCs w:val="21"/>
                <w:highlight w:val="none"/>
                <w:u w:val="none"/>
                <w:shd w:val="clear" w:color="auto" w:fill="auto"/>
                <w:lang w:val="en-US" w:eastAsia="zh-CN"/>
              </w:rPr>
              <w:t>的响应情况综合评定，无偏离得5分，每有一项存在负偏离扣1分，扣完为止。</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425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8387">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r>
      <w:tr w14:paraId="599D8D0B">
        <w:tblPrEx>
          <w:tblCellMar>
            <w:top w:w="0" w:type="dxa"/>
            <w:left w:w="108" w:type="dxa"/>
            <w:bottom w:w="0" w:type="dxa"/>
            <w:right w:w="108" w:type="dxa"/>
          </w:tblCellMar>
        </w:tblPrEx>
        <w:trPr>
          <w:trHeight w:val="9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0C6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w:t>
            </w:r>
          </w:p>
        </w:tc>
        <w:tc>
          <w:tcPr>
            <w:tcW w:w="7681" w:type="dxa"/>
            <w:tcBorders>
              <w:top w:val="single" w:color="000000" w:sz="4" w:space="0"/>
              <w:left w:val="nil"/>
              <w:bottom w:val="single" w:color="000000" w:sz="4" w:space="0"/>
              <w:right w:val="nil"/>
            </w:tcBorders>
            <w:shd w:val="clear" w:color="auto" w:fill="auto"/>
            <w:vAlign w:val="center"/>
          </w:tcPr>
          <w:p w14:paraId="614EA6AE">
            <w:pPr>
              <w:keepNext w:val="0"/>
              <w:keepLines w:val="0"/>
              <w:pageBreakBefore w:val="0"/>
              <w:widowControl w:val="0"/>
              <w:kinsoku/>
              <w:wordWrap/>
              <w:overflowPunct/>
              <w:topLinePunct w:val="0"/>
              <w:autoSpaceDE/>
              <w:autoSpaceDN/>
              <w:bidi w:val="0"/>
              <w:adjustRightInd w:val="0"/>
              <w:snapToGrid w:val="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根据投标人投标方案（可用商务技术偏离表形式响应）对</w:t>
            </w:r>
            <w:r>
              <w:rPr>
                <w:rFonts w:hint="eastAsia" w:ascii="宋体" w:hAnsi="宋体" w:eastAsia="宋体" w:cs="宋体"/>
                <w:b/>
                <w:bCs/>
                <w:color w:val="auto"/>
                <w:sz w:val="21"/>
                <w:szCs w:val="21"/>
                <w:highlight w:val="none"/>
                <w:u w:val="single"/>
                <w:shd w:val="clear" w:color="FFFFFF" w:fill="D9D9D9"/>
                <w:lang w:val="en-US" w:eastAsia="zh-CN"/>
              </w:rPr>
              <w:t>招标需求-（三）</w:t>
            </w:r>
            <w:r>
              <w:rPr>
                <w:rFonts w:hint="eastAsia" w:ascii="Times New Roman" w:hAnsi="Times New Roman" w:cs="Times New Roman"/>
                <w:b/>
                <w:bCs/>
                <w:color w:val="auto"/>
                <w:sz w:val="21"/>
                <w:szCs w:val="21"/>
                <w:highlight w:val="none"/>
                <w:u w:val="single"/>
                <w:shd w:val="clear" w:color="FFFFFF" w:fill="D9D9D9"/>
                <w:lang w:val="en-US" w:eastAsia="zh-CN"/>
              </w:rPr>
              <w:t>人员团队最低要求</w:t>
            </w:r>
            <w:r>
              <w:rPr>
                <w:rFonts w:hint="eastAsia" w:ascii="宋体" w:hAnsi="宋体" w:eastAsia="宋体" w:cs="宋体"/>
                <w:b w:val="0"/>
                <w:bCs w:val="0"/>
                <w:color w:val="auto"/>
                <w:sz w:val="21"/>
                <w:szCs w:val="21"/>
                <w:highlight w:val="none"/>
                <w:u w:val="none"/>
                <w:shd w:val="clear" w:color="auto" w:fill="auto"/>
                <w:lang w:val="en-US" w:eastAsia="zh-CN"/>
              </w:rPr>
              <w:t>的响应情况综合评定。从岗位人数、岗位要求、重点要求均无偏离得5分，每有一项存在负偏离扣1分，扣完为止。重点要求需按要求提供评审依据。（投标人提供的人员持证承诺函）。</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73A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01CB">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r>
    </w:tbl>
    <w:p w14:paraId="15A7DF18">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cs="Times New Roman"/>
          <w:b/>
          <w:bCs/>
          <w:color w:val="auto"/>
          <w:sz w:val="28"/>
          <w:szCs w:val="36"/>
          <w:highlight w:val="none"/>
          <w:lang w:eastAsia="zh-CN"/>
        </w:rPr>
      </w:pPr>
      <w:r>
        <w:rPr>
          <w:rFonts w:hint="eastAsia" w:ascii="Times New Roman" w:hAnsi="Times New Roman" w:cs="Times New Roman"/>
          <w:b/>
          <w:bCs/>
          <w:color w:val="auto"/>
          <w:sz w:val="28"/>
          <w:szCs w:val="36"/>
          <w:highlight w:val="none"/>
          <w:lang w:eastAsia="zh-CN"/>
        </w:rPr>
        <w:t>重点服务内容方案评审：</w:t>
      </w:r>
    </w:p>
    <w:p w14:paraId="348E819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29" w:rightChars="14" w:firstLine="0" w:firstLineChars="0"/>
        <w:textAlignment w:val="auto"/>
        <w:rPr>
          <w:rFonts w:ascii="Times New Roman" w:hAnsi="Times New Roman" w:cs="Times New Roman"/>
          <w:color w:val="auto"/>
          <w:highlight w:val="none"/>
          <w:shd w:val="clear" w:color="FFFFFF" w:fill="D9D9D9"/>
        </w:rPr>
      </w:pPr>
      <w:r>
        <w:rPr>
          <w:rFonts w:hint="eastAsia" w:ascii="Times New Roman" w:hAnsi="Times New Roman" w:cs="Times New Roman"/>
          <w:b/>
          <w:bCs/>
          <w:color w:val="auto"/>
          <w:sz w:val="22"/>
          <w:szCs w:val="28"/>
          <w:highlight w:val="none"/>
          <w:u w:val="single"/>
          <w:shd w:val="clear" w:color="FFFFFF" w:fill="D9D9D9"/>
          <w:lang w:eastAsia="zh-CN"/>
        </w:rPr>
        <w:t>（评审依据：投标文件服务方案、采购文件</w:t>
      </w:r>
      <w:r>
        <w:rPr>
          <w:rFonts w:hint="eastAsia" w:ascii="Times New Roman" w:hAnsi="Times New Roman" w:cs="Times New Roman"/>
          <w:b/>
          <w:bCs/>
          <w:color w:val="auto"/>
          <w:sz w:val="22"/>
          <w:szCs w:val="28"/>
          <w:highlight w:val="none"/>
          <w:u w:val="single"/>
          <w:shd w:val="clear" w:color="FFFFFF" w:fill="D9D9D9"/>
          <w:lang w:val="en-US" w:eastAsia="zh-CN"/>
        </w:rPr>
        <w:t>-招标需求-（四）</w:t>
      </w:r>
      <w:r>
        <w:rPr>
          <w:rFonts w:hint="eastAsia" w:ascii="Times New Roman" w:hAnsi="Times New Roman" w:cs="Times New Roman"/>
          <w:b/>
          <w:bCs/>
          <w:color w:val="auto"/>
          <w:sz w:val="22"/>
          <w:szCs w:val="28"/>
          <w:highlight w:val="none"/>
          <w:u w:val="single"/>
          <w:shd w:val="clear" w:color="FFFFFF" w:fill="D9D9D9"/>
          <w:lang w:eastAsia="zh-CN"/>
        </w:rPr>
        <w:t>服务最低要求应优于最低需求、评标办法）</w:t>
      </w:r>
    </w:p>
    <w:tbl>
      <w:tblPr>
        <w:tblStyle w:val="62"/>
        <w:tblW w:w="5430" w:type="pct"/>
        <w:jc w:val="center"/>
        <w:tblLayout w:type="fixed"/>
        <w:tblCellMar>
          <w:top w:w="0" w:type="dxa"/>
          <w:left w:w="108" w:type="dxa"/>
          <w:bottom w:w="0" w:type="dxa"/>
          <w:right w:w="108" w:type="dxa"/>
        </w:tblCellMar>
      </w:tblPr>
      <w:tblGrid>
        <w:gridCol w:w="741"/>
        <w:gridCol w:w="7680"/>
        <w:gridCol w:w="768"/>
        <w:gridCol w:w="896"/>
      </w:tblGrid>
      <w:tr w14:paraId="57036B55">
        <w:tblPrEx>
          <w:tblCellMar>
            <w:top w:w="0" w:type="dxa"/>
            <w:left w:w="108" w:type="dxa"/>
            <w:bottom w:w="0" w:type="dxa"/>
            <w:right w:w="108" w:type="dxa"/>
          </w:tblCellMar>
        </w:tblPrEx>
        <w:trPr>
          <w:trHeight w:val="665"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31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序号</w:t>
            </w:r>
          </w:p>
        </w:tc>
        <w:tc>
          <w:tcPr>
            <w:tcW w:w="7680" w:type="dxa"/>
            <w:tcBorders>
              <w:top w:val="single" w:color="000000" w:sz="4" w:space="0"/>
              <w:left w:val="nil"/>
              <w:bottom w:val="single" w:color="000000" w:sz="4" w:space="0"/>
              <w:right w:val="nil"/>
            </w:tcBorders>
            <w:shd w:val="clear" w:color="auto" w:fill="auto"/>
            <w:vAlign w:val="center"/>
          </w:tcPr>
          <w:p w14:paraId="733C43D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评审条款</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0C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最高分值</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D8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主客</w:t>
            </w:r>
          </w:p>
          <w:p w14:paraId="00C3A6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观分</w:t>
            </w:r>
          </w:p>
        </w:tc>
      </w:tr>
      <w:tr w14:paraId="12CCDFAC">
        <w:tblPrEx>
          <w:tblCellMar>
            <w:top w:w="0" w:type="dxa"/>
            <w:left w:w="108" w:type="dxa"/>
            <w:bottom w:w="0" w:type="dxa"/>
            <w:right w:w="108" w:type="dxa"/>
          </w:tblCellMar>
        </w:tblPrEx>
        <w:trPr>
          <w:trHeight w:val="823"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EDD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w:t>
            </w:r>
          </w:p>
        </w:tc>
        <w:tc>
          <w:tcPr>
            <w:tcW w:w="7680" w:type="dxa"/>
            <w:tcBorders>
              <w:top w:val="single" w:color="000000" w:sz="4" w:space="0"/>
              <w:left w:val="nil"/>
              <w:bottom w:val="single" w:color="000000" w:sz="4" w:space="0"/>
              <w:right w:val="nil"/>
            </w:tcBorders>
            <w:shd w:val="clear" w:color="auto" w:fill="auto"/>
            <w:vAlign w:val="center"/>
          </w:tcPr>
          <w:p w14:paraId="7B39E36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投标总体方案：</w:t>
            </w:r>
          </w:p>
          <w:p w14:paraId="13F816A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从项目目标、任务的理解角度，阐述对项目的整体理解，从①服务理念、服务方案总体设计、组织实施方案可行性、②方案体现的对本项目的理解程度、③方案的独到优势角度提出具体服务方案，由评标委员会综合评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（3、2.5、2、1.5、1、0.5、0）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B16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E35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主观分</w:t>
            </w:r>
          </w:p>
        </w:tc>
      </w:tr>
      <w:tr w14:paraId="656DBF4D">
        <w:tblPrEx>
          <w:tblCellMar>
            <w:top w:w="0" w:type="dxa"/>
            <w:left w:w="108" w:type="dxa"/>
            <w:bottom w:w="0" w:type="dxa"/>
            <w:right w:w="108" w:type="dxa"/>
          </w:tblCellMar>
        </w:tblPrEx>
        <w:trPr>
          <w:trHeight w:val="9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959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w:t>
            </w:r>
          </w:p>
        </w:tc>
        <w:tc>
          <w:tcPr>
            <w:tcW w:w="7680" w:type="dxa"/>
            <w:tcBorders>
              <w:top w:val="single" w:color="000000" w:sz="4" w:space="0"/>
              <w:left w:val="nil"/>
              <w:bottom w:val="single" w:color="000000" w:sz="4" w:space="0"/>
              <w:right w:val="nil"/>
            </w:tcBorders>
            <w:shd w:val="clear" w:color="auto" w:fill="auto"/>
            <w:vAlign w:val="center"/>
          </w:tcPr>
          <w:p w14:paraId="26967DD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保安服务特色方案：</w:t>
            </w:r>
          </w:p>
          <w:p w14:paraId="255BB7A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highlight w:val="none"/>
                <w:lang w:val="en-US" w:eastAsia="zh-CN"/>
              </w:rPr>
            </w:pPr>
            <w:r>
              <w:rPr>
                <w:rFonts w:hint="eastAsia" w:ascii="宋体" w:hAnsi="宋体" w:eastAsia="宋体" w:cs="宋体"/>
                <w:color w:val="auto"/>
                <w:sz w:val="21"/>
                <w:szCs w:val="21"/>
                <w:highlight w:val="none"/>
                <w:lang w:eastAsia="zh-CN"/>
              </w:rPr>
              <w:t>投标人基于采购人对保安服务的最低需求提供项目保安服务方案，从①方案优于采购需求的程度、②具有项目服务特色、③方案可行性</w:t>
            </w:r>
            <w:r>
              <w:rPr>
                <w:rFonts w:hint="eastAsia" w:ascii="宋体" w:hAnsi="宋体" w:eastAsia="宋体" w:cs="宋体"/>
                <w:color w:val="auto"/>
                <w:sz w:val="21"/>
                <w:szCs w:val="21"/>
                <w:highlight w:val="none"/>
              </w:rPr>
              <w:t>角度提出具体服务方案，由评标委员会综合评定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（3、2.5、2、1.5、1、0.5、0）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555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80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480B8B45">
        <w:tblPrEx>
          <w:tblCellMar>
            <w:top w:w="0" w:type="dxa"/>
            <w:left w:w="108" w:type="dxa"/>
            <w:bottom w:w="0" w:type="dxa"/>
            <w:right w:w="108" w:type="dxa"/>
          </w:tblCellMar>
        </w:tblPrEx>
        <w:trPr>
          <w:trHeight w:val="1045"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029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w:t>
            </w:r>
          </w:p>
        </w:tc>
        <w:tc>
          <w:tcPr>
            <w:tcW w:w="7680" w:type="dxa"/>
            <w:tcBorders>
              <w:top w:val="single" w:color="000000" w:sz="4" w:space="0"/>
              <w:left w:val="nil"/>
              <w:bottom w:val="single" w:color="000000" w:sz="4" w:space="0"/>
              <w:right w:val="nil"/>
            </w:tcBorders>
            <w:shd w:val="clear" w:color="auto" w:fill="auto"/>
            <w:vAlign w:val="center"/>
          </w:tcPr>
          <w:p w14:paraId="6A4C4EE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绿化养护特色方案：</w:t>
            </w:r>
          </w:p>
          <w:p w14:paraId="409481A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cs="Times New Roman"/>
                <w:color w:val="auto"/>
                <w:sz w:val="21"/>
                <w:szCs w:val="21"/>
                <w:highlight w:val="none"/>
              </w:rPr>
            </w:pPr>
            <w:r>
              <w:rPr>
                <w:rFonts w:hint="eastAsia" w:ascii="宋体" w:hAnsi="宋体" w:eastAsia="宋体" w:cs="宋体"/>
                <w:color w:val="auto"/>
                <w:sz w:val="21"/>
                <w:szCs w:val="21"/>
                <w:highlight w:val="none"/>
                <w:lang w:val="en-US" w:eastAsia="zh-CN"/>
              </w:rPr>
              <w:t>投标人基于采购人对绿化服务的最低需求提供项目绿化养护服务方案，从①方案优于采购需求的程度、②具有项目服务特色、③方案可行性</w:t>
            </w:r>
            <w:r>
              <w:rPr>
                <w:rFonts w:hint="eastAsia" w:ascii="宋体" w:hAnsi="宋体" w:eastAsia="宋体" w:cs="宋体"/>
                <w:color w:val="auto"/>
                <w:sz w:val="21"/>
                <w:szCs w:val="21"/>
                <w:highlight w:val="none"/>
              </w:rPr>
              <w:t>角度提出具体服务方案，由评标委员会综合评定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（3、2.5、2、1.5、1、0.5、0）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C70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0C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74555CD0">
        <w:tblPrEx>
          <w:tblCellMar>
            <w:top w:w="0" w:type="dxa"/>
            <w:left w:w="108" w:type="dxa"/>
            <w:bottom w:w="0" w:type="dxa"/>
            <w:right w:w="108" w:type="dxa"/>
          </w:tblCellMar>
        </w:tblPrEx>
        <w:trPr>
          <w:trHeight w:val="218"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E1E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11</w:t>
            </w:r>
          </w:p>
        </w:tc>
        <w:tc>
          <w:tcPr>
            <w:tcW w:w="7680" w:type="dxa"/>
            <w:tcBorders>
              <w:top w:val="single" w:color="000000" w:sz="4" w:space="0"/>
              <w:left w:val="nil"/>
              <w:bottom w:val="single" w:color="000000" w:sz="4" w:space="0"/>
              <w:right w:val="nil"/>
            </w:tcBorders>
            <w:shd w:val="clear" w:color="auto" w:fill="auto"/>
            <w:vAlign w:val="center"/>
          </w:tcPr>
          <w:p w14:paraId="29F6B6C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保洁服务特色方案：</w:t>
            </w:r>
          </w:p>
          <w:p w14:paraId="378C35C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投标人基于采购人对保洁服务的最低需求提供项目保洁服务方案，从①方案优于采购需求的程度、②具有项目服务特色、③方案可行性</w:t>
            </w:r>
            <w:r>
              <w:rPr>
                <w:rFonts w:hint="eastAsia" w:ascii="宋体" w:hAnsi="宋体" w:eastAsia="宋体" w:cs="宋体"/>
                <w:color w:val="auto"/>
                <w:sz w:val="21"/>
                <w:szCs w:val="21"/>
                <w:highlight w:val="none"/>
              </w:rPr>
              <w:t>角度提出具体服务方案，由评标委员会综合评定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（3、2.5、2、1.5、1、0.5、0）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21E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1B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133033C0">
        <w:tblPrEx>
          <w:tblCellMar>
            <w:top w:w="0" w:type="dxa"/>
            <w:left w:w="108" w:type="dxa"/>
            <w:bottom w:w="0" w:type="dxa"/>
            <w:right w:w="108" w:type="dxa"/>
          </w:tblCellMar>
        </w:tblPrEx>
        <w:trPr>
          <w:trHeight w:val="9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6FA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12</w:t>
            </w:r>
          </w:p>
        </w:tc>
        <w:tc>
          <w:tcPr>
            <w:tcW w:w="7680" w:type="dxa"/>
            <w:tcBorders>
              <w:top w:val="single" w:color="000000" w:sz="4" w:space="0"/>
              <w:left w:val="nil"/>
              <w:bottom w:val="single" w:color="000000" w:sz="4" w:space="0"/>
              <w:right w:val="nil"/>
            </w:tcBorders>
            <w:shd w:val="clear" w:color="auto" w:fill="auto"/>
            <w:vAlign w:val="top"/>
          </w:tcPr>
          <w:p w14:paraId="5F5D2FE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日常设施设备养护维修方案：</w:t>
            </w:r>
          </w:p>
          <w:p w14:paraId="5A2682B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宋体" w:cs="Times New Roman"/>
                <w:color w:val="auto"/>
                <w:highlight w:val="none"/>
                <w:lang w:val="en-US" w:eastAsia="zh-CN"/>
              </w:rPr>
            </w:pPr>
            <w:r>
              <w:rPr>
                <w:rFonts w:hint="eastAsia" w:ascii="宋体" w:hAnsi="宋体" w:eastAsia="宋体" w:cs="宋体"/>
                <w:color w:val="auto"/>
                <w:sz w:val="21"/>
                <w:szCs w:val="21"/>
                <w:highlight w:val="none"/>
                <w:lang w:val="en-US" w:eastAsia="zh-CN"/>
              </w:rPr>
              <w:t>根据投标人提供的日常设施设备养护维修方案综合评定，从①设备运行保障方案、②房屋和公共配套设施管理及维修方案、③供电、排水系统维护实施方案角度提出具体服务方案，</w:t>
            </w:r>
            <w:r>
              <w:rPr>
                <w:rFonts w:hint="eastAsia" w:ascii="宋体" w:hAnsi="宋体" w:eastAsia="宋体" w:cs="宋体"/>
                <w:color w:val="auto"/>
                <w:sz w:val="21"/>
                <w:szCs w:val="21"/>
                <w:highlight w:val="none"/>
              </w:rPr>
              <w:t>由评标委员会综合评定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（3、2.5、2、1.5、1、0.5、0）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709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78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7B4A9A48">
        <w:tblPrEx>
          <w:tblCellMar>
            <w:top w:w="0" w:type="dxa"/>
            <w:left w:w="108" w:type="dxa"/>
            <w:bottom w:w="0" w:type="dxa"/>
            <w:right w:w="108" w:type="dxa"/>
          </w:tblCellMar>
        </w:tblPrEx>
        <w:trPr>
          <w:trHeight w:val="659"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DD8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13</w:t>
            </w:r>
          </w:p>
        </w:tc>
        <w:tc>
          <w:tcPr>
            <w:tcW w:w="7680" w:type="dxa"/>
            <w:tcBorders>
              <w:top w:val="single" w:color="000000" w:sz="4" w:space="0"/>
              <w:left w:val="nil"/>
              <w:bottom w:val="single" w:color="000000" w:sz="4" w:space="0"/>
              <w:right w:val="nil"/>
            </w:tcBorders>
            <w:shd w:val="clear" w:color="auto" w:fill="auto"/>
            <w:vAlign w:val="center"/>
          </w:tcPr>
          <w:p w14:paraId="2F2430B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重要活动保障方案：</w:t>
            </w:r>
          </w:p>
          <w:p w14:paraId="38AF353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根据投标人提供的</w:t>
            </w:r>
            <w:r>
              <w:rPr>
                <w:rFonts w:hint="eastAsia" w:ascii="宋体" w:hAnsi="宋体" w:eastAsia="宋体" w:cs="宋体"/>
                <w:color w:val="auto"/>
                <w:sz w:val="21"/>
                <w:szCs w:val="21"/>
                <w:highlight w:val="none"/>
                <w:lang w:eastAsia="zh-CN"/>
              </w:rPr>
              <w:t>重要活动保障方案</w:t>
            </w:r>
            <w:r>
              <w:rPr>
                <w:rFonts w:hint="eastAsia" w:ascii="宋体" w:hAnsi="宋体" w:eastAsia="宋体" w:cs="宋体"/>
                <w:color w:val="auto"/>
                <w:sz w:val="21"/>
                <w:szCs w:val="21"/>
                <w:highlight w:val="none"/>
              </w:rPr>
              <w:t>综合评定，</w:t>
            </w:r>
            <w:r>
              <w:rPr>
                <w:rFonts w:hint="eastAsia" w:ascii="宋体" w:hAnsi="宋体" w:eastAsia="宋体" w:cs="宋体"/>
                <w:color w:val="auto"/>
                <w:sz w:val="21"/>
                <w:szCs w:val="21"/>
                <w:highlight w:val="none"/>
                <w:lang w:eastAsia="zh-CN"/>
              </w:rPr>
              <w:t>从</w:t>
            </w:r>
            <w:r>
              <w:rPr>
                <w:rFonts w:hint="eastAsia" w:ascii="宋体" w:hAnsi="宋体" w:eastAsia="宋体" w:cs="宋体"/>
                <w:color w:val="auto"/>
                <w:sz w:val="21"/>
                <w:szCs w:val="21"/>
                <w:highlight w:val="none"/>
                <w:lang w:val="en-US" w:eastAsia="zh-CN"/>
              </w:rPr>
              <w:t>①对重要活动的分析及需求预判、②保障方案的完善程度及可行性、③临时人员配备方案</w:t>
            </w:r>
            <w:r>
              <w:rPr>
                <w:rFonts w:hint="eastAsia" w:ascii="宋体" w:hAnsi="宋体" w:eastAsia="宋体" w:cs="宋体"/>
                <w:color w:val="auto"/>
                <w:sz w:val="21"/>
                <w:szCs w:val="21"/>
                <w:highlight w:val="none"/>
              </w:rPr>
              <w:t>角度提出具体服务方案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由评标委员会综合评定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（3、2.5、2、1.5、1、0.5、0）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865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68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7316018E">
        <w:tblPrEx>
          <w:tblCellMar>
            <w:top w:w="0" w:type="dxa"/>
            <w:left w:w="108" w:type="dxa"/>
            <w:bottom w:w="0" w:type="dxa"/>
            <w:right w:w="108" w:type="dxa"/>
          </w:tblCellMar>
        </w:tblPrEx>
        <w:trPr>
          <w:trHeight w:val="9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038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14</w:t>
            </w:r>
          </w:p>
        </w:tc>
        <w:tc>
          <w:tcPr>
            <w:tcW w:w="7680" w:type="dxa"/>
            <w:tcBorders>
              <w:top w:val="single" w:color="000000" w:sz="4" w:space="0"/>
              <w:left w:val="nil"/>
              <w:bottom w:val="single" w:color="000000" w:sz="4" w:space="0"/>
              <w:right w:val="nil"/>
            </w:tcBorders>
            <w:shd w:val="clear" w:color="auto" w:fill="auto"/>
            <w:vAlign w:val="center"/>
          </w:tcPr>
          <w:p w14:paraId="5D7FCAE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b/>
                <w:bCs/>
                <w:color w:val="auto"/>
                <w:sz w:val="21"/>
                <w:szCs w:val="21"/>
                <w:highlight w:val="none"/>
              </w:rPr>
            </w:pPr>
            <w:r>
              <w:rPr>
                <w:rFonts w:hint="eastAsia" w:ascii="Times New Roman" w:hAnsi="Times New Roman" w:cs="Times New Roman"/>
                <w:b/>
                <w:bCs/>
                <w:color w:val="auto"/>
                <w:sz w:val="21"/>
                <w:szCs w:val="21"/>
                <w:highlight w:val="none"/>
              </w:rPr>
              <w:t>交接方案:</w:t>
            </w:r>
          </w:p>
          <w:p w14:paraId="4081C3D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宋体"/>
                <w:color w:val="auto"/>
                <w:sz w:val="21"/>
                <w:szCs w:val="21"/>
                <w:highlight w:val="none"/>
              </w:rPr>
            </w:pPr>
            <w:r>
              <w:rPr>
                <w:rFonts w:hint="eastAsia" w:ascii="Times New Roman" w:hAnsi="Times New Roman" w:cs="Times New Roman"/>
                <w:color w:val="auto"/>
                <w:sz w:val="21"/>
                <w:szCs w:val="21"/>
                <w:highlight w:val="none"/>
                <w:lang w:val="en-US" w:eastAsia="zh-CN"/>
              </w:rPr>
              <w:t>根据</w:t>
            </w:r>
            <w:r>
              <w:rPr>
                <w:rFonts w:hint="eastAsia" w:ascii="Times New Roman" w:hAnsi="Times New Roman" w:cs="Times New Roman"/>
                <w:color w:val="auto"/>
                <w:sz w:val="21"/>
                <w:szCs w:val="21"/>
                <w:highlight w:val="none"/>
                <w:lang w:eastAsia="zh-CN"/>
              </w:rPr>
              <w:t>投标人提供</w:t>
            </w:r>
            <w:r>
              <w:rPr>
                <w:rFonts w:hint="eastAsia" w:ascii="Times New Roman" w:hAnsi="Times New Roman" w:cs="Times New Roman"/>
                <w:color w:val="auto"/>
                <w:sz w:val="21"/>
                <w:szCs w:val="21"/>
                <w:highlight w:val="none"/>
                <w:lang w:val="en-US" w:eastAsia="zh-CN"/>
              </w:rPr>
              <w:t>的</w:t>
            </w:r>
            <w:r>
              <w:rPr>
                <w:rFonts w:hint="eastAsia" w:ascii="Times New Roman" w:hAnsi="Times New Roman" w:cs="Times New Roman"/>
                <w:color w:val="auto"/>
                <w:sz w:val="21"/>
                <w:szCs w:val="21"/>
                <w:highlight w:val="none"/>
                <w:lang w:eastAsia="zh-CN"/>
              </w:rPr>
              <w:t>交接方案</w:t>
            </w:r>
            <w:r>
              <w:rPr>
                <w:rFonts w:hint="eastAsia" w:ascii="Times New Roman" w:hAnsi="Times New Roman" w:cs="Times New Roman"/>
                <w:color w:val="auto"/>
                <w:sz w:val="21"/>
                <w:szCs w:val="21"/>
                <w:highlight w:val="none"/>
                <w:lang w:val="en-US" w:eastAsia="zh-CN"/>
              </w:rPr>
              <w:t>综合评定</w:t>
            </w:r>
            <w:r>
              <w:rPr>
                <w:rFonts w:hint="eastAsia" w:ascii="Times New Roman" w:hAnsi="Times New Roman" w:cs="Times New Roman"/>
                <w:color w:val="auto"/>
                <w:sz w:val="21"/>
                <w:szCs w:val="21"/>
                <w:highlight w:val="none"/>
                <w:lang w:eastAsia="zh-CN"/>
              </w:rPr>
              <w:t>，从</w:t>
            </w:r>
            <w:r>
              <w:rPr>
                <w:rFonts w:ascii="宋体" w:hAnsi="宋体" w:cs="Times New Roman"/>
                <w:color w:val="auto"/>
                <w:sz w:val="21"/>
                <w:szCs w:val="21"/>
                <w:highlight w:val="none"/>
              </w:rPr>
              <w:t>①</w:t>
            </w:r>
            <w:r>
              <w:rPr>
                <w:rFonts w:hint="eastAsia" w:ascii="Times New Roman" w:hAnsi="Times New Roman" w:cs="Times New Roman"/>
                <w:color w:val="auto"/>
                <w:sz w:val="21"/>
                <w:szCs w:val="21"/>
                <w:highlight w:val="none"/>
              </w:rPr>
              <w:t>接管工作进度计划</w:t>
            </w:r>
            <w:r>
              <w:rPr>
                <w:rFonts w:hint="eastAsia" w:ascii="Times New Roman" w:hAnsi="Times New Roman" w:cs="Times New Roman"/>
                <w:color w:val="auto"/>
                <w:sz w:val="21"/>
                <w:szCs w:val="21"/>
                <w:highlight w:val="none"/>
                <w:lang w:eastAsia="zh-CN"/>
              </w:rPr>
              <w:t>、</w:t>
            </w:r>
            <w:r>
              <w:rPr>
                <w:rFonts w:ascii="宋体" w:hAnsi="宋体" w:cs="Times New Roman"/>
                <w:color w:val="auto"/>
                <w:sz w:val="21"/>
                <w:szCs w:val="21"/>
                <w:highlight w:val="none"/>
              </w:rPr>
              <w:t>②</w:t>
            </w:r>
            <w:r>
              <w:rPr>
                <w:rFonts w:hint="eastAsia" w:ascii="Times New Roman" w:hAnsi="Times New Roman" w:cs="Times New Roman"/>
                <w:color w:val="auto"/>
                <w:sz w:val="21"/>
                <w:szCs w:val="21"/>
                <w:highlight w:val="none"/>
              </w:rPr>
              <w:t>接管小组人员方案</w:t>
            </w:r>
            <w:r>
              <w:rPr>
                <w:rFonts w:hint="eastAsia" w:ascii="Times New Roman" w:hAnsi="Times New Roman" w:cs="Times New Roman"/>
                <w:color w:val="auto"/>
                <w:sz w:val="21"/>
                <w:szCs w:val="21"/>
                <w:highlight w:val="none"/>
                <w:lang w:eastAsia="zh-CN"/>
              </w:rPr>
              <w:t>、</w:t>
            </w:r>
            <w:r>
              <w:rPr>
                <w:rFonts w:ascii="宋体" w:hAnsi="宋体" w:cs="Times New Roman"/>
                <w:color w:val="auto"/>
                <w:sz w:val="21"/>
                <w:szCs w:val="21"/>
                <w:highlight w:val="none"/>
              </w:rPr>
              <w:t>③</w:t>
            </w:r>
            <w:r>
              <w:rPr>
                <w:rFonts w:hint="eastAsia" w:ascii="宋体" w:hAnsi="宋体" w:cs="Times New Roman"/>
                <w:color w:val="auto"/>
                <w:sz w:val="21"/>
                <w:szCs w:val="21"/>
                <w:highlight w:val="none"/>
              </w:rPr>
              <w:t>交接工作方案</w:t>
            </w:r>
            <w:r>
              <w:rPr>
                <w:rFonts w:hint="eastAsia" w:ascii="Times New Roman" w:hAnsi="Times New Roman" w:cs="Times New Roman"/>
                <w:color w:val="auto"/>
                <w:sz w:val="21"/>
                <w:szCs w:val="21"/>
                <w:highlight w:val="none"/>
                <w:lang w:eastAsia="zh-CN"/>
              </w:rPr>
              <w:t>及拟取得效果承诺</w:t>
            </w:r>
            <w:r>
              <w:rPr>
                <w:rFonts w:hint="eastAsia" w:ascii="宋体" w:hAnsi="宋体" w:eastAsia="宋体" w:cs="宋体"/>
                <w:color w:val="auto"/>
                <w:sz w:val="21"/>
                <w:szCs w:val="21"/>
                <w:highlight w:val="none"/>
              </w:rPr>
              <w:t>角度提出具体服务方案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由评标委员会综合评定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（3、2.5、2、1.5、1、0.5、0）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55E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5C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01E9F59A">
        <w:tblPrEx>
          <w:tblCellMar>
            <w:top w:w="0" w:type="dxa"/>
            <w:left w:w="108" w:type="dxa"/>
            <w:bottom w:w="0" w:type="dxa"/>
            <w:right w:w="108" w:type="dxa"/>
          </w:tblCellMar>
        </w:tblPrEx>
        <w:trPr>
          <w:trHeight w:val="55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FBF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15</w:t>
            </w:r>
          </w:p>
        </w:tc>
        <w:tc>
          <w:tcPr>
            <w:tcW w:w="7680" w:type="dxa"/>
            <w:tcBorders>
              <w:top w:val="single" w:color="000000" w:sz="4" w:space="0"/>
              <w:left w:val="nil"/>
              <w:bottom w:val="single" w:color="000000" w:sz="4" w:space="0"/>
              <w:right w:val="nil"/>
            </w:tcBorders>
            <w:shd w:val="clear" w:color="auto" w:fill="auto"/>
            <w:vAlign w:val="center"/>
          </w:tcPr>
          <w:p w14:paraId="6AB50A2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eastAsia="zh-CN"/>
              </w:rPr>
              <w:t>应急管理方案：</w:t>
            </w:r>
          </w:p>
          <w:p w14:paraId="699B25D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投标人结合采购需求和项目实际提供应急管理方案，从①自然灾害应急预案、②停水停电等突发事件应急预案、③公共危害有效应急方案角度由评标委员会综合评定。（3、2.5、2、1.5、1、0.5、0）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DE7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B0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1EE8C610">
        <w:tblPrEx>
          <w:tblCellMar>
            <w:top w:w="0" w:type="dxa"/>
            <w:left w:w="108" w:type="dxa"/>
            <w:bottom w:w="0" w:type="dxa"/>
            <w:right w:w="108" w:type="dxa"/>
          </w:tblCellMar>
        </w:tblPrEx>
        <w:trPr>
          <w:trHeight w:val="55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D43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16</w:t>
            </w:r>
          </w:p>
        </w:tc>
        <w:tc>
          <w:tcPr>
            <w:tcW w:w="7680" w:type="dxa"/>
            <w:tcBorders>
              <w:top w:val="single" w:color="000000" w:sz="4" w:space="0"/>
              <w:left w:val="nil"/>
              <w:bottom w:val="single" w:color="000000" w:sz="4" w:space="0"/>
              <w:right w:val="nil"/>
            </w:tcBorders>
            <w:shd w:val="clear" w:color="auto" w:fill="auto"/>
            <w:vAlign w:val="center"/>
          </w:tcPr>
          <w:p w14:paraId="09AA19E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eastAsia="zh-CN"/>
              </w:rPr>
              <w:t>培训方案：</w:t>
            </w:r>
          </w:p>
          <w:p w14:paraId="193E83A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投标人结合采购需求和项目实际提供培训方案，从①人员服务培训方案、②安全培训方案、③上岗仪表、行为、态度的标准规定及培训角度由评标委员会综合评定。（3、2.5、2、1.5、1、0.5、0）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052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9E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516A445A">
        <w:tblPrEx>
          <w:tblCellMar>
            <w:top w:w="0" w:type="dxa"/>
            <w:left w:w="108" w:type="dxa"/>
            <w:bottom w:w="0" w:type="dxa"/>
            <w:right w:w="108" w:type="dxa"/>
          </w:tblCellMar>
        </w:tblPrEx>
        <w:trPr>
          <w:trHeight w:val="52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B65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17</w:t>
            </w:r>
          </w:p>
        </w:tc>
        <w:tc>
          <w:tcPr>
            <w:tcW w:w="7680" w:type="dxa"/>
            <w:tcBorders>
              <w:top w:val="single" w:color="000000" w:sz="4" w:space="0"/>
              <w:left w:val="nil"/>
              <w:bottom w:val="single" w:color="000000" w:sz="4" w:space="0"/>
              <w:right w:val="nil"/>
            </w:tcBorders>
            <w:shd w:val="clear" w:color="auto" w:fill="auto"/>
            <w:vAlign w:val="center"/>
          </w:tcPr>
          <w:p w14:paraId="076DAC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节能降耗措施：</w:t>
            </w:r>
          </w:p>
          <w:p w14:paraId="1FBF7E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根据投标人提供的节能降耗措施</w:t>
            </w:r>
            <w:r>
              <w:rPr>
                <w:rFonts w:hint="eastAsia" w:ascii="宋体" w:hAnsi="宋体" w:cs="宋体"/>
                <w:color w:val="auto"/>
                <w:sz w:val="21"/>
                <w:szCs w:val="21"/>
                <w:highlight w:val="none"/>
                <w:lang w:val="en-US" w:eastAsia="zh-CN"/>
              </w:rPr>
              <w:t>综合</w:t>
            </w:r>
            <w:r>
              <w:rPr>
                <w:rFonts w:hint="eastAsia" w:ascii="宋体" w:hAnsi="宋体" w:cs="宋体"/>
                <w:color w:val="auto"/>
                <w:sz w:val="21"/>
                <w:szCs w:val="21"/>
                <w:highlight w:val="none"/>
              </w:rPr>
              <w:t>评定，每条措施需包括①</w:t>
            </w:r>
            <w:r>
              <w:rPr>
                <w:rFonts w:hint="eastAsia" w:ascii="宋体" w:hAnsi="宋体" w:cs="宋体"/>
                <w:color w:val="auto"/>
                <w:sz w:val="21"/>
                <w:szCs w:val="21"/>
                <w:highlight w:val="none"/>
                <w:lang w:eastAsia="zh-CN"/>
              </w:rPr>
              <w:t>服务重难点</w:t>
            </w:r>
            <w:r>
              <w:rPr>
                <w:rFonts w:hint="eastAsia" w:ascii="宋体" w:hAnsi="宋体" w:cs="宋体"/>
                <w:color w:val="auto"/>
                <w:sz w:val="21"/>
                <w:szCs w:val="21"/>
                <w:highlight w:val="none"/>
              </w:rPr>
              <w:t>分析、②节能降耗措施、③拟取得的效果分析或类似项目中已取得的成效展示。</w:t>
            </w:r>
            <w:r>
              <w:rPr>
                <w:rFonts w:hint="eastAsia" w:ascii="宋体" w:hAnsi="宋体" w:cs="宋体"/>
                <w:color w:val="auto"/>
                <w:sz w:val="21"/>
                <w:szCs w:val="21"/>
                <w:highlight w:val="none"/>
                <w:lang w:eastAsia="zh-CN"/>
              </w:rPr>
              <w:t>每条有效措施得</w:t>
            </w:r>
            <w:r>
              <w:rPr>
                <w:rFonts w:hint="eastAsia" w:ascii="宋体" w:hAnsi="宋体" w:cs="宋体"/>
                <w:color w:val="auto"/>
                <w:sz w:val="21"/>
                <w:szCs w:val="21"/>
                <w:highlight w:val="none"/>
                <w:lang w:val="en-US" w:eastAsia="zh-CN"/>
              </w:rPr>
              <w:t>1分，最高得3分。</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B71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91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w:t>
            </w:r>
            <w:r>
              <w:rPr>
                <w:rFonts w:hint="eastAsia" w:ascii="宋体" w:hAnsi="宋体" w:cs="宋体"/>
                <w:color w:val="auto"/>
                <w:sz w:val="21"/>
                <w:szCs w:val="21"/>
                <w:highlight w:val="none"/>
              </w:rPr>
              <w:t>观分</w:t>
            </w:r>
          </w:p>
        </w:tc>
      </w:tr>
      <w:tr w14:paraId="2DE9D57A">
        <w:tblPrEx>
          <w:tblCellMar>
            <w:top w:w="0" w:type="dxa"/>
            <w:left w:w="108" w:type="dxa"/>
            <w:bottom w:w="0" w:type="dxa"/>
            <w:right w:w="108" w:type="dxa"/>
          </w:tblCellMar>
        </w:tblPrEx>
        <w:trPr>
          <w:trHeight w:val="9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F39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18</w:t>
            </w:r>
          </w:p>
        </w:tc>
        <w:tc>
          <w:tcPr>
            <w:tcW w:w="7680" w:type="dxa"/>
            <w:tcBorders>
              <w:top w:val="single" w:color="000000" w:sz="4" w:space="0"/>
              <w:left w:val="nil"/>
              <w:bottom w:val="single" w:color="000000" w:sz="4" w:space="0"/>
              <w:right w:val="nil"/>
            </w:tcBorders>
            <w:shd w:val="clear" w:color="auto" w:fill="auto"/>
            <w:vAlign w:val="center"/>
          </w:tcPr>
          <w:p w14:paraId="2E45DE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合理化建议：</w:t>
            </w:r>
          </w:p>
          <w:p w14:paraId="40DFE3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auto"/>
              <w:rPr>
                <w:rFonts w:hint="eastAsia" w:ascii="宋体" w:hAnsi="宋体" w:cs="宋体"/>
                <w:color w:val="auto"/>
                <w:sz w:val="21"/>
                <w:szCs w:val="21"/>
                <w:highlight w:val="none"/>
              </w:rPr>
            </w:pPr>
            <w:r>
              <w:rPr>
                <w:rFonts w:hint="eastAsia" w:ascii="宋体" w:hAnsi="宋体" w:eastAsia="宋体" w:cs="宋体"/>
                <w:b w:val="0"/>
                <w:bCs w:val="0"/>
                <w:color w:val="auto"/>
                <w:sz w:val="21"/>
                <w:szCs w:val="21"/>
                <w:highlight w:val="none"/>
              </w:rPr>
              <w:t>根据投标人提供的</w:t>
            </w:r>
            <w:r>
              <w:rPr>
                <w:rFonts w:hint="eastAsia" w:ascii="宋体" w:hAnsi="宋体" w:cs="宋体"/>
                <w:b w:val="0"/>
                <w:bCs w:val="0"/>
                <w:color w:val="auto"/>
                <w:sz w:val="21"/>
                <w:szCs w:val="21"/>
                <w:highlight w:val="none"/>
                <w:lang w:eastAsia="zh-CN"/>
              </w:rPr>
              <w:t>针对本项目提出的</w:t>
            </w:r>
            <w:r>
              <w:rPr>
                <w:rFonts w:hint="eastAsia" w:ascii="宋体" w:hAnsi="宋体" w:eastAsia="宋体" w:cs="宋体"/>
                <w:b w:val="0"/>
                <w:bCs w:val="0"/>
                <w:color w:val="auto"/>
                <w:sz w:val="21"/>
                <w:szCs w:val="21"/>
                <w:highlight w:val="none"/>
              </w:rPr>
              <w:t>合理化建议综合评定</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每条建议需</w:t>
            </w:r>
            <w:r>
              <w:rPr>
                <w:rFonts w:hint="eastAsia" w:ascii="宋体" w:hAnsi="宋体" w:eastAsia="宋体" w:cs="宋体"/>
                <w:b w:val="0"/>
                <w:bCs w:val="0"/>
                <w:color w:val="auto"/>
                <w:sz w:val="21"/>
                <w:szCs w:val="21"/>
                <w:highlight w:val="none"/>
              </w:rPr>
              <w:t>包括①问题分析、②建议措施</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color w:val="auto"/>
                <w:sz w:val="21"/>
                <w:szCs w:val="21"/>
                <w:highlight w:val="none"/>
              </w:rPr>
              <w:t>③</w:t>
            </w:r>
            <w:r>
              <w:rPr>
                <w:rFonts w:hint="eastAsia" w:ascii="宋体" w:hAnsi="宋体" w:cs="宋体"/>
                <w:color w:val="auto"/>
                <w:sz w:val="21"/>
                <w:szCs w:val="21"/>
                <w:highlight w:val="none"/>
                <w:lang w:val="en-US" w:eastAsia="zh-CN"/>
              </w:rPr>
              <w:t>拟取得的效果承诺</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eastAsia="zh-CN"/>
              </w:rPr>
              <w:t>每条合理化建议得</w:t>
            </w:r>
            <w:r>
              <w:rPr>
                <w:rFonts w:hint="eastAsia" w:ascii="宋体" w:hAnsi="宋体" w:cs="宋体"/>
                <w:b w:val="0"/>
                <w:bCs w:val="0"/>
                <w:color w:val="auto"/>
                <w:sz w:val="21"/>
                <w:szCs w:val="21"/>
                <w:highlight w:val="none"/>
                <w:lang w:val="en-US" w:eastAsia="zh-CN"/>
              </w:rPr>
              <w:t>1分，最高得3分。</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872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89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w:t>
            </w:r>
            <w:r>
              <w:rPr>
                <w:rFonts w:hint="eastAsia" w:ascii="宋体" w:hAnsi="宋体" w:cs="宋体"/>
                <w:color w:val="auto"/>
                <w:sz w:val="21"/>
                <w:szCs w:val="21"/>
                <w:highlight w:val="none"/>
              </w:rPr>
              <w:t>观分</w:t>
            </w:r>
          </w:p>
        </w:tc>
      </w:tr>
    </w:tbl>
    <w:p w14:paraId="3E74BEB0">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cs="Times New Roman"/>
          <w:b/>
          <w:bCs/>
          <w:color w:val="auto"/>
          <w:sz w:val="28"/>
          <w:szCs w:val="36"/>
          <w:highlight w:val="none"/>
          <w:lang w:eastAsia="zh-CN"/>
        </w:rPr>
      </w:pPr>
      <w:r>
        <w:rPr>
          <w:rFonts w:hint="eastAsia" w:ascii="Times New Roman" w:hAnsi="Times New Roman" w:cs="Times New Roman"/>
          <w:b/>
          <w:bCs/>
          <w:color w:val="auto"/>
          <w:sz w:val="28"/>
          <w:szCs w:val="36"/>
          <w:highlight w:val="none"/>
          <w:lang w:eastAsia="zh-CN"/>
        </w:rPr>
        <w:t>重点服务人员评审：</w:t>
      </w:r>
    </w:p>
    <w:p w14:paraId="7ECA8F1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29" w:rightChars="14" w:firstLine="0" w:firstLineChars="0"/>
        <w:textAlignment w:val="auto"/>
        <w:rPr>
          <w:rFonts w:ascii="Times New Roman" w:hAnsi="Times New Roman" w:cs="Times New Roman"/>
          <w:b/>
          <w:bCs/>
          <w:color w:val="auto"/>
          <w:sz w:val="36"/>
          <w:szCs w:val="44"/>
          <w:highlight w:val="none"/>
          <w:shd w:val="clear" w:color="FFFFFF" w:fill="D9D9D9"/>
        </w:rPr>
      </w:pPr>
      <w:r>
        <w:rPr>
          <w:rFonts w:hint="eastAsia" w:ascii="Times New Roman" w:hAnsi="Times New Roman" w:cs="Times New Roman"/>
          <w:b/>
          <w:bCs/>
          <w:color w:val="auto"/>
          <w:sz w:val="22"/>
          <w:szCs w:val="28"/>
          <w:highlight w:val="none"/>
          <w:u w:val="single"/>
          <w:shd w:val="clear" w:color="FFFFFF" w:fill="D9D9D9"/>
          <w:lang w:eastAsia="zh-CN"/>
        </w:rPr>
        <w:t>（评审依据：投标文件、评分办法要求的评审依据、人员与投标单位的劳动关系证明（劳动合同或截止开标当月前三个月中任意一个月的社保缴纳证明））</w:t>
      </w:r>
    </w:p>
    <w:tbl>
      <w:tblPr>
        <w:tblStyle w:val="62"/>
        <w:tblW w:w="5449" w:type="pct"/>
        <w:jc w:val="center"/>
        <w:tblLayout w:type="fixed"/>
        <w:tblCellMar>
          <w:top w:w="0" w:type="dxa"/>
          <w:left w:w="108" w:type="dxa"/>
          <w:bottom w:w="0" w:type="dxa"/>
          <w:right w:w="108" w:type="dxa"/>
        </w:tblCellMar>
      </w:tblPr>
      <w:tblGrid>
        <w:gridCol w:w="784"/>
        <w:gridCol w:w="7680"/>
        <w:gridCol w:w="768"/>
        <w:gridCol w:w="888"/>
      </w:tblGrid>
      <w:tr w14:paraId="529565AA">
        <w:tblPrEx>
          <w:tblCellMar>
            <w:top w:w="0" w:type="dxa"/>
            <w:left w:w="108" w:type="dxa"/>
            <w:bottom w:w="0" w:type="dxa"/>
            <w:right w:w="108" w:type="dxa"/>
          </w:tblCellMar>
        </w:tblPrEx>
        <w:trPr>
          <w:trHeight w:val="326" w:hRule="atLeast"/>
          <w:jc w:val="center"/>
        </w:trPr>
        <w:tc>
          <w:tcPr>
            <w:tcW w:w="784" w:type="dxa"/>
            <w:tcBorders>
              <w:top w:val="single" w:color="000000" w:sz="4" w:space="0"/>
              <w:left w:val="single" w:color="auto" w:sz="4" w:space="0"/>
              <w:bottom w:val="single" w:color="000000" w:sz="4" w:space="0"/>
              <w:right w:val="single" w:color="000000" w:sz="4" w:space="0"/>
            </w:tcBorders>
            <w:shd w:val="clear" w:color="auto" w:fill="auto"/>
            <w:vAlign w:val="center"/>
          </w:tcPr>
          <w:p w14:paraId="1F0BEF39">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auto"/>
                <w:sz w:val="21"/>
                <w:szCs w:val="21"/>
                <w:highlight w:val="none"/>
              </w:rPr>
            </w:pPr>
            <w:r>
              <w:rPr>
                <w:rFonts w:hint="eastAsia" w:ascii="宋体" w:hAnsi="宋体" w:eastAsia="宋体" w:cs="宋体"/>
                <w:color w:val="auto"/>
                <w:sz w:val="21"/>
                <w:szCs w:val="21"/>
                <w:highlight w:val="none"/>
              </w:rPr>
              <w:t>序号</w:t>
            </w: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9210">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color w:val="auto"/>
                <w:sz w:val="21"/>
                <w:szCs w:val="21"/>
                <w:highlight w:val="none"/>
              </w:rPr>
            </w:pPr>
            <w:r>
              <w:rPr>
                <w:rFonts w:hint="eastAsia" w:ascii="宋体" w:hAnsi="宋体" w:eastAsia="宋体" w:cs="宋体"/>
                <w:color w:val="auto"/>
                <w:sz w:val="21"/>
                <w:szCs w:val="21"/>
                <w:highlight w:val="none"/>
              </w:rPr>
              <w:t>评审条款</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1674">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auto"/>
                <w:sz w:val="21"/>
                <w:szCs w:val="21"/>
                <w:highlight w:val="none"/>
              </w:rPr>
            </w:pPr>
            <w:r>
              <w:rPr>
                <w:rFonts w:hint="eastAsia" w:ascii="宋体" w:hAnsi="宋体" w:eastAsia="宋体" w:cs="宋体"/>
                <w:color w:val="auto"/>
                <w:sz w:val="21"/>
                <w:szCs w:val="21"/>
                <w:highlight w:val="none"/>
                <w:lang w:eastAsia="zh-CN"/>
              </w:rPr>
              <w:t>最高分值</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AE9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主客</w:t>
            </w:r>
          </w:p>
          <w:p w14:paraId="77792CEF">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color w:val="auto"/>
                <w:sz w:val="21"/>
                <w:szCs w:val="21"/>
                <w:highlight w:val="none"/>
              </w:rPr>
            </w:pPr>
            <w:r>
              <w:rPr>
                <w:rFonts w:hint="eastAsia" w:ascii="宋体" w:hAnsi="宋体" w:eastAsia="宋体" w:cs="宋体"/>
                <w:color w:val="auto"/>
                <w:sz w:val="21"/>
                <w:szCs w:val="21"/>
                <w:highlight w:val="none"/>
              </w:rPr>
              <w:t>观分</w:t>
            </w:r>
          </w:p>
        </w:tc>
      </w:tr>
      <w:tr w14:paraId="0DCC7FF4">
        <w:tblPrEx>
          <w:tblCellMar>
            <w:top w:w="0" w:type="dxa"/>
            <w:left w:w="108" w:type="dxa"/>
            <w:bottom w:w="0" w:type="dxa"/>
            <w:right w:w="108" w:type="dxa"/>
          </w:tblCellMar>
        </w:tblPrEx>
        <w:trPr>
          <w:trHeight w:val="90" w:hRule="atLeast"/>
          <w:jc w:val="center"/>
        </w:trPr>
        <w:tc>
          <w:tcPr>
            <w:tcW w:w="784" w:type="dxa"/>
            <w:tcBorders>
              <w:top w:val="single" w:color="000000" w:sz="4" w:space="0"/>
              <w:left w:val="single" w:color="auto" w:sz="4" w:space="0"/>
              <w:bottom w:val="single" w:color="000000" w:sz="4" w:space="0"/>
              <w:right w:val="single" w:color="000000" w:sz="4" w:space="0"/>
            </w:tcBorders>
            <w:shd w:val="clear" w:color="auto" w:fill="auto"/>
            <w:vAlign w:val="center"/>
          </w:tcPr>
          <w:p w14:paraId="1A90BEC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19</w:t>
            </w: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4874">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bCs/>
                <w:color w:val="auto"/>
                <w:sz w:val="21"/>
                <w:szCs w:val="21"/>
                <w:highlight w:val="none"/>
              </w:rPr>
            </w:pPr>
            <w:r>
              <w:rPr>
                <w:rFonts w:hint="eastAsia" w:ascii="Times New Roman" w:hAnsi="Times New Roman" w:cs="Times New Roman"/>
                <w:b/>
                <w:bCs/>
                <w:color w:val="auto"/>
                <w:sz w:val="21"/>
                <w:szCs w:val="21"/>
                <w:highlight w:val="none"/>
                <w:lang w:eastAsia="zh-CN"/>
              </w:rPr>
              <w:t>拟派项目</w:t>
            </w:r>
            <w:r>
              <w:rPr>
                <w:rFonts w:hint="eastAsia" w:ascii="Times New Roman" w:hAnsi="Times New Roman" w:cs="Times New Roman"/>
                <w:b/>
                <w:bCs/>
                <w:color w:val="auto"/>
                <w:sz w:val="21"/>
                <w:szCs w:val="21"/>
                <w:highlight w:val="none"/>
                <w:lang w:val="en-US" w:eastAsia="zh-CN"/>
              </w:rPr>
              <w:t>经理</w:t>
            </w:r>
            <w:r>
              <w:rPr>
                <w:rFonts w:hint="eastAsia" w:ascii="Times New Roman" w:hAnsi="Times New Roman" w:cs="Times New Roman"/>
                <w:b/>
                <w:bCs/>
                <w:color w:val="auto"/>
                <w:sz w:val="21"/>
                <w:szCs w:val="21"/>
                <w:highlight w:val="none"/>
              </w:rPr>
              <w:t>：</w:t>
            </w:r>
          </w:p>
          <w:p w14:paraId="22714D05">
            <w:pPr>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rPr>
              <w:t>①本科以上学历得2分，大专学历得1分</w:t>
            </w:r>
            <w:r>
              <w:rPr>
                <w:rFonts w:hint="eastAsia" w:ascii="Times New Roman" w:hAnsi="Times New Roman" w:cs="Times New Roman"/>
                <w:color w:val="auto"/>
                <w:sz w:val="21"/>
                <w:szCs w:val="21"/>
                <w:highlight w:val="none"/>
                <w:lang w:eastAsia="zh-CN"/>
              </w:rPr>
              <w:t>。提供学信网截图或毕业证书扫描件。</w:t>
            </w:r>
          </w:p>
          <w:p w14:paraId="5D161B68">
            <w:pPr>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rPr>
              <w:t>②具有物业项目经理服务经验累计</w:t>
            </w:r>
            <w:r>
              <w:rPr>
                <w:rFonts w:hint="eastAsia" w:ascii="Times New Roman" w:hAnsi="Times New Roman" w:cs="Times New Roman"/>
                <w:color w:val="auto"/>
                <w:sz w:val="21"/>
                <w:szCs w:val="21"/>
                <w:highlight w:val="none"/>
                <w:lang w:val="en-US" w:eastAsia="zh-CN"/>
              </w:rPr>
              <w:t>5</w:t>
            </w:r>
            <w:r>
              <w:rPr>
                <w:rFonts w:hint="eastAsia" w:ascii="Times New Roman" w:hAnsi="Times New Roman" w:cs="Times New Roman"/>
                <w:color w:val="auto"/>
                <w:sz w:val="21"/>
                <w:szCs w:val="21"/>
                <w:highlight w:val="none"/>
              </w:rPr>
              <w:t>年以上得2分，</w:t>
            </w:r>
            <w:r>
              <w:rPr>
                <w:rFonts w:hint="eastAsia" w:ascii="Times New Roman" w:hAnsi="Times New Roman" w:cs="Times New Roman"/>
                <w:color w:val="auto"/>
                <w:sz w:val="21"/>
                <w:szCs w:val="21"/>
                <w:highlight w:val="none"/>
                <w:lang w:val="en-US" w:eastAsia="zh-CN"/>
              </w:rPr>
              <w:t>3年以上不足5年</w:t>
            </w:r>
            <w:r>
              <w:rPr>
                <w:rFonts w:hint="eastAsia" w:ascii="Times New Roman" w:hAnsi="Times New Roman" w:cs="Times New Roman"/>
                <w:color w:val="auto"/>
                <w:sz w:val="21"/>
                <w:szCs w:val="21"/>
                <w:highlight w:val="none"/>
              </w:rPr>
              <w:t>得1分</w:t>
            </w:r>
            <w:r>
              <w:rPr>
                <w:rFonts w:hint="eastAsia" w:ascii="Times New Roman" w:hAnsi="Times New Roman" w:cs="Times New Roman"/>
                <w:color w:val="auto"/>
                <w:sz w:val="21"/>
                <w:szCs w:val="21"/>
                <w:highlight w:val="none"/>
                <w:lang w:eastAsia="zh-CN"/>
              </w:rPr>
              <w:t>。提供</w:t>
            </w:r>
            <w:r>
              <w:rPr>
                <w:rFonts w:hint="eastAsia" w:ascii="Times New Roman" w:hAnsi="Times New Roman" w:cs="Times New Roman"/>
                <w:color w:val="auto"/>
                <w:sz w:val="21"/>
                <w:szCs w:val="21"/>
                <w:highlight w:val="none"/>
                <w:lang w:val="en-US" w:eastAsia="zh-CN"/>
              </w:rPr>
              <w:t>对应岗位</w:t>
            </w:r>
            <w:r>
              <w:rPr>
                <w:rFonts w:hint="eastAsia" w:ascii="Times New Roman" w:hAnsi="Times New Roman" w:cs="Times New Roman"/>
                <w:color w:val="auto"/>
                <w:sz w:val="21"/>
                <w:szCs w:val="21"/>
                <w:highlight w:val="none"/>
                <w:lang w:eastAsia="zh-CN"/>
              </w:rPr>
              <w:t>劳动合同扫描件或服务项目的业主证明（形式不限加盖业主公章）。</w:t>
            </w:r>
          </w:p>
          <w:p w14:paraId="7CCECF7B">
            <w:pPr>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cs="Times New Roman"/>
                <w:color w:val="auto"/>
                <w:highlight w:val="none"/>
                <w:lang w:eastAsia="zh-CN"/>
              </w:rPr>
            </w:pPr>
            <w:r>
              <w:rPr>
                <w:rFonts w:hint="eastAsia" w:ascii="Times New Roman" w:hAnsi="Times New Roman" w:cs="Times New Roman"/>
                <w:color w:val="auto"/>
                <w:sz w:val="21"/>
                <w:szCs w:val="21"/>
                <w:highlight w:val="none"/>
              </w:rPr>
              <w:t>③年龄</w:t>
            </w:r>
            <w:r>
              <w:rPr>
                <w:rFonts w:hint="eastAsia" w:ascii="Times New Roman" w:hAnsi="Times New Roman" w:cs="Times New Roman"/>
                <w:color w:val="auto"/>
                <w:sz w:val="21"/>
                <w:szCs w:val="21"/>
                <w:highlight w:val="none"/>
                <w:lang w:val="en-US" w:eastAsia="zh-CN"/>
              </w:rPr>
              <w:t>45</w:t>
            </w:r>
            <w:r>
              <w:rPr>
                <w:rFonts w:hint="eastAsia" w:ascii="Times New Roman" w:hAnsi="Times New Roman" w:cs="Times New Roman"/>
                <w:color w:val="auto"/>
                <w:sz w:val="21"/>
                <w:szCs w:val="21"/>
                <w:highlight w:val="none"/>
              </w:rPr>
              <w:t>周岁以下得1分。</w:t>
            </w:r>
            <w:r>
              <w:rPr>
                <w:rFonts w:hint="eastAsia" w:ascii="Times New Roman" w:hAnsi="Times New Roman" w:cs="Times New Roman"/>
                <w:color w:val="auto"/>
                <w:sz w:val="21"/>
                <w:szCs w:val="21"/>
                <w:highlight w:val="none"/>
                <w:lang w:eastAsia="zh-CN"/>
              </w:rPr>
              <w:t>提供</w:t>
            </w:r>
            <w:r>
              <w:rPr>
                <w:rFonts w:hint="eastAsia" w:ascii="Times New Roman" w:hAnsi="Times New Roman" w:cs="Times New Roman"/>
                <w:color w:val="auto"/>
                <w:sz w:val="21"/>
                <w:szCs w:val="21"/>
                <w:highlight w:val="none"/>
                <w:lang w:val="en-US" w:eastAsia="zh-CN"/>
              </w:rPr>
              <w:t>有效</w:t>
            </w:r>
            <w:r>
              <w:rPr>
                <w:rFonts w:hint="eastAsia" w:ascii="Times New Roman" w:hAnsi="Times New Roman" w:cs="Times New Roman"/>
                <w:color w:val="auto"/>
                <w:sz w:val="21"/>
                <w:szCs w:val="21"/>
                <w:highlight w:val="none"/>
                <w:lang w:eastAsia="zh-CN"/>
              </w:rPr>
              <w:t>身份证，</w:t>
            </w:r>
            <w:r>
              <w:rPr>
                <w:rFonts w:hint="eastAsia" w:ascii="Times New Roman" w:hAnsi="Times New Roman" w:cs="Times New Roman"/>
                <w:color w:val="auto"/>
                <w:sz w:val="21"/>
                <w:szCs w:val="21"/>
                <w:highlight w:val="none"/>
                <w:lang w:val="en-US" w:eastAsia="zh-CN"/>
              </w:rPr>
              <w:t>日期</w:t>
            </w:r>
            <w:r>
              <w:rPr>
                <w:rFonts w:hint="eastAsia" w:ascii="Times New Roman" w:hAnsi="Times New Roman" w:cs="Times New Roman"/>
                <w:color w:val="auto"/>
                <w:sz w:val="21"/>
                <w:szCs w:val="21"/>
                <w:highlight w:val="none"/>
                <w:lang w:eastAsia="zh-CN"/>
              </w:rPr>
              <w:t>截止开标当日。</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8BD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ED84">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r>
      <w:tr w14:paraId="10EAFA2D">
        <w:tblPrEx>
          <w:tblCellMar>
            <w:top w:w="0" w:type="dxa"/>
            <w:left w:w="108" w:type="dxa"/>
            <w:bottom w:w="0" w:type="dxa"/>
            <w:right w:w="108" w:type="dxa"/>
          </w:tblCellMar>
        </w:tblPrEx>
        <w:trPr>
          <w:trHeight w:val="705" w:hRule="atLeast"/>
          <w:jc w:val="center"/>
        </w:trPr>
        <w:tc>
          <w:tcPr>
            <w:tcW w:w="784" w:type="dxa"/>
            <w:tcBorders>
              <w:top w:val="single" w:color="000000" w:sz="4" w:space="0"/>
              <w:left w:val="single" w:color="auto" w:sz="4" w:space="0"/>
              <w:bottom w:val="single" w:color="000000" w:sz="4" w:space="0"/>
              <w:right w:val="single" w:color="000000" w:sz="4" w:space="0"/>
            </w:tcBorders>
            <w:shd w:val="clear" w:color="auto" w:fill="auto"/>
            <w:vAlign w:val="center"/>
          </w:tcPr>
          <w:p w14:paraId="60E430C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20</w:t>
            </w: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DA5D">
            <w:pPr>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eastAsia="zh-CN"/>
              </w:rPr>
              <w:t>拟派重点服务人员优势：</w:t>
            </w:r>
          </w:p>
          <w:p w14:paraId="21EAB056">
            <w:pPr>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s="宋体"/>
                <w:color w:val="auto"/>
                <w:sz w:val="21"/>
                <w:szCs w:val="21"/>
                <w:highlight w:val="none"/>
              </w:rPr>
              <w:t>根据投标人提供的</w:t>
            </w:r>
            <w:r>
              <w:rPr>
                <w:rFonts w:hint="eastAsia" w:ascii="宋体" w:hAnsi="宋体" w:cs="宋体"/>
                <w:color w:val="auto"/>
                <w:sz w:val="21"/>
                <w:szCs w:val="21"/>
                <w:highlight w:val="none"/>
                <w:lang w:eastAsia="zh-CN"/>
              </w:rPr>
              <w:t>项目服务人员个人简历，从服务经验、专业技能、履约项目的服务评价等方面综合评定，根据该人员对服务本项目的优势程度，得</w:t>
            </w:r>
            <w:r>
              <w:rPr>
                <w:rFonts w:hint="eastAsia" w:ascii="宋体" w:hAnsi="宋体" w:cs="宋体"/>
                <w:color w:val="auto"/>
                <w:sz w:val="21"/>
                <w:szCs w:val="21"/>
                <w:highlight w:val="none"/>
                <w:lang w:val="en-US" w:eastAsia="zh-CN"/>
              </w:rPr>
              <w:t>2、1、0分。</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C69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D6F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主观分</w:t>
            </w:r>
          </w:p>
        </w:tc>
      </w:tr>
    </w:tbl>
    <w:p w14:paraId="36F6337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b/>
          <w:bCs/>
          <w:color w:val="auto"/>
          <w:sz w:val="36"/>
          <w:szCs w:val="44"/>
          <w:highlight w:val="none"/>
        </w:rPr>
      </w:pPr>
      <w:r>
        <w:rPr>
          <w:rFonts w:hint="eastAsia" w:ascii="Times New Roman" w:hAnsi="Times New Roman" w:eastAsia="宋体" w:cs="Times New Roman"/>
          <w:b/>
          <w:bCs/>
          <w:color w:val="auto"/>
          <w:sz w:val="36"/>
          <w:szCs w:val="44"/>
          <w:highlight w:val="none"/>
        </w:rPr>
        <w:t>价格</w:t>
      </w:r>
      <w:r>
        <w:rPr>
          <w:rFonts w:hint="eastAsia" w:ascii="Times New Roman" w:hAnsi="Times New Roman" w:cs="Times New Roman"/>
          <w:b/>
          <w:bCs/>
          <w:color w:val="auto"/>
          <w:sz w:val="36"/>
          <w:szCs w:val="44"/>
          <w:highlight w:val="none"/>
          <w:lang w:eastAsia="zh-CN"/>
        </w:rPr>
        <w:t>：</w:t>
      </w:r>
      <w:r>
        <w:rPr>
          <w:rFonts w:hint="eastAsia" w:ascii="Times New Roman" w:hAnsi="Times New Roman" w:eastAsia="宋体" w:cs="Times New Roman"/>
          <w:b/>
          <w:bCs/>
          <w:color w:val="auto"/>
          <w:sz w:val="36"/>
          <w:szCs w:val="44"/>
          <w:highlight w:val="none"/>
          <w:lang w:val="en-US" w:eastAsia="zh-CN"/>
        </w:rPr>
        <w:t>20</w:t>
      </w:r>
      <w:r>
        <w:rPr>
          <w:rFonts w:hint="eastAsia" w:ascii="Times New Roman" w:hAnsi="Times New Roman" w:eastAsia="宋体" w:cs="Times New Roman"/>
          <w:b/>
          <w:bCs/>
          <w:color w:val="auto"/>
          <w:sz w:val="36"/>
          <w:szCs w:val="44"/>
          <w:highlight w:val="none"/>
        </w:rPr>
        <w:t>分</w:t>
      </w:r>
    </w:p>
    <w:p w14:paraId="6734038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200" w:right="-1153" w:rightChars="-549" w:firstLine="0" w:firstLineChars="0"/>
        <w:textAlignment w:val="auto"/>
        <w:rPr>
          <w:rFonts w:hint="eastAsia" w:ascii="Times New Roman" w:hAnsi="Times New Roman" w:cs="Times New Roman"/>
          <w:b/>
          <w:bCs/>
          <w:color w:val="auto"/>
          <w:sz w:val="22"/>
          <w:szCs w:val="28"/>
          <w:highlight w:val="none"/>
          <w:u w:val="single"/>
          <w:shd w:val="clear" w:color="FFFFFF" w:fill="D9D9D9"/>
          <w:lang w:val="en-US" w:eastAsia="zh-CN"/>
        </w:rPr>
      </w:pPr>
      <w:r>
        <w:rPr>
          <w:rFonts w:hint="eastAsia" w:ascii="Times New Roman" w:hAnsi="Times New Roman" w:cs="Times New Roman"/>
          <w:b/>
          <w:bCs/>
          <w:color w:val="auto"/>
          <w:sz w:val="22"/>
          <w:szCs w:val="28"/>
          <w:highlight w:val="none"/>
          <w:u w:val="single"/>
          <w:shd w:val="clear" w:color="FFFFFF" w:fill="D9D9D9"/>
          <w:lang w:eastAsia="zh-CN"/>
        </w:rPr>
        <w:t>（保安、保洁、维修、绿化、会务或客服，</w:t>
      </w:r>
      <w:r>
        <w:rPr>
          <w:rFonts w:hint="eastAsia" w:ascii="Times New Roman" w:hAnsi="Times New Roman" w:cs="Times New Roman"/>
          <w:b/>
          <w:bCs/>
          <w:color w:val="auto"/>
          <w:sz w:val="22"/>
          <w:szCs w:val="28"/>
          <w:highlight w:val="none"/>
          <w:u w:val="single"/>
          <w:shd w:val="clear" w:color="FFFFFF" w:fill="D9D9D9"/>
          <w:lang w:val="en-US" w:eastAsia="zh-CN"/>
        </w:rPr>
        <w:t>5类当中有4类及以上的，价格分可设置20分；不足4类的，</w:t>
      </w:r>
    </w:p>
    <w:p w14:paraId="467FA10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200" w:right="-1153" w:rightChars="-549" w:firstLine="0" w:firstLineChars="0"/>
        <w:textAlignment w:val="auto"/>
        <w:rPr>
          <w:rFonts w:hint="eastAsia" w:ascii="Times New Roman" w:hAnsi="Times New Roman" w:cs="Times New Roman"/>
          <w:color w:val="auto"/>
          <w:highlight w:val="none"/>
        </w:rPr>
      </w:pPr>
      <w:r>
        <w:rPr>
          <w:rFonts w:hint="eastAsia" w:ascii="Times New Roman" w:hAnsi="Times New Roman" w:cs="Times New Roman"/>
          <w:b/>
          <w:bCs/>
          <w:color w:val="auto"/>
          <w:sz w:val="22"/>
          <w:szCs w:val="28"/>
          <w:highlight w:val="none"/>
          <w:u w:val="single"/>
          <w:shd w:val="clear" w:color="FFFFFF" w:fill="D9D9D9"/>
          <w:lang w:val="en-US" w:eastAsia="zh-CN"/>
        </w:rPr>
        <w:t>价格分需设置为30分。</w:t>
      </w:r>
      <w:r>
        <w:rPr>
          <w:rFonts w:hint="eastAsia" w:ascii="Times New Roman" w:hAnsi="Times New Roman" w:cs="Times New Roman"/>
          <w:b/>
          <w:bCs/>
          <w:color w:val="auto"/>
          <w:sz w:val="22"/>
          <w:szCs w:val="28"/>
          <w:highlight w:val="none"/>
          <w:u w:val="single"/>
          <w:shd w:val="clear" w:color="FFFFFF" w:fill="D9D9D9"/>
          <w:lang w:eastAsia="zh-CN"/>
        </w:rPr>
        <w:t>）</w:t>
      </w:r>
    </w:p>
    <w:tbl>
      <w:tblPr>
        <w:tblStyle w:val="62"/>
        <w:tblW w:w="5458" w:type="pct"/>
        <w:jc w:val="center"/>
        <w:tblLayout w:type="fixed"/>
        <w:tblCellMar>
          <w:top w:w="0" w:type="dxa"/>
          <w:left w:w="108" w:type="dxa"/>
          <w:bottom w:w="0" w:type="dxa"/>
          <w:right w:w="108" w:type="dxa"/>
        </w:tblCellMar>
      </w:tblPr>
      <w:tblGrid>
        <w:gridCol w:w="791"/>
        <w:gridCol w:w="7680"/>
        <w:gridCol w:w="1666"/>
      </w:tblGrid>
      <w:tr w14:paraId="1C09A354">
        <w:tblPrEx>
          <w:tblCellMar>
            <w:top w:w="0" w:type="dxa"/>
            <w:left w:w="108" w:type="dxa"/>
            <w:bottom w:w="0" w:type="dxa"/>
            <w:right w:w="108" w:type="dxa"/>
          </w:tblCellMar>
        </w:tblPrEx>
        <w:trPr>
          <w:trHeight w:val="434"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CCC7">
            <w:pPr>
              <w:keepNext w:val="0"/>
              <w:keepLines w:val="0"/>
              <w:pageBreakBefore w:val="0"/>
              <w:widowControl w:val="0"/>
              <w:kinsoku/>
              <w:wordWrap/>
              <w:overflowPunct/>
              <w:topLinePunct w:val="0"/>
              <w:autoSpaceDE/>
              <w:autoSpaceDN/>
              <w:bidi w:val="0"/>
              <w:adjustRightInd w:val="0"/>
              <w:snapToGrid w:val="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2DBD">
            <w:pPr>
              <w:keepNext w:val="0"/>
              <w:keepLines w:val="0"/>
              <w:pageBreakBefore w:val="0"/>
              <w:widowControl w:val="0"/>
              <w:kinsoku/>
              <w:wordWrap/>
              <w:overflowPunct/>
              <w:topLinePunct w:val="0"/>
              <w:autoSpaceDE/>
              <w:autoSpaceDN/>
              <w:bidi w:val="0"/>
              <w:adjustRightInd w:val="0"/>
              <w:snapToGrid w:val="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评审条款</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2A8A">
            <w:pPr>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最</w:t>
            </w:r>
            <w:r>
              <w:rPr>
                <w:rFonts w:hint="eastAsia" w:ascii="宋体" w:hAnsi="宋体" w:eastAsia="宋体" w:cs="宋体"/>
                <w:color w:val="auto"/>
                <w:sz w:val="21"/>
                <w:szCs w:val="21"/>
                <w:highlight w:val="none"/>
                <w:lang w:val="en-US" w:eastAsia="zh-CN"/>
              </w:rPr>
              <w:t>大</w:t>
            </w:r>
            <w:r>
              <w:rPr>
                <w:rFonts w:hint="eastAsia" w:ascii="宋体" w:hAnsi="宋体" w:eastAsia="宋体" w:cs="宋体"/>
                <w:color w:val="auto"/>
                <w:sz w:val="21"/>
                <w:szCs w:val="21"/>
                <w:highlight w:val="none"/>
                <w:lang w:eastAsia="zh-CN"/>
              </w:rPr>
              <w:t>分值</w:t>
            </w:r>
          </w:p>
        </w:tc>
      </w:tr>
      <w:tr w14:paraId="3ABB6F27">
        <w:tblPrEx>
          <w:tblCellMar>
            <w:top w:w="0" w:type="dxa"/>
            <w:left w:w="108" w:type="dxa"/>
            <w:bottom w:w="0" w:type="dxa"/>
            <w:right w:w="108" w:type="dxa"/>
          </w:tblCellMar>
        </w:tblPrEx>
        <w:trPr>
          <w:trHeight w:val="145"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FDB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BB04">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w:t>
            </w:r>
          </w:p>
          <w:p w14:paraId="7AF15CFF">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按［投标报价得分=（评标基准价/投标报价）*</w:t>
            </w:r>
            <w:r>
              <w:rPr>
                <w:rFonts w:hint="eastAsia" w:ascii="宋体" w:hAnsi="宋体" w:eastAsia="宋体" w:cs="宋体"/>
                <w:color w:val="auto"/>
                <w:sz w:val="21"/>
                <w:szCs w:val="21"/>
                <w:highlight w:val="none"/>
                <w:lang w:val="en-US" w:eastAsia="zh-CN"/>
              </w:rPr>
              <w:t>价格最大分值</w:t>
            </w:r>
            <w:r>
              <w:rPr>
                <w:rFonts w:hint="eastAsia" w:ascii="宋体" w:hAnsi="宋体" w:eastAsia="宋体" w:cs="宋体"/>
                <w:color w:val="auto"/>
                <w:sz w:val="21"/>
                <w:szCs w:val="21"/>
                <w:highlight w:val="none"/>
              </w:rPr>
              <w:t>］的计算公式计算。</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评标过程中，不得去掉报价中的最高报价和最低报价。</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80F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r>
    </w:tbl>
    <w:p w14:paraId="03AB25C0">
      <w:pPr>
        <w:rPr>
          <w:rFonts w:hint="eastAsia"/>
          <w:b w:val="0"/>
          <w:bCs w:val="0"/>
          <w:color w:val="auto"/>
          <w:sz w:val="21"/>
          <w:szCs w:val="24"/>
          <w:highlight w:val="none"/>
        </w:rPr>
      </w:pPr>
    </w:p>
    <w:p w14:paraId="6B9233B9">
      <w:pPr>
        <w:spacing w:line="360" w:lineRule="auto"/>
        <w:rPr>
          <w:rFonts w:ascii="宋体" w:hAnsi="宋体" w:cs="宋体"/>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color w:val="auto"/>
          <w:sz w:val="24"/>
          <w:highlight w:val="none"/>
        </w:rPr>
        <w:t xml:space="preserve">备注：1、投标人编制投标文件（商务技术文件部分）时，建议按此目录（序号和内容）提供评标标准相应的商务技术资料。 </w:t>
      </w:r>
    </w:p>
    <w:p w14:paraId="5AD1E29C">
      <w:pPr>
        <w:spacing w:line="360" w:lineRule="auto"/>
        <w:rPr>
          <w:rFonts w:ascii="宋体" w:hAnsi="宋体" w:cs="宋体"/>
          <w:color w:val="auto"/>
          <w:sz w:val="24"/>
          <w:highlight w:val="none"/>
        </w:rPr>
      </w:pPr>
      <w:r>
        <w:rPr>
          <w:rFonts w:hint="eastAsia" w:ascii="宋体" w:hAnsi="宋体" w:cs="宋体"/>
          <w:color w:val="auto"/>
          <w:sz w:val="24"/>
          <w:highlight w:val="none"/>
        </w:rPr>
        <w:t>2、评分条款中涉及的业绩、荣誉、人员、社保等分公司均有效。涉及社保、劳动关系证明关系的，如人员为法人代表，则无需提供相关证明</w:t>
      </w:r>
      <w:r>
        <w:rPr>
          <w:rFonts w:ascii="宋体" w:hAnsi="宋体" w:cs="宋体"/>
          <w:color w:val="auto"/>
          <w:sz w:val="24"/>
          <w:highlight w:val="none"/>
        </w:rPr>
        <w:t>，提供营业执照及身份证</w:t>
      </w:r>
      <w:r>
        <w:rPr>
          <w:rFonts w:hint="eastAsia" w:ascii="宋体" w:hAnsi="宋体" w:cs="宋体"/>
          <w:color w:val="auto"/>
          <w:sz w:val="24"/>
          <w:highlight w:val="none"/>
        </w:rPr>
        <w:t>。</w:t>
      </w:r>
    </w:p>
    <w:p w14:paraId="07FDA42E">
      <w:pPr>
        <w:keepNext w:val="0"/>
        <w:keepLines w:val="0"/>
        <w:pageBreakBefore w:val="0"/>
        <w:kinsoku/>
        <w:wordWrap/>
        <w:overflowPunct/>
        <w:topLinePunct w:val="0"/>
        <w:autoSpaceDE/>
        <w:autoSpaceDN/>
        <w:bidi w:val="0"/>
        <w:snapToGri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3、投标文件中如附有外文资料，必须逐一对应翻译成中文并加盖投标人公章后附在相关外文资料后面，否则外文资料不予认可。</w:t>
      </w:r>
    </w:p>
    <w:p w14:paraId="08A5DF56">
      <w:pPr>
        <w:keepNext w:val="0"/>
        <w:keepLines w:val="0"/>
        <w:pageBreakBefore w:val="0"/>
        <w:kinsoku/>
        <w:wordWrap/>
        <w:overflowPunct/>
        <w:topLinePunct w:val="0"/>
        <w:autoSpaceDE/>
        <w:autoSpaceDN/>
        <w:bidi w:val="0"/>
        <w:snapToGrid/>
        <w:spacing w:line="360" w:lineRule="auto"/>
        <w:textAlignment w:val="auto"/>
        <w:rPr>
          <w:rFonts w:ascii="宋体" w:hAnsi="宋体" w:cs="宋体"/>
          <w:color w:val="auto"/>
          <w:sz w:val="24"/>
          <w:highlight w:val="none"/>
        </w:rPr>
      </w:pPr>
    </w:p>
    <w:p w14:paraId="63B0772C">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48556E3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60BB6E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F1F02A1">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52E29B6E">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E4B3EC4">
      <w:pPr>
        <w:spacing w:line="360" w:lineRule="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73605DE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1AB348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B1756E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C4192D9">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A845AD1">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6BCB03A">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D1E3B80">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C602792">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EC2509F">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0140BA5">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39A610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6E873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42856C6">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4D9B630">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FB63E73">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DF127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01C2B1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w:t>
      </w:r>
      <w:r>
        <w:rPr>
          <w:rFonts w:hint="eastAsia" w:ascii="宋体" w:hAnsi="宋体" w:cs="宋体"/>
          <w:bCs/>
          <w:color w:val="auto"/>
          <w:kern w:val="0"/>
          <w:sz w:val="24"/>
          <w:highlight w:val="none"/>
        </w:rPr>
        <w:t>6</w:t>
      </w:r>
      <w:r>
        <w:rPr>
          <w:rFonts w:hint="eastAsia" w:ascii="宋体" w:hAnsi="宋体" w:cs="宋体"/>
          <w:b/>
          <w:color w:val="auto"/>
          <w:kern w:val="0"/>
          <w:sz w:val="24"/>
          <w:highlight w:val="none"/>
        </w:rPr>
        <w:t>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1693020">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9884668">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ED53B00">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68D132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C429AE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F11205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6130E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7DF1FD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20EA2C1">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6EA9C2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w:t>
      </w:r>
      <w:r>
        <w:rPr>
          <w:rFonts w:hint="eastAsia" w:ascii="宋体" w:hAnsi="宋体" w:cs="宋体"/>
          <w:color w:val="auto"/>
          <w:kern w:val="0"/>
          <w:sz w:val="24"/>
          <w:highlight w:val="none"/>
        </w:rPr>
        <w:t>投标报价超过招标文件中规定的预算金额或者最高限价的; 投标报价低于项目预算50%，未在报价文件中详细阐述不影响产品质量或者诚信履约的具体原因的；</w:t>
      </w:r>
    </w:p>
    <w:p w14:paraId="2001769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4F59FCA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349B269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297F2D5">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203127A7">
      <w:pPr>
        <w:spacing w:line="360" w:lineRule="auto"/>
        <w:ind w:firstLine="480" w:firstLineChars="200"/>
        <w:rPr>
          <w:color w:val="auto"/>
          <w:highlight w:val="none"/>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0AC1D4F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投标人仅提交备份投标文件，未在电子交易平台传输递交投标文件的，投标无效；</w:t>
      </w:r>
    </w:p>
    <w:p w14:paraId="1B0B53D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3A844A84">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06C9BE9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79FFD372">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5E48F0E">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768EB75">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56BF31AB">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579A1085">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34A63915">
      <w:pPr>
        <w:pStyle w:val="24"/>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04CE0506">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810826C">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2D854B">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14417259">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6669A57">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A3CB36F">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2F6482F7">
      <w:pPr>
        <w:spacing w:line="360" w:lineRule="auto"/>
        <w:ind w:firstLine="420"/>
        <w:outlineLvl w:val="0"/>
        <w:rPr>
          <w:rFonts w:cs="宋体"/>
          <w:color w:val="auto"/>
          <w:highlight w:val="none"/>
        </w:rPr>
      </w:pPr>
      <w:r>
        <w:rPr>
          <w:rFonts w:hint="eastAsia" w:asciiTheme="minorEastAsia" w:hAnsiTheme="minorEastAsia" w:eastAsiaTheme="minorEastAsia" w:cstheme="minorEastAsia"/>
          <w:color w:val="auto"/>
          <w:highlight w:val="none"/>
        </w:rPr>
        <w:t>7.</w:t>
      </w:r>
      <w:r>
        <w:rPr>
          <w:rFonts w:hint="eastAsia" w:asciiTheme="minorEastAsia" w:hAnsiTheme="minorEastAsia" w:eastAsiaTheme="minorEastAsia" w:cstheme="minorEastAsia"/>
          <w:color w:val="auto"/>
          <w:sz w:val="24"/>
          <w:highlight w:val="none"/>
        </w:rPr>
        <w:t>5</w:t>
      </w:r>
      <w:r>
        <w:rPr>
          <w:rFonts w:hint="eastAsia" w:cs="宋体"/>
          <w:color w:val="auto"/>
          <w:sz w:val="24"/>
          <w:highlight w:val="none"/>
        </w:rPr>
        <w:t>政府采购当事人有其他违反政府采购法或者政府采购法实施条例等法律法规规定的行为，经改正后仍然影响或者可能影响中标结果或者依法被认定为中标无效的，依照7.1-7.4规定处理。</w:t>
      </w:r>
    </w:p>
    <w:p w14:paraId="426B556D">
      <w:pPr>
        <w:rPr>
          <w:rFonts w:cs="宋体"/>
          <w:color w:val="auto"/>
          <w:highlight w:val="none"/>
        </w:rPr>
      </w:pPr>
      <w:r>
        <w:rPr>
          <w:rFonts w:hint="eastAsia" w:cs="宋体"/>
          <w:color w:val="auto"/>
          <w:highlight w:val="none"/>
        </w:rPr>
        <w:br w:type="page"/>
      </w:r>
    </w:p>
    <w:p w14:paraId="29C4561C">
      <w:pPr>
        <w:numPr>
          <w:ilvl w:val="0"/>
          <w:numId w:val="14"/>
        </w:num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拟签订的合同文本</w:t>
      </w:r>
    </w:p>
    <w:p w14:paraId="6CD3ECA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1EA4C803">
      <w:pPr>
        <w:pStyle w:val="2"/>
        <w:ind w:left="0" w:firstLine="0"/>
        <w:rPr>
          <w:color w:val="auto"/>
          <w:highlight w:val="none"/>
        </w:rPr>
      </w:pPr>
    </w:p>
    <w:p w14:paraId="1950C9D1">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712C91CA">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1F7C1CA3">
      <w:pPr>
        <w:pStyle w:val="69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0674F7DE">
      <w:pPr>
        <w:spacing w:before="120" w:line="22" w:lineRule="atLeast"/>
        <w:rPr>
          <w:rFonts w:ascii="宋体" w:hAnsi="宋体" w:cs="宋体"/>
          <w:color w:val="auto"/>
          <w:sz w:val="24"/>
          <w:highlight w:val="none"/>
        </w:rPr>
      </w:pPr>
    </w:p>
    <w:p w14:paraId="1D9A315C">
      <w:pPr>
        <w:pStyle w:val="2"/>
        <w:tabs>
          <w:tab w:val="clear" w:pos="432"/>
        </w:tabs>
        <w:ind w:left="0" w:leftChars="0" w:firstLine="0" w:firstLineChars="0"/>
        <w:rPr>
          <w:color w:val="auto"/>
          <w:highlight w:val="none"/>
        </w:rPr>
      </w:pPr>
    </w:p>
    <w:p w14:paraId="0924DBE5">
      <w:pPr>
        <w:spacing w:before="120" w:line="22" w:lineRule="atLeast"/>
        <w:ind w:left="1478" w:leftChars="704" w:firstLine="0" w:firstLineChars="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D39A535">
      <w:pPr>
        <w:pStyle w:val="596"/>
        <w:spacing w:before="120" w:line="22" w:lineRule="atLeast"/>
        <w:ind w:left="1478" w:leftChars="704" w:firstLine="0" w:firstLineChars="0"/>
        <w:rPr>
          <w:rFonts w:ascii="宋体" w:hAnsi="宋体" w:eastAsia="宋体" w:cs="宋体"/>
          <w:color w:val="auto"/>
          <w:szCs w:val="24"/>
          <w:highlight w:val="none"/>
        </w:rPr>
      </w:pPr>
    </w:p>
    <w:p w14:paraId="103BCC33">
      <w:pPr>
        <w:pStyle w:val="596"/>
        <w:spacing w:before="120" w:line="22" w:lineRule="atLeast"/>
        <w:ind w:left="1478" w:leftChars="704" w:firstLine="0" w:firstLineChars="0"/>
        <w:rPr>
          <w:rFonts w:ascii="宋体" w:hAnsi="宋体" w:eastAsia="宋体" w:cs="宋体"/>
          <w:color w:val="auto"/>
          <w:szCs w:val="24"/>
          <w:highlight w:val="none"/>
        </w:rPr>
      </w:pPr>
    </w:p>
    <w:p w14:paraId="0EF15891">
      <w:pPr>
        <w:ind w:left="1478" w:leftChars="704" w:firstLine="0" w:firstLineChars="0"/>
        <w:rPr>
          <w:rFonts w:ascii="宋体" w:hAnsi="宋体" w:cs="宋体"/>
          <w:color w:val="auto"/>
          <w:sz w:val="24"/>
          <w:highlight w:val="none"/>
        </w:rPr>
      </w:pPr>
    </w:p>
    <w:p w14:paraId="51894CB6">
      <w:pPr>
        <w:spacing w:before="120" w:line="22" w:lineRule="atLeast"/>
        <w:ind w:left="1478" w:leftChars="704" w:firstLine="0" w:firstLineChars="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2658F8CB">
      <w:pPr>
        <w:spacing w:before="120" w:line="22" w:lineRule="atLeast"/>
        <w:ind w:left="1478" w:leftChars="704" w:firstLine="0" w:firstLineChars="0"/>
        <w:rPr>
          <w:rFonts w:ascii="宋体" w:hAnsi="宋体" w:cs="宋体"/>
          <w:color w:val="auto"/>
          <w:sz w:val="24"/>
          <w:highlight w:val="none"/>
        </w:rPr>
      </w:pPr>
    </w:p>
    <w:p w14:paraId="467C43F1">
      <w:pPr>
        <w:spacing w:before="120" w:line="22" w:lineRule="atLeast"/>
        <w:ind w:left="1478" w:leftChars="704" w:firstLine="0" w:firstLineChars="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0D8DBE48">
      <w:pPr>
        <w:spacing w:before="120" w:line="22" w:lineRule="atLeast"/>
        <w:ind w:left="1478" w:leftChars="704" w:firstLine="0" w:firstLineChars="0"/>
        <w:rPr>
          <w:rFonts w:ascii="宋体" w:hAnsi="宋体" w:cs="宋体"/>
          <w:color w:val="auto"/>
          <w:sz w:val="24"/>
          <w:highlight w:val="none"/>
        </w:rPr>
      </w:pPr>
    </w:p>
    <w:p w14:paraId="1CE5B356">
      <w:pPr>
        <w:spacing w:before="120" w:line="22" w:lineRule="atLeast"/>
        <w:ind w:left="1478" w:leftChars="704" w:firstLine="0" w:firstLineChars="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0F7251B2">
      <w:pPr>
        <w:spacing w:before="120" w:line="22" w:lineRule="atLeast"/>
        <w:ind w:left="1478" w:leftChars="704" w:firstLine="0" w:firstLineChars="0"/>
        <w:rPr>
          <w:rFonts w:ascii="宋体" w:hAnsi="宋体" w:cs="宋体"/>
          <w:color w:val="auto"/>
          <w:sz w:val="24"/>
          <w:highlight w:val="none"/>
        </w:rPr>
      </w:pPr>
    </w:p>
    <w:p w14:paraId="6784755F">
      <w:pPr>
        <w:spacing w:before="120" w:line="22" w:lineRule="atLeast"/>
        <w:ind w:left="1478" w:leftChars="704" w:firstLine="0" w:firstLineChars="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9412D44">
      <w:pPr>
        <w:rPr>
          <w:rFonts w:ascii="宋体" w:hAnsi="宋体" w:cs="宋体"/>
          <w:b/>
          <w:color w:val="auto"/>
          <w:sz w:val="24"/>
          <w:highlight w:val="none"/>
        </w:rPr>
      </w:pPr>
      <w:r>
        <w:rPr>
          <w:rFonts w:ascii="宋体" w:hAnsi="宋体" w:cs="宋体"/>
          <w:b/>
          <w:color w:val="auto"/>
          <w:sz w:val="24"/>
          <w:highlight w:val="none"/>
        </w:rPr>
        <w:br w:type="page"/>
      </w:r>
    </w:p>
    <w:p w14:paraId="4CFEBF1F">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0993762B">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5EC01321">
      <w:pPr>
        <w:spacing w:line="560" w:lineRule="exact"/>
        <w:ind w:firstLine="482" w:firstLineChars="200"/>
        <w:outlineLvl w:val="0"/>
        <w:rPr>
          <w:rFonts w:ascii="宋体" w:hAnsi="宋体"/>
          <w:color w:val="auto"/>
          <w:sz w:val="24"/>
          <w:highlight w:val="none"/>
        </w:rPr>
      </w:pPr>
      <w:bookmarkStart w:id="397" w:name="_Toc19273"/>
      <w:bookmarkStart w:id="398" w:name="_Toc20421"/>
      <w:bookmarkStart w:id="399" w:name="_Toc22967"/>
      <w:bookmarkStart w:id="400" w:name="_Toc28855"/>
      <w:bookmarkStart w:id="401"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7"/>
      <w:bookmarkEnd w:id="398"/>
      <w:bookmarkEnd w:id="399"/>
      <w:bookmarkEnd w:id="400"/>
      <w:bookmarkEnd w:id="401"/>
    </w:p>
    <w:p w14:paraId="5AA2CBE3">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30AA21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3539BE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7396030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6D0B2E7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0CFA87F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63AE0C75">
      <w:pPr>
        <w:spacing w:line="560" w:lineRule="exact"/>
        <w:ind w:firstLine="482" w:firstLineChars="200"/>
        <w:outlineLvl w:val="0"/>
        <w:rPr>
          <w:rFonts w:ascii="宋体" w:hAnsi="宋体"/>
          <w:b/>
          <w:color w:val="auto"/>
          <w:sz w:val="24"/>
          <w:highlight w:val="none"/>
        </w:rPr>
      </w:pPr>
      <w:bookmarkStart w:id="402" w:name="_Toc6773"/>
      <w:bookmarkStart w:id="403" w:name="_Toc2918"/>
      <w:bookmarkStart w:id="404" w:name="_Toc18585"/>
      <w:bookmarkStart w:id="405" w:name="_Toc22185"/>
      <w:bookmarkStart w:id="406"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402"/>
      <w:bookmarkEnd w:id="403"/>
      <w:bookmarkEnd w:id="404"/>
      <w:bookmarkEnd w:id="405"/>
      <w:bookmarkEnd w:id="406"/>
    </w:p>
    <w:p w14:paraId="6786092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393A51E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8B7913F">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6F71E7AF">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4EC69024">
      <w:pPr>
        <w:pStyle w:val="957"/>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321C0783">
      <w:pPr>
        <w:spacing w:line="560" w:lineRule="exact"/>
        <w:ind w:firstLine="480" w:firstLineChars="200"/>
        <w:rPr>
          <w:rFonts w:ascii="宋体" w:hAnsi="宋体" w:cs="宋体"/>
          <w:color w:val="auto"/>
          <w:sz w:val="24"/>
          <w:highlight w:val="none"/>
          <w:u w:val="single"/>
        </w:rPr>
      </w:pPr>
      <w:bookmarkStart w:id="407" w:name="_Toc1386"/>
      <w:bookmarkStart w:id="408" w:name="_Toc4929"/>
      <w:bookmarkStart w:id="409" w:name="_Toc13918"/>
      <w:bookmarkStart w:id="410" w:name="_Toc5635"/>
      <w:bookmarkStart w:id="411"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0F4F421">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BB2DFE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A55A16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7"/>
      <w:bookmarkEnd w:id="408"/>
      <w:bookmarkEnd w:id="409"/>
      <w:bookmarkEnd w:id="410"/>
      <w:bookmarkEnd w:id="411"/>
    </w:p>
    <w:p w14:paraId="4ED2DD63">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58B8FF3E">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13785C1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1E2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72A8F84">
            <w:pPr>
              <w:pStyle w:val="317"/>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644EAABA">
            <w:pPr>
              <w:pStyle w:val="317"/>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2113C392">
            <w:pPr>
              <w:pStyle w:val="317"/>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21171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EEE657">
            <w:pPr>
              <w:pStyle w:val="317"/>
              <w:spacing w:line="560" w:lineRule="exact"/>
              <w:ind w:firstLine="200"/>
              <w:jc w:val="center"/>
              <w:rPr>
                <w:rFonts w:hAnsi="宋体"/>
                <w:color w:val="auto"/>
                <w:sz w:val="24"/>
                <w:szCs w:val="24"/>
                <w:highlight w:val="none"/>
              </w:rPr>
            </w:pPr>
          </w:p>
        </w:tc>
        <w:tc>
          <w:tcPr>
            <w:tcW w:w="3402" w:type="dxa"/>
            <w:vAlign w:val="center"/>
          </w:tcPr>
          <w:p w14:paraId="2B7B89F8">
            <w:pPr>
              <w:pStyle w:val="317"/>
              <w:spacing w:line="560" w:lineRule="exact"/>
              <w:ind w:firstLine="200"/>
              <w:jc w:val="center"/>
              <w:rPr>
                <w:rFonts w:hAnsi="宋体"/>
                <w:color w:val="auto"/>
                <w:sz w:val="24"/>
                <w:szCs w:val="24"/>
                <w:highlight w:val="none"/>
              </w:rPr>
            </w:pPr>
          </w:p>
        </w:tc>
        <w:tc>
          <w:tcPr>
            <w:tcW w:w="2552" w:type="dxa"/>
            <w:vAlign w:val="center"/>
          </w:tcPr>
          <w:p w14:paraId="2F6950AB">
            <w:pPr>
              <w:pStyle w:val="317"/>
              <w:spacing w:line="560" w:lineRule="exact"/>
              <w:ind w:firstLine="200"/>
              <w:jc w:val="center"/>
              <w:rPr>
                <w:rFonts w:hAnsi="宋体"/>
                <w:color w:val="auto"/>
                <w:sz w:val="24"/>
                <w:szCs w:val="24"/>
                <w:highlight w:val="none"/>
              </w:rPr>
            </w:pPr>
          </w:p>
        </w:tc>
      </w:tr>
      <w:tr w14:paraId="45CC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A5114C2">
            <w:pPr>
              <w:pStyle w:val="317"/>
              <w:spacing w:line="560" w:lineRule="exact"/>
              <w:ind w:firstLine="200"/>
              <w:jc w:val="center"/>
              <w:rPr>
                <w:rFonts w:hAnsi="宋体"/>
                <w:color w:val="auto"/>
                <w:sz w:val="24"/>
                <w:szCs w:val="24"/>
                <w:highlight w:val="none"/>
              </w:rPr>
            </w:pPr>
          </w:p>
        </w:tc>
        <w:tc>
          <w:tcPr>
            <w:tcW w:w="3402" w:type="dxa"/>
            <w:vAlign w:val="center"/>
          </w:tcPr>
          <w:p w14:paraId="6B75E2D9">
            <w:pPr>
              <w:pStyle w:val="317"/>
              <w:spacing w:line="560" w:lineRule="exact"/>
              <w:ind w:firstLine="200"/>
              <w:jc w:val="center"/>
              <w:rPr>
                <w:rFonts w:hAnsi="宋体"/>
                <w:color w:val="auto"/>
                <w:sz w:val="24"/>
                <w:szCs w:val="24"/>
                <w:highlight w:val="none"/>
              </w:rPr>
            </w:pPr>
          </w:p>
        </w:tc>
        <w:tc>
          <w:tcPr>
            <w:tcW w:w="2552" w:type="dxa"/>
            <w:vAlign w:val="center"/>
          </w:tcPr>
          <w:p w14:paraId="223C7F9F">
            <w:pPr>
              <w:pStyle w:val="317"/>
              <w:spacing w:line="560" w:lineRule="exact"/>
              <w:ind w:firstLine="200"/>
              <w:jc w:val="center"/>
              <w:rPr>
                <w:rFonts w:hAnsi="宋体"/>
                <w:color w:val="auto"/>
                <w:sz w:val="24"/>
                <w:szCs w:val="24"/>
                <w:highlight w:val="none"/>
              </w:rPr>
            </w:pPr>
          </w:p>
        </w:tc>
      </w:tr>
      <w:tr w14:paraId="2135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3D93EE9">
            <w:pPr>
              <w:pStyle w:val="317"/>
              <w:spacing w:line="560" w:lineRule="exact"/>
              <w:ind w:firstLine="200"/>
              <w:jc w:val="center"/>
              <w:rPr>
                <w:rFonts w:hAnsi="宋体"/>
                <w:color w:val="auto"/>
                <w:sz w:val="24"/>
                <w:szCs w:val="24"/>
                <w:highlight w:val="none"/>
              </w:rPr>
            </w:pPr>
          </w:p>
        </w:tc>
        <w:tc>
          <w:tcPr>
            <w:tcW w:w="3402" w:type="dxa"/>
            <w:vAlign w:val="center"/>
          </w:tcPr>
          <w:p w14:paraId="342CE25C">
            <w:pPr>
              <w:pStyle w:val="317"/>
              <w:spacing w:line="560" w:lineRule="exact"/>
              <w:ind w:firstLine="200"/>
              <w:jc w:val="center"/>
              <w:rPr>
                <w:rFonts w:hAnsi="宋体"/>
                <w:color w:val="auto"/>
                <w:sz w:val="24"/>
                <w:szCs w:val="24"/>
                <w:highlight w:val="none"/>
              </w:rPr>
            </w:pPr>
          </w:p>
        </w:tc>
        <w:tc>
          <w:tcPr>
            <w:tcW w:w="2552" w:type="dxa"/>
            <w:vAlign w:val="center"/>
          </w:tcPr>
          <w:p w14:paraId="5D2FEA1E">
            <w:pPr>
              <w:pStyle w:val="317"/>
              <w:spacing w:line="560" w:lineRule="exact"/>
              <w:ind w:firstLine="200"/>
              <w:jc w:val="center"/>
              <w:rPr>
                <w:rFonts w:hAnsi="宋体"/>
                <w:color w:val="auto"/>
                <w:sz w:val="24"/>
                <w:szCs w:val="24"/>
                <w:highlight w:val="none"/>
              </w:rPr>
            </w:pPr>
          </w:p>
        </w:tc>
      </w:tr>
      <w:tr w14:paraId="1C07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86BCB0A">
            <w:pPr>
              <w:pStyle w:val="317"/>
              <w:spacing w:line="560" w:lineRule="exact"/>
              <w:ind w:firstLine="200"/>
              <w:jc w:val="center"/>
              <w:rPr>
                <w:rFonts w:hAnsi="宋体"/>
                <w:color w:val="auto"/>
                <w:sz w:val="24"/>
                <w:szCs w:val="24"/>
                <w:highlight w:val="none"/>
              </w:rPr>
            </w:pPr>
          </w:p>
        </w:tc>
        <w:tc>
          <w:tcPr>
            <w:tcW w:w="3402" w:type="dxa"/>
            <w:vAlign w:val="center"/>
          </w:tcPr>
          <w:p w14:paraId="6F6E8D96">
            <w:pPr>
              <w:pStyle w:val="317"/>
              <w:spacing w:line="560" w:lineRule="exact"/>
              <w:ind w:firstLine="200"/>
              <w:jc w:val="center"/>
              <w:rPr>
                <w:rFonts w:hAnsi="宋体"/>
                <w:color w:val="auto"/>
                <w:sz w:val="24"/>
                <w:szCs w:val="24"/>
                <w:highlight w:val="none"/>
              </w:rPr>
            </w:pPr>
          </w:p>
        </w:tc>
        <w:tc>
          <w:tcPr>
            <w:tcW w:w="2552" w:type="dxa"/>
            <w:vAlign w:val="center"/>
          </w:tcPr>
          <w:p w14:paraId="2C782D31">
            <w:pPr>
              <w:pStyle w:val="317"/>
              <w:spacing w:line="560" w:lineRule="exact"/>
              <w:ind w:firstLine="200"/>
              <w:jc w:val="center"/>
              <w:rPr>
                <w:rFonts w:hAnsi="宋体"/>
                <w:color w:val="auto"/>
                <w:sz w:val="24"/>
                <w:szCs w:val="24"/>
                <w:highlight w:val="none"/>
              </w:rPr>
            </w:pPr>
          </w:p>
        </w:tc>
      </w:tr>
      <w:tr w14:paraId="077D4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953ACDB">
            <w:pPr>
              <w:pStyle w:val="317"/>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6DD04475">
            <w:pPr>
              <w:pStyle w:val="317"/>
              <w:spacing w:line="560" w:lineRule="exact"/>
              <w:ind w:firstLine="200"/>
              <w:jc w:val="center"/>
              <w:rPr>
                <w:rFonts w:hAnsi="宋体"/>
                <w:color w:val="auto"/>
                <w:sz w:val="24"/>
                <w:szCs w:val="24"/>
                <w:highlight w:val="none"/>
              </w:rPr>
            </w:pPr>
          </w:p>
        </w:tc>
      </w:tr>
    </w:tbl>
    <w:p w14:paraId="09D15173">
      <w:pPr>
        <w:spacing w:line="560" w:lineRule="exact"/>
        <w:ind w:firstLine="480" w:firstLineChars="200"/>
        <w:rPr>
          <w:rFonts w:ascii="宋体" w:hAnsi="宋体"/>
          <w:color w:val="auto"/>
          <w:sz w:val="24"/>
          <w:highlight w:val="none"/>
        </w:rPr>
      </w:pPr>
      <w:bookmarkStart w:id="412" w:name="_Toc26916"/>
      <w:bookmarkStart w:id="413" w:name="_Toc30506"/>
      <w:bookmarkStart w:id="414" w:name="_Toc3654"/>
      <w:bookmarkStart w:id="415" w:name="_Toc30158"/>
      <w:bookmarkStart w:id="416"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40FABDC8">
      <w:pPr>
        <w:pStyle w:val="2"/>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2"/>
    <w:bookmarkEnd w:id="413"/>
    <w:bookmarkEnd w:id="414"/>
    <w:bookmarkEnd w:id="415"/>
    <w:bookmarkEnd w:id="416"/>
    <w:p w14:paraId="30C11E25">
      <w:pPr>
        <w:pStyle w:val="957"/>
        <w:spacing w:before="0" w:beforeAutospacing="0" w:after="0" w:afterAutospacing="0" w:line="360" w:lineRule="auto"/>
        <w:ind w:firstLine="480"/>
        <w:rPr>
          <w:b/>
          <w:color w:val="auto"/>
          <w:highlight w:val="none"/>
        </w:rPr>
      </w:pPr>
      <w:bookmarkStart w:id="417" w:name="_Toc31421"/>
      <w:bookmarkStart w:id="418" w:name="_Toc3625"/>
      <w:bookmarkStart w:id="419" w:name="_Toc11108"/>
      <w:bookmarkStart w:id="420" w:name="_Toc8772"/>
      <w:bookmarkStart w:id="421" w:name="_Toc4760"/>
      <w:r>
        <w:rPr>
          <w:rFonts w:hint="eastAsia"/>
          <w:b/>
          <w:color w:val="auto"/>
          <w:highlight w:val="none"/>
        </w:rPr>
        <w:t>1.4履约保证金</w:t>
      </w:r>
    </w:p>
    <w:p w14:paraId="5FA38E65">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1DBA03F9">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19424E4">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29998A6">
      <w:pPr>
        <w:pStyle w:val="2"/>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13319D7">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D9FDDFE">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1.5预付款</w:t>
      </w:r>
    </w:p>
    <w:p w14:paraId="721243E2">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ADA284F">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6326B6A">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496DA83">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F817133">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6EBB577A">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A938D06">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BD73D3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7"/>
      <w:bookmarkEnd w:id="418"/>
      <w:bookmarkEnd w:id="419"/>
      <w:bookmarkEnd w:id="420"/>
      <w:bookmarkEnd w:id="421"/>
    </w:p>
    <w:p w14:paraId="4B486EF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796CCFC">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C0E8A8B">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BD8EF70">
      <w:pPr>
        <w:spacing w:line="560" w:lineRule="exact"/>
        <w:ind w:firstLine="480" w:firstLineChars="200"/>
        <w:outlineLvl w:val="0"/>
        <w:rPr>
          <w:rFonts w:ascii="宋体" w:hAnsi="宋体"/>
          <w:bCs/>
          <w:color w:val="auto"/>
          <w:sz w:val="24"/>
          <w:highlight w:val="none"/>
        </w:rPr>
      </w:pPr>
      <w:bookmarkStart w:id="422" w:name="_Toc8586"/>
      <w:bookmarkStart w:id="423" w:name="_Toc2375"/>
      <w:bookmarkStart w:id="424" w:name="_Toc5698"/>
      <w:bookmarkStart w:id="425" w:name="_Toc24662"/>
      <w:bookmarkStart w:id="426" w:name="_Toc3079"/>
      <w:r>
        <w:rPr>
          <w:rFonts w:hint="eastAsia" w:ascii="宋体" w:hAnsi="宋体"/>
          <w:bCs/>
          <w:color w:val="auto"/>
          <w:sz w:val="24"/>
          <w:highlight w:val="none"/>
        </w:rPr>
        <w:t>1.7.4若服务</w:t>
      </w:r>
      <w:r>
        <w:rPr>
          <w:rFonts w:hint="eastAsia"/>
          <w:bCs/>
          <w:color w:val="auto"/>
          <w:sz w:val="24"/>
          <w:highlight w:val="none"/>
        </w:rPr>
        <w:t>涉及货物的，则货物的：</w:t>
      </w:r>
    </w:p>
    <w:p w14:paraId="58CF25E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157FF0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8F1F36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0F68F6">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2"/>
      <w:bookmarkEnd w:id="423"/>
      <w:bookmarkEnd w:id="424"/>
      <w:bookmarkEnd w:id="425"/>
      <w:bookmarkEnd w:id="426"/>
    </w:p>
    <w:p w14:paraId="222B7CE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28C092CE">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5C7057EE">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385E63DA">
      <w:pPr>
        <w:spacing w:line="560" w:lineRule="exact"/>
        <w:ind w:firstLine="480" w:firstLineChars="200"/>
        <w:rPr>
          <w:rFonts w:ascii="宋体" w:hAnsi="宋体" w:cs="宋体"/>
          <w:color w:val="auto"/>
          <w:sz w:val="24"/>
          <w:highlight w:val="none"/>
        </w:rPr>
      </w:pPr>
      <w:bookmarkStart w:id="427" w:name="_Toc32454"/>
      <w:bookmarkStart w:id="428" w:name="_Toc18683"/>
      <w:bookmarkStart w:id="429" w:name="_Toc9497"/>
      <w:bookmarkStart w:id="430" w:name="_Toc26807"/>
      <w:bookmarkStart w:id="431"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2878F5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648230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865B787">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7"/>
    <w:bookmarkEnd w:id="428"/>
    <w:bookmarkEnd w:id="429"/>
    <w:bookmarkEnd w:id="430"/>
    <w:bookmarkEnd w:id="431"/>
    <w:p w14:paraId="0AD0295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3C389053">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7299D325">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30ADE7A">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8D58A00">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6943FBD3">
      <w:pPr>
        <w:spacing w:line="560" w:lineRule="exact"/>
        <w:ind w:firstLine="480" w:firstLineChars="200"/>
        <w:rPr>
          <w:rFonts w:ascii="宋体" w:hAnsi="宋体"/>
          <w:color w:val="auto"/>
          <w:sz w:val="24"/>
          <w:highlight w:val="none"/>
          <w:lang w:val="zh-CN"/>
        </w:rPr>
      </w:pPr>
      <w:r>
        <w:rPr>
          <w:rFonts w:hint="eastAsia" w:ascii="宋体" w:hAnsi="宋体" w:cs="宋体"/>
          <w:color w:val="auto"/>
          <w:sz w:val="24"/>
          <w:highlight w:val="none"/>
        </w:rPr>
        <w:t>本合同自双方当事人盖章签字时生效。</w:t>
      </w:r>
    </w:p>
    <w:p w14:paraId="01A4F183">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2055A4B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0EF5C53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722626E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2C0FAA8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69F36C7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505EDE2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10CA00D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07DF2F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88D0E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4E770EA5">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2E8B1309">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1D3F6A7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461BA931">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799C4B6B">
      <w:pPr>
        <w:pStyle w:val="699"/>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3FCDE46B">
      <w:pPr>
        <w:spacing w:line="560" w:lineRule="exact"/>
        <w:ind w:firstLine="482" w:firstLineChars="200"/>
        <w:outlineLvl w:val="0"/>
        <w:rPr>
          <w:rFonts w:ascii="宋体" w:hAnsi="宋体"/>
          <w:b/>
          <w:color w:val="auto"/>
          <w:sz w:val="24"/>
          <w:highlight w:val="none"/>
        </w:rPr>
      </w:pPr>
      <w:bookmarkStart w:id="432" w:name="_Toc14021"/>
      <w:bookmarkStart w:id="433" w:name="_Toc19680"/>
      <w:bookmarkStart w:id="434" w:name="_Toc5228"/>
      <w:bookmarkStart w:id="435" w:name="_Toc25079"/>
      <w:bookmarkStart w:id="436" w:name="_Toc31297"/>
      <w:r>
        <w:rPr>
          <w:rFonts w:ascii="宋体" w:hAnsi="宋体"/>
          <w:b/>
          <w:color w:val="auto"/>
          <w:sz w:val="24"/>
          <w:highlight w:val="none"/>
        </w:rPr>
        <w:t>2.1 定义</w:t>
      </w:r>
      <w:bookmarkEnd w:id="432"/>
      <w:bookmarkEnd w:id="433"/>
      <w:bookmarkEnd w:id="434"/>
      <w:bookmarkEnd w:id="435"/>
      <w:bookmarkEnd w:id="436"/>
    </w:p>
    <w:p w14:paraId="7CD8BFE4">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532CECAB">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7C6E6003">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3A0B321">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5F67124">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4DF9CFC6">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BC07112">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0C90E249">
      <w:pPr>
        <w:spacing w:line="560" w:lineRule="exact"/>
        <w:ind w:firstLine="482" w:firstLineChars="200"/>
        <w:outlineLvl w:val="0"/>
        <w:rPr>
          <w:rFonts w:ascii="宋体" w:hAnsi="宋体"/>
          <w:b/>
          <w:color w:val="auto"/>
          <w:sz w:val="24"/>
          <w:highlight w:val="none"/>
        </w:rPr>
      </w:pPr>
      <w:bookmarkStart w:id="437" w:name="_Toc23289"/>
      <w:bookmarkStart w:id="438" w:name="_Toc3769"/>
      <w:bookmarkStart w:id="439" w:name="_Toc16752"/>
      <w:bookmarkStart w:id="440" w:name="_Toc19539"/>
      <w:bookmarkStart w:id="441" w:name="_Toc31402"/>
      <w:r>
        <w:rPr>
          <w:rFonts w:ascii="宋体" w:hAnsi="宋体"/>
          <w:b/>
          <w:color w:val="auto"/>
          <w:sz w:val="24"/>
          <w:highlight w:val="none"/>
        </w:rPr>
        <w:t>2.2 技术规范</w:t>
      </w:r>
      <w:bookmarkEnd w:id="437"/>
      <w:bookmarkEnd w:id="438"/>
      <w:bookmarkEnd w:id="439"/>
      <w:bookmarkEnd w:id="440"/>
      <w:bookmarkEnd w:id="441"/>
    </w:p>
    <w:p w14:paraId="403C742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12F98124">
      <w:pPr>
        <w:spacing w:line="560" w:lineRule="exact"/>
        <w:ind w:firstLine="482" w:firstLineChars="200"/>
        <w:outlineLvl w:val="0"/>
        <w:rPr>
          <w:rFonts w:ascii="宋体" w:hAnsi="宋体"/>
          <w:b/>
          <w:color w:val="auto"/>
          <w:sz w:val="24"/>
          <w:highlight w:val="none"/>
        </w:rPr>
      </w:pPr>
      <w:bookmarkStart w:id="442" w:name="_Toc27945"/>
      <w:bookmarkStart w:id="443" w:name="_Toc4133"/>
      <w:bookmarkStart w:id="444" w:name="_Toc13673"/>
      <w:bookmarkStart w:id="445" w:name="_Toc12412"/>
      <w:bookmarkStart w:id="446" w:name="_Toc9161"/>
      <w:r>
        <w:rPr>
          <w:rFonts w:ascii="宋体" w:hAnsi="宋体"/>
          <w:b/>
          <w:color w:val="auto"/>
          <w:sz w:val="24"/>
          <w:highlight w:val="none"/>
        </w:rPr>
        <w:t>2.3 知识产权</w:t>
      </w:r>
      <w:bookmarkEnd w:id="442"/>
      <w:bookmarkEnd w:id="443"/>
      <w:bookmarkEnd w:id="444"/>
      <w:bookmarkEnd w:id="445"/>
      <w:bookmarkEnd w:id="446"/>
    </w:p>
    <w:p w14:paraId="7EB807E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2673CD6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313F69D">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5E2A8A49">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7146FCA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ECEA8E5">
      <w:pPr>
        <w:spacing w:line="560" w:lineRule="exact"/>
        <w:ind w:firstLine="482" w:firstLineChars="200"/>
        <w:outlineLvl w:val="0"/>
        <w:rPr>
          <w:rFonts w:ascii="宋体" w:hAnsi="宋体"/>
          <w:b/>
          <w:color w:val="auto"/>
          <w:sz w:val="24"/>
          <w:highlight w:val="none"/>
        </w:rPr>
      </w:pPr>
      <w:bookmarkStart w:id="447" w:name="_Toc32670"/>
      <w:bookmarkStart w:id="448" w:name="_Toc22011"/>
      <w:bookmarkStart w:id="449" w:name="_Toc26555"/>
      <w:bookmarkStart w:id="450" w:name="_Toc31233"/>
      <w:bookmarkStart w:id="451" w:name="_Toc15447"/>
      <w:r>
        <w:rPr>
          <w:rFonts w:ascii="宋体" w:hAnsi="宋体"/>
          <w:b/>
          <w:color w:val="auto"/>
          <w:sz w:val="24"/>
          <w:highlight w:val="none"/>
        </w:rPr>
        <w:t>2.5 结算方式和付款条件</w:t>
      </w:r>
      <w:bookmarkEnd w:id="447"/>
      <w:bookmarkEnd w:id="448"/>
      <w:bookmarkEnd w:id="449"/>
      <w:bookmarkEnd w:id="450"/>
      <w:bookmarkEnd w:id="451"/>
    </w:p>
    <w:p w14:paraId="4BF9B93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30BA52C">
      <w:pPr>
        <w:spacing w:line="560" w:lineRule="exact"/>
        <w:ind w:firstLine="482" w:firstLineChars="200"/>
        <w:outlineLvl w:val="0"/>
        <w:rPr>
          <w:rFonts w:ascii="宋体" w:hAnsi="宋体"/>
          <w:b/>
          <w:color w:val="auto"/>
          <w:sz w:val="24"/>
          <w:highlight w:val="none"/>
        </w:rPr>
      </w:pPr>
      <w:bookmarkStart w:id="452" w:name="_Toc16163"/>
      <w:bookmarkStart w:id="453" w:name="_Toc30507"/>
      <w:bookmarkStart w:id="454" w:name="_Toc13467"/>
      <w:bookmarkStart w:id="455" w:name="_Toc13154"/>
      <w:bookmarkStart w:id="456" w:name="_Toc18990"/>
      <w:r>
        <w:rPr>
          <w:rFonts w:ascii="宋体" w:hAnsi="宋体"/>
          <w:b/>
          <w:color w:val="auto"/>
          <w:sz w:val="24"/>
          <w:highlight w:val="none"/>
        </w:rPr>
        <w:t>2.6 技术资料和保密义务</w:t>
      </w:r>
      <w:bookmarkEnd w:id="452"/>
      <w:bookmarkEnd w:id="453"/>
      <w:bookmarkEnd w:id="454"/>
      <w:bookmarkEnd w:id="455"/>
      <w:bookmarkEnd w:id="456"/>
    </w:p>
    <w:p w14:paraId="27E63882">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6A3ECD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200040E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1F9D5E0D">
      <w:pPr>
        <w:spacing w:line="560" w:lineRule="exact"/>
        <w:ind w:firstLine="482" w:firstLineChars="200"/>
        <w:outlineLvl w:val="0"/>
        <w:rPr>
          <w:rFonts w:ascii="宋体" w:hAnsi="宋体"/>
          <w:b/>
          <w:color w:val="auto"/>
          <w:sz w:val="24"/>
          <w:highlight w:val="none"/>
        </w:rPr>
      </w:pPr>
      <w:bookmarkStart w:id="457"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57"/>
    </w:p>
    <w:p w14:paraId="6F8824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2909F46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16091C0F">
      <w:pPr>
        <w:spacing w:line="560" w:lineRule="exact"/>
        <w:ind w:firstLine="482" w:firstLineChars="200"/>
        <w:outlineLvl w:val="0"/>
        <w:rPr>
          <w:rFonts w:ascii="宋体" w:hAnsi="宋体"/>
          <w:b/>
          <w:color w:val="auto"/>
          <w:sz w:val="24"/>
          <w:highlight w:val="none"/>
        </w:rPr>
      </w:pPr>
      <w:bookmarkStart w:id="458"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58"/>
    </w:p>
    <w:p w14:paraId="29785CA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AEDE044">
      <w:pPr>
        <w:spacing w:line="560" w:lineRule="exact"/>
        <w:ind w:firstLine="482" w:firstLineChars="200"/>
        <w:outlineLvl w:val="0"/>
        <w:rPr>
          <w:rFonts w:ascii="宋体" w:hAnsi="宋体"/>
          <w:b/>
          <w:color w:val="auto"/>
          <w:sz w:val="24"/>
          <w:highlight w:val="none"/>
        </w:rPr>
      </w:pPr>
      <w:bookmarkStart w:id="459"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59"/>
    </w:p>
    <w:p w14:paraId="5C909FEE">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84C9F2C">
      <w:pPr>
        <w:spacing w:line="560" w:lineRule="exact"/>
        <w:ind w:firstLine="482" w:firstLineChars="200"/>
        <w:outlineLvl w:val="0"/>
        <w:rPr>
          <w:rFonts w:ascii="宋体" w:hAnsi="宋体"/>
          <w:b/>
          <w:color w:val="auto"/>
          <w:sz w:val="24"/>
          <w:highlight w:val="none"/>
        </w:rPr>
      </w:pPr>
      <w:bookmarkStart w:id="460" w:name="_Toc23368"/>
      <w:bookmarkStart w:id="461" w:name="_Toc42"/>
      <w:bookmarkStart w:id="462" w:name="_Toc26689"/>
      <w:bookmarkStart w:id="463" w:name="_Toc21830"/>
      <w:bookmarkStart w:id="464" w:name="_Toc10663"/>
      <w:r>
        <w:rPr>
          <w:rFonts w:ascii="宋体" w:hAnsi="宋体"/>
          <w:b/>
          <w:color w:val="auto"/>
          <w:sz w:val="24"/>
          <w:highlight w:val="none"/>
        </w:rPr>
        <w:t>2.10 合同转让和分包</w:t>
      </w:r>
      <w:bookmarkEnd w:id="460"/>
      <w:bookmarkEnd w:id="461"/>
      <w:bookmarkEnd w:id="462"/>
      <w:bookmarkEnd w:id="463"/>
      <w:bookmarkEnd w:id="464"/>
    </w:p>
    <w:p w14:paraId="6B963452">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295C2C3C">
      <w:pPr>
        <w:spacing w:line="560" w:lineRule="exact"/>
        <w:ind w:firstLine="482" w:firstLineChars="200"/>
        <w:outlineLvl w:val="0"/>
        <w:rPr>
          <w:rFonts w:ascii="宋体" w:hAnsi="宋体"/>
          <w:b/>
          <w:color w:val="auto"/>
          <w:sz w:val="24"/>
          <w:highlight w:val="none"/>
        </w:rPr>
      </w:pPr>
      <w:bookmarkStart w:id="465" w:name="_Toc4720"/>
      <w:bookmarkStart w:id="466" w:name="_Toc26633"/>
      <w:bookmarkStart w:id="467" w:name="_Toc32494"/>
      <w:bookmarkStart w:id="468" w:name="_Toc25571"/>
      <w:bookmarkStart w:id="469" w:name="_Toc14371"/>
      <w:r>
        <w:rPr>
          <w:rFonts w:ascii="宋体" w:hAnsi="宋体"/>
          <w:b/>
          <w:color w:val="auto"/>
          <w:sz w:val="24"/>
          <w:highlight w:val="none"/>
        </w:rPr>
        <w:t>2.11 不可抗力</w:t>
      </w:r>
      <w:bookmarkEnd w:id="465"/>
      <w:bookmarkEnd w:id="466"/>
      <w:bookmarkEnd w:id="467"/>
      <w:bookmarkEnd w:id="468"/>
      <w:bookmarkEnd w:id="469"/>
    </w:p>
    <w:p w14:paraId="67940366">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41797E7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67240E2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4002A341">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631BF40A">
      <w:pPr>
        <w:spacing w:line="560" w:lineRule="exact"/>
        <w:ind w:firstLine="482" w:firstLineChars="200"/>
        <w:outlineLvl w:val="0"/>
        <w:rPr>
          <w:rFonts w:ascii="宋体" w:hAnsi="宋体"/>
          <w:b/>
          <w:color w:val="auto"/>
          <w:sz w:val="24"/>
          <w:highlight w:val="none"/>
        </w:rPr>
      </w:pPr>
      <w:bookmarkStart w:id="470" w:name="_Toc24465"/>
      <w:bookmarkStart w:id="471" w:name="_Toc14115"/>
      <w:bookmarkStart w:id="472" w:name="_Toc23854"/>
      <w:bookmarkStart w:id="473" w:name="_Toc25783"/>
      <w:bookmarkStart w:id="474" w:name="_Toc3638"/>
      <w:r>
        <w:rPr>
          <w:rFonts w:ascii="宋体" w:hAnsi="宋体"/>
          <w:b/>
          <w:color w:val="auto"/>
          <w:sz w:val="24"/>
          <w:highlight w:val="none"/>
        </w:rPr>
        <w:t>2.12 税费</w:t>
      </w:r>
      <w:bookmarkEnd w:id="470"/>
      <w:bookmarkEnd w:id="471"/>
      <w:bookmarkEnd w:id="472"/>
      <w:bookmarkEnd w:id="473"/>
      <w:bookmarkEnd w:id="474"/>
    </w:p>
    <w:p w14:paraId="18600F4D">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635E1053">
      <w:pPr>
        <w:spacing w:line="560" w:lineRule="exact"/>
        <w:ind w:firstLine="482" w:firstLineChars="200"/>
        <w:outlineLvl w:val="0"/>
        <w:rPr>
          <w:rFonts w:ascii="宋体" w:hAnsi="宋体"/>
          <w:b/>
          <w:color w:val="auto"/>
          <w:sz w:val="24"/>
          <w:highlight w:val="none"/>
        </w:rPr>
      </w:pPr>
      <w:bookmarkStart w:id="475" w:name="_Toc30105"/>
      <w:bookmarkStart w:id="476" w:name="_Toc26883"/>
      <w:bookmarkStart w:id="477" w:name="_Toc7315"/>
      <w:bookmarkStart w:id="478" w:name="_Toc25525"/>
      <w:bookmarkStart w:id="479" w:name="_Toc14814"/>
      <w:r>
        <w:rPr>
          <w:rFonts w:ascii="宋体" w:hAnsi="宋体"/>
          <w:b/>
          <w:color w:val="auto"/>
          <w:sz w:val="24"/>
          <w:highlight w:val="none"/>
        </w:rPr>
        <w:t>2.13 乙方破产</w:t>
      </w:r>
      <w:bookmarkEnd w:id="475"/>
      <w:bookmarkEnd w:id="476"/>
      <w:bookmarkEnd w:id="477"/>
      <w:bookmarkEnd w:id="478"/>
      <w:bookmarkEnd w:id="479"/>
    </w:p>
    <w:p w14:paraId="4D32D8E6">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4BCB08C4">
      <w:pPr>
        <w:spacing w:line="560" w:lineRule="exact"/>
        <w:ind w:firstLine="482" w:firstLineChars="200"/>
        <w:outlineLvl w:val="0"/>
        <w:rPr>
          <w:rFonts w:ascii="宋体" w:hAnsi="宋体"/>
          <w:b/>
          <w:color w:val="auto"/>
          <w:sz w:val="24"/>
          <w:highlight w:val="none"/>
        </w:rPr>
      </w:pPr>
      <w:bookmarkStart w:id="480" w:name="_Toc1123"/>
      <w:bookmarkStart w:id="481" w:name="_Toc2016"/>
      <w:bookmarkStart w:id="482" w:name="_Toc23323"/>
      <w:r>
        <w:rPr>
          <w:rFonts w:ascii="宋体" w:hAnsi="宋体"/>
          <w:b/>
          <w:color w:val="auto"/>
          <w:sz w:val="24"/>
          <w:highlight w:val="none"/>
        </w:rPr>
        <w:t>2.14 合同中止、终止</w:t>
      </w:r>
      <w:bookmarkEnd w:id="480"/>
      <w:bookmarkEnd w:id="481"/>
      <w:bookmarkEnd w:id="482"/>
    </w:p>
    <w:p w14:paraId="690B31C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1A22AFE">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8D3BCF1">
      <w:pPr>
        <w:spacing w:line="560" w:lineRule="exact"/>
        <w:ind w:firstLine="482" w:firstLineChars="200"/>
        <w:outlineLvl w:val="0"/>
        <w:rPr>
          <w:rFonts w:ascii="宋体" w:hAnsi="宋体"/>
          <w:b/>
          <w:color w:val="auto"/>
          <w:sz w:val="24"/>
          <w:highlight w:val="none"/>
        </w:rPr>
      </w:pPr>
      <w:bookmarkStart w:id="483" w:name="_Toc1969"/>
      <w:bookmarkStart w:id="484" w:name="_Toc17363"/>
      <w:bookmarkStart w:id="485" w:name="_Toc14525"/>
      <w:r>
        <w:rPr>
          <w:rFonts w:ascii="宋体" w:hAnsi="宋体"/>
          <w:b/>
          <w:color w:val="auto"/>
          <w:sz w:val="24"/>
          <w:highlight w:val="none"/>
        </w:rPr>
        <w:t>2.15 检验和验收</w:t>
      </w:r>
      <w:bookmarkEnd w:id="483"/>
      <w:bookmarkEnd w:id="484"/>
      <w:bookmarkEnd w:id="485"/>
    </w:p>
    <w:p w14:paraId="4EAAE41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332F98F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82E4D5A">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45439A43">
      <w:pPr>
        <w:spacing w:line="560" w:lineRule="exact"/>
        <w:ind w:firstLine="482" w:firstLineChars="200"/>
        <w:outlineLvl w:val="0"/>
        <w:rPr>
          <w:rFonts w:ascii="宋体" w:hAnsi="宋体"/>
          <w:b/>
          <w:color w:val="auto"/>
          <w:sz w:val="24"/>
          <w:highlight w:val="none"/>
        </w:rPr>
      </w:pPr>
      <w:bookmarkStart w:id="486" w:name="_Toc2308"/>
      <w:bookmarkStart w:id="487" w:name="_Toc31892"/>
      <w:bookmarkStart w:id="488" w:name="_Toc9808"/>
      <w:bookmarkStart w:id="489" w:name="_Toc12666"/>
      <w:bookmarkStart w:id="490" w:name="_Toc25198"/>
      <w:r>
        <w:rPr>
          <w:rFonts w:ascii="宋体" w:hAnsi="宋体"/>
          <w:b/>
          <w:color w:val="auto"/>
          <w:sz w:val="24"/>
          <w:highlight w:val="none"/>
        </w:rPr>
        <w:t>2.16 通知和送达</w:t>
      </w:r>
      <w:bookmarkEnd w:id="486"/>
      <w:bookmarkEnd w:id="487"/>
      <w:bookmarkEnd w:id="488"/>
      <w:bookmarkEnd w:id="489"/>
      <w:bookmarkEnd w:id="490"/>
    </w:p>
    <w:p w14:paraId="261C8C7F">
      <w:pPr>
        <w:spacing w:line="560" w:lineRule="exact"/>
        <w:ind w:firstLine="480" w:firstLineChars="200"/>
        <w:rPr>
          <w:rFonts w:ascii="宋体" w:hAnsi="宋体"/>
          <w:color w:val="auto"/>
          <w:sz w:val="24"/>
          <w:highlight w:val="none"/>
        </w:rPr>
      </w:pPr>
      <w:bookmarkStart w:id="491" w:name="_Toc18401"/>
      <w:bookmarkStart w:id="492"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4D782D6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1"/>
      <w:bookmarkEnd w:id="492"/>
    </w:p>
    <w:p w14:paraId="7BF20E5D">
      <w:pPr>
        <w:spacing w:line="560" w:lineRule="exact"/>
        <w:ind w:firstLine="482" w:firstLineChars="200"/>
        <w:outlineLvl w:val="0"/>
        <w:rPr>
          <w:rFonts w:ascii="宋体" w:hAnsi="宋体"/>
          <w:b/>
          <w:color w:val="auto"/>
          <w:sz w:val="24"/>
          <w:highlight w:val="none"/>
        </w:rPr>
      </w:pPr>
      <w:bookmarkStart w:id="493" w:name="_Toc20808"/>
      <w:bookmarkStart w:id="494" w:name="_Toc5063"/>
      <w:bookmarkStart w:id="495" w:name="_Toc28906"/>
      <w:bookmarkStart w:id="496" w:name="_Toc27644"/>
      <w:bookmarkStart w:id="497"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93"/>
      <w:bookmarkEnd w:id="494"/>
      <w:bookmarkEnd w:id="495"/>
      <w:bookmarkEnd w:id="496"/>
      <w:bookmarkEnd w:id="497"/>
    </w:p>
    <w:p w14:paraId="710D337E">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431AC43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3BAF4FFF">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14:paraId="25140DC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FABEE09">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29164C4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2EF22">
      <w:pPr>
        <w:spacing w:line="36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第三部分  合同专用条款</w:t>
      </w:r>
    </w:p>
    <w:p w14:paraId="4E1182D5">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68964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4CC6F7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8149" w:type="dxa"/>
            <w:vAlign w:val="center"/>
          </w:tcPr>
          <w:p w14:paraId="1668E8E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18AFF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18A71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8149" w:type="dxa"/>
            <w:vAlign w:val="center"/>
          </w:tcPr>
          <w:p w14:paraId="68689CC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1.3.1</w:t>
            </w:r>
          </w:p>
        </w:tc>
      </w:tr>
      <w:tr w14:paraId="2D246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0B11C9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8149" w:type="dxa"/>
            <w:vAlign w:val="center"/>
          </w:tcPr>
          <w:p w14:paraId="693AC2F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5BDC9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C8F79C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8149" w:type="dxa"/>
            <w:vAlign w:val="center"/>
          </w:tcPr>
          <w:p w14:paraId="142FECF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否</w:t>
            </w:r>
          </w:p>
        </w:tc>
      </w:tr>
      <w:tr w14:paraId="1C797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474FC8F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1.4.1</w:t>
            </w:r>
          </w:p>
        </w:tc>
        <w:tc>
          <w:tcPr>
            <w:tcW w:w="8149" w:type="dxa"/>
            <w:vAlign w:val="center"/>
          </w:tcPr>
          <w:p w14:paraId="1D8F3AB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6CD7F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F0795D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p>
        </w:tc>
        <w:tc>
          <w:tcPr>
            <w:tcW w:w="8149" w:type="dxa"/>
            <w:vAlign w:val="center"/>
          </w:tcPr>
          <w:p w14:paraId="181815E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w:t>
            </w:r>
          </w:p>
        </w:tc>
      </w:tr>
      <w:tr w14:paraId="4EBA7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2ADA24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8149" w:type="dxa"/>
            <w:vAlign w:val="center"/>
          </w:tcPr>
          <w:p w14:paraId="6061FBB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否</w:t>
            </w:r>
          </w:p>
        </w:tc>
      </w:tr>
      <w:tr w14:paraId="27197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1D8BE9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1.5.1 </w:t>
            </w:r>
          </w:p>
        </w:tc>
        <w:tc>
          <w:tcPr>
            <w:tcW w:w="8149" w:type="dxa"/>
            <w:vAlign w:val="center"/>
          </w:tcPr>
          <w:p w14:paraId="0B7E66B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6DB16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1254611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w:t>
            </w:r>
          </w:p>
        </w:tc>
        <w:tc>
          <w:tcPr>
            <w:tcW w:w="8149" w:type="dxa"/>
            <w:vAlign w:val="center"/>
          </w:tcPr>
          <w:p w14:paraId="4B23FD9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63432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B07964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 </w:t>
            </w:r>
          </w:p>
        </w:tc>
        <w:tc>
          <w:tcPr>
            <w:tcW w:w="8149" w:type="dxa"/>
            <w:vAlign w:val="center"/>
          </w:tcPr>
          <w:p w14:paraId="2FEA65A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10983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479DEF8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w:t>
            </w:r>
          </w:p>
        </w:tc>
        <w:tc>
          <w:tcPr>
            <w:tcW w:w="8149" w:type="dxa"/>
            <w:vAlign w:val="center"/>
          </w:tcPr>
          <w:p w14:paraId="529D54A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资金支付的方式、时间和条件：按照招标文件规定方式执行</w:t>
            </w:r>
          </w:p>
        </w:tc>
      </w:tr>
      <w:tr w14:paraId="68150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647C6D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p>
        </w:tc>
        <w:tc>
          <w:tcPr>
            <w:tcW w:w="8149" w:type="dxa"/>
            <w:vAlign w:val="center"/>
          </w:tcPr>
          <w:p w14:paraId="5AAC21C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服务期限：服务期限2年（具体起止日期从签订之日算起）</w:t>
            </w:r>
            <w:r>
              <w:rPr>
                <w:rFonts w:hint="eastAsia" w:ascii="宋体" w:hAnsi="宋体" w:cs="宋体"/>
                <w:color w:val="auto"/>
                <w:sz w:val="24"/>
                <w:szCs w:val="24"/>
                <w:highlight w:val="none"/>
                <w:lang w:val="en-US" w:eastAsia="zh-CN"/>
              </w:rPr>
              <w:t>。</w:t>
            </w:r>
          </w:p>
        </w:tc>
      </w:tr>
      <w:tr w14:paraId="30773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FE6A66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p>
        </w:tc>
        <w:tc>
          <w:tcPr>
            <w:tcW w:w="8149" w:type="dxa"/>
            <w:vAlign w:val="center"/>
          </w:tcPr>
          <w:p w14:paraId="2B3BFAE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杭州市</w:t>
            </w:r>
            <w:r>
              <w:rPr>
                <w:rFonts w:hint="eastAsia" w:ascii="宋体" w:hAnsi="宋体" w:eastAsia="宋体" w:cs="宋体"/>
                <w:color w:val="auto"/>
                <w:sz w:val="24"/>
                <w:szCs w:val="24"/>
                <w:highlight w:val="none"/>
              </w:rPr>
              <w:t>萧山区北干街道育才北路508号 ,项目用地27.4亩，总建筑面积18254平方米</w:t>
            </w:r>
          </w:p>
        </w:tc>
      </w:tr>
      <w:tr w14:paraId="557AC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D66CCE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p>
        </w:tc>
        <w:tc>
          <w:tcPr>
            <w:tcW w:w="8149" w:type="dxa"/>
            <w:vAlign w:val="center"/>
          </w:tcPr>
          <w:p w14:paraId="043A4A5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服务交付（实施）的方式：按照招标文件规定方式执行</w:t>
            </w:r>
          </w:p>
        </w:tc>
      </w:tr>
      <w:tr w14:paraId="79878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4D3CCE9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1.7.4.1</w:t>
            </w:r>
          </w:p>
        </w:tc>
        <w:tc>
          <w:tcPr>
            <w:tcW w:w="8149" w:type="dxa"/>
            <w:vAlign w:val="center"/>
          </w:tcPr>
          <w:p w14:paraId="1F198B2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0DFCB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1302A67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1.7.4.2</w:t>
            </w:r>
          </w:p>
        </w:tc>
        <w:tc>
          <w:tcPr>
            <w:tcW w:w="8149" w:type="dxa"/>
            <w:vAlign w:val="center"/>
          </w:tcPr>
          <w:p w14:paraId="4A198E6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3213A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1C3202B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1.7.4.3</w:t>
            </w:r>
          </w:p>
        </w:tc>
        <w:tc>
          <w:tcPr>
            <w:tcW w:w="8149" w:type="dxa"/>
            <w:vAlign w:val="center"/>
          </w:tcPr>
          <w:p w14:paraId="24A2CD0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7535B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5E2BA03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w:t>
            </w:r>
          </w:p>
        </w:tc>
        <w:tc>
          <w:tcPr>
            <w:tcW w:w="8149" w:type="dxa"/>
            <w:vAlign w:val="center"/>
          </w:tcPr>
          <w:p w14:paraId="7184966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3D8A3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1AE64D2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8149" w:type="dxa"/>
            <w:vAlign w:val="center"/>
          </w:tcPr>
          <w:p w14:paraId="4DD93BF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0CEF6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42AB5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w:t>
            </w:r>
          </w:p>
        </w:tc>
        <w:tc>
          <w:tcPr>
            <w:tcW w:w="8149" w:type="dxa"/>
            <w:vAlign w:val="center"/>
          </w:tcPr>
          <w:p w14:paraId="353886F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所在地区</w:t>
            </w:r>
          </w:p>
        </w:tc>
      </w:tr>
      <w:tr w14:paraId="14851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5E3BE5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8149" w:type="dxa"/>
            <w:vAlign w:val="center"/>
          </w:tcPr>
          <w:p w14:paraId="7EDDD474">
            <w:pPr>
              <w:keepNext w:val="0"/>
              <w:keepLines w:val="0"/>
              <w:pageBreakBefore w:val="0"/>
              <w:widowControl w:val="0"/>
              <w:kinsoku/>
              <w:wordWrap/>
              <w:overflowPunct/>
              <w:topLinePunct w:val="0"/>
              <w:autoSpaceDE/>
              <w:autoSpaceDN/>
              <w:bidi w:val="0"/>
              <w:adjustRightInd w:val="0"/>
              <w:snapToGrid w:val="0"/>
              <w:spacing w:line="360" w:lineRule="auto"/>
              <w:ind w:left="0" w:leftChars="0" w:right="-420" w:rightChars="-20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所在地区</w:t>
            </w:r>
          </w:p>
        </w:tc>
      </w:tr>
      <w:tr w14:paraId="4B515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ECE961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2.3.2</w:t>
            </w:r>
          </w:p>
        </w:tc>
        <w:tc>
          <w:tcPr>
            <w:tcW w:w="8149" w:type="dxa"/>
            <w:vAlign w:val="center"/>
          </w:tcPr>
          <w:p w14:paraId="7F644624">
            <w:pPr>
              <w:keepNext w:val="0"/>
              <w:keepLines w:val="0"/>
              <w:pageBreakBefore w:val="0"/>
              <w:widowControl w:val="0"/>
              <w:kinsoku/>
              <w:wordWrap/>
              <w:overflowPunct/>
              <w:topLinePunct w:val="0"/>
              <w:autoSpaceDE/>
              <w:autoSpaceDN/>
              <w:bidi w:val="0"/>
              <w:adjustRightInd w:val="0"/>
              <w:snapToGrid w:val="0"/>
              <w:spacing w:line="360" w:lineRule="auto"/>
              <w:ind w:left="0" w:leftChars="0" w:right="-420" w:rightChars="-20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38D7A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E9D527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8149" w:type="dxa"/>
            <w:vAlign w:val="center"/>
          </w:tcPr>
          <w:p w14:paraId="0BBFFA4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结算方式和付款条件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按照招标文件规定方式执行</w:t>
            </w:r>
          </w:p>
        </w:tc>
      </w:tr>
      <w:tr w14:paraId="0810A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489A80D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w:t>
            </w:r>
          </w:p>
        </w:tc>
        <w:tc>
          <w:tcPr>
            <w:tcW w:w="8149" w:type="dxa"/>
            <w:vAlign w:val="center"/>
          </w:tcPr>
          <w:p w14:paraId="7579203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7B82F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tcPr>
          <w:p w14:paraId="0FC9F28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2.11.4 </w:t>
            </w:r>
          </w:p>
        </w:tc>
        <w:tc>
          <w:tcPr>
            <w:tcW w:w="8149" w:type="dxa"/>
          </w:tcPr>
          <w:p w14:paraId="2654247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6410E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F0AF67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w:t>
            </w:r>
          </w:p>
        </w:tc>
        <w:tc>
          <w:tcPr>
            <w:tcW w:w="8149" w:type="dxa"/>
            <w:vAlign w:val="center"/>
          </w:tcPr>
          <w:p w14:paraId="3890B46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乙方按照投标文件的承诺和招标文件的要求约定，甲方按照招标文件的要求</w:t>
            </w:r>
          </w:p>
        </w:tc>
      </w:tr>
      <w:tr w14:paraId="0C502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F7EBE9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2.15.3</w:t>
            </w:r>
          </w:p>
        </w:tc>
        <w:tc>
          <w:tcPr>
            <w:tcW w:w="8149" w:type="dxa"/>
            <w:vAlign w:val="center"/>
          </w:tcPr>
          <w:p w14:paraId="5D62976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检验和验收标准、程序等具体内容以及前述验收书的效力</w:t>
            </w:r>
          </w:p>
        </w:tc>
      </w:tr>
      <w:tr w14:paraId="23186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tcPr>
          <w:p w14:paraId="7CE868D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2.19</w:t>
            </w:r>
          </w:p>
        </w:tc>
        <w:tc>
          <w:tcPr>
            <w:tcW w:w="8149" w:type="dxa"/>
          </w:tcPr>
          <w:p w14:paraId="2C9918C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共计4份，双方各执2份</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按实际需求</w:t>
            </w:r>
            <w:r>
              <w:rPr>
                <w:rFonts w:hint="eastAsia" w:ascii="宋体" w:hAnsi="宋体" w:eastAsia="宋体" w:cs="宋体"/>
                <w:color w:val="auto"/>
                <w:sz w:val="24"/>
                <w:szCs w:val="24"/>
                <w:highlight w:val="none"/>
                <w:lang w:val="en-US" w:eastAsia="zh-CN"/>
              </w:rPr>
              <w:t>修改</w:t>
            </w:r>
            <w:r>
              <w:rPr>
                <w:rFonts w:hint="eastAsia" w:ascii="宋体" w:hAnsi="宋体" w:eastAsia="宋体" w:cs="宋体"/>
                <w:color w:val="auto"/>
                <w:sz w:val="24"/>
                <w:szCs w:val="24"/>
                <w:highlight w:val="none"/>
                <w:lang w:eastAsia="zh-CN"/>
              </w:rPr>
              <w:t>）</w:t>
            </w:r>
          </w:p>
        </w:tc>
      </w:tr>
    </w:tbl>
    <w:p w14:paraId="08B25158">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1F38ABA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5"/>
      <w:r>
        <w:rPr>
          <w:rFonts w:hint="eastAsia" w:ascii="宋体" w:hAnsi="宋体" w:cs="宋体"/>
          <w:b/>
          <w:color w:val="auto"/>
          <w:sz w:val="36"/>
          <w:szCs w:val="20"/>
          <w:highlight w:val="none"/>
        </w:rPr>
        <w:t xml:space="preserve"> </w:t>
      </w:r>
      <w:bookmarkEnd w:id="396"/>
      <w:r>
        <w:rPr>
          <w:rFonts w:hint="eastAsia" w:ascii="宋体" w:hAnsi="宋体" w:cs="宋体"/>
          <w:b/>
          <w:color w:val="auto"/>
          <w:sz w:val="36"/>
          <w:szCs w:val="20"/>
          <w:highlight w:val="none"/>
        </w:rPr>
        <w:t>应提交的有关格式范例</w:t>
      </w:r>
    </w:p>
    <w:p w14:paraId="61D6D10D">
      <w:pPr>
        <w:spacing w:line="360" w:lineRule="auto"/>
        <w:jc w:val="center"/>
        <w:outlineLvl w:val="0"/>
        <w:rPr>
          <w:rFonts w:ascii="宋体" w:hAnsi="宋体" w:cs="宋体"/>
          <w:b/>
          <w:color w:val="auto"/>
          <w:kern w:val="0"/>
          <w:sz w:val="36"/>
          <w:szCs w:val="36"/>
          <w:highlight w:val="none"/>
        </w:rPr>
      </w:pPr>
    </w:p>
    <w:p w14:paraId="7D2ABB3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26351C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9C126AF">
      <w:pPr>
        <w:spacing w:line="360" w:lineRule="auto"/>
        <w:jc w:val="center"/>
        <w:outlineLvl w:val="0"/>
        <w:rPr>
          <w:rFonts w:ascii="宋体" w:hAnsi="宋体" w:cs="宋体"/>
          <w:b/>
          <w:color w:val="auto"/>
          <w:kern w:val="0"/>
          <w:sz w:val="36"/>
          <w:szCs w:val="36"/>
          <w:highlight w:val="none"/>
        </w:rPr>
      </w:pPr>
    </w:p>
    <w:p w14:paraId="6B721D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59F00ED">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497D00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2BFD88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7F3848A">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EC975F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02E6CB3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ED4DD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6058A629">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77F83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11D5F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BB962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68203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94727D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98DDA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4E521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1C07C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0D7096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4ABF0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E62C17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2A69C23">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F5C3F7C">
      <w:pPr>
        <w:snapToGrid w:val="0"/>
        <w:spacing w:line="360" w:lineRule="auto"/>
        <w:ind w:right="480" w:firstLine="559" w:firstLineChars="233"/>
        <w:jc w:val="left"/>
        <w:rPr>
          <w:rFonts w:ascii="宋体" w:hAnsi="宋体" w:cs="宋体"/>
          <w:color w:val="auto"/>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2B26610">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63F44A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EC29DC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55BA14D">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1B025E5">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96C7EF">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14:paraId="173885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815A81E">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24059DC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B3594B5">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5CBFB612">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FBA6651">
      <w:pPr>
        <w:spacing w:line="360" w:lineRule="auto"/>
        <w:jc w:val="center"/>
        <w:outlineLvl w:val="0"/>
        <w:rPr>
          <w:rFonts w:ascii="宋体" w:hAnsi="宋体" w:cs="宋体"/>
          <w:b/>
          <w:color w:val="auto"/>
          <w:kern w:val="0"/>
          <w:sz w:val="24"/>
          <w:highlight w:val="none"/>
        </w:rPr>
      </w:pPr>
    </w:p>
    <w:p w14:paraId="37EF67D3">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FDE7B7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04530DE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2D1B4FC">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3F7A21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F1AB99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281E6D1">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873B21B">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060F6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E1E56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1FE973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755286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B6975F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30CE17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844B7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98" w:name="_Hlk101257010"/>
      <w:r>
        <w:rPr>
          <w:rFonts w:hint="eastAsia" w:ascii="宋体" w:hAnsi="宋体" w:cs="宋体"/>
          <w:color w:val="auto"/>
          <w:sz w:val="24"/>
          <w:highlight w:val="none"/>
        </w:rPr>
        <w:t>（如果有)</w:t>
      </w:r>
      <w:bookmarkEnd w:id="498"/>
      <w:r>
        <w:rPr>
          <w:rFonts w:hint="eastAsia" w:ascii="宋体" w:hAnsi="宋体" w:cs="宋体"/>
          <w:snapToGrid w:val="0"/>
          <w:color w:val="auto"/>
          <w:kern w:val="28"/>
          <w:sz w:val="24"/>
          <w:szCs w:val="20"/>
          <w:highlight w:val="none"/>
        </w:rPr>
        <w:t>；</w:t>
      </w:r>
    </w:p>
    <w:p w14:paraId="0A73779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2C80E4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076B9B09">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ABCD81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76D10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C53769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57C1AEB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01509B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A5587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835E88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752E9E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B2A00B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135794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793C38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0034E2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5D79B42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074577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021A3C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A702F7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4CFD11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8B14E1E">
      <w:pPr>
        <w:numPr>
          <w:ilvl w:val="0"/>
          <w:numId w:val="15"/>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E88BA79">
      <w:pPr>
        <w:numPr>
          <w:ilvl w:val="0"/>
          <w:numId w:val="15"/>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4F9DA5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C43B7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729E11E">
      <w:pPr>
        <w:snapToGrid w:val="0"/>
        <w:spacing w:line="360" w:lineRule="auto"/>
        <w:ind w:left="420" w:leftChars="200" w:firstLine="4200" w:firstLineChars="1750"/>
        <w:rPr>
          <w:rFonts w:ascii="宋体" w:hAnsi="宋体" w:cs="宋体"/>
          <w:color w:val="auto"/>
          <w:kern w:val="0"/>
          <w:sz w:val="24"/>
          <w:highlight w:val="none"/>
          <w:u w:val="single"/>
        </w:rPr>
      </w:pPr>
    </w:p>
    <w:p w14:paraId="21E8056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338CB74">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FEEB960">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FFCE1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43A14053">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303FA35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6F9F8B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82E676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3F377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301294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F486D80">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396F736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316A9FE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E91B54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A6B196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7A8A900">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2E6FF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21D607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7117A5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145417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EA9302">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44991C21">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475DE05">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5E4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BC3228B">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918EF40">
            <w:pPr>
              <w:pStyle w:val="146"/>
              <w:adjustRightInd w:val="0"/>
              <w:spacing w:line="360" w:lineRule="auto"/>
              <w:rPr>
                <w:rFonts w:hAnsi="宋体" w:cs="宋体"/>
                <w:bCs/>
                <w:color w:val="auto"/>
                <w:sz w:val="24"/>
                <w:highlight w:val="none"/>
              </w:rPr>
            </w:pPr>
          </w:p>
        </w:tc>
      </w:tr>
    </w:tbl>
    <w:p w14:paraId="1F44C27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C2C10A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7147F5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9EB3C46">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88DEA8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A30516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2F2DB043">
      <w:pPr>
        <w:snapToGrid w:val="0"/>
        <w:spacing w:line="360" w:lineRule="auto"/>
        <w:rPr>
          <w:rFonts w:ascii="宋体" w:hAnsi="宋体" w:cs="宋体"/>
          <w:color w:val="auto"/>
          <w:kern w:val="0"/>
          <w:sz w:val="24"/>
          <w:highlight w:val="none"/>
        </w:rPr>
      </w:pPr>
    </w:p>
    <w:p w14:paraId="4061DE9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ECFAE29">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BCE2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65A84A4">
            <w:pPr>
              <w:snapToGrid w:val="0"/>
              <w:spacing w:line="240" w:lineRule="atLeast"/>
              <w:jc w:val="center"/>
              <w:rPr>
                <w:rFonts w:ascii="宋体" w:hAnsi="宋体" w:cs="宋体"/>
                <w:b w:val="0"/>
                <w:bCs/>
                <w:color w:val="auto"/>
                <w:sz w:val="24"/>
                <w:highlight w:val="none"/>
              </w:rPr>
            </w:pPr>
            <w:r>
              <w:rPr>
                <w:rFonts w:hint="eastAsia" w:ascii="宋体" w:hAnsi="宋体" w:cs="宋体"/>
                <w:b/>
                <w:color w:val="auto"/>
                <w:sz w:val="24"/>
                <w:highlight w:val="none"/>
              </w:rPr>
              <w:t>序号</w:t>
            </w:r>
          </w:p>
        </w:tc>
        <w:tc>
          <w:tcPr>
            <w:tcW w:w="4991" w:type="dxa"/>
            <w:vAlign w:val="center"/>
          </w:tcPr>
          <w:p w14:paraId="32FE0987">
            <w:pPr>
              <w:snapToGrid w:val="0"/>
              <w:spacing w:line="240" w:lineRule="atLeast"/>
              <w:jc w:val="center"/>
              <w:rPr>
                <w:rFonts w:ascii="宋体" w:hAnsi="宋体" w:cs="宋体"/>
                <w:b w:val="0"/>
                <w:bCs/>
                <w:color w:val="auto"/>
                <w:sz w:val="24"/>
                <w:highlight w:val="none"/>
              </w:rPr>
            </w:pPr>
            <w:r>
              <w:rPr>
                <w:rFonts w:hint="eastAsia" w:ascii="宋体" w:hAnsi="宋体" w:cs="宋体"/>
                <w:b/>
                <w:color w:val="auto"/>
                <w:sz w:val="24"/>
                <w:highlight w:val="none"/>
              </w:rPr>
              <w:t>实质性要求</w:t>
            </w:r>
          </w:p>
        </w:tc>
        <w:tc>
          <w:tcPr>
            <w:tcW w:w="2551" w:type="dxa"/>
            <w:vAlign w:val="center"/>
          </w:tcPr>
          <w:p w14:paraId="7BBF8AF5">
            <w:pPr>
              <w:snapToGrid w:val="0"/>
              <w:spacing w:line="240" w:lineRule="atLeast"/>
              <w:jc w:val="center"/>
              <w:rPr>
                <w:rFonts w:ascii="宋体" w:hAnsi="宋体" w:cs="宋体"/>
                <w:b w:val="0"/>
                <w:bCs/>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BED910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B034593">
            <w:pPr>
              <w:snapToGrid w:val="0"/>
              <w:spacing w:line="240" w:lineRule="atLeast"/>
              <w:jc w:val="center"/>
              <w:rPr>
                <w:rFonts w:ascii="宋体" w:hAnsi="宋体" w:cs="宋体"/>
                <w:b w:val="0"/>
                <w:bCs/>
                <w:color w:val="auto"/>
                <w:sz w:val="24"/>
                <w:highlight w:val="none"/>
              </w:rPr>
            </w:pPr>
            <w:r>
              <w:rPr>
                <w:rFonts w:hint="eastAsia" w:ascii="宋体" w:hAnsi="宋体" w:cs="宋体"/>
                <w:b/>
                <w:color w:val="auto"/>
                <w:sz w:val="24"/>
                <w:highlight w:val="none"/>
              </w:rPr>
              <w:t>页码位置</w:t>
            </w:r>
          </w:p>
        </w:tc>
      </w:tr>
      <w:tr w14:paraId="706A7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5983A7">
            <w:pPr>
              <w:jc w:val="center"/>
              <w:rPr>
                <w:rFonts w:ascii="宋体" w:hAnsi="宋体" w:cs="宋体"/>
                <w:b w:val="0"/>
                <w:bCs/>
                <w:color w:val="auto"/>
                <w:sz w:val="24"/>
                <w:highlight w:val="none"/>
              </w:rPr>
            </w:pPr>
            <w:r>
              <w:rPr>
                <w:rFonts w:hint="eastAsia" w:ascii="宋体" w:hAnsi="宋体" w:cs="宋体"/>
                <w:color w:val="auto"/>
                <w:sz w:val="24"/>
                <w:highlight w:val="none"/>
              </w:rPr>
              <w:t>1</w:t>
            </w:r>
          </w:p>
        </w:tc>
        <w:tc>
          <w:tcPr>
            <w:tcW w:w="4991" w:type="dxa"/>
            <w:vAlign w:val="top"/>
          </w:tcPr>
          <w:p w14:paraId="003009A5">
            <w:pPr>
              <w:spacing w:line="360" w:lineRule="auto"/>
              <w:rPr>
                <w:rFonts w:ascii="宋体" w:hAnsi="宋体" w:cs="宋体"/>
                <w:b w:val="0"/>
                <w:bCs/>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1B8990D">
            <w:pPr>
              <w:rPr>
                <w:rFonts w:ascii="宋体" w:hAnsi="宋体" w:cs="宋体"/>
                <w:b w:val="0"/>
                <w:bCs/>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6D4F8478">
            <w:pPr>
              <w:rPr>
                <w:rFonts w:ascii="宋体" w:hAnsi="宋体" w:cs="宋体"/>
                <w:color w:val="auto"/>
                <w:sz w:val="24"/>
                <w:highlight w:val="none"/>
              </w:rPr>
            </w:pPr>
          </w:p>
          <w:p w14:paraId="0363C6A6">
            <w:pPr>
              <w:rPr>
                <w:rFonts w:ascii="宋体" w:hAnsi="宋体" w:cs="宋体"/>
                <w:color w:val="auto"/>
                <w:sz w:val="24"/>
                <w:highlight w:val="none"/>
              </w:rPr>
            </w:pPr>
            <w:r>
              <w:rPr>
                <w:rFonts w:hint="eastAsia" w:ascii="宋体" w:hAnsi="宋体" w:cs="宋体"/>
                <w:color w:val="auto"/>
                <w:sz w:val="24"/>
                <w:highlight w:val="none"/>
              </w:rPr>
              <w:t>见投标文件</w:t>
            </w:r>
          </w:p>
          <w:p w14:paraId="778EE539">
            <w:pPr>
              <w:rPr>
                <w:rFonts w:ascii="宋体" w:hAnsi="宋体" w:cs="宋体"/>
                <w:b w:val="0"/>
                <w:bCs/>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128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44CF91">
            <w:pPr>
              <w:jc w:val="center"/>
              <w:rPr>
                <w:rFonts w:ascii="宋体" w:hAnsi="宋体" w:cs="宋体"/>
                <w:b w:val="0"/>
                <w:bCs/>
                <w:color w:val="auto"/>
                <w:sz w:val="24"/>
                <w:highlight w:val="none"/>
              </w:rPr>
            </w:pPr>
            <w:r>
              <w:rPr>
                <w:rFonts w:hint="eastAsia" w:ascii="宋体" w:hAnsi="宋体" w:cs="宋体"/>
                <w:color w:val="auto"/>
                <w:sz w:val="24"/>
                <w:highlight w:val="none"/>
              </w:rPr>
              <w:t>2</w:t>
            </w:r>
          </w:p>
        </w:tc>
        <w:tc>
          <w:tcPr>
            <w:tcW w:w="4991" w:type="dxa"/>
            <w:vAlign w:val="top"/>
          </w:tcPr>
          <w:p w14:paraId="12BF2BAD">
            <w:pPr>
              <w:spacing w:line="360" w:lineRule="auto"/>
              <w:rPr>
                <w:rFonts w:ascii="宋体" w:hAnsi="宋体" w:cs="宋体"/>
                <w:b w:val="0"/>
                <w:bCs/>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73B75CE">
            <w:pPr>
              <w:rPr>
                <w:rFonts w:ascii="宋体" w:hAnsi="宋体" w:cs="宋体"/>
                <w:b w:val="0"/>
                <w:bCs/>
                <w:color w:val="auto"/>
                <w:sz w:val="24"/>
                <w:highlight w:val="none"/>
              </w:rPr>
            </w:pPr>
            <w:r>
              <w:rPr>
                <w:rFonts w:hint="eastAsia" w:ascii="宋体" w:hAnsi="宋体" w:cs="宋体"/>
                <w:color w:val="auto"/>
                <w:sz w:val="24"/>
                <w:highlight w:val="none"/>
              </w:rPr>
              <w:t>投标函</w:t>
            </w:r>
          </w:p>
        </w:tc>
        <w:tc>
          <w:tcPr>
            <w:tcW w:w="1418" w:type="dxa"/>
            <w:vAlign w:val="top"/>
          </w:tcPr>
          <w:p w14:paraId="52FB5570">
            <w:pPr>
              <w:rPr>
                <w:rFonts w:ascii="宋体" w:hAnsi="宋体" w:cs="宋体"/>
                <w:b w:val="0"/>
                <w:bCs/>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C87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78DCFF">
            <w:pPr>
              <w:jc w:val="center"/>
              <w:rPr>
                <w:rFonts w:ascii="宋体" w:hAnsi="宋体" w:cs="宋体"/>
                <w:b w:val="0"/>
                <w:bCs/>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29903D02">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25EA0F57">
            <w:pPr>
              <w:spacing w:line="360" w:lineRule="auto"/>
              <w:rPr>
                <w:rFonts w:ascii="宋体" w:hAnsi="宋体" w:cs="宋体"/>
                <w:b w:val="0"/>
                <w:bCs/>
                <w:color w:val="auto"/>
                <w:sz w:val="24"/>
                <w:highlight w:val="none"/>
              </w:rPr>
            </w:pPr>
          </w:p>
        </w:tc>
        <w:tc>
          <w:tcPr>
            <w:tcW w:w="2551" w:type="dxa"/>
            <w:vAlign w:val="center"/>
          </w:tcPr>
          <w:p w14:paraId="14E2D3CF">
            <w:pPr>
              <w:rPr>
                <w:rFonts w:ascii="宋体" w:hAnsi="宋体" w:cs="宋体"/>
                <w:b w:val="0"/>
                <w:bCs/>
                <w:color w:val="auto"/>
                <w:sz w:val="24"/>
                <w:highlight w:val="none"/>
              </w:rPr>
            </w:pPr>
            <w:r>
              <w:rPr>
                <w:rFonts w:hint="eastAsia" w:ascii="宋体" w:hAnsi="宋体" w:cs="宋体"/>
                <w:b w:val="0"/>
                <w:bCs w:val="0"/>
                <w:color w:val="auto"/>
                <w:sz w:val="24"/>
                <w:highlight w:val="none"/>
                <w:lang w:val="en-US" w:eastAsia="zh-CN"/>
              </w:rPr>
              <w:t>投标文件</w:t>
            </w:r>
          </w:p>
        </w:tc>
        <w:tc>
          <w:tcPr>
            <w:tcW w:w="1418" w:type="dxa"/>
            <w:vAlign w:val="top"/>
          </w:tcPr>
          <w:p w14:paraId="324535B9">
            <w:pPr>
              <w:rPr>
                <w:rFonts w:ascii="宋体" w:hAnsi="宋体" w:cs="宋体"/>
                <w:b w:val="0"/>
                <w:bCs/>
                <w:color w:val="auto"/>
                <w:highlight w:val="none"/>
              </w:rPr>
            </w:pPr>
            <w:r>
              <w:rPr>
                <w:rFonts w:hint="eastAsia" w:ascii="宋体" w:hAnsi="宋体" w:cs="宋体"/>
                <w:b w:val="0"/>
                <w:bCs w:val="0"/>
                <w:color w:val="auto"/>
                <w:sz w:val="24"/>
                <w:highlight w:val="none"/>
                <w:lang w:val="en-US" w:eastAsia="zh-CN"/>
              </w:rPr>
              <w:t>/</w:t>
            </w:r>
          </w:p>
        </w:tc>
      </w:tr>
      <w:tr w14:paraId="3EB7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D27954">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67346064">
            <w:pPr>
              <w:spacing w:line="360" w:lineRule="auto"/>
              <w:rPr>
                <w:rFonts w:ascii="宋体" w:hAnsi="宋体" w:cs="宋体"/>
                <w:b/>
                <w:bCs/>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151D2A7">
            <w:pPr>
              <w:rPr>
                <w:rFonts w:hint="eastAsia" w:ascii="宋体" w:hAnsi="宋体" w:cs="宋体"/>
                <w:b/>
                <w:bCs/>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68979249">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4AF47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3B7ED0">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2C388117">
            <w:pPr>
              <w:spacing w:line="360" w:lineRule="auto"/>
              <w:rPr>
                <w:rFonts w:ascii="宋体" w:hAnsi="宋体" w:cs="宋体"/>
                <w:b/>
                <w:bCs/>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4E9C7AFD">
            <w:pPr>
              <w:rPr>
                <w:rFonts w:hint="eastAsia" w:ascii="宋体" w:hAnsi="宋体" w:cs="宋体"/>
                <w:b/>
                <w:bCs/>
                <w:color w:val="auto"/>
                <w:sz w:val="24"/>
                <w:highlight w:val="none"/>
                <w:lang w:val="en-US" w:eastAsia="zh-CN"/>
              </w:rPr>
            </w:pPr>
          </w:p>
        </w:tc>
        <w:tc>
          <w:tcPr>
            <w:tcW w:w="1418" w:type="dxa"/>
            <w:vAlign w:val="top"/>
          </w:tcPr>
          <w:p w14:paraId="3BF9287E">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72A24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57538D">
            <w:pPr>
              <w:jc w:val="center"/>
              <w:rPr>
                <w:rFonts w:hint="eastAsia" w:ascii="宋体" w:hAnsi="宋体" w:cs="宋体"/>
                <w:b/>
                <w:bCs/>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7DA9F164">
            <w:pPr>
              <w:spacing w:line="360" w:lineRule="auto"/>
              <w:rPr>
                <w:rFonts w:ascii="宋体" w:hAnsi="宋体" w:cs="宋体"/>
                <w:b/>
                <w:bCs/>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655169A9">
            <w:pPr>
              <w:rPr>
                <w:rFonts w:hint="eastAsia" w:ascii="宋体" w:hAnsi="宋体" w:cs="宋体"/>
                <w:b/>
                <w:bCs/>
                <w:color w:val="auto"/>
                <w:sz w:val="24"/>
                <w:highlight w:val="none"/>
                <w:lang w:val="en-US" w:eastAsia="zh-CN"/>
              </w:rPr>
            </w:pPr>
          </w:p>
        </w:tc>
        <w:tc>
          <w:tcPr>
            <w:tcW w:w="1418" w:type="dxa"/>
            <w:vAlign w:val="top"/>
          </w:tcPr>
          <w:p w14:paraId="225D920A">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3BB27D0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ABA3594">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4B5EBCEF">
      <w:pPr>
        <w:snapToGrid w:val="0"/>
        <w:spacing w:line="360" w:lineRule="auto"/>
        <w:jc w:val="left"/>
        <w:rPr>
          <w:rFonts w:ascii="宋体" w:hAnsi="宋体" w:cs="宋体"/>
          <w:b w:val="0"/>
          <w:bCs/>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AAE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00D20DD">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43D01487">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1B3CCF48">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08D4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6429C7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714B79B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39FB95A">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7779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F552AE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7CDD86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3B5CD5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358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20DD5CE">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2F2862B8">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4E0F2E82">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57BF1D83">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7EF3026">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3C5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1FDB3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BB89A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E2CBAB7">
            <w:pPr>
              <w:spacing w:line="360" w:lineRule="auto"/>
              <w:jc w:val="center"/>
              <w:rPr>
                <w:rFonts w:ascii="宋体" w:hAnsi="宋体" w:cs="宋体"/>
                <w:b/>
                <w:color w:val="auto"/>
                <w:sz w:val="24"/>
                <w:highlight w:val="none"/>
              </w:rPr>
            </w:pPr>
          </w:p>
          <w:p w14:paraId="6A4CC9F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2BEB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C9D5B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70434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824E864">
            <w:pPr>
              <w:spacing w:line="360" w:lineRule="auto"/>
              <w:jc w:val="center"/>
              <w:rPr>
                <w:rFonts w:ascii="宋体" w:hAnsi="宋体" w:cs="宋体"/>
                <w:b/>
                <w:color w:val="auto"/>
                <w:sz w:val="24"/>
                <w:highlight w:val="none"/>
              </w:rPr>
            </w:pPr>
          </w:p>
          <w:p w14:paraId="00D7E2D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1E19039">
            <w:pPr>
              <w:spacing w:line="360" w:lineRule="auto"/>
              <w:jc w:val="center"/>
              <w:rPr>
                <w:rFonts w:ascii="宋体" w:hAnsi="宋体" w:cs="宋体"/>
                <w:b/>
                <w:color w:val="auto"/>
                <w:sz w:val="24"/>
                <w:highlight w:val="none"/>
              </w:rPr>
            </w:pPr>
          </w:p>
        </w:tc>
      </w:tr>
      <w:tr w14:paraId="2D2E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B2F7BB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0BDC455">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16E22D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C5B7E7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98D87B3">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9FEA6DF">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2218F7C">
            <w:pPr>
              <w:spacing w:line="360" w:lineRule="auto"/>
              <w:jc w:val="center"/>
              <w:rPr>
                <w:rFonts w:ascii="宋体" w:hAnsi="宋体" w:cs="宋体"/>
                <w:color w:val="auto"/>
                <w:sz w:val="24"/>
                <w:highlight w:val="none"/>
              </w:rPr>
            </w:pPr>
          </w:p>
        </w:tc>
      </w:tr>
      <w:tr w14:paraId="3E46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A52DC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43031A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6375EC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356C20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0C5C396">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49D43F6">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8884C46">
            <w:pPr>
              <w:spacing w:line="360" w:lineRule="auto"/>
              <w:jc w:val="center"/>
              <w:rPr>
                <w:rFonts w:ascii="宋体" w:hAnsi="宋体" w:cs="宋体"/>
                <w:color w:val="auto"/>
                <w:sz w:val="24"/>
                <w:highlight w:val="none"/>
              </w:rPr>
            </w:pPr>
          </w:p>
        </w:tc>
      </w:tr>
      <w:tr w14:paraId="764F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BC265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57D22A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3217A6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4DEF21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2ED6B1C">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285D91F">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F2D9936">
            <w:pPr>
              <w:spacing w:line="360" w:lineRule="auto"/>
              <w:jc w:val="center"/>
              <w:rPr>
                <w:rFonts w:ascii="宋体" w:hAnsi="宋体" w:cs="宋体"/>
                <w:color w:val="auto"/>
                <w:sz w:val="24"/>
                <w:highlight w:val="none"/>
              </w:rPr>
            </w:pPr>
          </w:p>
        </w:tc>
      </w:tr>
    </w:tbl>
    <w:p w14:paraId="16B98C8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0783383">
      <w:pPr>
        <w:jc w:val="center"/>
        <w:rPr>
          <w:rFonts w:ascii="宋体" w:hAnsi="宋体" w:cs="宋体"/>
          <w:b/>
          <w:color w:val="auto"/>
          <w:kern w:val="0"/>
          <w:sz w:val="32"/>
          <w:szCs w:val="32"/>
          <w:highlight w:val="none"/>
        </w:rPr>
      </w:pPr>
    </w:p>
    <w:p w14:paraId="26C28B3C">
      <w:pPr>
        <w:jc w:val="center"/>
        <w:rPr>
          <w:rFonts w:ascii="宋体" w:hAnsi="宋体" w:cs="宋体"/>
          <w:b/>
          <w:color w:val="auto"/>
          <w:kern w:val="0"/>
          <w:sz w:val="32"/>
          <w:szCs w:val="32"/>
          <w:highlight w:val="none"/>
        </w:rPr>
      </w:pPr>
    </w:p>
    <w:p w14:paraId="3C8F79B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6DF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9A9FDF">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3DF32FCA">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AD1F13A">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2D7DFAA">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C29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C65036">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16388005">
            <w:pPr>
              <w:jc w:val="center"/>
              <w:rPr>
                <w:rFonts w:ascii="宋体" w:hAnsi="宋体" w:cs="宋体"/>
                <w:b/>
                <w:color w:val="auto"/>
                <w:kern w:val="0"/>
                <w:sz w:val="32"/>
                <w:szCs w:val="32"/>
                <w:highlight w:val="none"/>
              </w:rPr>
            </w:pPr>
          </w:p>
        </w:tc>
        <w:tc>
          <w:tcPr>
            <w:tcW w:w="3546" w:type="dxa"/>
          </w:tcPr>
          <w:p w14:paraId="478F916C">
            <w:pPr>
              <w:jc w:val="center"/>
              <w:rPr>
                <w:rFonts w:ascii="宋体" w:hAnsi="宋体" w:cs="宋体"/>
                <w:b/>
                <w:color w:val="auto"/>
                <w:kern w:val="0"/>
                <w:sz w:val="32"/>
                <w:szCs w:val="32"/>
                <w:highlight w:val="none"/>
              </w:rPr>
            </w:pPr>
          </w:p>
        </w:tc>
        <w:tc>
          <w:tcPr>
            <w:tcW w:w="1276" w:type="dxa"/>
          </w:tcPr>
          <w:p w14:paraId="38101907">
            <w:pPr>
              <w:jc w:val="center"/>
              <w:rPr>
                <w:rFonts w:ascii="宋体" w:hAnsi="宋体" w:cs="宋体"/>
                <w:b/>
                <w:color w:val="auto"/>
                <w:kern w:val="0"/>
                <w:sz w:val="32"/>
                <w:szCs w:val="32"/>
                <w:highlight w:val="none"/>
              </w:rPr>
            </w:pPr>
          </w:p>
        </w:tc>
      </w:tr>
      <w:tr w14:paraId="15BA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08A9C5">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6589525D">
            <w:pPr>
              <w:jc w:val="center"/>
              <w:rPr>
                <w:rFonts w:ascii="宋体" w:hAnsi="宋体" w:cs="宋体"/>
                <w:b/>
                <w:color w:val="auto"/>
                <w:kern w:val="0"/>
                <w:sz w:val="32"/>
                <w:szCs w:val="32"/>
                <w:highlight w:val="none"/>
              </w:rPr>
            </w:pPr>
          </w:p>
        </w:tc>
        <w:tc>
          <w:tcPr>
            <w:tcW w:w="3546" w:type="dxa"/>
          </w:tcPr>
          <w:p w14:paraId="7FC829F7">
            <w:pPr>
              <w:jc w:val="center"/>
              <w:rPr>
                <w:rFonts w:ascii="宋体" w:hAnsi="宋体" w:cs="宋体"/>
                <w:b/>
                <w:color w:val="auto"/>
                <w:kern w:val="0"/>
                <w:sz w:val="32"/>
                <w:szCs w:val="32"/>
                <w:highlight w:val="none"/>
              </w:rPr>
            </w:pPr>
          </w:p>
        </w:tc>
        <w:tc>
          <w:tcPr>
            <w:tcW w:w="1276" w:type="dxa"/>
          </w:tcPr>
          <w:p w14:paraId="596E9589">
            <w:pPr>
              <w:jc w:val="center"/>
              <w:rPr>
                <w:rFonts w:ascii="宋体" w:hAnsi="宋体" w:cs="宋体"/>
                <w:b/>
                <w:color w:val="auto"/>
                <w:kern w:val="0"/>
                <w:sz w:val="32"/>
                <w:szCs w:val="32"/>
                <w:highlight w:val="none"/>
              </w:rPr>
            </w:pPr>
          </w:p>
        </w:tc>
      </w:tr>
      <w:tr w14:paraId="4E89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C76221">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6EF7CE4">
            <w:pPr>
              <w:jc w:val="center"/>
              <w:rPr>
                <w:rFonts w:ascii="宋体" w:hAnsi="宋体" w:cs="宋体"/>
                <w:b/>
                <w:color w:val="auto"/>
                <w:kern w:val="0"/>
                <w:sz w:val="32"/>
                <w:szCs w:val="32"/>
                <w:highlight w:val="none"/>
              </w:rPr>
            </w:pPr>
          </w:p>
        </w:tc>
        <w:tc>
          <w:tcPr>
            <w:tcW w:w="3546" w:type="dxa"/>
          </w:tcPr>
          <w:p w14:paraId="119EA24F">
            <w:pPr>
              <w:jc w:val="center"/>
              <w:rPr>
                <w:rFonts w:ascii="宋体" w:hAnsi="宋体" w:cs="宋体"/>
                <w:b/>
                <w:color w:val="auto"/>
                <w:kern w:val="0"/>
                <w:sz w:val="32"/>
                <w:szCs w:val="32"/>
                <w:highlight w:val="none"/>
              </w:rPr>
            </w:pPr>
          </w:p>
        </w:tc>
        <w:tc>
          <w:tcPr>
            <w:tcW w:w="1276" w:type="dxa"/>
          </w:tcPr>
          <w:p w14:paraId="2F1A871C">
            <w:pPr>
              <w:jc w:val="center"/>
              <w:rPr>
                <w:rFonts w:ascii="宋体" w:hAnsi="宋体" w:cs="宋体"/>
                <w:b/>
                <w:color w:val="auto"/>
                <w:kern w:val="0"/>
                <w:sz w:val="32"/>
                <w:szCs w:val="32"/>
                <w:highlight w:val="none"/>
              </w:rPr>
            </w:pPr>
          </w:p>
        </w:tc>
      </w:tr>
    </w:tbl>
    <w:p w14:paraId="7983F0C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6D25929F">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1100C92B">
      <w:pPr>
        <w:numPr>
          <w:ilvl w:val="0"/>
          <w:numId w:val="0"/>
        </w:numPr>
        <w:spacing w:line="360" w:lineRule="auto"/>
        <w:ind w:right="420"/>
        <w:rPr>
          <w:color w:val="auto"/>
          <w:highlight w:val="none"/>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6B42938E">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048431F0">
      <w:pPr>
        <w:widowControl/>
        <w:adjustRightInd/>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2241551">
      <w:pPr>
        <w:snapToGrid w:val="0"/>
        <w:spacing w:line="360" w:lineRule="auto"/>
        <w:rPr>
          <w:rFonts w:ascii="宋体" w:hAnsi="宋体" w:cs="宋体"/>
          <w:color w:val="auto"/>
          <w:sz w:val="24"/>
          <w:highlight w:val="none"/>
        </w:rPr>
      </w:pPr>
    </w:p>
    <w:p w14:paraId="2386871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2DD63E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4E32CA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78C604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3F4CD3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788954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4A4380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B43CBA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365328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BBDFBF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F6BD50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5F7828C">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E025510">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5400624">
      <w:pPr>
        <w:spacing w:line="360" w:lineRule="auto"/>
        <w:jc w:val="center"/>
        <w:rPr>
          <w:rFonts w:ascii="宋体" w:hAnsi="宋体" w:cs="宋体"/>
          <w:b/>
          <w:bCs/>
          <w:color w:val="auto"/>
          <w:sz w:val="24"/>
          <w:highlight w:val="none"/>
        </w:rPr>
      </w:pPr>
    </w:p>
    <w:p w14:paraId="389C9BE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586F151">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126FC26D">
      <w:pPr>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5CB5EC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A94F062">
      <w:pPr>
        <w:spacing w:line="360" w:lineRule="auto"/>
        <w:jc w:val="center"/>
        <w:outlineLvl w:val="0"/>
        <w:rPr>
          <w:rFonts w:ascii="宋体" w:hAnsi="宋体" w:cs="宋体"/>
          <w:b/>
          <w:color w:val="auto"/>
          <w:kern w:val="0"/>
          <w:sz w:val="36"/>
          <w:szCs w:val="36"/>
          <w:highlight w:val="none"/>
        </w:rPr>
      </w:pPr>
    </w:p>
    <w:p w14:paraId="50A9AFE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78CA88F6">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21C855F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7990D74B">
      <w:pPr>
        <w:rPr>
          <w:rFonts w:hint="eastAsia" w:ascii="宋体" w:hAnsi="宋体" w:eastAsia="宋体" w:cs="宋体"/>
          <w:color w:val="auto"/>
          <w:kern w:val="2"/>
          <w:sz w:val="32"/>
          <w:szCs w:val="32"/>
          <w:highlight w:val="none"/>
        </w:rPr>
        <w:sectPr>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kern w:val="2"/>
          <w:sz w:val="32"/>
          <w:szCs w:val="32"/>
          <w:highlight w:val="none"/>
        </w:rPr>
        <w:br w:type="page"/>
      </w:r>
    </w:p>
    <w:p w14:paraId="64890053">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18BA9D7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F720A64">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7BD8B86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AA3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03133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486F05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37F2FFEE">
            <w:pPr>
              <w:spacing w:line="360" w:lineRule="auto"/>
              <w:jc w:val="center"/>
              <w:rPr>
                <w:rFonts w:ascii="宋体" w:hAnsi="宋体" w:cs="宋体"/>
                <w:b/>
                <w:color w:val="auto"/>
                <w:sz w:val="24"/>
                <w:highlight w:val="none"/>
              </w:rPr>
            </w:pPr>
          </w:p>
          <w:p w14:paraId="2ECA58B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5A75D8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5485DFB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1D92702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3AB26A0B">
            <w:pPr>
              <w:spacing w:line="360" w:lineRule="auto"/>
              <w:jc w:val="center"/>
              <w:rPr>
                <w:rFonts w:ascii="宋体" w:hAnsi="宋体" w:cs="宋体"/>
                <w:b/>
                <w:color w:val="auto"/>
                <w:sz w:val="24"/>
                <w:highlight w:val="none"/>
              </w:rPr>
            </w:pPr>
          </w:p>
          <w:p w14:paraId="0AC7C8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0F9D6378">
            <w:pPr>
              <w:spacing w:line="360" w:lineRule="auto"/>
              <w:jc w:val="center"/>
              <w:rPr>
                <w:rFonts w:ascii="宋体" w:hAnsi="宋体" w:cs="宋体"/>
                <w:b/>
                <w:color w:val="auto"/>
                <w:sz w:val="24"/>
                <w:highlight w:val="none"/>
              </w:rPr>
            </w:pPr>
          </w:p>
          <w:p w14:paraId="5F3E567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D26531E">
            <w:pPr>
              <w:spacing w:line="360" w:lineRule="auto"/>
              <w:jc w:val="center"/>
              <w:rPr>
                <w:rFonts w:ascii="宋体" w:hAnsi="宋体" w:cs="宋体"/>
                <w:b/>
                <w:color w:val="auto"/>
                <w:sz w:val="24"/>
                <w:highlight w:val="none"/>
              </w:rPr>
            </w:pPr>
          </w:p>
        </w:tc>
      </w:tr>
      <w:tr w14:paraId="62E01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FCD444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0A275BA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3B13458A">
            <w:pPr>
              <w:snapToGrid w:val="0"/>
              <w:spacing w:line="360" w:lineRule="auto"/>
              <w:jc w:val="center"/>
              <w:rPr>
                <w:rFonts w:ascii="宋体" w:hAnsi="宋体" w:cs="宋体"/>
                <w:color w:val="auto"/>
                <w:sz w:val="24"/>
                <w:highlight w:val="none"/>
              </w:rPr>
            </w:pPr>
          </w:p>
        </w:tc>
        <w:tc>
          <w:tcPr>
            <w:tcW w:w="2410" w:type="dxa"/>
            <w:vAlign w:val="center"/>
          </w:tcPr>
          <w:p w14:paraId="4422CF1C">
            <w:pPr>
              <w:snapToGrid w:val="0"/>
              <w:spacing w:line="360" w:lineRule="auto"/>
              <w:jc w:val="center"/>
              <w:rPr>
                <w:rFonts w:ascii="宋体" w:hAnsi="宋体" w:cs="宋体"/>
                <w:color w:val="auto"/>
                <w:sz w:val="24"/>
                <w:highlight w:val="none"/>
              </w:rPr>
            </w:pPr>
          </w:p>
        </w:tc>
        <w:tc>
          <w:tcPr>
            <w:tcW w:w="2268" w:type="dxa"/>
            <w:vAlign w:val="center"/>
          </w:tcPr>
          <w:p w14:paraId="1B738063">
            <w:pPr>
              <w:snapToGrid w:val="0"/>
              <w:spacing w:line="360" w:lineRule="auto"/>
              <w:jc w:val="center"/>
              <w:rPr>
                <w:rFonts w:ascii="宋体" w:hAnsi="宋体" w:cs="宋体"/>
                <w:color w:val="auto"/>
                <w:sz w:val="24"/>
                <w:highlight w:val="none"/>
              </w:rPr>
            </w:pPr>
          </w:p>
        </w:tc>
        <w:tc>
          <w:tcPr>
            <w:tcW w:w="2126" w:type="dxa"/>
            <w:vAlign w:val="center"/>
          </w:tcPr>
          <w:p w14:paraId="3D3F3C18">
            <w:pPr>
              <w:spacing w:line="360" w:lineRule="auto"/>
              <w:jc w:val="center"/>
              <w:rPr>
                <w:rFonts w:ascii="宋体" w:hAnsi="宋体" w:cs="宋体"/>
                <w:color w:val="auto"/>
                <w:sz w:val="24"/>
                <w:highlight w:val="none"/>
              </w:rPr>
            </w:pPr>
          </w:p>
        </w:tc>
        <w:tc>
          <w:tcPr>
            <w:tcW w:w="2127" w:type="dxa"/>
          </w:tcPr>
          <w:p w14:paraId="4239800B">
            <w:pPr>
              <w:spacing w:line="360" w:lineRule="auto"/>
              <w:jc w:val="center"/>
              <w:rPr>
                <w:rFonts w:ascii="宋体" w:hAnsi="宋体" w:cs="宋体"/>
                <w:color w:val="auto"/>
                <w:sz w:val="24"/>
                <w:highlight w:val="none"/>
              </w:rPr>
            </w:pPr>
          </w:p>
        </w:tc>
        <w:tc>
          <w:tcPr>
            <w:tcW w:w="2126" w:type="dxa"/>
            <w:vAlign w:val="center"/>
          </w:tcPr>
          <w:p w14:paraId="5A9612A0">
            <w:pPr>
              <w:spacing w:line="360" w:lineRule="auto"/>
              <w:jc w:val="center"/>
              <w:rPr>
                <w:rFonts w:ascii="宋体" w:hAnsi="宋体" w:cs="宋体"/>
                <w:color w:val="auto"/>
                <w:sz w:val="24"/>
                <w:highlight w:val="none"/>
              </w:rPr>
            </w:pPr>
          </w:p>
        </w:tc>
      </w:tr>
      <w:tr w14:paraId="29D9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329B0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20AFEA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6208517C">
            <w:pPr>
              <w:snapToGrid w:val="0"/>
              <w:spacing w:line="360" w:lineRule="auto"/>
              <w:jc w:val="center"/>
              <w:rPr>
                <w:rFonts w:ascii="宋体" w:hAnsi="宋体" w:cs="宋体"/>
                <w:color w:val="auto"/>
                <w:sz w:val="24"/>
                <w:highlight w:val="none"/>
              </w:rPr>
            </w:pPr>
          </w:p>
        </w:tc>
        <w:tc>
          <w:tcPr>
            <w:tcW w:w="2410" w:type="dxa"/>
            <w:vAlign w:val="center"/>
          </w:tcPr>
          <w:p w14:paraId="2C6A4333">
            <w:pPr>
              <w:snapToGrid w:val="0"/>
              <w:spacing w:line="360" w:lineRule="auto"/>
              <w:jc w:val="center"/>
              <w:rPr>
                <w:rFonts w:ascii="宋体" w:hAnsi="宋体" w:cs="宋体"/>
                <w:color w:val="auto"/>
                <w:sz w:val="24"/>
                <w:highlight w:val="none"/>
              </w:rPr>
            </w:pPr>
          </w:p>
        </w:tc>
        <w:tc>
          <w:tcPr>
            <w:tcW w:w="2268" w:type="dxa"/>
            <w:vAlign w:val="center"/>
          </w:tcPr>
          <w:p w14:paraId="4A7AB465">
            <w:pPr>
              <w:snapToGrid w:val="0"/>
              <w:spacing w:line="360" w:lineRule="auto"/>
              <w:jc w:val="center"/>
              <w:rPr>
                <w:rFonts w:ascii="宋体" w:hAnsi="宋体" w:cs="宋体"/>
                <w:color w:val="auto"/>
                <w:sz w:val="24"/>
                <w:highlight w:val="none"/>
              </w:rPr>
            </w:pPr>
          </w:p>
        </w:tc>
        <w:tc>
          <w:tcPr>
            <w:tcW w:w="2126" w:type="dxa"/>
            <w:vAlign w:val="center"/>
          </w:tcPr>
          <w:p w14:paraId="6BC36857">
            <w:pPr>
              <w:spacing w:line="360" w:lineRule="auto"/>
              <w:jc w:val="center"/>
              <w:rPr>
                <w:rFonts w:ascii="宋体" w:hAnsi="宋体" w:cs="宋体"/>
                <w:color w:val="auto"/>
                <w:sz w:val="24"/>
                <w:highlight w:val="none"/>
              </w:rPr>
            </w:pPr>
          </w:p>
        </w:tc>
        <w:tc>
          <w:tcPr>
            <w:tcW w:w="2127" w:type="dxa"/>
          </w:tcPr>
          <w:p w14:paraId="1DC7FB20">
            <w:pPr>
              <w:spacing w:line="360" w:lineRule="auto"/>
              <w:jc w:val="center"/>
              <w:rPr>
                <w:rFonts w:ascii="宋体" w:hAnsi="宋体" w:cs="宋体"/>
                <w:color w:val="auto"/>
                <w:sz w:val="24"/>
                <w:highlight w:val="none"/>
              </w:rPr>
            </w:pPr>
          </w:p>
        </w:tc>
        <w:tc>
          <w:tcPr>
            <w:tcW w:w="2126" w:type="dxa"/>
            <w:vAlign w:val="center"/>
          </w:tcPr>
          <w:p w14:paraId="0230A653">
            <w:pPr>
              <w:spacing w:line="360" w:lineRule="auto"/>
              <w:jc w:val="center"/>
              <w:rPr>
                <w:rFonts w:ascii="宋体" w:hAnsi="宋体" w:cs="宋体"/>
                <w:color w:val="auto"/>
                <w:sz w:val="24"/>
                <w:highlight w:val="none"/>
              </w:rPr>
            </w:pPr>
          </w:p>
        </w:tc>
      </w:tr>
      <w:tr w14:paraId="77EB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9AFE1D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672AF773">
            <w:pPr>
              <w:snapToGrid w:val="0"/>
              <w:spacing w:line="360" w:lineRule="auto"/>
              <w:jc w:val="center"/>
              <w:rPr>
                <w:rFonts w:ascii="宋体" w:hAnsi="宋体" w:cs="宋体"/>
                <w:color w:val="auto"/>
                <w:sz w:val="24"/>
                <w:highlight w:val="none"/>
              </w:rPr>
            </w:pPr>
          </w:p>
        </w:tc>
        <w:tc>
          <w:tcPr>
            <w:tcW w:w="2268" w:type="dxa"/>
            <w:vAlign w:val="center"/>
          </w:tcPr>
          <w:p w14:paraId="1778C9EA">
            <w:pPr>
              <w:snapToGrid w:val="0"/>
              <w:spacing w:line="360" w:lineRule="auto"/>
              <w:jc w:val="center"/>
              <w:rPr>
                <w:rFonts w:ascii="宋体" w:hAnsi="宋体" w:cs="宋体"/>
                <w:color w:val="auto"/>
                <w:sz w:val="24"/>
                <w:highlight w:val="none"/>
              </w:rPr>
            </w:pPr>
          </w:p>
        </w:tc>
        <w:tc>
          <w:tcPr>
            <w:tcW w:w="2410" w:type="dxa"/>
            <w:vAlign w:val="center"/>
          </w:tcPr>
          <w:p w14:paraId="7A16D345">
            <w:pPr>
              <w:snapToGrid w:val="0"/>
              <w:spacing w:line="360" w:lineRule="auto"/>
              <w:jc w:val="center"/>
              <w:rPr>
                <w:rFonts w:ascii="宋体" w:hAnsi="宋体" w:cs="宋体"/>
                <w:color w:val="auto"/>
                <w:sz w:val="24"/>
                <w:highlight w:val="none"/>
              </w:rPr>
            </w:pPr>
          </w:p>
        </w:tc>
        <w:tc>
          <w:tcPr>
            <w:tcW w:w="2268" w:type="dxa"/>
            <w:vAlign w:val="center"/>
          </w:tcPr>
          <w:p w14:paraId="2945FE39">
            <w:pPr>
              <w:snapToGrid w:val="0"/>
              <w:spacing w:line="360" w:lineRule="auto"/>
              <w:jc w:val="center"/>
              <w:rPr>
                <w:rFonts w:ascii="宋体" w:hAnsi="宋体" w:cs="宋体"/>
                <w:color w:val="auto"/>
                <w:sz w:val="24"/>
                <w:highlight w:val="none"/>
              </w:rPr>
            </w:pPr>
          </w:p>
        </w:tc>
        <w:tc>
          <w:tcPr>
            <w:tcW w:w="2126" w:type="dxa"/>
            <w:vAlign w:val="center"/>
          </w:tcPr>
          <w:p w14:paraId="564B5ADA">
            <w:pPr>
              <w:spacing w:line="360" w:lineRule="auto"/>
              <w:jc w:val="center"/>
              <w:rPr>
                <w:rFonts w:ascii="宋体" w:hAnsi="宋体" w:cs="宋体"/>
                <w:color w:val="auto"/>
                <w:sz w:val="24"/>
                <w:highlight w:val="none"/>
              </w:rPr>
            </w:pPr>
          </w:p>
        </w:tc>
        <w:tc>
          <w:tcPr>
            <w:tcW w:w="2127" w:type="dxa"/>
          </w:tcPr>
          <w:p w14:paraId="1D0668F2">
            <w:pPr>
              <w:spacing w:line="360" w:lineRule="auto"/>
              <w:jc w:val="center"/>
              <w:rPr>
                <w:rFonts w:ascii="宋体" w:hAnsi="宋体" w:cs="宋体"/>
                <w:color w:val="auto"/>
                <w:sz w:val="24"/>
                <w:highlight w:val="none"/>
              </w:rPr>
            </w:pPr>
          </w:p>
        </w:tc>
        <w:tc>
          <w:tcPr>
            <w:tcW w:w="2126" w:type="dxa"/>
            <w:vAlign w:val="center"/>
          </w:tcPr>
          <w:p w14:paraId="020AC95A">
            <w:pPr>
              <w:spacing w:line="360" w:lineRule="auto"/>
              <w:jc w:val="center"/>
              <w:rPr>
                <w:rFonts w:ascii="宋体" w:hAnsi="宋体" w:cs="宋体"/>
                <w:color w:val="auto"/>
                <w:sz w:val="24"/>
                <w:highlight w:val="none"/>
              </w:rPr>
            </w:pPr>
          </w:p>
        </w:tc>
      </w:tr>
      <w:tr w14:paraId="5D52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7BB6773">
            <w:pPr>
              <w:spacing w:line="360" w:lineRule="auto"/>
              <w:jc w:val="center"/>
              <w:rPr>
                <w:rFonts w:ascii="宋体" w:hAnsi="宋体" w:cs="宋体"/>
                <w:color w:val="auto"/>
                <w:sz w:val="24"/>
                <w:highlight w:val="none"/>
              </w:rPr>
            </w:pPr>
          </w:p>
        </w:tc>
        <w:tc>
          <w:tcPr>
            <w:tcW w:w="992" w:type="dxa"/>
            <w:vAlign w:val="center"/>
          </w:tcPr>
          <w:p w14:paraId="379BD440">
            <w:pPr>
              <w:snapToGrid w:val="0"/>
              <w:spacing w:line="360" w:lineRule="auto"/>
              <w:jc w:val="center"/>
              <w:rPr>
                <w:rFonts w:ascii="宋体" w:hAnsi="宋体" w:cs="宋体"/>
                <w:color w:val="auto"/>
                <w:sz w:val="24"/>
                <w:highlight w:val="none"/>
              </w:rPr>
            </w:pPr>
          </w:p>
        </w:tc>
        <w:tc>
          <w:tcPr>
            <w:tcW w:w="2268" w:type="dxa"/>
            <w:vAlign w:val="center"/>
          </w:tcPr>
          <w:p w14:paraId="6FA7C3DA">
            <w:pPr>
              <w:snapToGrid w:val="0"/>
              <w:spacing w:line="360" w:lineRule="auto"/>
              <w:jc w:val="center"/>
              <w:rPr>
                <w:rFonts w:ascii="宋体" w:hAnsi="宋体" w:cs="宋体"/>
                <w:color w:val="auto"/>
                <w:sz w:val="24"/>
                <w:highlight w:val="none"/>
              </w:rPr>
            </w:pPr>
          </w:p>
        </w:tc>
        <w:tc>
          <w:tcPr>
            <w:tcW w:w="2410" w:type="dxa"/>
            <w:vAlign w:val="center"/>
          </w:tcPr>
          <w:p w14:paraId="40CD6542">
            <w:pPr>
              <w:snapToGrid w:val="0"/>
              <w:spacing w:line="360" w:lineRule="auto"/>
              <w:jc w:val="center"/>
              <w:rPr>
                <w:rFonts w:ascii="宋体" w:hAnsi="宋体" w:cs="宋体"/>
                <w:color w:val="auto"/>
                <w:sz w:val="24"/>
                <w:highlight w:val="none"/>
              </w:rPr>
            </w:pPr>
          </w:p>
        </w:tc>
        <w:tc>
          <w:tcPr>
            <w:tcW w:w="2268" w:type="dxa"/>
            <w:vAlign w:val="center"/>
          </w:tcPr>
          <w:p w14:paraId="5355DC11">
            <w:pPr>
              <w:snapToGrid w:val="0"/>
              <w:spacing w:line="360" w:lineRule="auto"/>
              <w:jc w:val="center"/>
              <w:rPr>
                <w:rFonts w:ascii="宋体" w:hAnsi="宋体" w:cs="宋体"/>
                <w:color w:val="auto"/>
                <w:sz w:val="24"/>
                <w:highlight w:val="none"/>
              </w:rPr>
            </w:pPr>
          </w:p>
        </w:tc>
        <w:tc>
          <w:tcPr>
            <w:tcW w:w="2126" w:type="dxa"/>
            <w:vAlign w:val="center"/>
          </w:tcPr>
          <w:p w14:paraId="19C71432">
            <w:pPr>
              <w:spacing w:line="360" w:lineRule="auto"/>
              <w:jc w:val="center"/>
              <w:rPr>
                <w:rFonts w:ascii="宋体" w:hAnsi="宋体" w:cs="宋体"/>
                <w:color w:val="auto"/>
                <w:sz w:val="24"/>
                <w:highlight w:val="none"/>
              </w:rPr>
            </w:pPr>
          </w:p>
        </w:tc>
        <w:tc>
          <w:tcPr>
            <w:tcW w:w="2127" w:type="dxa"/>
          </w:tcPr>
          <w:p w14:paraId="01A4158B">
            <w:pPr>
              <w:spacing w:line="360" w:lineRule="auto"/>
              <w:jc w:val="center"/>
              <w:rPr>
                <w:rFonts w:ascii="宋体" w:hAnsi="宋体" w:cs="宋体"/>
                <w:color w:val="auto"/>
                <w:sz w:val="24"/>
                <w:highlight w:val="none"/>
              </w:rPr>
            </w:pPr>
          </w:p>
        </w:tc>
        <w:tc>
          <w:tcPr>
            <w:tcW w:w="2126" w:type="dxa"/>
            <w:vAlign w:val="center"/>
          </w:tcPr>
          <w:p w14:paraId="61CE0F6A">
            <w:pPr>
              <w:spacing w:line="360" w:lineRule="auto"/>
              <w:jc w:val="center"/>
              <w:rPr>
                <w:rFonts w:ascii="宋体" w:hAnsi="宋体" w:cs="宋体"/>
                <w:color w:val="auto"/>
                <w:sz w:val="24"/>
                <w:highlight w:val="none"/>
              </w:rPr>
            </w:pPr>
          </w:p>
        </w:tc>
      </w:tr>
      <w:tr w14:paraId="3241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E6085E0">
            <w:pPr>
              <w:spacing w:line="360" w:lineRule="auto"/>
              <w:jc w:val="center"/>
              <w:rPr>
                <w:rFonts w:ascii="宋体" w:hAnsi="宋体" w:cs="宋体"/>
                <w:color w:val="auto"/>
                <w:sz w:val="24"/>
                <w:highlight w:val="none"/>
              </w:rPr>
            </w:pPr>
          </w:p>
        </w:tc>
        <w:tc>
          <w:tcPr>
            <w:tcW w:w="992" w:type="dxa"/>
            <w:vAlign w:val="center"/>
          </w:tcPr>
          <w:p w14:paraId="3CAE831D">
            <w:pPr>
              <w:snapToGrid w:val="0"/>
              <w:spacing w:line="360" w:lineRule="auto"/>
              <w:jc w:val="center"/>
              <w:rPr>
                <w:rFonts w:ascii="宋体" w:hAnsi="宋体" w:cs="宋体"/>
                <w:color w:val="auto"/>
                <w:sz w:val="24"/>
                <w:highlight w:val="none"/>
              </w:rPr>
            </w:pPr>
          </w:p>
        </w:tc>
        <w:tc>
          <w:tcPr>
            <w:tcW w:w="2268" w:type="dxa"/>
            <w:vAlign w:val="center"/>
          </w:tcPr>
          <w:p w14:paraId="26154595">
            <w:pPr>
              <w:snapToGrid w:val="0"/>
              <w:spacing w:line="360" w:lineRule="auto"/>
              <w:jc w:val="center"/>
              <w:rPr>
                <w:rFonts w:ascii="宋体" w:hAnsi="宋体" w:cs="宋体"/>
                <w:color w:val="auto"/>
                <w:sz w:val="24"/>
                <w:highlight w:val="none"/>
              </w:rPr>
            </w:pPr>
          </w:p>
        </w:tc>
        <w:tc>
          <w:tcPr>
            <w:tcW w:w="2410" w:type="dxa"/>
            <w:vAlign w:val="center"/>
          </w:tcPr>
          <w:p w14:paraId="661C3B32">
            <w:pPr>
              <w:snapToGrid w:val="0"/>
              <w:spacing w:line="360" w:lineRule="auto"/>
              <w:jc w:val="center"/>
              <w:rPr>
                <w:rFonts w:ascii="宋体" w:hAnsi="宋体" w:cs="宋体"/>
                <w:color w:val="auto"/>
                <w:sz w:val="24"/>
                <w:highlight w:val="none"/>
              </w:rPr>
            </w:pPr>
          </w:p>
        </w:tc>
        <w:tc>
          <w:tcPr>
            <w:tcW w:w="2268" w:type="dxa"/>
            <w:vAlign w:val="center"/>
          </w:tcPr>
          <w:p w14:paraId="715A8DA5">
            <w:pPr>
              <w:snapToGrid w:val="0"/>
              <w:spacing w:line="360" w:lineRule="auto"/>
              <w:jc w:val="center"/>
              <w:rPr>
                <w:rFonts w:ascii="宋体" w:hAnsi="宋体" w:cs="宋体"/>
                <w:color w:val="auto"/>
                <w:sz w:val="24"/>
                <w:highlight w:val="none"/>
              </w:rPr>
            </w:pPr>
          </w:p>
        </w:tc>
        <w:tc>
          <w:tcPr>
            <w:tcW w:w="2126" w:type="dxa"/>
            <w:vAlign w:val="center"/>
          </w:tcPr>
          <w:p w14:paraId="64FB8978">
            <w:pPr>
              <w:spacing w:line="360" w:lineRule="auto"/>
              <w:jc w:val="center"/>
              <w:rPr>
                <w:rFonts w:ascii="宋体" w:hAnsi="宋体" w:cs="宋体"/>
                <w:color w:val="auto"/>
                <w:sz w:val="24"/>
                <w:highlight w:val="none"/>
              </w:rPr>
            </w:pPr>
          </w:p>
        </w:tc>
        <w:tc>
          <w:tcPr>
            <w:tcW w:w="2127" w:type="dxa"/>
          </w:tcPr>
          <w:p w14:paraId="2410A08D">
            <w:pPr>
              <w:spacing w:line="360" w:lineRule="auto"/>
              <w:jc w:val="center"/>
              <w:rPr>
                <w:rFonts w:ascii="宋体" w:hAnsi="宋体" w:cs="宋体"/>
                <w:color w:val="auto"/>
                <w:sz w:val="24"/>
                <w:highlight w:val="none"/>
              </w:rPr>
            </w:pPr>
          </w:p>
        </w:tc>
        <w:tc>
          <w:tcPr>
            <w:tcW w:w="2126" w:type="dxa"/>
            <w:vAlign w:val="center"/>
          </w:tcPr>
          <w:p w14:paraId="64FAD4E2">
            <w:pPr>
              <w:spacing w:line="360" w:lineRule="auto"/>
              <w:jc w:val="center"/>
              <w:rPr>
                <w:rFonts w:ascii="宋体" w:hAnsi="宋体" w:cs="宋体"/>
                <w:color w:val="auto"/>
                <w:sz w:val="24"/>
                <w:highlight w:val="none"/>
              </w:rPr>
            </w:pPr>
          </w:p>
        </w:tc>
      </w:tr>
      <w:tr w14:paraId="100F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94E57F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430A1059">
            <w:pPr>
              <w:spacing w:line="360" w:lineRule="auto"/>
              <w:jc w:val="center"/>
              <w:rPr>
                <w:rFonts w:ascii="宋体" w:hAnsi="宋体" w:cs="宋体"/>
                <w:color w:val="auto"/>
                <w:sz w:val="24"/>
                <w:highlight w:val="none"/>
              </w:rPr>
            </w:pPr>
          </w:p>
        </w:tc>
      </w:tr>
      <w:tr w14:paraId="11F96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FB9EDD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338CE882">
            <w:pPr>
              <w:spacing w:line="360" w:lineRule="auto"/>
              <w:jc w:val="center"/>
              <w:rPr>
                <w:rFonts w:ascii="宋体" w:hAnsi="宋体" w:cs="宋体"/>
                <w:color w:val="auto"/>
                <w:sz w:val="24"/>
                <w:highlight w:val="none"/>
              </w:rPr>
            </w:pPr>
          </w:p>
        </w:tc>
      </w:tr>
    </w:tbl>
    <w:p w14:paraId="574D8B8E">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655FB9F">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04311F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143F4F3">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68F5E938">
      <w:pPr>
        <w:rPr>
          <w:rFonts w:hint="eastAsia" w:ascii="宋体" w:hAnsi="宋体" w:eastAsia="宋体" w:cs="宋体"/>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color w:val="auto"/>
          <w:kern w:val="2"/>
          <w:sz w:val="32"/>
          <w:szCs w:val="32"/>
          <w:highlight w:val="none"/>
        </w:rPr>
        <w:br w:type="page"/>
      </w:r>
    </w:p>
    <w:p w14:paraId="4BC03530">
      <w:pPr>
        <w:pStyle w:val="690"/>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2DA354BE">
      <w:pPr>
        <w:pStyle w:val="690"/>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24F669FF">
      <w:pPr>
        <w:pStyle w:val="690"/>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highlight w:val="none"/>
        </w:rPr>
      </w:pPr>
    </w:p>
    <w:p w14:paraId="00A50AB6">
      <w:pPr>
        <w:pStyle w:val="690"/>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99" w:name="_Hlk101259491"/>
      <w:r>
        <w:rPr>
          <w:rFonts w:hint="eastAsia" w:ascii="宋体" w:hAnsi="宋体" w:eastAsia="宋体" w:cs="宋体"/>
          <w:color w:val="auto"/>
          <w:sz w:val="32"/>
          <w:szCs w:val="32"/>
          <w:highlight w:val="none"/>
        </w:rPr>
        <w:t>（如果有）</w:t>
      </w:r>
      <w:bookmarkEnd w:id="499"/>
    </w:p>
    <w:p w14:paraId="2030F7B8">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5CAD72C">
      <w:pPr>
        <w:rPr>
          <w:color w:val="auto"/>
          <w:highlight w:val="none"/>
        </w:rPr>
      </w:pPr>
      <w:r>
        <w:rPr>
          <w:rFonts w:hint="eastAsia" w:ascii="宋体" w:hAnsi="宋体" w:cs="宋体"/>
          <w:b/>
          <w:color w:val="auto"/>
          <w:sz w:val="24"/>
          <w:highlight w:val="none"/>
        </w:rPr>
        <w:br w:type="page"/>
      </w:r>
    </w:p>
    <w:p w14:paraId="461405E7">
      <w:pPr>
        <w:pStyle w:val="3"/>
        <w:keepNext w:val="0"/>
        <w:keepLines w:val="0"/>
        <w:pageBreakBefore/>
        <w:widowControl/>
        <w:spacing w:before="100" w:beforeAutospacing="1" w:after="100" w:afterAutospacing="1"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附件</w:t>
      </w:r>
    </w:p>
    <w:p w14:paraId="5160ECB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D9A81CE">
      <w:pPr>
        <w:spacing w:line="360" w:lineRule="auto"/>
        <w:jc w:val="center"/>
        <w:rPr>
          <w:rFonts w:ascii="宋体" w:hAnsi="宋体" w:cs="宋体"/>
          <w:b/>
          <w:color w:val="auto"/>
          <w:spacing w:val="6"/>
          <w:sz w:val="32"/>
          <w:szCs w:val="32"/>
          <w:highlight w:val="none"/>
        </w:rPr>
      </w:pPr>
      <w:bookmarkStart w:id="500" w:name="OLE_LINK14"/>
      <w:bookmarkStart w:id="501" w:name="OLE_LINK13"/>
      <w:r>
        <w:rPr>
          <w:rFonts w:hint="eastAsia" w:ascii="宋体" w:hAnsi="宋体" w:cs="宋体"/>
          <w:b/>
          <w:color w:val="auto"/>
          <w:spacing w:val="6"/>
          <w:sz w:val="32"/>
          <w:szCs w:val="32"/>
          <w:highlight w:val="none"/>
        </w:rPr>
        <w:t>残疾人福利性单位声明函</w:t>
      </w:r>
    </w:p>
    <w:bookmarkEnd w:id="500"/>
    <w:bookmarkEnd w:id="501"/>
    <w:p w14:paraId="174448FE">
      <w:pPr>
        <w:spacing w:line="360" w:lineRule="auto"/>
        <w:rPr>
          <w:rFonts w:ascii="宋体" w:hAnsi="宋体" w:cs="宋体"/>
          <w:b/>
          <w:color w:val="auto"/>
          <w:spacing w:val="6"/>
          <w:sz w:val="30"/>
          <w:szCs w:val="30"/>
          <w:highlight w:val="none"/>
        </w:rPr>
      </w:pPr>
    </w:p>
    <w:p w14:paraId="5254D2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6A953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9EEE872">
      <w:pPr>
        <w:spacing w:line="360" w:lineRule="auto"/>
        <w:ind w:firstLine="480" w:firstLineChars="200"/>
        <w:rPr>
          <w:rFonts w:ascii="宋体" w:hAnsi="宋体" w:cs="宋体"/>
          <w:color w:val="auto"/>
          <w:sz w:val="24"/>
          <w:highlight w:val="none"/>
        </w:rPr>
      </w:pPr>
    </w:p>
    <w:p w14:paraId="6DFD7B88">
      <w:pPr>
        <w:spacing w:line="360" w:lineRule="auto"/>
        <w:ind w:firstLine="480" w:firstLineChars="200"/>
        <w:rPr>
          <w:rFonts w:ascii="宋体" w:hAnsi="宋体" w:cs="宋体"/>
          <w:color w:val="auto"/>
          <w:sz w:val="24"/>
          <w:highlight w:val="none"/>
        </w:rPr>
      </w:pPr>
    </w:p>
    <w:p w14:paraId="4A0C62D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ADD938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445BCE9">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1BC777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A518A2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2496DE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C8D593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83549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1B3196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AB85E6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2C637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F0560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B6CB1F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3DCE7A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F5A402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5ABB6A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CEC544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B72598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DD524D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EE66E9C">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483B1B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3750E9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7F7BF1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BEE16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79CEB8A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AE054E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23F691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67E53D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4533A03">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23FE9B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3F61FC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3D3B4B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D80BE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5F1C10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AB7448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94D2C75">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D7C181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C178434">
      <w:pPr>
        <w:spacing w:line="360" w:lineRule="auto"/>
        <w:jc w:val="center"/>
        <w:rPr>
          <w:rFonts w:ascii="宋体" w:hAnsi="宋体" w:cs="宋体"/>
          <w:b/>
          <w:color w:val="auto"/>
          <w:sz w:val="24"/>
          <w:highlight w:val="none"/>
        </w:rPr>
      </w:pPr>
    </w:p>
    <w:p w14:paraId="21A26F5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D4E7AA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A1362F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4DEBC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37AF73">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0B807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F8DED5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C4864B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3017F8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86F271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2BB9B6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9F61496">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814CBD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F74FB0F">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D216C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95348D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84940A">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6252E6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E1ACE4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5B13532">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63E45C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AA9B33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D1F1A1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44AA94">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B8CB389">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25ED66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FE3340E">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DB4A7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697F45A">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9F0CF2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B0E08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BE42D9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9E75B8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投诉事项2</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74FD7DF4">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356688B">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1A34FDC">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476AC7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8C21AE8">
      <w:pPr>
        <w:spacing w:line="360" w:lineRule="auto"/>
        <w:rPr>
          <w:rFonts w:ascii="宋体" w:hAnsi="宋体" w:cs="宋体"/>
          <w:b/>
          <w:color w:val="auto"/>
          <w:sz w:val="24"/>
          <w:highlight w:val="none"/>
        </w:rPr>
      </w:pPr>
      <w:r>
        <w:rPr>
          <w:rFonts w:hint="eastAsia" w:ascii="宋体" w:hAnsi="宋体" w:cs="宋体"/>
          <w:color w:val="auto"/>
          <w:sz w:val="24"/>
          <w:highlight w:val="none"/>
        </w:rPr>
        <w:t xml:space="preserve">日期：    </w:t>
      </w:r>
    </w:p>
    <w:p w14:paraId="100588C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871993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B71A4D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30B94E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5C179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76ECC6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668925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83E94A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04FE163">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8C4A6F3">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36E9E01">
      <w:pPr>
        <w:spacing w:line="360" w:lineRule="auto"/>
        <w:rPr>
          <w:rFonts w:ascii="宋体" w:hAnsi="宋体" w:cs="宋体"/>
          <w:color w:val="auto"/>
          <w:sz w:val="24"/>
          <w:highlight w:val="none"/>
          <w:u w:val="single"/>
        </w:rPr>
      </w:pPr>
    </w:p>
    <w:p w14:paraId="5AFF4AEB">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312F25BB">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B2648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584BC7A">
      <w:pPr>
        <w:spacing w:line="360" w:lineRule="auto"/>
        <w:ind w:firstLine="494"/>
        <w:rPr>
          <w:rFonts w:ascii="宋体" w:hAnsi="宋体" w:cs="宋体"/>
          <w:color w:val="auto"/>
          <w:sz w:val="24"/>
          <w:highlight w:val="none"/>
        </w:rPr>
      </w:pPr>
    </w:p>
    <w:p w14:paraId="7E1BD7B8">
      <w:pPr>
        <w:spacing w:line="360" w:lineRule="auto"/>
        <w:ind w:firstLine="494"/>
        <w:rPr>
          <w:rFonts w:ascii="宋体" w:hAnsi="宋体" w:cs="宋体"/>
          <w:color w:val="auto"/>
          <w:sz w:val="24"/>
          <w:highlight w:val="none"/>
        </w:rPr>
      </w:pPr>
    </w:p>
    <w:p w14:paraId="42F87EA1">
      <w:pPr>
        <w:spacing w:line="360" w:lineRule="auto"/>
        <w:rPr>
          <w:rFonts w:ascii="宋体" w:hAnsi="宋体" w:cs="宋体"/>
          <w:color w:val="auto"/>
          <w:sz w:val="24"/>
          <w:highlight w:val="none"/>
        </w:rPr>
      </w:pPr>
    </w:p>
    <w:p w14:paraId="2A0C84EB">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FFBF3CC">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4F5F859">
      <w:pPr>
        <w:rPr>
          <w:rFonts w:ascii="宋体" w:hAnsi="宋体" w:cs="宋体"/>
          <w:color w:val="auto"/>
          <w:sz w:val="24"/>
          <w:highlight w:val="none"/>
        </w:rPr>
      </w:pPr>
      <w:r>
        <w:rPr>
          <w:rFonts w:hint="eastAsia" w:ascii="宋体" w:hAnsi="宋体" w:cs="宋体"/>
          <w:b/>
          <w:bCs/>
          <w:color w:val="auto"/>
          <w:sz w:val="24"/>
          <w:highlight w:val="none"/>
        </w:rPr>
        <w:t>附：</w:t>
      </w:r>
    </w:p>
    <w:p w14:paraId="7470B5D5">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F8D0BE3">
      <w:pPr>
        <w:autoSpaceDE w:val="0"/>
        <w:autoSpaceDN w:val="0"/>
        <w:jc w:val="center"/>
        <w:rPr>
          <w:rFonts w:ascii="宋体" w:hAnsi="宋体" w:cs="宋体"/>
          <w:b/>
          <w:color w:val="auto"/>
          <w:spacing w:val="6"/>
          <w:sz w:val="32"/>
          <w:szCs w:val="32"/>
          <w:highlight w:val="none"/>
        </w:rPr>
      </w:pPr>
    </w:p>
    <w:p w14:paraId="227618B2">
      <w:pPr>
        <w:autoSpaceDE w:val="0"/>
        <w:autoSpaceDN w:val="0"/>
        <w:jc w:val="center"/>
        <w:rPr>
          <w:rFonts w:ascii="宋体" w:hAnsi="宋体" w:cs="宋体"/>
          <w:b/>
          <w:color w:val="auto"/>
          <w:spacing w:val="6"/>
          <w:sz w:val="32"/>
          <w:szCs w:val="32"/>
          <w:highlight w:val="none"/>
        </w:rPr>
      </w:pPr>
    </w:p>
    <w:p w14:paraId="0BC24EEC">
      <w:pPr>
        <w:autoSpaceDE w:val="0"/>
        <w:autoSpaceDN w:val="0"/>
        <w:jc w:val="center"/>
        <w:rPr>
          <w:rFonts w:ascii="宋体" w:hAnsi="宋体" w:cs="宋体"/>
          <w:b/>
          <w:color w:val="auto"/>
          <w:spacing w:val="6"/>
          <w:sz w:val="32"/>
          <w:szCs w:val="32"/>
          <w:highlight w:val="none"/>
        </w:rPr>
      </w:pPr>
    </w:p>
    <w:p w14:paraId="47AD0A20">
      <w:pPr>
        <w:autoSpaceDE w:val="0"/>
        <w:autoSpaceDN w:val="0"/>
        <w:jc w:val="center"/>
        <w:rPr>
          <w:rFonts w:ascii="宋体" w:hAnsi="宋体" w:cs="宋体"/>
          <w:b/>
          <w:color w:val="auto"/>
          <w:spacing w:val="6"/>
          <w:sz w:val="32"/>
          <w:szCs w:val="32"/>
          <w:highlight w:val="none"/>
        </w:rPr>
      </w:pPr>
    </w:p>
    <w:p w14:paraId="0E1E4DE9">
      <w:pPr>
        <w:autoSpaceDE w:val="0"/>
        <w:autoSpaceDN w:val="0"/>
        <w:jc w:val="center"/>
        <w:rPr>
          <w:rFonts w:ascii="宋体" w:hAnsi="宋体" w:cs="宋体"/>
          <w:b/>
          <w:color w:val="auto"/>
          <w:spacing w:val="6"/>
          <w:sz w:val="32"/>
          <w:szCs w:val="32"/>
          <w:highlight w:val="none"/>
        </w:rPr>
      </w:pPr>
    </w:p>
    <w:p w14:paraId="5509003C">
      <w:pPr>
        <w:autoSpaceDE w:val="0"/>
        <w:autoSpaceDN w:val="0"/>
        <w:jc w:val="center"/>
        <w:rPr>
          <w:rFonts w:ascii="宋体" w:hAnsi="宋体" w:cs="宋体"/>
          <w:b/>
          <w:color w:val="auto"/>
          <w:spacing w:val="6"/>
          <w:sz w:val="32"/>
          <w:szCs w:val="32"/>
          <w:highlight w:val="none"/>
        </w:rPr>
      </w:pPr>
    </w:p>
    <w:p w14:paraId="0642AB0D">
      <w:pPr>
        <w:autoSpaceDE w:val="0"/>
        <w:autoSpaceDN w:val="0"/>
        <w:jc w:val="center"/>
        <w:rPr>
          <w:rFonts w:ascii="宋体" w:hAnsi="宋体" w:cs="宋体"/>
          <w:b/>
          <w:color w:val="auto"/>
          <w:spacing w:val="6"/>
          <w:sz w:val="32"/>
          <w:szCs w:val="32"/>
          <w:highlight w:val="none"/>
        </w:rPr>
      </w:pPr>
    </w:p>
    <w:p w14:paraId="0E529745">
      <w:pPr>
        <w:autoSpaceDE w:val="0"/>
        <w:autoSpaceDN w:val="0"/>
        <w:jc w:val="center"/>
        <w:rPr>
          <w:rFonts w:ascii="宋体" w:hAnsi="宋体" w:cs="宋体"/>
          <w:b/>
          <w:color w:val="auto"/>
          <w:spacing w:val="6"/>
          <w:sz w:val="32"/>
          <w:szCs w:val="32"/>
          <w:highlight w:val="none"/>
        </w:rPr>
      </w:pPr>
    </w:p>
    <w:p w14:paraId="1991792A">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ABBD6BB">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9EC02D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20A1F0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10D7B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5B8A0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804F0F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79B3D66">
      <w:pPr>
        <w:snapToGrid w:val="0"/>
        <w:spacing w:line="360" w:lineRule="auto"/>
        <w:ind w:firstLine="576"/>
        <w:rPr>
          <w:rFonts w:ascii="宋体" w:hAnsi="宋体" w:cs="宋体"/>
          <w:color w:val="auto"/>
          <w:kern w:val="0"/>
          <w:sz w:val="24"/>
          <w:highlight w:val="none"/>
          <w:lang w:val="zh-CN"/>
        </w:rPr>
      </w:pPr>
      <w:bookmarkStart w:id="502"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233EE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54DD9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02"/>
    <w:p w14:paraId="519E06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41D31AB9">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9FA8A1F">
      <w:pPr>
        <w:snapToGrid w:val="0"/>
        <w:spacing w:line="360" w:lineRule="auto"/>
        <w:ind w:firstLine="576"/>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14746813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3FCEE82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0E7F23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357E94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D5AB2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5A7EF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3E9046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33DAAE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E8467FF">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22A39E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C5D788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1C4F93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D18C25F">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1502261">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1AA28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w:t>
      </w:r>
      <w:r>
        <w:rPr>
          <w:rFonts w:hint="eastAsia" w:ascii="宋体" w:hAnsi="宋体" w:cs="宋体"/>
          <w:color w:val="auto"/>
          <w:kern w:val="0"/>
          <w:sz w:val="24"/>
          <w:highlight w:val="none"/>
          <w:lang w:val="zh-CN"/>
        </w:rPr>
        <w:t>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3A6D8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13B126EF">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1E6099A5">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06E2EAF0">
      <w:pPr>
        <w:pStyle w:val="2"/>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9E03E7E">
      <w:pPr>
        <w:pStyle w:val="2"/>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66F6503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根据项目具体情况二选一填写）。</w:t>
      </w:r>
    </w:p>
    <w:p w14:paraId="01846AAA">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E023014">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50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03"/>
    </w:p>
    <w:p w14:paraId="01AE7F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63B3906">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827B0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5E85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A64365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5B77AA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325FBF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3CBF2F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1770D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9FA04C0">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446F9A0B">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6463E81B">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8EAB98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3B6C58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5DC123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8D0D93D">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21309B7E">
      <w:pPr>
        <w:spacing w:line="360" w:lineRule="auto"/>
        <w:jc w:val="left"/>
        <w:outlineLvl w:val="0"/>
        <w:rPr>
          <w:rFonts w:ascii="宋体" w:hAnsi="宋体" w:cs="宋体"/>
          <w:b/>
          <w:color w:val="auto"/>
          <w:sz w:val="32"/>
          <w:szCs w:val="18"/>
          <w:highlight w:val="none"/>
        </w:rPr>
      </w:pPr>
      <w:r>
        <w:rPr>
          <w:rFonts w:hint="eastAsia" w:ascii="宋体" w:hAnsi="宋体" w:cs="宋体"/>
          <w:b/>
          <w:color w:val="auto"/>
          <w:sz w:val="32"/>
          <w:szCs w:val="18"/>
          <w:highlight w:val="none"/>
        </w:rPr>
        <w:t>附件</w:t>
      </w:r>
      <w:r>
        <w:rPr>
          <w:rFonts w:ascii="宋体" w:hAnsi="宋体" w:cs="宋体"/>
          <w:b/>
          <w:color w:val="auto"/>
          <w:sz w:val="32"/>
          <w:szCs w:val="18"/>
          <w:highlight w:val="none"/>
        </w:rPr>
        <w:t>7</w:t>
      </w:r>
      <w:r>
        <w:rPr>
          <w:rFonts w:hint="eastAsia" w:ascii="宋体" w:hAnsi="宋体" w:cs="宋体"/>
          <w:b/>
          <w:color w:val="auto"/>
          <w:sz w:val="32"/>
          <w:szCs w:val="18"/>
          <w:highlight w:val="none"/>
        </w:rPr>
        <w:t>：中小企业声明函</w:t>
      </w:r>
    </w:p>
    <w:p w14:paraId="3FB390AE">
      <w:pPr>
        <w:spacing w:line="360" w:lineRule="auto"/>
        <w:jc w:val="center"/>
        <w:rPr>
          <w:rFonts w:ascii="宋体" w:hAnsi="宋体" w:cs="宋体"/>
          <w:color w:val="auto"/>
          <w:sz w:val="24"/>
          <w:highlight w:val="none"/>
          <w:u w:val="single"/>
        </w:rPr>
      </w:pPr>
    </w:p>
    <w:p w14:paraId="51F756A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FBF2DD5">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杭州市规划和自然资源局萧山分局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杭州市规划和自然资源局萧山分局大楼、自然资源所及档案大楼物业服务政府采购项目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2DB6DF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14:paraId="35FE71F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14:paraId="7AA9388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5AE3637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A6A9DC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3E32260">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34DB4319">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F474F0D">
      <w:pPr>
        <w:spacing w:line="360" w:lineRule="auto"/>
        <w:ind w:firstLine="310" w:firstLineChars="147"/>
        <w:jc w:val="left"/>
        <w:rPr>
          <w:rFonts w:ascii="宋体" w:hAnsi="宋体" w:cs="宋体"/>
          <w:color w:val="auto"/>
          <w:sz w:val="24"/>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5A9DBB9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3B51C128">
      <w:pPr>
        <w:numPr>
          <w:ilvl w:val="0"/>
          <w:numId w:val="0"/>
        </w:numPr>
        <w:spacing w:line="360" w:lineRule="auto"/>
        <w:ind w:right="420" w:rightChars="0" w:firstLine="420" w:firstLineChars="0"/>
        <w:rPr>
          <w:rFonts w:ascii="宋体" w:hAnsi="宋体" w:cs="宋体"/>
          <w:color w:val="auto"/>
          <w:sz w:val="24"/>
          <w:highlight w:val="none"/>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4051798C">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8FDE9FA">
      <w:pPr>
        <w:rPr>
          <w:color w:val="auto"/>
          <w:highlight w:val="none"/>
        </w:rPr>
      </w:pPr>
      <w:r>
        <w:rPr>
          <w:rFonts w:hint="eastAsia"/>
          <w:color w:val="auto"/>
          <w:highlight w:val="none"/>
        </w:rPr>
        <w:br w:type="page"/>
      </w:r>
    </w:p>
    <w:p w14:paraId="26365F66">
      <w:pPr>
        <w:pStyle w:val="2"/>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55D975F8">
      <w:pPr>
        <w:spacing w:line="360" w:lineRule="auto"/>
        <w:rPr>
          <w:rFonts w:hint="eastAsia"/>
          <w:color w:val="auto"/>
          <w:highlight w:val="none"/>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4C346569">
      <w:pPr>
        <w:pStyle w:val="2"/>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14:paraId="260DB0D9">
      <w:pPr>
        <w:jc w:val="center"/>
        <w:rPr>
          <w:color w:val="auto"/>
          <w:sz w:val="40"/>
          <w:highlight w:val="none"/>
        </w:rPr>
      </w:pPr>
      <w:r>
        <w:rPr>
          <w:rFonts w:hint="eastAsia"/>
          <w:color w:val="auto"/>
          <w:sz w:val="40"/>
          <w:highlight w:val="none"/>
        </w:rPr>
        <w:t>样品（演示）授权委托书</w:t>
      </w:r>
    </w:p>
    <w:p w14:paraId="2C7ECB6C">
      <w:pPr>
        <w:jc w:val="center"/>
        <w:rPr>
          <w:color w:val="auto"/>
          <w:sz w:val="40"/>
          <w:highlight w:val="none"/>
        </w:rPr>
      </w:pPr>
    </w:p>
    <w:p w14:paraId="27CF323D">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14:paraId="60516F8B">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14:paraId="447202A6">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14:paraId="101AC472">
      <w:pPr>
        <w:snapToGrid w:val="0"/>
        <w:spacing w:line="360" w:lineRule="auto"/>
        <w:rPr>
          <w:rFonts w:cs="仿宋"/>
          <w:color w:val="auto"/>
          <w:highlight w:val="none"/>
          <w:lang w:val="zh-CN"/>
        </w:rPr>
      </w:pPr>
      <w:r>
        <w:rPr>
          <w:rFonts w:hint="eastAsia" w:cs="仿宋"/>
          <w:color w:val="auto"/>
          <w:highlight w:val="none"/>
          <w:lang w:val="zh-CN"/>
        </w:rPr>
        <w:t xml:space="preserve">  </w:t>
      </w:r>
    </w:p>
    <w:p w14:paraId="35D5E591">
      <w:pPr>
        <w:snapToGrid w:val="0"/>
        <w:spacing w:line="360" w:lineRule="auto"/>
        <w:rPr>
          <w:rFonts w:cs="仿宋"/>
          <w:color w:val="auto"/>
          <w:highlight w:val="none"/>
        </w:rPr>
      </w:pPr>
      <w:r>
        <w:rPr>
          <w:rFonts w:hint="eastAsia" w:cs="仿宋"/>
          <w:color w:val="auto"/>
          <w:highlight w:val="none"/>
          <w:lang w:val="zh-CN"/>
        </w:rPr>
        <w:t xml:space="preserve">    特此告知。</w:t>
      </w:r>
    </w:p>
    <w:p w14:paraId="5E92D97C">
      <w:pPr>
        <w:snapToGrid w:val="0"/>
        <w:spacing w:line="360" w:lineRule="auto"/>
        <w:rPr>
          <w:rFonts w:cs="仿宋"/>
          <w:color w:val="auto"/>
          <w:highlight w:val="none"/>
        </w:rPr>
      </w:pPr>
      <w:r>
        <w:rPr>
          <w:rFonts w:hint="eastAsia" w:cs="仿宋"/>
          <w:color w:val="auto"/>
          <w:highlight w:val="none"/>
          <w:lang w:val="zh-CN"/>
        </w:rPr>
        <w:t xml:space="preserve">                                                  投标人名称(公章)：</w:t>
      </w:r>
    </w:p>
    <w:p w14:paraId="13389BC6">
      <w:pPr>
        <w:snapToGrid w:val="0"/>
        <w:spacing w:line="360" w:lineRule="auto"/>
        <w:rPr>
          <w:rFonts w:cs="仿宋"/>
          <w:color w:val="auto"/>
          <w:highlight w:val="none"/>
        </w:rPr>
      </w:pPr>
      <w:r>
        <w:rPr>
          <w:rFonts w:hint="eastAsia" w:cs="仿宋"/>
          <w:color w:val="auto"/>
          <w:highlight w:val="none"/>
          <w:lang w:val="zh-CN"/>
        </w:rPr>
        <w:t xml:space="preserve">                                                  </w:t>
      </w:r>
    </w:p>
    <w:p w14:paraId="270E69E6">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14:paraId="6B5BBF37">
      <w:pPr>
        <w:snapToGrid w:val="0"/>
        <w:spacing w:line="360" w:lineRule="auto"/>
        <w:ind w:right="240"/>
        <w:jc w:val="right"/>
        <w:rPr>
          <w:rFonts w:cs="仿宋"/>
          <w:color w:val="auto"/>
          <w:highlight w:val="none"/>
          <w:lang w:val="zh-CN"/>
        </w:rPr>
      </w:pPr>
    </w:p>
    <w:p w14:paraId="753FE4A0">
      <w:pPr>
        <w:snapToGrid w:val="0"/>
        <w:spacing w:line="360" w:lineRule="auto"/>
        <w:ind w:right="1920"/>
        <w:rPr>
          <w:rFonts w:cs="仿宋"/>
          <w:color w:val="auto"/>
          <w:highlight w:val="none"/>
          <w:lang w:val="zh-CN"/>
        </w:rPr>
      </w:pPr>
    </w:p>
    <w:p w14:paraId="7A8EC961">
      <w:pPr>
        <w:snapToGrid w:val="0"/>
        <w:spacing w:line="360" w:lineRule="auto"/>
        <w:ind w:right="240"/>
        <w:jc w:val="right"/>
        <w:rPr>
          <w:rFonts w:cs="仿宋"/>
          <w:color w:val="auto"/>
          <w:highlight w:val="none"/>
          <w:lang w:val="zh-CN"/>
        </w:rPr>
      </w:pPr>
    </w:p>
    <w:p w14:paraId="04E78FB4">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14:paraId="2FB7E30E">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14:paraId="57E2C736">
      <w:pPr>
        <w:spacing w:line="360" w:lineRule="auto"/>
        <w:rPr>
          <w:rFonts w:ascii="宋体" w:hAnsi="宋体" w:cs="宋体"/>
          <w:bCs/>
          <w:color w:val="auto"/>
          <w:sz w:val="24"/>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p w14:paraId="47F19D6D">
      <w:pPr>
        <w:spacing w:line="360" w:lineRule="auto"/>
        <w:rPr>
          <w:rFonts w:ascii="宋体" w:hAnsi="宋体" w:cs="宋体"/>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39A7D">
    <w:pPr>
      <w:widowControl w:val="0"/>
      <w:tabs>
        <w:tab w:val="center" w:pos="4153"/>
        <w:tab w:val="right" w:pos="8306"/>
      </w:tabs>
      <w:adjustRightInd w:val="0"/>
      <w:snapToGrid w:val="0"/>
      <w:jc w:val="center"/>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0"/>
        <w:sz w:val="18"/>
        <w:szCs w:val="21"/>
        <w:lang w:val="en-US" w:eastAsia="zh-CN" w:bidi="ar-SA"/>
      </w:rPr>
      <w:t xml:space="preserve">第 </w:t>
    </w:r>
    <w:r>
      <w:rPr>
        <w:rFonts w:hint="eastAsia" w:ascii="仿宋_GB2312" w:hAnsi="Times New Roman" w:eastAsia="仿宋_GB2312" w:cs="Times New Roman"/>
        <w:kern w:val="0"/>
        <w:sz w:val="18"/>
        <w:szCs w:val="21"/>
        <w:lang w:val="en-US" w:eastAsia="zh-CN" w:bidi="ar-SA"/>
      </w:rPr>
      <w:fldChar w:fldCharType="begin"/>
    </w:r>
    <w:r>
      <w:rPr>
        <w:rFonts w:hint="eastAsia" w:ascii="仿宋_GB2312" w:hAnsi="Times New Roman" w:eastAsia="仿宋_GB2312" w:cs="Times New Roman"/>
        <w:kern w:val="0"/>
        <w:sz w:val="18"/>
        <w:szCs w:val="21"/>
        <w:lang w:val="en-US" w:eastAsia="zh-CN" w:bidi="ar-SA"/>
      </w:rPr>
      <w:instrText xml:space="preserve"> PAGE </w:instrText>
    </w:r>
    <w:r>
      <w:rPr>
        <w:rFonts w:hint="eastAsia" w:ascii="仿宋_GB2312" w:hAnsi="Times New Roman" w:eastAsia="仿宋_GB2312" w:cs="Times New Roman"/>
        <w:kern w:val="0"/>
        <w:sz w:val="18"/>
        <w:szCs w:val="21"/>
        <w:lang w:val="en-US" w:eastAsia="zh-CN" w:bidi="ar-SA"/>
      </w:rPr>
      <w:fldChar w:fldCharType="separate"/>
    </w:r>
    <w:r>
      <w:rPr>
        <w:rFonts w:ascii="仿宋_GB2312" w:hAnsi="Times New Roman" w:eastAsia="仿宋_GB2312" w:cs="Times New Roman"/>
        <w:kern w:val="0"/>
        <w:sz w:val="18"/>
        <w:szCs w:val="21"/>
        <w:lang w:val="en-US" w:eastAsia="zh-CN" w:bidi="ar-SA"/>
      </w:rPr>
      <w:t>61</w:t>
    </w:r>
    <w:r>
      <w:rPr>
        <w:rFonts w:hint="eastAsia" w:ascii="仿宋_GB2312" w:hAnsi="Times New Roman" w:eastAsia="仿宋_GB2312" w:cs="Times New Roman"/>
        <w:kern w:val="0"/>
        <w:sz w:val="18"/>
        <w:szCs w:val="21"/>
        <w:lang w:val="en-US" w:eastAsia="zh-CN" w:bidi="ar-SA"/>
      </w:rPr>
      <w:fldChar w:fldCharType="end"/>
    </w:r>
    <w:r>
      <w:rPr>
        <w:rFonts w:hint="eastAsia" w:ascii="仿宋_GB2312" w:hAnsi="Times New Roman" w:eastAsia="仿宋_GB2312" w:cs="Times New Roman"/>
        <w:kern w:val="0"/>
        <w:sz w:val="18"/>
        <w:szCs w:val="21"/>
        <w:lang w:val="en-US" w:eastAsia="zh-CN" w:bidi="ar-SA"/>
      </w:rPr>
      <w:t xml:space="preserve"> 页 共 </w:t>
    </w:r>
    <w:r>
      <w:rPr>
        <w:rFonts w:hint="eastAsia" w:ascii="仿宋_GB2312" w:hAnsi="Times New Roman" w:eastAsia="仿宋_GB2312" w:cs="Times New Roman"/>
        <w:kern w:val="0"/>
        <w:sz w:val="18"/>
        <w:szCs w:val="21"/>
        <w:lang w:val="en-US" w:eastAsia="zh-CN" w:bidi="ar-SA"/>
      </w:rPr>
      <w:fldChar w:fldCharType="begin"/>
    </w:r>
    <w:r>
      <w:rPr>
        <w:rFonts w:hint="eastAsia" w:ascii="仿宋_GB2312" w:hAnsi="Times New Roman" w:eastAsia="仿宋_GB2312" w:cs="Times New Roman"/>
        <w:kern w:val="0"/>
        <w:sz w:val="18"/>
        <w:szCs w:val="21"/>
        <w:lang w:val="en-US" w:eastAsia="zh-CN" w:bidi="ar-SA"/>
      </w:rPr>
      <w:instrText xml:space="preserve"> NUMPAGES </w:instrText>
    </w:r>
    <w:r>
      <w:rPr>
        <w:rFonts w:hint="eastAsia" w:ascii="仿宋_GB2312" w:hAnsi="Times New Roman" w:eastAsia="仿宋_GB2312" w:cs="Times New Roman"/>
        <w:kern w:val="0"/>
        <w:sz w:val="18"/>
        <w:szCs w:val="21"/>
        <w:lang w:val="en-US" w:eastAsia="zh-CN" w:bidi="ar-SA"/>
      </w:rPr>
      <w:fldChar w:fldCharType="separate"/>
    </w:r>
    <w:r>
      <w:rPr>
        <w:rFonts w:ascii="仿宋_GB2312" w:hAnsi="Times New Roman" w:eastAsia="仿宋_GB2312" w:cs="Times New Roman"/>
        <w:kern w:val="0"/>
        <w:sz w:val="18"/>
        <w:szCs w:val="21"/>
        <w:lang w:val="en-US" w:eastAsia="zh-CN" w:bidi="ar-SA"/>
      </w:rPr>
      <w:t>73</w:t>
    </w:r>
    <w:r>
      <w:rPr>
        <w:rFonts w:hint="eastAsia" w:ascii="仿宋_GB2312" w:hAnsi="Times New Roman" w:eastAsia="仿宋_GB2312" w:cs="Times New Roman"/>
        <w:kern w:val="0"/>
        <w:sz w:val="18"/>
        <w:szCs w:val="21"/>
        <w:lang w:val="en-US" w:eastAsia="zh-CN" w:bidi="ar-SA"/>
      </w:rPr>
      <w:fldChar w:fldCharType="end"/>
    </w:r>
    <w:r>
      <w:rPr>
        <w:rFonts w:hint="eastAsia" w:ascii="仿宋_GB2312" w:hAnsi="Times New Roman" w:eastAsia="仿宋_GB2312" w:cs="Times New Roman"/>
        <w:kern w:val="0"/>
        <w:sz w:val="18"/>
        <w:szCs w:val="21"/>
        <w:lang w:val="en-US" w:eastAsia="zh-CN" w:bidi="ar-SA"/>
      </w:rPr>
      <w:t xml:space="preserve"> 页</w:t>
    </w:r>
  </w:p>
  <w:p w14:paraId="7B984C06">
    <w:pPr>
      <w:widowControl w:val="0"/>
      <w:tabs>
        <w:tab w:val="center" w:pos="4153"/>
        <w:tab w:val="right" w:pos="8306"/>
      </w:tabs>
      <w:adjustRightInd w:val="0"/>
      <w:snapToGrid w:val="0"/>
      <w:jc w:val="both"/>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0C605">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BF79D">
    <w:pPr>
      <w:pStyle w:val="39"/>
      <w:framePr w:wrap="around" w:vAnchor="text" w:hAnchor="margin" w:xAlign="right" w:y="1"/>
      <w:rPr>
        <w:rStyle w:val="72"/>
      </w:rPr>
    </w:pPr>
    <w:r>
      <w:fldChar w:fldCharType="begin"/>
    </w:r>
    <w:r>
      <w:rPr>
        <w:rStyle w:val="72"/>
      </w:rPr>
      <w:instrText xml:space="preserve">PAGE  </w:instrText>
    </w:r>
    <w:r>
      <w:fldChar w:fldCharType="end"/>
    </w:r>
  </w:p>
  <w:p w14:paraId="5A838915">
    <w:pPr>
      <w:pStyle w:val="3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D8CC7">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4" w:name="_Toc36110187"/>
    <w:bookmarkStart w:id="505" w:name="_Toc131845147"/>
    <w:bookmarkStart w:id="506" w:name="_Toc164085800"/>
    <w:bookmarkStart w:id="507" w:name="_Toc91899912"/>
    <w:r>
      <w:rPr>
        <w:rFonts w:hint="eastAsia" w:ascii="仿宋_GB2312" w:eastAsia="仿宋_GB2312"/>
        <w:kern w:val="0"/>
        <w:szCs w:val="21"/>
      </w:rPr>
      <w:t xml:space="preserve"> 页</w:t>
    </w:r>
    <w:bookmarkEnd w:id="504"/>
    <w:bookmarkEnd w:id="505"/>
    <w:bookmarkEnd w:id="506"/>
    <w:bookmarkEnd w:id="507"/>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C2794">
    <w:pPr>
      <w:widowControl w:val="0"/>
      <w:tabs>
        <w:tab w:val="center" w:pos="4153"/>
        <w:tab w:val="right" w:pos="8306"/>
      </w:tabs>
      <w:adjustRightInd w:val="0"/>
      <w:snapToGrid w:val="0"/>
      <w:jc w:val="center"/>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0"/>
        <w:sz w:val="18"/>
        <w:szCs w:val="18"/>
        <w:lang w:val="en-US" w:eastAsia="zh-CN" w:bidi="ar-SA"/>
      </w:rPr>
      <w:t xml:space="preserve">第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PAGE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23</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 共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NUMPAGES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69</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C64B">
    <w:pPr>
      <w:framePr w:wrap="around" w:vAnchor="text" w:hAnchor="margin" w:xAlign="right" w:y="1"/>
      <w:widowControl w:val="0"/>
      <w:tabs>
        <w:tab w:val="center" w:pos="4153"/>
        <w:tab w:val="right" w:pos="8306"/>
      </w:tabs>
      <w:adjustRightInd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Arial" w:hAnsi="Arial" w:eastAsia="黑体" w:cs="Arial"/>
        <w:snapToGrid w:val="0"/>
        <w:kern w:val="0"/>
        <w:sz w:val="21"/>
        <w:szCs w:val="21"/>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end"/>
    </w:r>
  </w:p>
  <w:p w14:paraId="46D4981E">
    <w:pPr>
      <w:widowControl w:val="0"/>
      <w:tabs>
        <w:tab w:val="center" w:pos="4153"/>
        <w:tab w:val="right" w:pos="8306"/>
      </w:tabs>
      <w:adjustRightInd w:val="0"/>
      <w:snapToGrid w:val="0"/>
      <w:ind w:right="360"/>
      <w:jc w:val="left"/>
      <w:rPr>
        <w:rFonts w:ascii="Times New Roman" w:hAnsi="Times New Roman" w:eastAsia="宋体" w:cs="Times New Roman"/>
        <w:kern w:val="2"/>
        <w:sz w:val="18"/>
        <w:szCs w:val="18"/>
        <w:lang w:val="en-US" w:eastAsia="zh-CN" w:bidi="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F97BD">
    <w:pPr>
      <w:widowControl w:val="0"/>
      <w:tabs>
        <w:tab w:val="center" w:pos="4153"/>
        <w:tab w:val="right" w:pos="8306"/>
      </w:tabs>
      <w:adjustRightInd w:val="0"/>
      <w:snapToGrid w:val="0"/>
      <w:jc w:val="center"/>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0"/>
        <w:sz w:val="18"/>
        <w:szCs w:val="18"/>
        <w:lang w:val="en-US" w:eastAsia="zh-CN" w:bidi="ar-SA"/>
      </w:rPr>
      <w:t xml:space="preserve">第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PAGE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1</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 共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NUMPAGES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69</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BF221">
    <w:pPr>
      <w:keepNext w:val="0"/>
      <w:keepLines w:val="0"/>
      <w:pageBreakBefore w:val="0"/>
      <w:widowControl w:val="0"/>
      <w:pBdr>
        <w:bottom w:val="single" w:color="auto" w:sz="6" w:space="1"/>
      </w:pBdr>
      <w:tabs>
        <w:tab w:val="center" w:pos="4153"/>
        <w:tab w:val="right" w:pos="8306"/>
      </w:tabs>
      <w:kinsoku/>
      <w:wordWrap/>
      <w:overflowPunct/>
      <w:topLinePunct w:val="0"/>
      <w:bidi w:val="0"/>
      <w:adjustRightInd w:val="0"/>
      <w:snapToGrid w:val="0"/>
      <w:jc w:val="right"/>
      <w:textAlignment w:val="auto"/>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E9C09">
    <w:pPr>
      <w:pStyle w:val="40"/>
      <w:jc w:val="right"/>
      <w:rPr>
        <w:rFonts w:ascii="仿宋_GB2312" w:eastAsia="仿宋_GB2312"/>
        <w:b/>
        <w:i/>
        <w:iCs/>
        <w:u w:val="single"/>
      </w:rPr>
    </w:pP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803DC">
    <w:pPr>
      <w:pStyle w:val="40"/>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A3360">
    <w:pPr>
      <w:widowControl w:val="0"/>
      <w:pBdr>
        <w:bottom w:val="single" w:color="auto" w:sz="6" w:space="4"/>
      </w:pBdr>
      <w:tabs>
        <w:tab w:val="center" w:pos="4153"/>
        <w:tab w:val="right" w:pos="8306"/>
      </w:tabs>
      <w:adjustRightInd w:val="0"/>
      <w:snapToGrid w:val="0"/>
      <w:jc w:val="righ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zh-CN" w:eastAsia="zh-CN" w:bidi="ar-SA"/>
      </w:rPr>
      <w:t>杭州市政府采购公开招标文件</w:t>
    </w:r>
  </w:p>
  <w:p w14:paraId="5BD1986C">
    <w:pPr>
      <w:widowControl/>
      <w:tabs>
        <w:tab w:val="center" w:pos="4535"/>
        <w:tab w:val="right" w:pos="9070"/>
      </w:tabs>
      <w:overflowPunct w:val="0"/>
      <w:autoSpaceDE w:val="0"/>
      <w:autoSpaceDN w:val="0"/>
      <w:adjustRightInd w:val="0"/>
      <w:jc w:val="both"/>
      <w:textAlignment w:val="baseline"/>
      <w:rPr>
        <w:rFonts w:ascii="仿宋_GB2312" w:hAnsi="Times New Roman" w:eastAsia="仿宋_GB2312" w:cs="Times New Roman"/>
        <w:b w:val="0"/>
        <w:i/>
        <w:kern w:val="0"/>
        <w:sz w:val="18"/>
        <w:szCs w:val="20"/>
        <w:u w:val="single"/>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621D4">
    <w:pPr>
      <w:widowControl w:val="0"/>
      <w:pBdr>
        <w:bottom w:val="single" w:color="auto" w:sz="6" w:space="0"/>
      </w:pBdr>
      <w:tabs>
        <w:tab w:val="center" w:pos="4535"/>
        <w:tab w:val="right" w:pos="9070"/>
      </w:tabs>
      <w:adjustRightInd w:val="0"/>
      <w:snapToGrid w:val="0"/>
      <w:jc w:val="righ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zh-CN" w:eastAsia="zh-CN" w:bidi="ar-SA"/>
      </w:rPr>
      <w:t></w:t>
    </w:r>
    <w:r>
      <w:rPr>
        <w:rFonts w:ascii="Times New Roman" w:hAnsi="Times New Roman" w:eastAsia="宋体" w:cs="Times New Roman"/>
        <w:kern w:val="2"/>
        <w:sz w:val="18"/>
        <w:szCs w:val="18"/>
        <w:lang w:val="en-US" w:eastAsia="zh-CN" w:bidi="ar-SA"/>
      </w:rPr>
      <w:tab/>
    </w:r>
    <w:r>
      <w:rPr>
        <w:rFonts w:ascii="Times New Roman" w:hAnsi="Times New Roman" w:eastAsia="宋体" w:cs="Times New Roman"/>
        <w:kern w:val="2"/>
        <w:sz w:val="18"/>
        <w:szCs w:val="18"/>
        <w:lang w:val="zh-CN" w:eastAsia="zh-CN" w:bidi="ar-SA"/>
      </w:rPr>
      <w:t></w:t>
    </w:r>
    <w:r>
      <w:rPr>
        <w:rFonts w:ascii="Times New Roman" w:hAnsi="Times New Roman" w:eastAsia="宋体" w:cs="Times New Roman"/>
        <w:kern w:val="2"/>
        <w:sz w:val="18"/>
        <w:szCs w:val="18"/>
        <w:lang w:val="en-US" w:eastAsia="zh-CN" w:bidi="ar-SA"/>
      </w:rPr>
      <w:tab/>
    </w:r>
    <w:r>
      <w:rPr>
        <w:rFonts w:ascii="Times New Roman" w:hAnsi="Times New Roman" w:eastAsia="宋体" w:cs="Times New Roman"/>
        <w:kern w:val="2"/>
        <w:sz w:val="18"/>
        <w:szCs w:val="18"/>
        <w:lang w:val="zh-CN" w:eastAsia="zh-CN" w:bidi="ar-SA"/>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7F7D621"/>
    <w:multiLevelType w:val="singleLevel"/>
    <w:tmpl w:val="E7F7D621"/>
    <w:lvl w:ilvl="0" w:tentative="0">
      <w:start w:val="4"/>
      <w:numFmt w:val="decimal"/>
      <w:lvlText w:val="%1."/>
      <w:lvlJc w:val="left"/>
      <w:pPr>
        <w:tabs>
          <w:tab w:val="left" w:pos="312"/>
        </w:tabs>
      </w:pPr>
    </w:lvl>
  </w:abstractNum>
  <w:abstractNum w:abstractNumId="5">
    <w:nsid w:val="EFBE0E82"/>
    <w:multiLevelType w:val="singleLevel"/>
    <w:tmpl w:val="EFBE0E82"/>
    <w:lvl w:ilvl="0" w:tentative="0">
      <w:start w:val="16"/>
      <w:numFmt w:val="decimal"/>
      <w:suff w:val="space"/>
      <w:lvlText w:val="%1."/>
      <w:lvlJc w:val="left"/>
    </w:lvl>
  </w:abstractNum>
  <w:abstractNum w:abstractNumId="6">
    <w:nsid w:val="F79E0EA8"/>
    <w:multiLevelType w:val="singleLevel"/>
    <w:tmpl w:val="F79E0EA8"/>
    <w:lvl w:ilvl="0" w:tentative="0">
      <w:start w:val="13"/>
      <w:numFmt w:val="decimal"/>
      <w:suff w:val="space"/>
      <w:lvlText w:val="%1."/>
      <w:lvlJc w:val="left"/>
    </w:lvl>
  </w:abstractNum>
  <w:abstractNum w:abstractNumId="7">
    <w:nsid w:val="FB75ABB1"/>
    <w:multiLevelType w:val="singleLevel"/>
    <w:tmpl w:val="FB75ABB1"/>
    <w:lvl w:ilvl="0" w:tentative="0">
      <w:start w:val="1"/>
      <w:numFmt w:val="chineseCounting"/>
      <w:suff w:val="nothing"/>
      <w:lvlText w:val="%1、"/>
      <w:lvlJc w:val="left"/>
      <w:rPr>
        <w:rFonts w:hint="eastAsia"/>
      </w:rPr>
    </w:lvl>
  </w:abstractNum>
  <w:abstractNum w:abstractNumId="8">
    <w:nsid w:val="FBFE8AFF"/>
    <w:multiLevelType w:val="singleLevel"/>
    <w:tmpl w:val="FBFE8AFF"/>
    <w:lvl w:ilvl="0" w:tentative="0">
      <w:start w:val="8"/>
      <w:numFmt w:val="decimal"/>
      <w:suff w:val="space"/>
      <w:lvlText w:val="%1."/>
      <w:lvlJc w:val="left"/>
    </w:lvl>
  </w:abstractNum>
  <w:abstractNum w:abstractNumId="9">
    <w:nsid w:val="04D894CF"/>
    <w:multiLevelType w:val="singleLevel"/>
    <w:tmpl w:val="04D894CF"/>
    <w:lvl w:ilvl="0" w:tentative="0">
      <w:start w:val="1"/>
      <w:numFmt w:val="decimal"/>
      <w:suff w:val="nothing"/>
      <w:lvlText w:val="%1、"/>
      <w:lvlJc w:val="left"/>
    </w:lvl>
  </w:abstractNum>
  <w:abstractNum w:abstractNumId="1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7FF7EC6"/>
    <w:multiLevelType w:val="singleLevel"/>
    <w:tmpl w:val="57FF7EC6"/>
    <w:lvl w:ilvl="0" w:tentative="0">
      <w:start w:val="15"/>
      <w:numFmt w:val="decimal"/>
      <w:suff w:val="space"/>
      <w:lvlText w:val="%1."/>
      <w:lvlJc w:val="left"/>
    </w:lvl>
  </w:abstractNum>
  <w:abstractNum w:abstractNumId="12">
    <w:nsid w:val="59792107"/>
    <w:multiLevelType w:val="singleLevel"/>
    <w:tmpl w:val="59792107"/>
    <w:lvl w:ilvl="0" w:tentative="0">
      <w:start w:val="4"/>
      <w:numFmt w:val="chineseCounting"/>
      <w:suff w:val="nothing"/>
      <w:lvlText w:val="（%1）"/>
      <w:lvlJc w:val="left"/>
      <w:rPr>
        <w:rFonts w:hint="eastAsia"/>
      </w:rPr>
    </w:lvl>
  </w:abstractNum>
  <w:abstractNum w:abstractNumId="13">
    <w:nsid w:val="6A479E31"/>
    <w:multiLevelType w:val="singleLevel"/>
    <w:tmpl w:val="6A479E31"/>
    <w:lvl w:ilvl="0" w:tentative="0">
      <w:start w:val="1"/>
      <w:numFmt w:val="decimal"/>
      <w:suff w:val="nothing"/>
      <w:lvlText w:val="%1、"/>
      <w:lvlJc w:val="left"/>
    </w:lvl>
  </w:abstractNum>
  <w:abstractNum w:abstractNumId="14">
    <w:nsid w:val="7F20E2E1"/>
    <w:multiLevelType w:val="singleLevel"/>
    <w:tmpl w:val="7F20E2E1"/>
    <w:lvl w:ilvl="0" w:tentative="0">
      <w:start w:val="30"/>
      <w:numFmt w:val="decimal"/>
      <w:suff w:val="space"/>
      <w:lvlText w:val="%1."/>
      <w:lvlJc w:val="left"/>
    </w:lvl>
  </w:abstractNum>
  <w:num w:numId="1">
    <w:abstractNumId w:val="4"/>
  </w:num>
  <w:num w:numId="2">
    <w:abstractNumId w:val="2"/>
  </w:num>
  <w:num w:numId="3">
    <w:abstractNumId w:val="8"/>
  </w:num>
  <w:num w:numId="4">
    <w:abstractNumId w:val="6"/>
  </w:num>
  <w:num w:numId="5">
    <w:abstractNumId w:val="11"/>
  </w:num>
  <w:num w:numId="6">
    <w:abstractNumId w:val="5"/>
  </w:num>
  <w:num w:numId="7">
    <w:abstractNumId w:val="0"/>
  </w:num>
  <w:num w:numId="8">
    <w:abstractNumId w:val="14"/>
  </w:num>
  <w:num w:numId="9">
    <w:abstractNumId w:val="10"/>
  </w:num>
  <w:num w:numId="10">
    <w:abstractNumId w:val="9"/>
  </w:num>
  <w:num w:numId="11">
    <w:abstractNumId w:val="12"/>
  </w:num>
  <w:num w:numId="12">
    <w:abstractNumId w:val="13"/>
  </w:num>
  <w:num w:numId="13">
    <w:abstractNumId w:val="7"/>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384400"/>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459C8"/>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555AD4"/>
    <w:rsid w:val="1C88086E"/>
    <w:rsid w:val="1CD73418"/>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7F461A"/>
    <w:rsid w:val="1FD52DD5"/>
    <w:rsid w:val="1FE868A9"/>
    <w:rsid w:val="20034907"/>
    <w:rsid w:val="200E5F2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DA6889"/>
    <w:rsid w:val="27044A29"/>
    <w:rsid w:val="271D34C8"/>
    <w:rsid w:val="276142BF"/>
    <w:rsid w:val="27783712"/>
    <w:rsid w:val="27907362"/>
    <w:rsid w:val="28333E1D"/>
    <w:rsid w:val="28454BD6"/>
    <w:rsid w:val="28455253"/>
    <w:rsid w:val="28551971"/>
    <w:rsid w:val="285B1C53"/>
    <w:rsid w:val="2865155F"/>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963C5"/>
    <w:rsid w:val="340D2360"/>
    <w:rsid w:val="3410665D"/>
    <w:rsid w:val="34211214"/>
    <w:rsid w:val="342E63AB"/>
    <w:rsid w:val="34950E68"/>
    <w:rsid w:val="34986E94"/>
    <w:rsid w:val="34AF62C9"/>
    <w:rsid w:val="34CB4388"/>
    <w:rsid w:val="34FA6E12"/>
    <w:rsid w:val="354D7158"/>
    <w:rsid w:val="358D5588"/>
    <w:rsid w:val="360241FF"/>
    <w:rsid w:val="363A3B40"/>
    <w:rsid w:val="365302AE"/>
    <w:rsid w:val="36607A0A"/>
    <w:rsid w:val="366E227C"/>
    <w:rsid w:val="366F2E0D"/>
    <w:rsid w:val="367B6A5C"/>
    <w:rsid w:val="3685580B"/>
    <w:rsid w:val="36A74ADA"/>
    <w:rsid w:val="36AD60D5"/>
    <w:rsid w:val="36B224F9"/>
    <w:rsid w:val="36EC0CC9"/>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B0395"/>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41CA5"/>
    <w:rsid w:val="3F756B8F"/>
    <w:rsid w:val="3F77BA1B"/>
    <w:rsid w:val="3F95482B"/>
    <w:rsid w:val="4019356B"/>
    <w:rsid w:val="40592157"/>
    <w:rsid w:val="406E1CAE"/>
    <w:rsid w:val="40A0133A"/>
    <w:rsid w:val="40C31A53"/>
    <w:rsid w:val="40FF545D"/>
    <w:rsid w:val="410067C8"/>
    <w:rsid w:val="418F0D2A"/>
    <w:rsid w:val="41D01505"/>
    <w:rsid w:val="420B2761"/>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C96E59"/>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5314D"/>
    <w:rsid w:val="510D65B7"/>
    <w:rsid w:val="511157AB"/>
    <w:rsid w:val="5142540C"/>
    <w:rsid w:val="514C15B9"/>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CC58FB"/>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9C511F"/>
    <w:rsid w:val="5FCC5339"/>
    <w:rsid w:val="5FE34A5B"/>
    <w:rsid w:val="5FFE1E36"/>
    <w:rsid w:val="60232584"/>
    <w:rsid w:val="60471B32"/>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065898"/>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BC249"/>
    <w:rsid w:val="6F8331F1"/>
    <w:rsid w:val="6FAE1A09"/>
    <w:rsid w:val="6FD75BF8"/>
    <w:rsid w:val="6FFFAD64"/>
    <w:rsid w:val="707723D0"/>
    <w:rsid w:val="70F5661B"/>
    <w:rsid w:val="71360107"/>
    <w:rsid w:val="713B688E"/>
    <w:rsid w:val="71D43752"/>
    <w:rsid w:val="71E40907"/>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77D96"/>
    <w:rsid w:val="7C0A0FE4"/>
    <w:rsid w:val="7C254906"/>
    <w:rsid w:val="7C590818"/>
    <w:rsid w:val="7C7C10F6"/>
    <w:rsid w:val="7C853BEA"/>
    <w:rsid w:val="7C881368"/>
    <w:rsid w:val="7CE27788"/>
    <w:rsid w:val="7D0C32F1"/>
    <w:rsid w:val="7D0F408D"/>
    <w:rsid w:val="7D491C6C"/>
    <w:rsid w:val="7D5429C0"/>
    <w:rsid w:val="7D6D0423"/>
    <w:rsid w:val="7D6E6D43"/>
    <w:rsid w:val="7DB57A34"/>
    <w:rsid w:val="7DE60973"/>
    <w:rsid w:val="7DEF0916"/>
    <w:rsid w:val="7E1E5218"/>
    <w:rsid w:val="7E9A4E1F"/>
    <w:rsid w:val="7EA7723A"/>
    <w:rsid w:val="7EF56FBB"/>
    <w:rsid w:val="7F0768EB"/>
    <w:rsid w:val="7F143BEC"/>
    <w:rsid w:val="7F715AF2"/>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99"/>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90</Pages>
  <Words>16045</Words>
  <Characters>17330</Characters>
  <Lines>295</Lines>
  <Paragraphs>83</Paragraphs>
  <TotalTime>36</TotalTime>
  <ScaleCrop>false</ScaleCrop>
  <LinksUpToDate>false</LinksUpToDate>
  <CharactersWithSpaces>17615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Administrator</cp:lastModifiedBy>
  <cp:lastPrinted>2025-04-21T05:45:36Z</cp:lastPrinted>
  <dcterms:modified xsi:type="dcterms:W3CDTF">2025-04-21T05:46:00Z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AE5DE481014445CBB48EF9FDF5EE848F_13</vt:lpwstr>
  </property>
  <property fmtid="{D5CDD505-2E9C-101B-9397-08002B2CF9AE}" pid="5" name="KSOTemplateDocerSaveRecord">
    <vt:lpwstr>eyJoZGlkIjoiMjg2ZDg1MDQxYTFhNTJmYzkzNDRiZGU1ZjI0YjZiNTkifQ==</vt:lpwstr>
  </property>
</Properties>
</file>